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228759826"/>
        <w:docPartObj>
          <w:docPartGallery w:val="Cover Pages"/>
          <w:docPartUnique/>
        </w:docPartObj>
      </w:sdtPr>
      <w:sdtEndPr>
        <w:rPr>
          <w:rFonts w:ascii="Arial" w:hAnsi="Arial" w:cs="Arial"/>
          <w:b/>
          <w:sz w:val="24"/>
          <w:szCs w:val="24"/>
        </w:rPr>
      </w:sdtEndPr>
      <w:sdtContent>
        <w:p w:rsidR="006A7F9A" w:rsidRDefault="006A7F9A"/>
        <w:p w:rsidR="006A7F9A" w:rsidRDefault="006A7F9A" w:rsidP="006A7F9A">
          <w:pPr>
            <w:jc w:val="center"/>
            <w:rPr>
              <w:rFonts w:ascii="Arial" w:hAnsi="Arial" w:cs="Arial"/>
              <w:sz w:val="24"/>
              <w:szCs w:val="24"/>
            </w:rPr>
          </w:pPr>
          <w:r>
            <w:rPr>
              <w:rFonts w:ascii="Arial" w:hAnsi="Arial" w:cs="Arial"/>
              <w:noProof/>
              <w:sz w:val="24"/>
              <w:szCs w:val="24"/>
            </w:rPr>
            <w:drawing>
              <wp:anchor distT="0" distB="0" distL="114300" distR="114300" simplePos="0" relativeHeight="251740160" behindDoc="0" locked="0" layoutInCell="1" allowOverlap="1" wp14:anchorId="58744917" wp14:editId="0024D35F">
                <wp:simplePos x="0" y="0"/>
                <wp:positionH relativeFrom="margin">
                  <wp:posOffset>4741545</wp:posOffset>
                </wp:positionH>
                <wp:positionV relativeFrom="margin">
                  <wp:posOffset>-240242</wp:posOffset>
                </wp:positionV>
                <wp:extent cx="1178560" cy="1178560"/>
                <wp:effectExtent l="0" t="0" r="2540" b="254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CPYS_png.png"/>
                        <pic:cNvPicPr/>
                      </pic:nvPicPr>
                      <pic:blipFill>
                        <a:blip r:embed="rId8">
                          <a:extLst>
                            <a:ext uri="{28A0092B-C50C-407E-A947-70E740481C1C}">
                              <a14:useLocalDpi xmlns:a14="http://schemas.microsoft.com/office/drawing/2010/main" val="0"/>
                            </a:ext>
                          </a:extLst>
                        </a:blip>
                        <a:stretch>
                          <a:fillRect/>
                        </a:stretch>
                      </pic:blipFill>
                      <pic:spPr>
                        <a:xfrm>
                          <a:off x="0" y="0"/>
                          <a:ext cx="1178560" cy="117856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rPr>
            <w:drawing>
              <wp:anchor distT="0" distB="0" distL="114300" distR="114300" simplePos="0" relativeHeight="251739136" behindDoc="0" locked="0" layoutInCell="1" allowOverlap="1" wp14:anchorId="1FCD9916" wp14:editId="2D76B5F7">
                <wp:simplePos x="0" y="0"/>
                <wp:positionH relativeFrom="margin">
                  <wp:posOffset>-327660</wp:posOffset>
                </wp:positionH>
                <wp:positionV relativeFrom="margin">
                  <wp:posOffset>-345440</wp:posOffset>
                </wp:positionV>
                <wp:extent cx="1544320" cy="123190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logo_uaem18-21.png"/>
                        <pic:cNvPicPr/>
                      </pic:nvPicPr>
                      <pic:blipFill rotWithShape="1">
                        <a:blip r:embed="rId9">
                          <a:extLst>
                            <a:ext uri="{28A0092B-C50C-407E-A947-70E740481C1C}">
                              <a14:useLocalDpi xmlns:a14="http://schemas.microsoft.com/office/drawing/2010/main" val="0"/>
                            </a:ext>
                          </a:extLst>
                        </a:blip>
                        <a:srcRect r="61519"/>
                        <a:stretch/>
                      </pic:blipFill>
                      <pic:spPr bwMode="auto">
                        <a:xfrm>
                          <a:off x="0" y="0"/>
                          <a:ext cx="1544320" cy="1231900"/>
                        </a:xfrm>
                        <a:prstGeom prst="rect">
                          <a:avLst/>
                        </a:prstGeom>
                        <a:ln>
                          <a:noFill/>
                        </a:ln>
                        <a:extLst>
                          <a:ext uri="{53640926-AAD7-44D8-BBD7-CCE9431645EC}">
                            <a14:shadowObscured xmlns:a14="http://schemas.microsoft.com/office/drawing/2010/main"/>
                          </a:ext>
                        </a:extLst>
                      </pic:spPr>
                    </pic:pic>
                  </a:graphicData>
                </a:graphic>
              </wp:anchor>
            </w:drawing>
          </w: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UNIVERSIDAD AUTÓNOMA DEL ESTADO DE MÉXICO</w:t>
          </w: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FACULTAD DE CIENCIAS POLÍTICAS Y SOCIALES</w:t>
          </w: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b/>
              <w:sz w:val="24"/>
              <w:szCs w:val="24"/>
            </w:rPr>
          </w:pPr>
          <w:r w:rsidRPr="000B791E">
            <w:rPr>
              <w:rFonts w:ascii="Arial" w:hAnsi="Arial" w:cs="Arial"/>
              <w:b/>
              <w:sz w:val="24"/>
              <w:szCs w:val="24"/>
            </w:rPr>
            <w:t>“LOS PRELUDIOS DE LA FISCALIZACIÓN DE CAMPAÑAS ELECTORALES EN EL ESTADO DE MÉXICO 2009 – 201</w:t>
          </w:r>
          <w:r w:rsidR="000F71DB">
            <w:rPr>
              <w:rFonts w:ascii="Arial" w:hAnsi="Arial" w:cs="Arial"/>
              <w:b/>
              <w:sz w:val="24"/>
              <w:szCs w:val="24"/>
            </w:rPr>
            <w:t>8</w:t>
          </w:r>
          <w:r w:rsidRPr="000B791E">
            <w:rPr>
              <w:rFonts w:ascii="Arial" w:hAnsi="Arial" w:cs="Arial"/>
              <w:b/>
              <w:sz w:val="24"/>
              <w:szCs w:val="24"/>
            </w:rPr>
            <w:t>: MITOS Y REALIDADES”</w:t>
          </w: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b/>
              <w:sz w:val="32"/>
              <w:szCs w:val="32"/>
            </w:rPr>
          </w:pPr>
          <w:proofErr w:type="gramStart"/>
          <w:r w:rsidRPr="000B791E">
            <w:rPr>
              <w:rFonts w:ascii="Arial" w:hAnsi="Arial" w:cs="Arial"/>
              <w:b/>
              <w:sz w:val="32"/>
              <w:szCs w:val="32"/>
            </w:rPr>
            <w:t>T  E</w:t>
          </w:r>
          <w:proofErr w:type="gramEnd"/>
          <w:r w:rsidRPr="000B791E">
            <w:rPr>
              <w:rFonts w:ascii="Arial" w:hAnsi="Arial" w:cs="Arial"/>
              <w:b/>
              <w:sz w:val="32"/>
              <w:szCs w:val="32"/>
            </w:rPr>
            <w:t xml:space="preserve">  S  I  S</w:t>
          </w:r>
        </w:p>
        <w:p w:rsidR="006A7F9A" w:rsidRPr="000B791E" w:rsidRDefault="006A7F9A" w:rsidP="006A7F9A">
          <w:pPr>
            <w:jc w:val="center"/>
            <w:rPr>
              <w:rFonts w:ascii="Arial" w:hAnsi="Arial" w:cs="Arial"/>
              <w:sz w:val="32"/>
              <w:szCs w:val="32"/>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QUE PARA OBTENER EL GRADO DE:</w:t>
          </w: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LICENCIADO EN CIENCIAS POLITICAS Y ADMINISTRACIÓN PÚBLICA</w:t>
          </w:r>
        </w:p>
        <w:p w:rsidR="006A7F9A" w:rsidRPr="000B791E"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PRESENTAN:</w:t>
          </w: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SÁNCHEZ DÍA</w:t>
          </w:r>
          <w:r>
            <w:rPr>
              <w:rFonts w:ascii="Arial" w:hAnsi="Arial" w:cs="Arial"/>
              <w:sz w:val="24"/>
              <w:szCs w:val="24"/>
            </w:rPr>
            <w:t>Z</w:t>
          </w:r>
          <w:r w:rsidRPr="000B791E">
            <w:rPr>
              <w:rFonts w:ascii="Arial" w:hAnsi="Arial" w:cs="Arial"/>
              <w:sz w:val="24"/>
              <w:szCs w:val="24"/>
            </w:rPr>
            <w:t xml:space="preserve"> MIGUEL ALEJANDRO</w:t>
          </w:r>
        </w:p>
        <w:p w:rsidR="006A7F9A" w:rsidRPr="000B791E" w:rsidRDefault="006A7F9A" w:rsidP="006A7F9A">
          <w:pPr>
            <w:jc w:val="center"/>
            <w:rPr>
              <w:rFonts w:ascii="Arial" w:hAnsi="Arial" w:cs="Arial"/>
              <w:sz w:val="24"/>
              <w:szCs w:val="24"/>
            </w:rPr>
          </w:pPr>
          <w:r w:rsidRPr="000B791E">
            <w:rPr>
              <w:rFonts w:ascii="Arial" w:hAnsi="Arial" w:cs="Arial"/>
              <w:sz w:val="24"/>
              <w:szCs w:val="24"/>
            </w:rPr>
            <w:t>URÍA DELGADO JORGE ALEJANDRO</w:t>
          </w: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DIRECTOR DE TESIS</w:t>
          </w:r>
        </w:p>
        <w:p w:rsidR="006A7F9A" w:rsidRPr="000B791E" w:rsidRDefault="006A7F9A" w:rsidP="006A7F9A">
          <w:pPr>
            <w:jc w:val="center"/>
            <w:rPr>
              <w:rFonts w:ascii="Arial" w:hAnsi="Arial" w:cs="Arial"/>
              <w:sz w:val="24"/>
              <w:szCs w:val="24"/>
            </w:rPr>
          </w:pPr>
          <w:r w:rsidRPr="000B791E">
            <w:rPr>
              <w:rFonts w:ascii="Arial" w:hAnsi="Arial" w:cs="Arial"/>
              <w:sz w:val="24"/>
              <w:szCs w:val="24"/>
            </w:rPr>
            <w:t>DR. RODRIGO SANDOVAL ALMAZAN</w:t>
          </w: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Default="006A7F9A" w:rsidP="006A7F9A">
          <w:pPr>
            <w:jc w:val="center"/>
            <w:rPr>
              <w:rFonts w:ascii="Arial" w:hAnsi="Arial" w:cs="Arial"/>
              <w:sz w:val="24"/>
              <w:szCs w:val="24"/>
            </w:rPr>
          </w:pPr>
        </w:p>
        <w:p w:rsidR="006A7F9A" w:rsidRPr="000B791E" w:rsidRDefault="006A7F9A" w:rsidP="006A7F9A">
          <w:pPr>
            <w:rPr>
              <w:rFonts w:ascii="Arial" w:hAnsi="Arial" w:cs="Arial"/>
              <w:sz w:val="24"/>
              <w:szCs w:val="24"/>
            </w:rPr>
          </w:pPr>
        </w:p>
        <w:p w:rsidR="006A7F9A" w:rsidRPr="000B791E" w:rsidRDefault="006A7F9A" w:rsidP="006A7F9A">
          <w:pPr>
            <w:jc w:val="center"/>
            <w:rPr>
              <w:rFonts w:ascii="Arial" w:hAnsi="Arial" w:cs="Arial"/>
              <w:sz w:val="24"/>
              <w:szCs w:val="24"/>
            </w:rPr>
          </w:pPr>
        </w:p>
        <w:p w:rsidR="006A7F9A" w:rsidRPr="000B791E" w:rsidRDefault="006A7F9A" w:rsidP="006A7F9A">
          <w:pPr>
            <w:jc w:val="center"/>
            <w:rPr>
              <w:rFonts w:ascii="Arial" w:hAnsi="Arial" w:cs="Arial"/>
              <w:sz w:val="24"/>
              <w:szCs w:val="24"/>
            </w:rPr>
          </w:pPr>
          <w:r w:rsidRPr="000B791E">
            <w:rPr>
              <w:rFonts w:ascii="Arial" w:hAnsi="Arial" w:cs="Arial"/>
              <w:sz w:val="24"/>
              <w:szCs w:val="24"/>
            </w:rPr>
            <w:t>TOLUCA, MÉXICO</w:t>
          </w:r>
          <w:r w:rsidRPr="000B791E">
            <w:rPr>
              <w:rFonts w:ascii="Arial" w:hAnsi="Arial" w:cs="Arial"/>
              <w:sz w:val="24"/>
              <w:szCs w:val="24"/>
            </w:rPr>
            <w:tab/>
          </w:r>
          <w:r w:rsidRPr="000B791E">
            <w:rPr>
              <w:rFonts w:ascii="Arial" w:hAnsi="Arial" w:cs="Arial"/>
              <w:sz w:val="24"/>
              <w:szCs w:val="24"/>
            </w:rPr>
            <w:tab/>
          </w:r>
          <w:r w:rsidRPr="000B791E">
            <w:rPr>
              <w:rFonts w:ascii="Arial" w:hAnsi="Arial" w:cs="Arial"/>
              <w:sz w:val="24"/>
              <w:szCs w:val="24"/>
            </w:rPr>
            <w:tab/>
          </w:r>
          <w:r w:rsidRPr="000B791E">
            <w:rPr>
              <w:rFonts w:ascii="Arial" w:hAnsi="Arial" w:cs="Arial"/>
              <w:sz w:val="24"/>
              <w:szCs w:val="24"/>
            </w:rPr>
            <w:tab/>
          </w:r>
          <w:r w:rsidRPr="000B791E">
            <w:rPr>
              <w:rFonts w:ascii="Arial" w:hAnsi="Arial" w:cs="Arial"/>
              <w:sz w:val="24"/>
              <w:szCs w:val="24"/>
            </w:rPr>
            <w:tab/>
          </w:r>
          <w:r w:rsidRPr="000B791E">
            <w:rPr>
              <w:rFonts w:ascii="Arial" w:hAnsi="Arial" w:cs="Arial"/>
              <w:sz w:val="24"/>
              <w:szCs w:val="24"/>
            </w:rPr>
            <w:tab/>
            <w:t>2019</w:t>
          </w:r>
        </w:p>
        <w:p w:rsidR="006A7F9A" w:rsidRDefault="006A7F9A">
          <w:pPr>
            <w:rPr>
              <w:rFonts w:ascii="Arial" w:hAnsi="Arial" w:cs="Arial"/>
              <w:b/>
              <w:sz w:val="24"/>
              <w:szCs w:val="24"/>
            </w:rPr>
          </w:pPr>
          <w:r>
            <w:rPr>
              <w:rFonts w:ascii="Arial" w:hAnsi="Arial" w:cs="Arial"/>
              <w:b/>
              <w:sz w:val="24"/>
              <w:szCs w:val="24"/>
            </w:rPr>
            <w:br w:type="page"/>
          </w:r>
        </w:p>
        <w:p w:rsidR="006A7F9A" w:rsidRDefault="006A7F9A" w:rsidP="006A7F9A">
          <w:pPr>
            <w:jc w:val="center"/>
            <w:rPr>
              <w:rFonts w:ascii="Arial" w:hAnsi="Arial" w:cs="Arial"/>
              <w:b/>
              <w:sz w:val="24"/>
              <w:szCs w:val="24"/>
            </w:rPr>
          </w:pPr>
        </w:p>
        <w:p w:rsidR="006A7F9A" w:rsidRDefault="000F71DB" w:rsidP="006A7F9A">
          <w:pPr>
            <w:jc w:val="center"/>
            <w:rPr>
              <w:rFonts w:ascii="Arial" w:hAnsi="Arial" w:cs="Arial"/>
              <w:b/>
              <w:sz w:val="24"/>
              <w:szCs w:val="24"/>
            </w:rPr>
          </w:pPr>
        </w:p>
      </w:sdtContent>
    </w:sdt>
    <w:p w:rsidR="00795727" w:rsidRPr="00F43147" w:rsidRDefault="00795727" w:rsidP="00876914">
      <w:pPr>
        <w:jc w:val="center"/>
        <w:rPr>
          <w:rFonts w:ascii="Arial" w:hAnsi="Arial" w:cs="Arial"/>
          <w:b/>
          <w:sz w:val="24"/>
          <w:szCs w:val="24"/>
        </w:rPr>
      </w:pPr>
      <w:r w:rsidRPr="00F43147">
        <w:rPr>
          <w:rFonts w:ascii="Arial" w:hAnsi="Arial" w:cs="Arial"/>
          <w:b/>
          <w:sz w:val="24"/>
          <w:szCs w:val="24"/>
        </w:rPr>
        <w:t>IN</w:t>
      </w:r>
      <w:r>
        <w:rPr>
          <w:rFonts w:ascii="Arial" w:hAnsi="Arial" w:cs="Arial"/>
          <w:b/>
          <w:sz w:val="24"/>
          <w:szCs w:val="24"/>
        </w:rPr>
        <w:t>DICE</w:t>
      </w:r>
    </w:p>
    <w:p w:rsidR="00524A5E" w:rsidRPr="00FC7039" w:rsidRDefault="00524A5E" w:rsidP="00524A5E">
      <w:pPr>
        <w:contextualSpacing/>
        <w:rPr>
          <w:rFonts w:ascii="Arial" w:hAnsi="Arial" w:cs="Arial"/>
          <w:sz w:val="20"/>
          <w:szCs w:val="20"/>
        </w:rPr>
      </w:pPr>
    </w:p>
    <w:tbl>
      <w:tblPr>
        <w:tblStyle w:val="Tablaconcuadrcula"/>
        <w:tblW w:w="91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284"/>
        <w:gridCol w:w="915"/>
      </w:tblGrid>
      <w:tr w:rsidR="00DF2C44" w:rsidRPr="009E61A0" w:rsidTr="00DF2C44">
        <w:trPr>
          <w:trHeight w:val="481"/>
        </w:trPr>
        <w:tc>
          <w:tcPr>
            <w:tcW w:w="7933" w:type="dxa"/>
          </w:tcPr>
          <w:p w:rsidR="00DF2C44" w:rsidRPr="009E61A0" w:rsidRDefault="00DF2C44" w:rsidP="00B83774">
            <w:pPr>
              <w:contextualSpacing/>
              <w:jc w:val="both"/>
              <w:rPr>
                <w:rFonts w:ascii="Arial" w:hAnsi="Arial" w:cs="Arial"/>
                <w:b/>
                <w:bCs/>
                <w:sz w:val="20"/>
                <w:szCs w:val="20"/>
              </w:rPr>
            </w:pPr>
          </w:p>
        </w:tc>
        <w:tc>
          <w:tcPr>
            <w:tcW w:w="1199" w:type="dxa"/>
            <w:gridSpan w:val="2"/>
            <w:vAlign w:val="center"/>
          </w:tcPr>
          <w:p w:rsidR="00DF2C44" w:rsidRPr="00DF2C44" w:rsidRDefault="00DF2C44" w:rsidP="00524A5E">
            <w:pPr>
              <w:contextualSpacing/>
              <w:rPr>
                <w:rFonts w:ascii="Arial" w:hAnsi="Arial" w:cs="Arial"/>
                <w:b/>
                <w:bCs/>
                <w:sz w:val="20"/>
                <w:szCs w:val="20"/>
              </w:rPr>
            </w:pPr>
            <w:r w:rsidRPr="00524A5E">
              <w:rPr>
                <w:rFonts w:ascii="Arial" w:hAnsi="Arial" w:cs="Arial"/>
                <w:b/>
                <w:bCs/>
                <w:sz w:val="20"/>
                <w:szCs w:val="20"/>
              </w:rPr>
              <w:t>P</w:t>
            </w:r>
            <w:r>
              <w:rPr>
                <w:rFonts w:ascii="Arial" w:hAnsi="Arial" w:cs="Arial"/>
                <w:b/>
                <w:bCs/>
                <w:sz w:val="20"/>
                <w:szCs w:val="20"/>
              </w:rPr>
              <w:t>á</w:t>
            </w:r>
            <w:r w:rsidRPr="00524A5E">
              <w:rPr>
                <w:rFonts w:ascii="Arial" w:hAnsi="Arial" w:cs="Arial"/>
                <w:b/>
                <w:bCs/>
                <w:sz w:val="20"/>
                <w:szCs w:val="20"/>
              </w:rPr>
              <w:t>g</w:t>
            </w:r>
            <w:r>
              <w:rPr>
                <w:rFonts w:ascii="Arial" w:hAnsi="Arial" w:cs="Arial"/>
                <w:b/>
                <w:bCs/>
                <w:sz w:val="20"/>
                <w:szCs w:val="20"/>
              </w:rPr>
              <w:t>ina</w:t>
            </w:r>
          </w:p>
        </w:tc>
      </w:tr>
      <w:tr w:rsidR="00DB0ACA" w:rsidRPr="009E61A0" w:rsidTr="00DF2C44">
        <w:tc>
          <w:tcPr>
            <w:tcW w:w="7933" w:type="dxa"/>
          </w:tcPr>
          <w:p w:rsidR="00DB0ACA" w:rsidRPr="009E61A0" w:rsidRDefault="00DB0ACA" w:rsidP="00B83774">
            <w:pPr>
              <w:contextualSpacing/>
              <w:jc w:val="both"/>
              <w:rPr>
                <w:rFonts w:ascii="Arial" w:hAnsi="Arial" w:cs="Arial"/>
                <w:b/>
                <w:bCs/>
                <w:sz w:val="20"/>
                <w:szCs w:val="20"/>
              </w:rPr>
            </w:pPr>
          </w:p>
        </w:tc>
        <w:tc>
          <w:tcPr>
            <w:tcW w:w="284" w:type="dxa"/>
            <w:tcBorders>
              <w:right w:val="single" w:sz="4" w:space="0" w:color="auto"/>
            </w:tcBorders>
          </w:tcPr>
          <w:p w:rsidR="00DB0ACA" w:rsidRPr="009E61A0" w:rsidRDefault="00DB0ACA" w:rsidP="00524A5E">
            <w:pPr>
              <w:contextualSpacing/>
              <w:jc w:val="both"/>
              <w:rPr>
                <w:rFonts w:ascii="Arial" w:hAnsi="Arial" w:cs="Arial"/>
                <w:sz w:val="18"/>
                <w:szCs w:val="18"/>
              </w:rPr>
            </w:pPr>
          </w:p>
        </w:tc>
        <w:tc>
          <w:tcPr>
            <w:tcW w:w="915" w:type="dxa"/>
            <w:tcBorders>
              <w:left w:val="single" w:sz="4" w:space="0" w:color="auto"/>
            </w:tcBorders>
          </w:tcPr>
          <w:p w:rsidR="00DB0ACA" w:rsidRDefault="00DB0ACA" w:rsidP="00524A5E">
            <w:pPr>
              <w:contextualSpacing/>
              <w:jc w:val="both"/>
              <w:rPr>
                <w:rFonts w:ascii="Arial" w:hAnsi="Arial" w:cs="Arial"/>
                <w:sz w:val="18"/>
                <w:szCs w:val="18"/>
              </w:rPr>
            </w:pPr>
          </w:p>
          <w:p w:rsidR="00DB0ACA" w:rsidRDefault="00DB0ACA" w:rsidP="00524A5E">
            <w:pPr>
              <w:contextualSpacing/>
              <w:jc w:val="both"/>
              <w:rPr>
                <w:rFonts w:ascii="Arial" w:hAnsi="Arial" w:cs="Arial"/>
                <w:sz w:val="18"/>
                <w:szCs w:val="18"/>
              </w:rPr>
            </w:pPr>
          </w:p>
        </w:tc>
      </w:tr>
      <w:tr w:rsidR="00DF2C44" w:rsidRPr="009E61A0" w:rsidTr="00DF2C44">
        <w:tc>
          <w:tcPr>
            <w:tcW w:w="7933" w:type="dxa"/>
          </w:tcPr>
          <w:p w:rsidR="00DF2C44" w:rsidRPr="009E61A0" w:rsidRDefault="00DF2C44" w:rsidP="00B83774">
            <w:pPr>
              <w:contextualSpacing/>
              <w:jc w:val="both"/>
              <w:rPr>
                <w:rFonts w:ascii="Arial" w:hAnsi="Arial" w:cs="Arial"/>
                <w:b/>
                <w:bCs/>
                <w:sz w:val="20"/>
                <w:szCs w:val="20"/>
              </w:rPr>
            </w:pPr>
            <w:r w:rsidRPr="009E61A0">
              <w:rPr>
                <w:rFonts w:ascii="Arial" w:hAnsi="Arial" w:cs="Arial"/>
                <w:b/>
                <w:bCs/>
                <w:sz w:val="20"/>
                <w:szCs w:val="20"/>
              </w:rPr>
              <w:t>INTRODUCCIÓN.</w:t>
            </w:r>
          </w:p>
          <w:p w:rsidR="00DF2C44" w:rsidRPr="009E61A0" w:rsidRDefault="00DF2C44" w:rsidP="00B83774">
            <w:pPr>
              <w:contextualSpacing/>
              <w:jc w:val="both"/>
              <w:rPr>
                <w:rFonts w:ascii="Arial" w:hAnsi="Arial" w:cs="Arial"/>
                <w:b/>
                <w:bCs/>
                <w:sz w:val="20"/>
                <w:szCs w:val="20"/>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D7A05" w:rsidP="00524A5E">
            <w:pPr>
              <w:contextualSpacing/>
              <w:jc w:val="both"/>
              <w:rPr>
                <w:rFonts w:ascii="Arial" w:hAnsi="Arial" w:cs="Arial"/>
                <w:sz w:val="18"/>
                <w:szCs w:val="18"/>
              </w:rPr>
            </w:pPr>
            <w:r>
              <w:rPr>
                <w:rFonts w:ascii="Arial" w:hAnsi="Arial" w:cs="Arial"/>
                <w:sz w:val="18"/>
                <w:szCs w:val="18"/>
              </w:rPr>
              <w:t>4</w:t>
            </w:r>
          </w:p>
        </w:tc>
      </w:tr>
      <w:tr w:rsidR="00DF2C44" w:rsidRPr="009E61A0" w:rsidTr="00DF2C44">
        <w:tc>
          <w:tcPr>
            <w:tcW w:w="7933" w:type="dxa"/>
          </w:tcPr>
          <w:p w:rsidR="00DF2C44" w:rsidRPr="009E61A0" w:rsidRDefault="00DF2C44" w:rsidP="00B83774">
            <w:pPr>
              <w:contextualSpacing/>
              <w:jc w:val="both"/>
              <w:rPr>
                <w:rFonts w:ascii="Arial" w:hAnsi="Arial" w:cs="Arial"/>
                <w:b/>
                <w:bCs/>
                <w:sz w:val="20"/>
                <w:szCs w:val="20"/>
              </w:rPr>
            </w:pPr>
            <w:r w:rsidRPr="009E61A0">
              <w:rPr>
                <w:rFonts w:ascii="Arial" w:hAnsi="Arial" w:cs="Arial"/>
                <w:b/>
                <w:bCs/>
                <w:sz w:val="20"/>
                <w:szCs w:val="20"/>
              </w:rPr>
              <w:t>CAPÍTULO 1. CONTEXTO HISTÓRCO DE LA FISCALIZACIÓN.</w:t>
            </w:r>
          </w:p>
          <w:p w:rsidR="00DF2C44" w:rsidRPr="009E61A0" w:rsidRDefault="00DF2C44" w:rsidP="00B83774">
            <w:pPr>
              <w:contextualSpacing/>
              <w:jc w:val="both"/>
              <w:rPr>
                <w:rFonts w:ascii="Arial" w:hAnsi="Arial" w:cs="Arial"/>
                <w:b/>
                <w:bCs/>
                <w:sz w:val="20"/>
                <w:szCs w:val="20"/>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D7A05" w:rsidP="00524A5E">
            <w:pPr>
              <w:contextualSpacing/>
              <w:jc w:val="both"/>
              <w:rPr>
                <w:rFonts w:ascii="Arial" w:hAnsi="Arial" w:cs="Arial"/>
                <w:sz w:val="18"/>
                <w:szCs w:val="18"/>
              </w:rPr>
            </w:pPr>
            <w:r>
              <w:rPr>
                <w:rFonts w:ascii="Arial" w:hAnsi="Arial" w:cs="Arial"/>
                <w:sz w:val="18"/>
                <w:szCs w:val="18"/>
              </w:rPr>
              <w:t>6</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1.1</w:t>
            </w:r>
            <w:r w:rsidRPr="009E61A0">
              <w:rPr>
                <w:rFonts w:ascii="Arial" w:hAnsi="Arial" w:cs="Arial"/>
                <w:sz w:val="18"/>
                <w:szCs w:val="18"/>
              </w:rPr>
              <w:tab/>
              <w:t>El Financiamiento a Partidos Políticos como punto de partida de la Fiscalización Electoral.</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10AC4" w:rsidP="00524A5E">
            <w:pPr>
              <w:contextualSpacing/>
              <w:jc w:val="both"/>
              <w:rPr>
                <w:rFonts w:ascii="Arial" w:hAnsi="Arial" w:cs="Arial"/>
                <w:sz w:val="18"/>
                <w:szCs w:val="18"/>
              </w:rPr>
            </w:pPr>
            <w:r>
              <w:rPr>
                <w:rFonts w:ascii="Arial" w:hAnsi="Arial" w:cs="Arial"/>
                <w:sz w:val="18"/>
                <w:szCs w:val="18"/>
              </w:rPr>
              <w:t>8</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1.1.1</w:t>
            </w:r>
            <w:r w:rsidRPr="009E61A0">
              <w:rPr>
                <w:rFonts w:ascii="Arial" w:hAnsi="Arial" w:cs="Arial"/>
                <w:sz w:val="18"/>
                <w:szCs w:val="18"/>
              </w:rPr>
              <w:tab/>
              <w:t>Características Formales de los Sistemas de Financiamiento de los Partidos Políticos y Campañas Electorales.</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133929" w:rsidP="00524A5E">
            <w:pPr>
              <w:contextualSpacing/>
              <w:jc w:val="both"/>
              <w:rPr>
                <w:rFonts w:ascii="Arial" w:hAnsi="Arial" w:cs="Arial"/>
                <w:sz w:val="18"/>
                <w:szCs w:val="18"/>
              </w:rPr>
            </w:pPr>
            <w:r>
              <w:rPr>
                <w:rFonts w:ascii="Arial" w:hAnsi="Arial" w:cs="Arial"/>
                <w:sz w:val="18"/>
                <w:szCs w:val="18"/>
              </w:rPr>
              <w:t>1</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1.2</w:t>
            </w:r>
            <w:r w:rsidRPr="009E61A0">
              <w:rPr>
                <w:rFonts w:ascii="Arial" w:hAnsi="Arial" w:cs="Arial"/>
                <w:sz w:val="18"/>
                <w:szCs w:val="18"/>
              </w:rPr>
              <w:tab/>
              <w:t>Régimen de Financiamiento en México.</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1.2.1</w:t>
            </w:r>
            <w:r w:rsidRPr="009E61A0">
              <w:rPr>
                <w:rFonts w:ascii="Arial" w:hAnsi="Arial" w:cs="Arial"/>
                <w:sz w:val="18"/>
                <w:szCs w:val="18"/>
              </w:rPr>
              <w:tab/>
              <w:t>Financiamiento en la Reforma de 2007 – 2008. Disminución del financiamiento público y la regulación de campañas.</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1.2.2</w:t>
            </w:r>
            <w:r w:rsidRPr="009E61A0">
              <w:rPr>
                <w:rFonts w:ascii="Arial" w:hAnsi="Arial" w:cs="Arial"/>
                <w:sz w:val="18"/>
                <w:szCs w:val="18"/>
              </w:rPr>
              <w:tab/>
              <w:t>Financiamiento en Reforma 2014. El nuevo marco institucional y legal del financiamiento en los ámbitos nacional y local.</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1.3</w:t>
            </w:r>
            <w:r w:rsidRPr="009E61A0">
              <w:rPr>
                <w:rFonts w:ascii="Arial" w:hAnsi="Arial" w:cs="Arial"/>
                <w:sz w:val="18"/>
                <w:szCs w:val="18"/>
              </w:rPr>
              <w:tab/>
              <w:t>Teoría de la Fiscalización.</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2</w:t>
            </w:r>
            <w:r w:rsidR="00F10AC4">
              <w:rPr>
                <w:rFonts w:ascii="Arial" w:hAnsi="Arial" w:cs="Arial"/>
                <w:sz w:val="18"/>
                <w:szCs w:val="18"/>
              </w:rPr>
              <w:t>1</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1.3.1</w:t>
            </w:r>
            <w:r w:rsidRPr="009E61A0">
              <w:rPr>
                <w:rFonts w:ascii="Arial" w:hAnsi="Arial" w:cs="Arial"/>
                <w:sz w:val="18"/>
                <w:szCs w:val="18"/>
              </w:rPr>
              <w:tab/>
              <w:t>Fiscalización en el ámbito electoral a nivel mundial.</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2</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1.3.2</w:t>
            </w:r>
            <w:r w:rsidRPr="009E61A0">
              <w:rPr>
                <w:rFonts w:ascii="Arial" w:hAnsi="Arial" w:cs="Arial"/>
                <w:sz w:val="18"/>
                <w:szCs w:val="18"/>
              </w:rPr>
              <w:tab/>
              <w:t>Órganos encargados de la fiscalización.</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2</w:t>
            </w:r>
            <w:r w:rsidR="00F10AC4">
              <w:rPr>
                <w:rFonts w:ascii="Arial" w:hAnsi="Arial" w:cs="Arial"/>
                <w:sz w:val="18"/>
                <w:szCs w:val="18"/>
              </w:rPr>
              <w:t>6</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1.4</w:t>
            </w:r>
            <w:r w:rsidRPr="009E61A0">
              <w:rPr>
                <w:rFonts w:ascii="Arial" w:hAnsi="Arial" w:cs="Arial"/>
                <w:sz w:val="18"/>
                <w:szCs w:val="18"/>
              </w:rPr>
              <w:tab/>
              <w:t>Evolución de la fiscalización en México.</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2</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1.4.1. Los albores de la fiscalización electoral 1987 – 1993.</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10AC4" w:rsidP="00524A5E">
            <w:pPr>
              <w:contextualSpacing/>
              <w:jc w:val="both"/>
              <w:rPr>
                <w:rFonts w:ascii="Arial" w:hAnsi="Arial" w:cs="Arial"/>
                <w:sz w:val="18"/>
                <w:szCs w:val="18"/>
              </w:rPr>
            </w:pPr>
            <w:r>
              <w:rPr>
                <w:rFonts w:ascii="Arial" w:hAnsi="Arial" w:cs="Arial"/>
                <w:sz w:val="18"/>
                <w:szCs w:val="18"/>
              </w:rPr>
              <w:t>29</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1.4.2 La segunda generación de reformas en materia de fiscalización 1996 – 2007.</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3</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1.4.3 La consolidación de la fiscalización electoral, 2014 – actualidad.</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3</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1.5</w:t>
            </w:r>
            <w:r w:rsidRPr="009E61A0">
              <w:rPr>
                <w:rFonts w:ascii="Arial" w:hAnsi="Arial" w:cs="Arial"/>
                <w:sz w:val="18"/>
                <w:szCs w:val="18"/>
              </w:rPr>
              <w:tab/>
              <w:t>Fiscalización en el Estado de México.</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3</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1.6</w:t>
            </w:r>
            <w:r w:rsidRPr="009E61A0">
              <w:rPr>
                <w:rFonts w:ascii="Arial" w:hAnsi="Arial" w:cs="Arial"/>
                <w:sz w:val="18"/>
                <w:szCs w:val="18"/>
              </w:rPr>
              <w:tab/>
              <w:t>Problema de Investigación.</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133929" w:rsidP="00524A5E">
            <w:pPr>
              <w:contextualSpacing/>
              <w:jc w:val="both"/>
              <w:rPr>
                <w:rFonts w:ascii="Arial" w:hAnsi="Arial" w:cs="Arial"/>
                <w:sz w:val="18"/>
                <w:szCs w:val="18"/>
              </w:rPr>
            </w:pPr>
            <w:r>
              <w:rPr>
                <w:rFonts w:ascii="Arial" w:hAnsi="Arial" w:cs="Arial"/>
                <w:sz w:val="18"/>
                <w:szCs w:val="18"/>
              </w:rPr>
              <w:t>4</w:t>
            </w:r>
            <w:r w:rsidR="00F10AC4">
              <w:rPr>
                <w:rFonts w:ascii="Arial" w:hAnsi="Arial" w:cs="Arial"/>
                <w:sz w:val="18"/>
                <w:szCs w:val="18"/>
              </w:rPr>
              <w:t>0</w:t>
            </w:r>
          </w:p>
        </w:tc>
      </w:tr>
      <w:tr w:rsidR="00DF2C44" w:rsidRPr="009E61A0" w:rsidTr="00DF2C44">
        <w:tc>
          <w:tcPr>
            <w:tcW w:w="7933" w:type="dxa"/>
          </w:tcPr>
          <w:p w:rsidR="00DF2C44" w:rsidRDefault="00DF2C44" w:rsidP="00B83774">
            <w:pPr>
              <w:ind w:left="22"/>
              <w:contextualSpacing/>
              <w:jc w:val="both"/>
              <w:rPr>
                <w:rFonts w:ascii="Arial" w:hAnsi="Arial" w:cs="Arial"/>
                <w:sz w:val="18"/>
                <w:szCs w:val="18"/>
              </w:rPr>
            </w:pPr>
            <w:r w:rsidRPr="009E61A0">
              <w:rPr>
                <w:rFonts w:ascii="Arial" w:hAnsi="Arial" w:cs="Arial"/>
                <w:sz w:val="18"/>
                <w:szCs w:val="18"/>
              </w:rPr>
              <w:t>Bibliografía.</w:t>
            </w:r>
          </w:p>
          <w:p w:rsidR="00DF2C44" w:rsidRPr="009E61A0" w:rsidRDefault="00DF2C44" w:rsidP="00B83774">
            <w:pPr>
              <w:ind w:left="22"/>
              <w:contextualSpacing/>
              <w:jc w:val="both"/>
              <w:rPr>
                <w:rFonts w:ascii="Arial" w:hAnsi="Arial" w:cs="Arial"/>
                <w:sz w:val="18"/>
                <w:szCs w:val="18"/>
              </w:rPr>
            </w:pP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4</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contextualSpacing/>
              <w:jc w:val="both"/>
              <w:rPr>
                <w:rFonts w:ascii="Arial" w:hAnsi="Arial" w:cs="Arial"/>
                <w:b/>
                <w:bCs/>
                <w:sz w:val="20"/>
                <w:szCs w:val="20"/>
              </w:rPr>
            </w:pPr>
            <w:r w:rsidRPr="009E61A0">
              <w:rPr>
                <w:rFonts w:ascii="Arial" w:hAnsi="Arial" w:cs="Arial"/>
                <w:b/>
                <w:bCs/>
                <w:sz w:val="20"/>
                <w:szCs w:val="20"/>
              </w:rPr>
              <w:t>CAPÍTULO 2. PROCESOS DE FISCALIZACIÓN ELECTORAL.</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4</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2.1 Proceso de fiscalización del Instituto Electoral del Estado de México.</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4</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2.1.1 Proceso de fiscalización de precampaña.</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4</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2.1.2 Proceso de fiscalización de campaña.</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5</w:t>
            </w:r>
            <w:r w:rsidR="00F10AC4">
              <w:rPr>
                <w:rFonts w:ascii="Arial" w:hAnsi="Arial" w:cs="Arial"/>
                <w:sz w:val="18"/>
                <w:szCs w:val="18"/>
              </w:rPr>
              <w:t>1</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2.2. Proceso de fiscalización del Instituto Nacional Electoral.</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5</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2.2.1 Cronogramas de fiscalización.</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10AC4" w:rsidP="00524A5E">
            <w:pPr>
              <w:contextualSpacing/>
              <w:jc w:val="both"/>
              <w:rPr>
                <w:rFonts w:ascii="Arial" w:hAnsi="Arial" w:cs="Arial"/>
                <w:sz w:val="18"/>
                <w:szCs w:val="18"/>
              </w:rPr>
            </w:pPr>
            <w:r>
              <w:rPr>
                <w:rFonts w:ascii="Arial" w:hAnsi="Arial" w:cs="Arial"/>
                <w:sz w:val="18"/>
                <w:szCs w:val="18"/>
              </w:rPr>
              <w:t>59</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Bibliografía.</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6</w:t>
            </w:r>
            <w:r w:rsidR="00F10AC4">
              <w:rPr>
                <w:rFonts w:ascii="Arial" w:hAnsi="Arial" w:cs="Arial"/>
                <w:sz w:val="18"/>
                <w:szCs w:val="18"/>
              </w:rPr>
              <w:t>3</w:t>
            </w:r>
          </w:p>
        </w:tc>
      </w:tr>
      <w:tr w:rsidR="00DF2C44" w:rsidRPr="009E61A0" w:rsidTr="00DF2C44">
        <w:tc>
          <w:tcPr>
            <w:tcW w:w="7933" w:type="dxa"/>
          </w:tcPr>
          <w:p w:rsidR="00DF2C44" w:rsidRPr="009E61A0" w:rsidRDefault="00DF2C44" w:rsidP="00B83774">
            <w:pPr>
              <w:contextualSpacing/>
              <w:jc w:val="both"/>
              <w:rPr>
                <w:rFonts w:ascii="Arial" w:hAnsi="Arial" w:cs="Arial"/>
                <w:b/>
                <w:bCs/>
                <w:sz w:val="20"/>
                <w:szCs w:val="20"/>
              </w:rPr>
            </w:pPr>
          </w:p>
          <w:p w:rsidR="00DF2C44" w:rsidRPr="009E61A0" w:rsidRDefault="00DF2C44" w:rsidP="00B83774">
            <w:pPr>
              <w:contextualSpacing/>
              <w:jc w:val="both"/>
              <w:rPr>
                <w:rFonts w:ascii="Arial" w:hAnsi="Arial" w:cs="Arial"/>
                <w:b/>
                <w:bCs/>
                <w:sz w:val="20"/>
                <w:szCs w:val="20"/>
              </w:rPr>
            </w:pPr>
            <w:r w:rsidRPr="009E61A0">
              <w:rPr>
                <w:rFonts w:ascii="Arial" w:hAnsi="Arial" w:cs="Arial"/>
                <w:b/>
                <w:bCs/>
                <w:sz w:val="20"/>
                <w:szCs w:val="20"/>
              </w:rPr>
              <w:t>CAPÍTULO 3. METODOLOGÍA.</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6</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3.1 Antecedentes.</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6</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3.2 Diseño de la Investigación.</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6</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3.3. Recolección de datos.</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7</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3.4 Sistematización de datos.</w:t>
            </w:r>
            <w:r w:rsidRPr="009E61A0">
              <w:rPr>
                <w:rFonts w:ascii="Arial" w:hAnsi="Arial" w:cs="Arial"/>
                <w:sz w:val="18"/>
                <w:szCs w:val="18"/>
              </w:rPr>
              <w:tab/>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7</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left="22"/>
              <w:contextualSpacing/>
              <w:jc w:val="both"/>
              <w:rPr>
                <w:rFonts w:ascii="Arial" w:hAnsi="Arial" w:cs="Arial"/>
                <w:sz w:val="18"/>
                <w:szCs w:val="18"/>
              </w:rPr>
            </w:pPr>
            <w:r w:rsidRPr="009E61A0">
              <w:rPr>
                <w:rFonts w:ascii="Arial" w:hAnsi="Arial" w:cs="Arial"/>
                <w:sz w:val="18"/>
                <w:szCs w:val="18"/>
              </w:rPr>
              <w:t>Bibliografía.</w:t>
            </w:r>
          </w:p>
          <w:p w:rsidR="00DF2C44" w:rsidRDefault="00DF2C44" w:rsidP="00B83774">
            <w:pPr>
              <w:contextualSpacing/>
              <w:jc w:val="both"/>
              <w:rPr>
                <w:rFonts w:ascii="Arial" w:hAnsi="Arial" w:cs="Arial"/>
                <w:sz w:val="18"/>
                <w:szCs w:val="18"/>
              </w:rPr>
            </w:pP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7</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contextualSpacing/>
              <w:jc w:val="both"/>
              <w:rPr>
                <w:rFonts w:ascii="Arial" w:hAnsi="Arial" w:cs="Arial"/>
                <w:b/>
                <w:bCs/>
                <w:sz w:val="20"/>
                <w:szCs w:val="20"/>
              </w:rPr>
            </w:pPr>
            <w:r w:rsidRPr="009E61A0">
              <w:rPr>
                <w:rFonts w:ascii="Arial" w:hAnsi="Arial" w:cs="Arial"/>
                <w:b/>
                <w:bCs/>
                <w:sz w:val="20"/>
                <w:szCs w:val="20"/>
              </w:rPr>
              <w:t>CAPÍTULO 4. HALLAZGOS DE INVESTIGACIÓN.</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7</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4.1 La Unidad Técnica de Fiscalización del Instituto Electoral del Estado de México.</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10AC4" w:rsidP="00524A5E">
            <w:pPr>
              <w:contextualSpacing/>
              <w:jc w:val="both"/>
              <w:rPr>
                <w:rFonts w:ascii="Arial" w:hAnsi="Arial" w:cs="Arial"/>
                <w:sz w:val="18"/>
                <w:szCs w:val="18"/>
              </w:rPr>
            </w:pPr>
            <w:r>
              <w:rPr>
                <w:rFonts w:ascii="Arial" w:hAnsi="Arial" w:cs="Arial"/>
                <w:sz w:val="18"/>
                <w:szCs w:val="18"/>
              </w:rPr>
              <w:t>79</w:t>
            </w:r>
          </w:p>
        </w:tc>
      </w:tr>
      <w:tr w:rsidR="00DF2C44" w:rsidRPr="009E61A0" w:rsidTr="00DF2C44">
        <w:tc>
          <w:tcPr>
            <w:tcW w:w="7933" w:type="dxa"/>
          </w:tcPr>
          <w:p w:rsidR="00DF2C44" w:rsidRPr="009E61A0" w:rsidRDefault="00DF2C44" w:rsidP="00B83774">
            <w:pPr>
              <w:ind w:firstLine="873"/>
              <w:contextualSpacing/>
              <w:jc w:val="both"/>
              <w:rPr>
                <w:rFonts w:ascii="Arial" w:hAnsi="Arial" w:cs="Arial"/>
                <w:sz w:val="18"/>
                <w:szCs w:val="18"/>
              </w:rPr>
            </w:pPr>
            <w:r w:rsidRPr="009E61A0">
              <w:rPr>
                <w:rFonts w:ascii="Arial" w:hAnsi="Arial" w:cs="Arial"/>
                <w:sz w:val="18"/>
                <w:szCs w:val="18"/>
              </w:rPr>
              <w:t>4.1.1. Proceso Electoral Ayuntamientos y Diputados Locales 2009.</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firstLine="1440"/>
              <w:contextualSpacing/>
              <w:jc w:val="both"/>
              <w:rPr>
                <w:rFonts w:ascii="Arial" w:hAnsi="Arial" w:cs="Arial"/>
                <w:sz w:val="18"/>
                <w:szCs w:val="18"/>
              </w:rPr>
            </w:pPr>
            <w:r w:rsidRPr="009E61A0">
              <w:rPr>
                <w:rFonts w:ascii="Arial" w:hAnsi="Arial" w:cs="Arial"/>
                <w:sz w:val="18"/>
                <w:szCs w:val="18"/>
              </w:rPr>
              <w:t>4.1.1.1 Precampaña.</w:t>
            </w:r>
          </w:p>
          <w:p w:rsidR="00DF2C44" w:rsidRPr="009E61A0" w:rsidRDefault="00DF2C44" w:rsidP="00B83774">
            <w:pPr>
              <w:ind w:firstLine="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firstLine="1440"/>
              <w:contextualSpacing/>
              <w:jc w:val="both"/>
              <w:rPr>
                <w:rFonts w:ascii="Arial" w:hAnsi="Arial" w:cs="Arial"/>
                <w:sz w:val="18"/>
                <w:szCs w:val="18"/>
              </w:rPr>
            </w:pPr>
            <w:r w:rsidRPr="009E61A0">
              <w:rPr>
                <w:rFonts w:ascii="Arial" w:hAnsi="Arial" w:cs="Arial"/>
                <w:sz w:val="18"/>
                <w:szCs w:val="18"/>
              </w:rPr>
              <w:t>4.1.1.2 Revisión precautoria.</w:t>
            </w:r>
          </w:p>
          <w:p w:rsidR="00DF2C44" w:rsidRPr="009E61A0" w:rsidRDefault="00DF2C44" w:rsidP="00B83774">
            <w:pPr>
              <w:ind w:firstLine="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1</w:t>
            </w:r>
          </w:p>
        </w:tc>
      </w:tr>
      <w:tr w:rsidR="00DF2C44" w:rsidRPr="009E61A0" w:rsidTr="00DF2C44">
        <w:tc>
          <w:tcPr>
            <w:tcW w:w="7933" w:type="dxa"/>
          </w:tcPr>
          <w:p w:rsidR="00DF2C44" w:rsidRPr="009E61A0" w:rsidRDefault="00DF2C44" w:rsidP="00B83774">
            <w:pPr>
              <w:ind w:firstLine="1440"/>
              <w:contextualSpacing/>
              <w:jc w:val="both"/>
              <w:rPr>
                <w:rFonts w:ascii="Arial" w:hAnsi="Arial" w:cs="Arial"/>
                <w:sz w:val="18"/>
                <w:szCs w:val="18"/>
              </w:rPr>
            </w:pPr>
            <w:r w:rsidRPr="009E61A0">
              <w:rPr>
                <w:rFonts w:ascii="Arial" w:hAnsi="Arial" w:cs="Arial"/>
                <w:sz w:val="18"/>
                <w:szCs w:val="18"/>
              </w:rPr>
              <w:t>4.1.1.3 Revisión de campaña.</w:t>
            </w:r>
          </w:p>
          <w:p w:rsidR="00DF2C44" w:rsidRPr="009E61A0" w:rsidRDefault="00DF2C44" w:rsidP="00B83774">
            <w:pPr>
              <w:ind w:firstLine="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3</w:t>
            </w:r>
          </w:p>
        </w:tc>
      </w:tr>
      <w:tr w:rsidR="00DF2C44" w:rsidRPr="009E61A0" w:rsidTr="00DF2C44">
        <w:tc>
          <w:tcPr>
            <w:tcW w:w="7933" w:type="dxa"/>
          </w:tcPr>
          <w:p w:rsidR="00DF2C44" w:rsidRPr="009E61A0" w:rsidRDefault="00DF2C44" w:rsidP="00B83774">
            <w:pPr>
              <w:ind w:firstLine="873"/>
              <w:contextualSpacing/>
              <w:jc w:val="both"/>
              <w:rPr>
                <w:rFonts w:ascii="Arial" w:hAnsi="Arial" w:cs="Arial"/>
                <w:sz w:val="18"/>
                <w:szCs w:val="18"/>
              </w:rPr>
            </w:pPr>
            <w:r w:rsidRPr="009E61A0">
              <w:rPr>
                <w:rFonts w:ascii="Arial" w:hAnsi="Arial" w:cs="Arial"/>
                <w:sz w:val="18"/>
                <w:szCs w:val="18"/>
              </w:rPr>
              <w:t>4.1.2 Elección de Gobernador 2011.</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ind w:left="1440"/>
              <w:contextualSpacing/>
              <w:jc w:val="both"/>
              <w:rPr>
                <w:rFonts w:ascii="Arial" w:hAnsi="Arial" w:cs="Arial"/>
                <w:sz w:val="18"/>
                <w:szCs w:val="18"/>
              </w:rPr>
            </w:pPr>
            <w:r w:rsidRPr="009E61A0">
              <w:rPr>
                <w:rFonts w:ascii="Arial" w:hAnsi="Arial" w:cs="Arial"/>
                <w:sz w:val="18"/>
                <w:szCs w:val="18"/>
              </w:rPr>
              <w:t>4.2.1.1 Precampaña.</w:t>
            </w:r>
          </w:p>
          <w:p w:rsidR="00DF2C44" w:rsidRPr="009E61A0" w:rsidRDefault="00DF2C44" w:rsidP="00B83774">
            <w:pPr>
              <w:ind w:left="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8</w:t>
            </w:r>
            <w:r w:rsidR="00F10AC4">
              <w:rPr>
                <w:rFonts w:ascii="Arial" w:hAnsi="Arial" w:cs="Arial"/>
                <w:sz w:val="18"/>
                <w:szCs w:val="18"/>
              </w:rPr>
              <w:t>7</w:t>
            </w:r>
          </w:p>
        </w:tc>
      </w:tr>
      <w:tr w:rsidR="00DF2C44" w:rsidRPr="009E61A0" w:rsidTr="00DF2C44">
        <w:tc>
          <w:tcPr>
            <w:tcW w:w="7933" w:type="dxa"/>
          </w:tcPr>
          <w:p w:rsidR="00DF2C44" w:rsidRPr="009E61A0" w:rsidRDefault="00DF2C44" w:rsidP="00B83774">
            <w:pPr>
              <w:ind w:left="1440"/>
              <w:contextualSpacing/>
              <w:jc w:val="both"/>
              <w:rPr>
                <w:rFonts w:ascii="Arial" w:hAnsi="Arial" w:cs="Arial"/>
                <w:sz w:val="18"/>
                <w:szCs w:val="18"/>
              </w:rPr>
            </w:pPr>
            <w:r w:rsidRPr="009E61A0">
              <w:rPr>
                <w:rFonts w:ascii="Arial" w:hAnsi="Arial" w:cs="Arial"/>
                <w:sz w:val="18"/>
                <w:szCs w:val="18"/>
              </w:rPr>
              <w:t>4.2.1.2 Campaña Gobernador.</w:t>
            </w:r>
          </w:p>
          <w:p w:rsidR="00DF2C44" w:rsidRPr="009E61A0" w:rsidRDefault="00DF2C44" w:rsidP="00B83774">
            <w:pPr>
              <w:ind w:left="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F10AC4" w:rsidP="00524A5E">
            <w:pPr>
              <w:contextualSpacing/>
              <w:jc w:val="both"/>
              <w:rPr>
                <w:rFonts w:ascii="Arial" w:hAnsi="Arial" w:cs="Arial"/>
                <w:sz w:val="18"/>
                <w:szCs w:val="18"/>
              </w:rPr>
            </w:pPr>
            <w:r>
              <w:rPr>
                <w:rFonts w:ascii="Arial" w:hAnsi="Arial" w:cs="Arial"/>
                <w:sz w:val="18"/>
                <w:szCs w:val="18"/>
              </w:rPr>
              <w:t>89</w:t>
            </w:r>
            <w:r w:rsidR="00DF2C44" w:rsidRPr="009E61A0">
              <w:rPr>
                <w:rFonts w:ascii="Arial" w:hAnsi="Arial" w:cs="Arial"/>
                <w:sz w:val="18"/>
                <w:szCs w:val="18"/>
              </w:rPr>
              <w:br/>
            </w:r>
          </w:p>
        </w:tc>
      </w:tr>
      <w:tr w:rsidR="00DF2C44" w:rsidRPr="009E61A0" w:rsidTr="00DF2C44">
        <w:tc>
          <w:tcPr>
            <w:tcW w:w="7933" w:type="dxa"/>
          </w:tcPr>
          <w:p w:rsidR="00DF2C44" w:rsidRPr="009E61A0" w:rsidRDefault="00DF2C44" w:rsidP="00B83774">
            <w:pPr>
              <w:ind w:left="873"/>
              <w:contextualSpacing/>
              <w:jc w:val="both"/>
              <w:rPr>
                <w:rFonts w:ascii="Arial" w:hAnsi="Arial" w:cs="Arial"/>
                <w:sz w:val="18"/>
                <w:szCs w:val="18"/>
              </w:rPr>
            </w:pPr>
            <w:r w:rsidRPr="009E61A0">
              <w:rPr>
                <w:rFonts w:ascii="Arial" w:hAnsi="Arial" w:cs="Arial"/>
                <w:sz w:val="18"/>
                <w:szCs w:val="18"/>
              </w:rPr>
              <w:t>4.1.3 Proceso Electoral Diputados Locales y Ayuntamientos 2012.</w:t>
            </w:r>
          </w:p>
          <w:p w:rsidR="00DF2C44" w:rsidRPr="009E61A0" w:rsidRDefault="00DF2C44" w:rsidP="00B83774">
            <w:pPr>
              <w:ind w:left="873"/>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440"/>
              <w:contextualSpacing/>
              <w:jc w:val="both"/>
              <w:rPr>
                <w:rFonts w:ascii="Arial" w:hAnsi="Arial" w:cs="Arial"/>
                <w:sz w:val="18"/>
                <w:szCs w:val="18"/>
              </w:rPr>
            </w:pPr>
            <w:r w:rsidRPr="009E61A0">
              <w:rPr>
                <w:rFonts w:ascii="Arial" w:hAnsi="Arial" w:cs="Arial"/>
                <w:sz w:val="18"/>
                <w:szCs w:val="18"/>
              </w:rPr>
              <w:t>4.1.3.1 Precampaña.</w:t>
            </w:r>
          </w:p>
          <w:p w:rsidR="00DF2C44" w:rsidRPr="009E61A0" w:rsidRDefault="00DF2C44" w:rsidP="00B83774">
            <w:pPr>
              <w:ind w:left="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4D2E9B" w:rsidP="00524A5E">
            <w:pPr>
              <w:contextualSpacing/>
              <w:jc w:val="both"/>
              <w:rPr>
                <w:rFonts w:ascii="Arial" w:hAnsi="Arial" w:cs="Arial"/>
                <w:sz w:val="18"/>
                <w:szCs w:val="18"/>
              </w:rPr>
            </w:pPr>
            <w:r>
              <w:rPr>
                <w:rFonts w:ascii="Arial" w:hAnsi="Arial" w:cs="Arial"/>
                <w:sz w:val="18"/>
                <w:szCs w:val="18"/>
              </w:rPr>
              <w:t>9</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440"/>
              <w:contextualSpacing/>
              <w:jc w:val="both"/>
              <w:rPr>
                <w:rFonts w:ascii="Arial" w:hAnsi="Arial" w:cs="Arial"/>
                <w:sz w:val="18"/>
                <w:szCs w:val="18"/>
              </w:rPr>
            </w:pPr>
            <w:r w:rsidRPr="009E61A0">
              <w:rPr>
                <w:rFonts w:ascii="Arial" w:hAnsi="Arial" w:cs="Arial"/>
                <w:sz w:val="18"/>
                <w:szCs w:val="18"/>
              </w:rPr>
              <w:t>4.1.3.2 Campaña.</w:t>
            </w:r>
          </w:p>
          <w:p w:rsidR="00DF2C44" w:rsidRPr="009E61A0" w:rsidRDefault="00DF2C44" w:rsidP="00B83774">
            <w:pPr>
              <w:ind w:left="1440"/>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4.2 Fiscalización de procesos electorales por la Unidad Técnica de Fiscalización del Instituto Nacional Electoral.</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ind w:left="1440" w:hanging="567"/>
              <w:contextualSpacing/>
              <w:jc w:val="both"/>
              <w:rPr>
                <w:rFonts w:ascii="Arial" w:hAnsi="Arial" w:cs="Arial"/>
                <w:sz w:val="18"/>
                <w:szCs w:val="18"/>
              </w:rPr>
            </w:pPr>
            <w:r w:rsidRPr="009E61A0">
              <w:rPr>
                <w:rFonts w:ascii="Arial" w:hAnsi="Arial" w:cs="Arial"/>
                <w:sz w:val="18"/>
                <w:szCs w:val="18"/>
              </w:rPr>
              <w:t>4.2.1 Proceso electoral renovación de Ayuntamientos y Diputados Locales 2015.</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ind w:left="2007" w:hanging="567"/>
              <w:contextualSpacing/>
              <w:jc w:val="both"/>
              <w:rPr>
                <w:rFonts w:ascii="Arial" w:hAnsi="Arial" w:cs="Arial"/>
                <w:sz w:val="18"/>
                <w:szCs w:val="18"/>
              </w:rPr>
            </w:pPr>
            <w:r w:rsidRPr="009E61A0">
              <w:rPr>
                <w:rFonts w:ascii="Arial" w:hAnsi="Arial" w:cs="Arial"/>
                <w:sz w:val="18"/>
                <w:szCs w:val="18"/>
              </w:rPr>
              <w:t>4.2.1.1 Precampaña.</w:t>
            </w:r>
          </w:p>
          <w:p w:rsidR="00DF2C44" w:rsidRPr="009E61A0" w:rsidRDefault="00DF2C44" w:rsidP="00B83774">
            <w:pPr>
              <w:ind w:left="2007"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5</w:t>
            </w:r>
          </w:p>
          <w:p w:rsidR="00DF2C44" w:rsidRPr="009E61A0" w:rsidRDefault="00DF2C44" w:rsidP="00524A5E">
            <w:pPr>
              <w:contextualSpacing/>
              <w:jc w:val="both"/>
              <w:rPr>
                <w:rFonts w:ascii="Arial" w:hAnsi="Arial" w:cs="Arial"/>
                <w:sz w:val="18"/>
                <w:szCs w:val="18"/>
              </w:rPr>
            </w:pPr>
          </w:p>
        </w:tc>
      </w:tr>
      <w:tr w:rsidR="00DF2C44" w:rsidRPr="009E61A0" w:rsidTr="00DF2C44">
        <w:tc>
          <w:tcPr>
            <w:tcW w:w="7933" w:type="dxa"/>
          </w:tcPr>
          <w:p w:rsidR="00DF2C44" w:rsidRPr="009E61A0" w:rsidRDefault="00DF2C44" w:rsidP="00B83774">
            <w:pPr>
              <w:ind w:left="2007" w:hanging="567"/>
              <w:contextualSpacing/>
              <w:jc w:val="both"/>
              <w:rPr>
                <w:rFonts w:ascii="Arial" w:hAnsi="Arial" w:cs="Arial"/>
                <w:sz w:val="18"/>
                <w:szCs w:val="18"/>
              </w:rPr>
            </w:pPr>
            <w:r w:rsidRPr="009E61A0">
              <w:rPr>
                <w:rFonts w:ascii="Arial" w:hAnsi="Arial" w:cs="Arial"/>
                <w:sz w:val="18"/>
                <w:szCs w:val="18"/>
              </w:rPr>
              <w:t>4.2.1.2 Campaña.</w:t>
            </w:r>
          </w:p>
          <w:p w:rsidR="00DF2C44" w:rsidRPr="009E61A0" w:rsidRDefault="00DF2C44" w:rsidP="00B83774">
            <w:pPr>
              <w:ind w:left="2007"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9</w:t>
            </w:r>
            <w:r w:rsidR="00F10AC4">
              <w:rPr>
                <w:rFonts w:ascii="Arial" w:hAnsi="Arial" w:cs="Arial"/>
                <w:sz w:val="18"/>
                <w:szCs w:val="18"/>
              </w:rPr>
              <w:t>8</w:t>
            </w:r>
          </w:p>
        </w:tc>
      </w:tr>
      <w:tr w:rsidR="00DF2C44" w:rsidRPr="009E61A0" w:rsidTr="00DF2C44">
        <w:tc>
          <w:tcPr>
            <w:tcW w:w="7933" w:type="dxa"/>
          </w:tcPr>
          <w:p w:rsidR="00DF2C44" w:rsidRPr="009E61A0" w:rsidRDefault="00DF2C44" w:rsidP="00B83774">
            <w:pPr>
              <w:ind w:left="1440" w:hanging="567"/>
              <w:contextualSpacing/>
              <w:jc w:val="both"/>
              <w:rPr>
                <w:rFonts w:ascii="Arial" w:hAnsi="Arial" w:cs="Arial"/>
                <w:sz w:val="18"/>
                <w:szCs w:val="18"/>
              </w:rPr>
            </w:pPr>
            <w:r w:rsidRPr="009E61A0">
              <w:rPr>
                <w:rFonts w:ascii="Arial" w:hAnsi="Arial" w:cs="Arial"/>
                <w:sz w:val="18"/>
                <w:szCs w:val="18"/>
              </w:rPr>
              <w:t xml:space="preserve">4.2.2 Fiscalización del proceso electoral </w:t>
            </w:r>
            <w:r w:rsidR="00133929">
              <w:rPr>
                <w:rFonts w:ascii="Arial" w:hAnsi="Arial" w:cs="Arial"/>
                <w:sz w:val="18"/>
                <w:szCs w:val="18"/>
              </w:rPr>
              <w:t>l</w:t>
            </w:r>
            <w:r w:rsidRPr="009E61A0">
              <w:rPr>
                <w:rFonts w:ascii="Arial" w:hAnsi="Arial" w:cs="Arial"/>
                <w:sz w:val="18"/>
                <w:szCs w:val="18"/>
              </w:rPr>
              <w:t xml:space="preserve">ocal </w:t>
            </w:r>
            <w:r w:rsidR="00133929">
              <w:rPr>
                <w:rFonts w:ascii="Arial" w:hAnsi="Arial" w:cs="Arial"/>
                <w:sz w:val="18"/>
                <w:szCs w:val="18"/>
              </w:rPr>
              <w:t>e</w:t>
            </w:r>
            <w:r w:rsidRPr="009E61A0">
              <w:rPr>
                <w:rFonts w:ascii="Arial" w:hAnsi="Arial" w:cs="Arial"/>
                <w:sz w:val="18"/>
                <w:szCs w:val="18"/>
              </w:rPr>
              <w:t>xtraordinario Chiautla 2016.</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02</w:t>
            </w:r>
          </w:p>
        </w:tc>
      </w:tr>
      <w:tr w:rsidR="00DF2C44" w:rsidRPr="009E61A0" w:rsidTr="00DF2C44">
        <w:tc>
          <w:tcPr>
            <w:tcW w:w="7933" w:type="dxa"/>
          </w:tcPr>
          <w:p w:rsidR="00DF2C44" w:rsidRPr="009E61A0" w:rsidRDefault="00DF2C44" w:rsidP="00B83774">
            <w:pPr>
              <w:ind w:left="2148" w:hanging="708"/>
              <w:contextualSpacing/>
              <w:jc w:val="both"/>
              <w:rPr>
                <w:rFonts w:ascii="Arial" w:hAnsi="Arial" w:cs="Arial"/>
                <w:sz w:val="18"/>
                <w:szCs w:val="18"/>
              </w:rPr>
            </w:pPr>
            <w:r w:rsidRPr="009E61A0">
              <w:rPr>
                <w:rFonts w:ascii="Arial" w:hAnsi="Arial" w:cs="Arial"/>
                <w:sz w:val="18"/>
                <w:szCs w:val="18"/>
              </w:rPr>
              <w:t>4.2.2.1 Precampaña</w:t>
            </w:r>
          </w:p>
          <w:p w:rsidR="00DF2C44" w:rsidRPr="009E61A0" w:rsidRDefault="00DF2C44" w:rsidP="00B83774">
            <w:pPr>
              <w:ind w:left="2148"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10</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2148" w:hanging="708"/>
              <w:contextualSpacing/>
              <w:jc w:val="both"/>
              <w:rPr>
                <w:rFonts w:ascii="Arial" w:hAnsi="Arial" w:cs="Arial"/>
                <w:sz w:val="18"/>
                <w:szCs w:val="18"/>
              </w:rPr>
            </w:pPr>
            <w:r w:rsidRPr="009E61A0">
              <w:rPr>
                <w:rFonts w:ascii="Arial" w:hAnsi="Arial" w:cs="Arial"/>
                <w:sz w:val="18"/>
                <w:szCs w:val="18"/>
              </w:rPr>
              <w:t>4.2.2.2 Campaña.</w:t>
            </w:r>
          </w:p>
          <w:p w:rsidR="00DF2C44" w:rsidRPr="009E61A0" w:rsidRDefault="00DF2C44" w:rsidP="00B83774">
            <w:pPr>
              <w:ind w:left="2148"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10</w:t>
            </w:r>
            <w:r w:rsidR="00F10AC4">
              <w:rPr>
                <w:rFonts w:ascii="Arial" w:hAnsi="Arial" w:cs="Arial"/>
                <w:sz w:val="18"/>
                <w:szCs w:val="18"/>
              </w:rPr>
              <w:t>3</w:t>
            </w:r>
          </w:p>
        </w:tc>
      </w:tr>
      <w:tr w:rsidR="00DF2C44" w:rsidRPr="009E61A0" w:rsidTr="00DF2C44">
        <w:tc>
          <w:tcPr>
            <w:tcW w:w="7933" w:type="dxa"/>
          </w:tcPr>
          <w:p w:rsidR="00DF2C44" w:rsidRPr="009E61A0" w:rsidRDefault="00DF2C44" w:rsidP="00B83774">
            <w:pPr>
              <w:ind w:left="1440" w:hanging="567"/>
              <w:contextualSpacing/>
              <w:jc w:val="both"/>
              <w:rPr>
                <w:rFonts w:ascii="Arial" w:hAnsi="Arial" w:cs="Arial"/>
                <w:sz w:val="18"/>
                <w:szCs w:val="18"/>
              </w:rPr>
            </w:pPr>
            <w:r w:rsidRPr="009E61A0">
              <w:rPr>
                <w:rFonts w:ascii="Arial" w:hAnsi="Arial" w:cs="Arial"/>
                <w:sz w:val="18"/>
                <w:szCs w:val="18"/>
              </w:rPr>
              <w:t>4.2.3 Elección de Gobernador 2017.</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10</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left="2290" w:hanging="709"/>
              <w:contextualSpacing/>
              <w:jc w:val="both"/>
              <w:rPr>
                <w:rFonts w:ascii="Arial" w:hAnsi="Arial" w:cs="Arial"/>
                <w:sz w:val="18"/>
                <w:szCs w:val="18"/>
              </w:rPr>
            </w:pPr>
            <w:r w:rsidRPr="009E61A0">
              <w:rPr>
                <w:rFonts w:ascii="Arial" w:hAnsi="Arial" w:cs="Arial"/>
                <w:sz w:val="18"/>
                <w:szCs w:val="18"/>
              </w:rPr>
              <w:t>4.2.3.1 Precampaña.</w:t>
            </w:r>
          </w:p>
          <w:p w:rsidR="00DF2C44" w:rsidRPr="009E61A0" w:rsidRDefault="00DF2C44" w:rsidP="00B83774">
            <w:pPr>
              <w:ind w:left="2290" w:hanging="709"/>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10</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left="2290" w:hanging="709"/>
              <w:contextualSpacing/>
              <w:jc w:val="both"/>
              <w:rPr>
                <w:rFonts w:ascii="Arial" w:hAnsi="Arial" w:cs="Arial"/>
                <w:sz w:val="18"/>
                <w:szCs w:val="18"/>
              </w:rPr>
            </w:pPr>
            <w:r w:rsidRPr="009E61A0">
              <w:rPr>
                <w:rFonts w:ascii="Arial" w:hAnsi="Arial" w:cs="Arial"/>
                <w:sz w:val="18"/>
                <w:szCs w:val="18"/>
              </w:rPr>
              <w:t>4.2.3.2 Campaña.</w:t>
            </w:r>
          </w:p>
          <w:p w:rsidR="00DF2C44" w:rsidRPr="009E61A0" w:rsidRDefault="00DF2C44" w:rsidP="00B83774">
            <w:pPr>
              <w:ind w:left="2290" w:hanging="709"/>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10</w:t>
            </w:r>
            <w:r w:rsidR="00F10AC4">
              <w:rPr>
                <w:rFonts w:ascii="Arial" w:hAnsi="Arial" w:cs="Arial"/>
                <w:sz w:val="18"/>
                <w:szCs w:val="18"/>
              </w:rPr>
              <w:t>6</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4.2.4 Elecciones para renovar Ayuntamientos y Diputados Locales 2018.</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11</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581"/>
              <w:contextualSpacing/>
              <w:jc w:val="both"/>
              <w:rPr>
                <w:rFonts w:ascii="Arial" w:hAnsi="Arial" w:cs="Arial"/>
                <w:sz w:val="18"/>
                <w:szCs w:val="18"/>
              </w:rPr>
            </w:pPr>
            <w:r w:rsidRPr="009E61A0">
              <w:rPr>
                <w:rFonts w:ascii="Arial" w:hAnsi="Arial" w:cs="Arial"/>
                <w:sz w:val="18"/>
                <w:szCs w:val="18"/>
              </w:rPr>
              <w:t>4.2.4.1 Precampaña.</w:t>
            </w:r>
          </w:p>
          <w:p w:rsidR="00DF2C44" w:rsidRPr="009E61A0" w:rsidRDefault="00DF2C44" w:rsidP="00B83774">
            <w:pPr>
              <w:ind w:left="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11</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581"/>
              <w:contextualSpacing/>
              <w:jc w:val="both"/>
              <w:rPr>
                <w:rFonts w:ascii="Arial" w:hAnsi="Arial" w:cs="Arial"/>
                <w:sz w:val="18"/>
                <w:szCs w:val="18"/>
              </w:rPr>
            </w:pPr>
            <w:r w:rsidRPr="009E61A0">
              <w:rPr>
                <w:rFonts w:ascii="Arial" w:hAnsi="Arial" w:cs="Arial"/>
                <w:sz w:val="18"/>
                <w:szCs w:val="18"/>
              </w:rPr>
              <w:t>4.2.4.2 Campaña.</w:t>
            </w:r>
          </w:p>
          <w:p w:rsidR="00DF2C44" w:rsidRPr="009E61A0" w:rsidRDefault="00DF2C44" w:rsidP="00B83774">
            <w:pPr>
              <w:ind w:left="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11</w:t>
            </w:r>
            <w:r w:rsidR="00F10AC4">
              <w:rPr>
                <w:rFonts w:ascii="Arial" w:hAnsi="Arial" w:cs="Arial"/>
                <w:sz w:val="18"/>
                <w:szCs w:val="18"/>
              </w:rPr>
              <w:t>3</w:t>
            </w:r>
          </w:p>
        </w:tc>
      </w:tr>
      <w:tr w:rsidR="00DF2C44" w:rsidRPr="009E61A0" w:rsidTr="00DF2C44">
        <w:tc>
          <w:tcPr>
            <w:tcW w:w="7933" w:type="dxa"/>
          </w:tcPr>
          <w:p w:rsidR="00DF2C44" w:rsidRPr="009E61A0" w:rsidRDefault="00DF2C44" w:rsidP="00B83774">
            <w:pPr>
              <w:ind w:left="1581" w:hanging="567"/>
              <w:contextualSpacing/>
              <w:jc w:val="both"/>
              <w:rPr>
                <w:rFonts w:ascii="Arial" w:hAnsi="Arial" w:cs="Arial"/>
                <w:sz w:val="18"/>
                <w:szCs w:val="18"/>
              </w:rPr>
            </w:pPr>
            <w:r w:rsidRPr="009E61A0">
              <w:rPr>
                <w:rFonts w:ascii="Arial" w:hAnsi="Arial" w:cs="Arial"/>
                <w:sz w:val="18"/>
                <w:szCs w:val="18"/>
              </w:rPr>
              <w:t>4.2.5 Resumen de hallazgos de investigación.</w:t>
            </w:r>
          </w:p>
          <w:p w:rsidR="00DF2C44" w:rsidRPr="009E61A0" w:rsidRDefault="00DF2C44" w:rsidP="00B83774">
            <w:pPr>
              <w:ind w:left="1581" w:hanging="567"/>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firstLine="1581"/>
              <w:contextualSpacing/>
              <w:jc w:val="both"/>
              <w:rPr>
                <w:rFonts w:ascii="Arial" w:hAnsi="Arial" w:cs="Arial"/>
                <w:sz w:val="18"/>
                <w:szCs w:val="18"/>
              </w:rPr>
            </w:pPr>
            <w:r w:rsidRPr="009E61A0">
              <w:rPr>
                <w:rFonts w:ascii="Arial" w:hAnsi="Arial" w:cs="Arial"/>
                <w:sz w:val="18"/>
                <w:szCs w:val="18"/>
              </w:rPr>
              <w:t>4.2.5.1 Resumen de multas de precampaña 2009 – 2018.</w:t>
            </w:r>
          </w:p>
          <w:p w:rsidR="00DF2C44" w:rsidRPr="009E61A0" w:rsidRDefault="00DF2C44" w:rsidP="00B83774">
            <w:pPr>
              <w:ind w:firstLine="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0</w:t>
            </w:r>
          </w:p>
        </w:tc>
      </w:tr>
      <w:tr w:rsidR="00DF2C44" w:rsidRPr="009E61A0" w:rsidTr="00DF2C44">
        <w:tc>
          <w:tcPr>
            <w:tcW w:w="7933" w:type="dxa"/>
          </w:tcPr>
          <w:p w:rsidR="00DF2C44" w:rsidRDefault="00DF2C44" w:rsidP="00B83774">
            <w:pPr>
              <w:ind w:firstLine="1581"/>
              <w:contextualSpacing/>
              <w:jc w:val="both"/>
              <w:rPr>
                <w:rFonts w:ascii="Arial" w:hAnsi="Arial" w:cs="Arial"/>
                <w:sz w:val="18"/>
                <w:szCs w:val="18"/>
              </w:rPr>
            </w:pPr>
            <w:r w:rsidRPr="009E61A0">
              <w:rPr>
                <w:rFonts w:ascii="Arial" w:hAnsi="Arial" w:cs="Arial"/>
                <w:sz w:val="18"/>
                <w:szCs w:val="18"/>
              </w:rPr>
              <w:t>4.2.5.2 Multas de Campaña 2009 – 2018.</w:t>
            </w:r>
          </w:p>
          <w:p w:rsidR="00133929" w:rsidRPr="009E61A0" w:rsidRDefault="00133929" w:rsidP="00B83774">
            <w:pPr>
              <w:ind w:firstLine="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firstLine="1014"/>
              <w:contextualSpacing/>
              <w:jc w:val="both"/>
              <w:rPr>
                <w:rFonts w:ascii="Arial" w:hAnsi="Arial" w:cs="Arial"/>
                <w:sz w:val="18"/>
                <w:szCs w:val="18"/>
              </w:rPr>
            </w:pPr>
            <w:r w:rsidRPr="009E61A0">
              <w:rPr>
                <w:rFonts w:ascii="Arial" w:hAnsi="Arial" w:cs="Arial"/>
                <w:sz w:val="18"/>
                <w:szCs w:val="18"/>
              </w:rPr>
              <w:lastRenderedPageBreak/>
              <w:t>4.2.6 Resumen de conductas infractoras por partido.</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firstLine="1581"/>
              <w:contextualSpacing/>
              <w:jc w:val="both"/>
              <w:rPr>
                <w:rFonts w:ascii="Arial" w:hAnsi="Arial" w:cs="Arial"/>
                <w:sz w:val="18"/>
                <w:szCs w:val="18"/>
              </w:rPr>
            </w:pPr>
            <w:r w:rsidRPr="009E61A0">
              <w:rPr>
                <w:rFonts w:ascii="Arial" w:hAnsi="Arial" w:cs="Arial"/>
                <w:sz w:val="18"/>
                <w:szCs w:val="18"/>
              </w:rPr>
              <w:t>4.2.6.1 Resumen de conductas infractoras de precampaña.</w:t>
            </w:r>
          </w:p>
          <w:p w:rsidR="00DF2C44" w:rsidRPr="009E61A0" w:rsidRDefault="00DF2C44" w:rsidP="00B83774">
            <w:pPr>
              <w:ind w:firstLine="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ind w:firstLine="1581"/>
              <w:contextualSpacing/>
              <w:jc w:val="both"/>
              <w:rPr>
                <w:rFonts w:ascii="Arial" w:hAnsi="Arial" w:cs="Arial"/>
                <w:sz w:val="18"/>
                <w:szCs w:val="18"/>
              </w:rPr>
            </w:pPr>
            <w:r w:rsidRPr="009E61A0">
              <w:rPr>
                <w:rFonts w:ascii="Arial" w:hAnsi="Arial" w:cs="Arial"/>
                <w:sz w:val="18"/>
                <w:szCs w:val="18"/>
              </w:rPr>
              <w:t>4.2.6.2 Resumen de conductas infractoras de campaña.</w:t>
            </w:r>
          </w:p>
          <w:p w:rsidR="00DF2C44" w:rsidRPr="009E61A0" w:rsidRDefault="00DF2C44" w:rsidP="00B83774">
            <w:pPr>
              <w:ind w:firstLine="1581"/>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12</w:t>
            </w:r>
            <w:r w:rsidR="00F10AC4">
              <w:rPr>
                <w:rFonts w:ascii="Arial" w:hAnsi="Arial" w:cs="Arial"/>
                <w:sz w:val="18"/>
                <w:szCs w:val="18"/>
              </w:rPr>
              <w:t>6</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4.3 Impugnaciones presentadas por partidos políticos durante el periodo de fiscalización a cargo del IEEM.</w:t>
            </w:r>
          </w:p>
          <w:p w:rsidR="00DF2C44" w:rsidRPr="009E61A0" w:rsidRDefault="00DF2C44" w:rsidP="00B83774">
            <w:pPr>
              <w:ind w:left="1014" w:hanging="425"/>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27</w:t>
            </w:r>
          </w:p>
          <w:p w:rsidR="00DF2C44" w:rsidRPr="009E61A0" w:rsidRDefault="00DF2C44" w:rsidP="00524A5E">
            <w:pPr>
              <w:contextualSpacing/>
              <w:jc w:val="both"/>
              <w:rPr>
                <w:rFonts w:ascii="Arial" w:hAnsi="Arial" w:cs="Arial"/>
                <w:sz w:val="18"/>
                <w:szCs w:val="18"/>
              </w:rPr>
            </w:pPr>
          </w:p>
        </w:tc>
      </w:tr>
      <w:tr w:rsidR="00DF2C44" w:rsidRPr="009E61A0" w:rsidTr="00DF2C44">
        <w:tc>
          <w:tcPr>
            <w:tcW w:w="7933" w:type="dxa"/>
          </w:tcPr>
          <w:p w:rsidR="00DF2C44" w:rsidRPr="009E61A0" w:rsidRDefault="00DF2C44" w:rsidP="00B83774">
            <w:pPr>
              <w:ind w:left="1014"/>
              <w:contextualSpacing/>
              <w:jc w:val="both"/>
              <w:rPr>
                <w:rFonts w:ascii="Arial" w:hAnsi="Arial" w:cs="Arial"/>
                <w:sz w:val="18"/>
                <w:szCs w:val="18"/>
              </w:rPr>
            </w:pPr>
            <w:r w:rsidRPr="009E61A0">
              <w:rPr>
                <w:rFonts w:ascii="Arial" w:hAnsi="Arial" w:cs="Arial"/>
                <w:sz w:val="18"/>
                <w:szCs w:val="18"/>
              </w:rPr>
              <w:t>4.3.1 Recursos de apelación proceso electoral 2009.</w:t>
            </w:r>
          </w:p>
          <w:p w:rsidR="00DF2C44" w:rsidRPr="009E61A0" w:rsidRDefault="00DF2C44" w:rsidP="00B83774">
            <w:pPr>
              <w:ind w:left="1014"/>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27</w:t>
            </w:r>
          </w:p>
        </w:tc>
      </w:tr>
      <w:tr w:rsidR="00DF2C44" w:rsidRPr="009E61A0" w:rsidTr="00DF2C44">
        <w:tc>
          <w:tcPr>
            <w:tcW w:w="7933" w:type="dxa"/>
          </w:tcPr>
          <w:p w:rsidR="00DF2C44" w:rsidRPr="009E61A0" w:rsidRDefault="00DF2C44" w:rsidP="00B83774">
            <w:pPr>
              <w:ind w:left="1014"/>
              <w:contextualSpacing/>
              <w:jc w:val="both"/>
              <w:rPr>
                <w:rFonts w:ascii="Arial" w:hAnsi="Arial" w:cs="Arial"/>
                <w:sz w:val="18"/>
                <w:szCs w:val="18"/>
              </w:rPr>
            </w:pPr>
            <w:r w:rsidRPr="009E61A0">
              <w:rPr>
                <w:rFonts w:ascii="Arial" w:hAnsi="Arial" w:cs="Arial"/>
                <w:sz w:val="18"/>
                <w:szCs w:val="18"/>
              </w:rPr>
              <w:t>4.3.2 Recursos de apelación proceso electoral 2011.</w:t>
            </w:r>
          </w:p>
          <w:p w:rsidR="00DF2C44" w:rsidRPr="009E61A0" w:rsidRDefault="00DF2C44" w:rsidP="00B83774">
            <w:pPr>
              <w:ind w:left="1014"/>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29</w:t>
            </w:r>
          </w:p>
        </w:tc>
      </w:tr>
      <w:tr w:rsidR="00DF2C44" w:rsidRPr="009E61A0" w:rsidTr="00DF2C44">
        <w:tc>
          <w:tcPr>
            <w:tcW w:w="7933" w:type="dxa"/>
          </w:tcPr>
          <w:p w:rsidR="00DF2C44" w:rsidRPr="009E61A0" w:rsidRDefault="00DF2C44" w:rsidP="00B83774">
            <w:pPr>
              <w:ind w:left="1014"/>
              <w:contextualSpacing/>
              <w:jc w:val="both"/>
              <w:rPr>
                <w:rFonts w:ascii="Arial" w:hAnsi="Arial" w:cs="Arial"/>
                <w:sz w:val="18"/>
                <w:szCs w:val="18"/>
              </w:rPr>
            </w:pPr>
            <w:r w:rsidRPr="009E61A0">
              <w:rPr>
                <w:rFonts w:ascii="Arial" w:hAnsi="Arial" w:cs="Arial"/>
                <w:sz w:val="18"/>
                <w:szCs w:val="18"/>
              </w:rPr>
              <w:t>4.3.3 Recursos de apelación proceso electoral 2012.</w:t>
            </w:r>
          </w:p>
          <w:p w:rsidR="00DF2C44" w:rsidRPr="009E61A0" w:rsidRDefault="00DF2C44" w:rsidP="00B83774">
            <w:pPr>
              <w:ind w:left="1014"/>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20</w:t>
            </w:r>
          </w:p>
        </w:tc>
      </w:tr>
      <w:tr w:rsidR="00DF2C44" w:rsidRPr="009E61A0" w:rsidTr="00DF2C44">
        <w:tc>
          <w:tcPr>
            <w:tcW w:w="7933" w:type="dxa"/>
          </w:tcPr>
          <w:p w:rsidR="00DF2C44" w:rsidRPr="009E61A0" w:rsidRDefault="00DF2C44" w:rsidP="00B83774">
            <w:pPr>
              <w:ind w:left="1014" w:hanging="425"/>
              <w:contextualSpacing/>
              <w:jc w:val="both"/>
              <w:rPr>
                <w:rFonts w:ascii="Arial" w:hAnsi="Arial" w:cs="Arial"/>
                <w:sz w:val="18"/>
                <w:szCs w:val="18"/>
              </w:rPr>
            </w:pPr>
            <w:r w:rsidRPr="009E61A0">
              <w:rPr>
                <w:rFonts w:ascii="Arial" w:hAnsi="Arial" w:cs="Arial"/>
                <w:sz w:val="18"/>
                <w:szCs w:val="18"/>
              </w:rPr>
              <w:t>4.4. Impugnaciones presentadas por partidos políticos durante el periodo de fiscalización a cargo del INE.</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581" w:hanging="708"/>
              <w:contextualSpacing/>
              <w:jc w:val="both"/>
              <w:rPr>
                <w:rFonts w:ascii="Arial" w:hAnsi="Arial" w:cs="Arial"/>
                <w:sz w:val="18"/>
                <w:szCs w:val="18"/>
              </w:rPr>
            </w:pPr>
            <w:r w:rsidRPr="009E61A0">
              <w:rPr>
                <w:rFonts w:ascii="Arial" w:hAnsi="Arial" w:cs="Arial"/>
                <w:sz w:val="18"/>
                <w:szCs w:val="18"/>
              </w:rPr>
              <w:t>4.4.1 Impugnaciones al proceso electoral local 2015.</w:t>
            </w:r>
          </w:p>
          <w:p w:rsidR="00DF2C44" w:rsidRPr="009E61A0" w:rsidRDefault="00DF2C44" w:rsidP="00B83774">
            <w:pPr>
              <w:ind w:left="1581"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0</w:t>
            </w:r>
          </w:p>
        </w:tc>
      </w:tr>
      <w:tr w:rsidR="00DF2C44" w:rsidRPr="009E61A0" w:rsidTr="00DF2C44">
        <w:tc>
          <w:tcPr>
            <w:tcW w:w="7933" w:type="dxa"/>
          </w:tcPr>
          <w:p w:rsidR="00DF2C44" w:rsidRPr="009E61A0" w:rsidRDefault="00DF2C44" w:rsidP="00B83774">
            <w:pPr>
              <w:ind w:left="1581" w:hanging="708"/>
              <w:contextualSpacing/>
              <w:jc w:val="both"/>
              <w:rPr>
                <w:rFonts w:ascii="Arial" w:hAnsi="Arial" w:cs="Arial"/>
                <w:sz w:val="18"/>
                <w:szCs w:val="18"/>
              </w:rPr>
            </w:pPr>
            <w:r w:rsidRPr="009E61A0">
              <w:rPr>
                <w:rFonts w:ascii="Arial" w:hAnsi="Arial" w:cs="Arial"/>
                <w:sz w:val="18"/>
                <w:szCs w:val="18"/>
              </w:rPr>
              <w:t>4.4.2 Impugnaciones al proceso electoral local extraordinario 2016.</w:t>
            </w:r>
          </w:p>
          <w:p w:rsidR="00DF2C44" w:rsidRPr="009E61A0" w:rsidRDefault="00DF2C44" w:rsidP="00B83774">
            <w:pPr>
              <w:ind w:left="1581"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ind w:left="1440" w:hanging="567"/>
              <w:contextualSpacing/>
              <w:jc w:val="both"/>
              <w:rPr>
                <w:rFonts w:ascii="Arial" w:hAnsi="Arial" w:cs="Arial"/>
                <w:sz w:val="18"/>
                <w:szCs w:val="18"/>
              </w:rPr>
            </w:pPr>
            <w:r w:rsidRPr="009E61A0">
              <w:rPr>
                <w:rFonts w:ascii="Arial" w:hAnsi="Arial" w:cs="Arial"/>
                <w:sz w:val="18"/>
                <w:szCs w:val="18"/>
              </w:rPr>
              <w:t>4.4.3 Medios de impugnación presentados en la elección de Gobernador 2017.</w:t>
            </w:r>
          </w:p>
          <w:p w:rsidR="00DF2C44" w:rsidRPr="009E61A0" w:rsidRDefault="00DF2C44" w:rsidP="00B83774">
            <w:pPr>
              <w:ind w:left="1581"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3</w:t>
            </w:r>
          </w:p>
        </w:tc>
      </w:tr>
      <w:tr w:rsidR="00DF2C44" w:rsidRPr="009E61A0" w:rsidTr="00DF2C44">
        <w:tc>
          <w:tcPr>
            <w:tcW w:w="7933" w:type="dxa"/>
          </w:tcPr>
          <w:p w:rsidR="00DF2C44" w:rsidRPr="009E61A0" w:rsidRDefault="00DF2C44" w:rsidP="00B83774">
            <w:pPr>
              <w:ind w:left="1581" w:hanging="708"/>
              <w:contextualSpacing/>
              <w:jc w:val="both"/>
              <w:rPr>
                <w:rFonts w:ascii="Arial" w:hAnsi="Arial" w:cs="Arial"/>
                <w:sz w:val="18"/>
                <w:szCs w:val="18"/>
              </w:rPr>
            </w:pPr>
            <w:r w:rsidRPr="009E61A0">
              <w:rPr>
                <w:rFonts w:ascii="Arial" w:hAnsi="Arial" w:cs="Arial"/>
                <w:sz w:val="18"/>
                <w:szCs w:val="18"/>
              </w:rPr>
              <w:t>4.4.4. Medios de impugnación presentados en la elección local 2018.</w:t>
            </w:r>
            <w:r w:rsidRPr="009E61A0">
              <w:rPr>
                <w:rFonts w:ascii="Arial" w:hAnsi="Arial" w:cs="Arial"/>
                <w:sz w:val="18"/>
                <w:szCs w:val="18"/>
              </w:rPr>
              <w:tab/>
            </w:r>
          </w:p>
          <w:p w:rsidR="00DF2C44" w:rsidRPr="009E61A0" w:rsidRDefault="00DF2C44" w:rsidP="00B83774">
            <w:pPr>
              <w:ind w:left="1581" w:hanging="708"/>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4</w:t>
            </w:r>
          </w:p>
        </w:tc>
      </w:tr>
      <w:tr w:rsidR="00133929" w:rsidRPr="009E61A0" w:rsidTr="00DF2C44">
        <w:tc>
          <w:tcPr>
            <w:tcW w:w="7933" w:type="dxa"/>
          </w:tcPr>
          <w:p w:rsidR="00133929" w:rsidRPr="009E61A0" w:rsidRDefault="00133929" w:rsidP="00133929">
            <w:pPr>
              <w:contextualSpacing/>
              <w:jc w:val="both"/>
              <w:rPr>
                <w:rFonts w:ascii="Arial" w:hAnsi="Arial" w:cs="Arial"/>
                <w:sz w:val="18"/>
                <w:szCs w:val="18"/>
              </w:rPr>
            </w:pPr>
            <w:r w:rsidRPr="009E61A0">
              <w:rPr>
                <w:rFonts w:ascii="Arial" w:hAnsi="Arial" w:cs="Arial"/>
                <w:sz w:val="18"/>
                <w:szCs w:val="18"/>
              </w:rPr>
              <w:t>Bibliografía.</w:t>
            </w:r>
          </w:p>
        </w:tc>
        <w:tc>
          <w:tcPr>
            <w:tcW w:w="284" w:type="dxa"/>
            <w:tcBorders>
              <w:right w:val="single" w:sz="4" w:space="0" w:color="auto"/>
            </w:tcBorders>
          </w:tcPr>
          <w:p w:rsidR="00133929" w:rsidRPr="009E61A0" w:rsidRDefault="00133929" w:rsidP="00524A5E">
            <w:pPr>
              <w:contextualSpacing/>
              <w:jc w:val="both"/>
              <w:rPr>
                <w:rFonts w:ascii="Arial" w:hAnsi="Arial" w:cs="Arial"/>
                <w:sz w:val="18"/>
                <w:szCs w:val="18"/>
              </w:rPr>
            </w:pPr>
          </w:p>
        </w:tc>
        <w:tc>
          <w:tcPr>
            <w:tcW w:w="915" w:type="dxa"/>
            <w:tcBorders>
              <w:left w:val="single" w:sz="4" w:space="0" w:color="auto"/>
            </w:tcBorders>
          </w:tcPr>
          <w:p w:rsidR="00133929" w:rsidRPr="009E61A0" w:rsidRDefault="00133929" w:rsidP="00524A5E">
            <w:pPr>
              <w:contextualSpacing/>
              <w:jc w:val="both"/>
              <w:rPr>
                <w:rFonts w:ascii="Arial" w:hAnsi="Arial" w:cs="Arial"/>
                <w:sz w:val="18"/>
                <w:szCs w:val="18"/>
              </w:rPr>
            </w:pPr>
            <w:r>
              <w:rPr>
                <w:rFonts w:ascii="Arial" w:hAnsi="Arial" w:cs="Arial"/>
                <w:sz w:val="18"/>
                <w:szCs w:val="18"/>
              </w:rPr>
              <w:t>1</w:t>
            </w:r>
            <w:r w:rsidR="004D2E9B">
              <w:rPr>
                <w:rFonts w:ascii="Arial" w:hAnsi="Arial" w:cs="Arial"/>
                <w:sz w:val="18"/>
                <w:szCs w:val="18"/>
              </w:rPr>
              <w:t>3</w:t>
            </w:r>
            <w:r w:rsidR="00F10AC4">
              <w:rPr>
                <w:rFonts w:ascii="Arial" w:hAnsi="Arial" w:cs="Arial"/>
                <w:sz w:val="18"/>
                <w:szCs w:val="18"/>
              </w:rPr>
              <w:t>6</w:t>
            </w:r>
          </w:p>
        </w:tc>
      </w:tr>
      <w:tr w:rsidR="00DF2C44" w:rsidRPr="009E61A0" w:rsidTr="00DF2C44">
        <w:tc>
          <w:tcPr>
            <w:tcW w:w="7933" w:type="dxa"/>
          </w:tcPr>
          <w:p w:rsidR="00DF2C44" w:rsidRDefault="00DF2C44" w:rsidP="00B83774">
            <w:pPr>
              <w:contextualSpacing/>
              <w:jc w:val="both"/>
              <w:rPr>
                <w:rFonts w:ascii="Arial" w:hAnsi="Arial" w:cs="Arial"/>
                <w:b/>
                <w:bCs/>
                <w:sz w:val="18"/>
                <w:szCs w:val="18"/>
              </w:rPr>
            </w:pPr>
          </w:p>
          <w:p w:rsidR="00DF2C44" w:rsidRPr="009E61A0" w:rsidRDefault="00DF2C44" w:rsidP="00B83774">
            <w:pPr>
              <w:contextualSpacing/>
              <w:jc w:val="both"/>
              <w:rPr>
                <w:rFonts w:ascii="Arial" w:hAnsi="Arial" w:cs="Arial"/>
                <w:b/>
                <w:bCs/>
                <w:sz w:val="18"/>
                <w:szCs w:val="18"/>
              </w:rPr>
            </w:pPr>
            <w:r w:rsidRPr="009E61A0">
              <w:rPr>
                <w:rFonts w:ascii="Arial" w:hAnsi="Arial" w:cs="Arial"/>
                <w:b/>
                <w:bCs/>
                <w:sz w:val="18"/>
                <w:szCs w:val="18"/>
              </w:rPr>
              <w:t>CONCLUSIONES.</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Default="00DF2C44" w:rsidP="00524A5E">
            <w:pPr>
              <w:contextualSpacing/>
              <w:jc w:val="both"/>
              <w:rPr>
                <w:rFonts w:ascii="Arial" w:hAnsi="Arial" w:cs="Arial"/>
                <w:sz w:val="18"/>
                <w:szCs w:val="18"/>
              </w:rPr>
            </w:pPr>
          </w:p>
          <w:p w:rsidR="00DF2C44" w:rsidRPr="009E61A0" w:rsidRDefault="004D2E9B" w:rsidP="00524A5E">
            <w:pPr>
              <w:contextualSpacing/>
              <w:jc w:val="both"/>
              <w:rPr>
                <w:rFonts w:ascii="Arial" w:hAnsi="Arial" w:cs="Arial"/>
                <w:sz w:val="18"/>
                <w:szCs w:val="18"/>
              </w:rPr>
            </w:pPr>
            <w:r>
              <w:rPr>
                <w:rFonts w:ascii="Arial" w:hAnsi="Arial" w:cs="Arial"/>
                <w:sz w:val="18"/>
                <w:szCs w:val="18"/>
              </w:rPr>
              <w:t>14</w:t>
            </w:r>
            <w:r w:rsidR="00F10AC4">
              <w:rPr>
                <w:rFonts w:ascii="Arial" w:hAnsi="Arial" w:cs="Arial"/>
                <w:sz w:val="18"/>
                <w:szCs w:val="18"/>
              </w:rPr>
              <w:t>4</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ÍNDICE DE TABLAS.</w:t>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49</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1. FALTAS DE CAMPAÑA 2009.</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5</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2. FALTAS DE CAMPAÑA PROCESO ELECTORAL 2012.</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59</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3. PRECAMPAÑA PROCESO ELECTORAL 2012.</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62</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4. FALTAS DE CAMPAÑA 2015.</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F10AC4">
              <w:rPr>
                <w:rFonts w:ascii="Arial" w:hAnsi="Arial" w:cs="Arial"/>
                <w:sz w:val="18"/>
                <w:szCs w:val="18"/>
              </w:rPr>
              <w:t>67</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5. PRECAMPAÑA GOBERNADOR 2011.</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7</w:t>
            </w:r>
            <w:r w:rsidR="00F10AC4">
              <w:rPr>
                <w:rFonts w:ascii="Arial" w:hAnsi="Arial" w:cs="Arial"/>
                <w:sz w:val="18"/>
                <w:szCs w:val="18"/>
              </w:rPr>
              <w:t>5</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6. INFRACCIIONES DE CAMPAÑA GOBERNADOR 2017.</w:t>
            </w:r>
            <w:r w:rsidRPr="009E61A0">
              <w:rPr>
                <w:rFonts w:ascii="Arial" w:hAnsi="Arial" w:cs="Arial"/>
                <w:sz w:val="18"/>
                <w:szCs w:val="18"/>
              </w:rPr>
              <w:tab/>
            </w:r>
          </w:p>
          <w:p w:rsidR="00DF2C44" w:rsidRPr="009E61A0" w:rsidRDefault="00DF2C44" w:rsidP="00B83774">
            <w:pPr>
              <w:contextualSpacing/>
              <w:jc w:val="both"/>
              <w:rPr>
                <w:rFonts w:ascii="Arial" w:hAnsi="Arial" w:cs="Arial"/>
                <w:sz w:val="18"/>
                <w:szCs w:val="18"/>
              </w:rPr>
            </w:pP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w:t>
            </w:r>
            <w:r w:rsidR="004D2E9B">
              <w:rPr>
                <w:rFonts w:ascii="Arial" w:hAnsi="Arial" w:cs="Arial"/>
                <w:sz w:val="18"/>
                <w:szCs w:val="18"/>
              </w:rPr>
              <w:t>8</w:t>
            </w:r>
            <w:r w:rsidR="00F10AC4">
              <w:rPr>
                <w:rFonts w:ascii="Arial" w:hAnsi="Arial" w:cs="Arial"/>
                <w:sz w:val="18"/>
                <w:szCs w:val="18"/>
              </w:rPr>
              <w:t>2</w:t>
            </w:r>
          </w:p>
        </w:tc>
      </w:tr>
      <w:tr w:rsidR="00DF2C44" w:rsidRPr="009E61A0" w:rsidTr="00DF2C44">
        <w:tc>
          <w:tcPr>
            <w:tcW w:w="7933" w:type="dxa"/>
          </w:tcPr>
          <w:p w:rsidR="00DF2C44" w:rsidRPr="009E61A0" w:rsidRDefault="00DF2C44" w:rsidP="00B83774">
            <w:pPr>
              <w:contextualSpacing/>
              <w:jc w:val="both"/>
              <w:rPr>
                <w:rFonts w:ascii="Arial" w:hAnsi="Arial" w:cs="Arial"/>
                <w:sz w:val="18"/>
                <w:szCs w:val="18"/>
              </w:rPr>
            </w:pPr>
            <w:r w:rsidRPr="009E61A0">
              <w:rPr>
                <w:rFonts w:ascii="Arial" w:hAnsi="Arial" w:cs="Arial"/>
                <w:sz w:val="18"/>
                <w:szCs w:val="18"/>
              </w:rPr>
              <w:t>ANEXO 7. CONDUCTAS INFRACTORAS CAMPAÑA 2018, POR PARTIDO POLÍTICO.</w:t>
            </w:r>
          </w:p>
        </w:tc>
        <w:tc>
          <w:tcPr>
            <w:tcW w:w="284" w:type="dxa"/>
            <w:tcBorders>
              <w:right w:val="single" w:sz="4" w:space="0" w:color="auto"/>
            </w:tcBorders>
          </w:tcPr>
          <w:p w:rsidR="00DF2C44" w:rsidRPr="009E61A0" w:rsidRDefault="00DF2C44" w:rsidP="00524A5E">
            <w:pPr>
              <w:contextualSpacing/>
              <w:jc w:val="both"/>
              <w:rPr>
                <w:rFonts w:ascii="Arial" w:hAnsi="Arial" w:cs="Arial"/>
                <w:sz w:val="18"/>
                <w:szCs w:val="18"/>
              </w:rPr>
            </w:pPr>
          </w:p>
        </w:tc>
        <w:tc>
          <w:tcPr>
            <w:tcW w:w="915" w:type="dxa"/>
            <w:tcBorders>
              <w:left w:val="single" w:sz="4" w:space="0" w:color="auto"/>
            </w:tcBorders>
          </w:tcPr>
          <w:p w:rsidR="00DF2C44" w:rsidRPr="009E61A0" w:rsidRDefault="00DF2C44" w:rsidP="00524A5E">
            <w:pPr>
              <w:contextualSpacing/>
              <w:jc w:val="both"/>
              <w:rPr>
                <w:rFonts w:ascii="Arial" w:hAnsi="Arial" w:cs="Arial"/>
                <w:sz w:val="18"/>
                <w:szCs w:val="18"/>
              </w:rPr>
            </w:pPr>
            <w:r w:rsidRPr="009E61A0">
              <w:rPr>
                <w:rFonts w:ascii="Arial" w:hAnsi="Arial" w:cs="Arial"/>
                <w:sz w:val="18"/>
                <w:szCs w:val="18"/>
              </w:rPr>
              <w:t>19</w:t>
            </w:r>
            <w:r w:rsidR="00F10AC4">
              <w:rPr>
                <w:rFonts w:ascii="Arial" w:hAnsi="Arial" w:cs="Arial"/>
                <w:sz w:val="18"/>
                <w:szCs w:val="18"/>
              </w:rPr>
              <w:t>7</w:t>
            </w:r>
            <w:bookmarkStart w:id="0" w:name="_GoBack"/>
            <w:bookmarkEnd w:id="0"/>
          </w:p>
        </w:tc>
      </w:tr>
    </w:tbl>
    <w:p w:rsidR="00524A5E" w:rsidRDefault="00524A5E" w:rsidP="00524A5E">
      <w:pPr>
        <w:contextualSpacing/>
        <w:rPr>
          <w:rFonts w:ascii="Arial" w:hAnsi="Arial" w:cs="Arial"/>
          <w:sz w:val="20"/>
          <w:szCs w:val="20"/>
        </w:rPr>
      </w:pPr>
    </w:p>
    <w:p w:rsidR="00524A5E" w:rsidRPr="00FC7039" w:rsidRDefault="00524A5E" w:rsidP="00524A5E">
      <w:pPr>
        <w:contextualSpacing/>
        <w:rPr>
          <w:rFonts w:ascii="Arial" w:hAnsi="Arial" w:cs="Arial"/>
          <w:sz w:val="20"/>
          <w:szCs w:val="20"/>
        </w:rPr>
      </w:pPr>
    </w:p>
    <w:p w:rsidR="00524A5E" w:rsidRDefault="00524A5E">
      <w:pPr>
        <w:rPr>
          <w:rFonts w:ascii="Arial" w:hAnsi="Arial" w:cs="Arial"/>
          <w:b/>
          <w:sz w:val="24"/>
          <w:szCs w:val="24"/>
        </w:rPr>
      </w:pPr>
      <w:r>
        <w:rPr>
          <w:rFonts w:ascii="Arial" w:hAnsi="Arial" w:cs="Arial"/>
          <w:b/>
          <w:sz w:val="24"/>
          <w:szCs w:val="24"/>
        </w:rPr>
        <w:br w:type="page"/>
      </w:r>
    </w:p>
    <w:p w:rsidR="008777B4" w:rsidRPr="00F43147" w:rsidRDefault="008777B4" w:rsidP="00B0513D">
      <w:pPr>
        <w:spacing w:line="360" w:lineRule="auto"/>
        <w:jc w:val="center"/>
        <w:rPr>
          <w:rFonts w:ascii="Arial" w:hAnsi="Arial" w:cs="Arial"/>
          <w:b/>
          <w:sz w:val="24"/>
          <w:szCs w:val="24"/>
        </w:rPr>
      </w:pPr>
      <w:r w:rsidRPr="00F43147">
        <w:rPr>
          <w:rFonts w:ascii="Arial" w:hAnsi="Arial" w:cs="Arial"/>
          <w:b/>
          <w:sz w:val="24"/>
          <w:szCs w:val="24"/>
        </w:rPr>
        <w:lastRenderedPageBreak/>
        <w:t>INTRODUCCIÓN</w:t>
      </w:r>
    </w:p>
    <w:p w:rsidR="00AE32C2" w:rsidRPr="00F43147" w:rsidRDefault="00AE32C2" w:rsidP="00B0513D">
      <w:pPr>
        <w:spacing w:line="360" w:lineRule="auto"/>
        <w:jc w:val="both"/>
        <w:rPr>
          <w:rFonts w:ascii="Arial" w:hAnsi="Arial" w:cs="Arial"/>
          <w:sz w:val="24"/>
          <w:szCs w:val="24"/>
        </w:rPr>
      </w:pPr>
    </w:p>
    <w:p w:rsidR="001802C0" w:rsidRPr="00F43147" w:rsidRDefault="00A22E64" w:rsidP="00B0513D">
      <w:pPr>
        <w:spacing w:line="360" w:lineRule="auto"/>
        <w:jc w:val="both"/>
        <w:rPr>
          <w:rFonts w:ascii="Arial" w:hAnsi="Arial" w:cs="Arial"/>
          <w:sz w:val="24"/>
          <w:szCs w:val="24"/>
        </w:rPr>
      </w:pPr>
      <w:r w:rsidRPr="00F43147">
        <w:rPr>
          <w:rFonts w:ascii="Arial" w:hAnsi="Arial" w:cs="Arial"/>
          <w:sz w:val="24"/>
          <w:szCs w:val="24"/>
        </w:rPr>
        <w:t xml:space="preserve">El Sistema Político Mexicano en nuestro país, se ha desarrollado a la par del avance democrático, para ello fue necesario </w:t>
      </w:r>
      <w:r w:rsidR="0078534B" w:rsidRPr="00F43147">
        <w:rPr>
          <w:rFonts w:ascii="Arial" w:hAnsi="Arial" w:cs="Arial"/>
          <w:sz w:val="24"/>
          <w:szCs w:val="24"/>
        </w:rPr>
        <w:t xml:space="preserve">apuntalar </w:t>
      </w:r>
      <w:r w:rsidRPr="00F43147">
        <w:rPr>
          <w:rFonts w:ascii="Arial" w:hAnsi="Arial" w:cs="Arial"/>
          <w:sz w:val="24"/>
          <w:szCs w:val="24"/>
        </w:rPr>
        <w:t>los pilares de la democracia</w:t>
      </w:r>
      <w:r w:rsidR="005F0489" w:rsidRPr="00F43147">
        <w:rPr>
          <w:rFonts w:ascii="Arial" w:hAnsi="Arial" w:cs="Arial"/>
          <w:sz w:val="24"/>
          <w:szCs w:val="24"/>
        </w:rPr>
        <w:t xml:space="preserve"> </w:t>
      </w:r>
      <w:r w:rsidR="00D8748D" w:rsidRPr="00F43147">
        <w:rPr>
          <w:rFonts w:ascii="Arial" w:hAnsi="Arial" w:cs="Arial"/>
          <w:sz w:val="24"/>
          <w:szCs w:val="24"/>
        </w:rPr>
        <w:t xml:space="preserve">con </w:t>
      </w:r>
      <w:r w:rsidR="005F0489" w:rsidRPr="00F43147">
        <w:rPr>
          <w:rFonts w:ascii="Arial" w:hAnsi="Arial" w:cs="Arial"/>
          <w:sz w:val="24"/>
          <w:szCs w:val="24"/>
        </w:rPr>
        <w:t xml:space="preserve">instituciones </w:t>
      </w:r>
      <w:r w:rsidR="001802C0" w:rsidRPr="00F43147">
        <w:rPr>
          <w:rFonts w:ascii="Arial" w:hAnsi="Arial" w:cs="Arial"/>
          <w:sz w:val="24"/>
          <w:szCs w:val="24"/>
        </w:rPr>
        <w:t xml:space="preserve">sólidas y ciudadanizadas que generen confianza y credibilidad en las contiendas electorales a partir de garantizar un voto, libre, secreto, informado, así como equidad en la contienda electoral, </w:t>
      </w:r>
      <w:r w:rsidR="00D8748D" w:rsidRPr="00F43147">
        <w:rPr>
          <w:rFonts w:ascii="Arial" w:hAnsi="Arial" w:cs="Arial"/>
          <w:sz w:val="24"/>
          <w:szCs w:val="24"/>
        </w:rPr>
        <w:t>planteando de manera permanente retos en la regulación y mecanismos de apoyo para transparentar elementos claves en los procesos electorales como el acceso a los medios de comunicación para la difusión a la población de la plataforma política que ofrecen cada partido político, pero también y muy importante resultan aquellos enfocados al uso de los recursos públicos y privados, es decir, a la rendición de cuentas.</w:t>
      </w:r>
    </w:p>
    <w:p w:rsidR="00D8748D" w:rsidRPr="00F43147" w:rsidRDefault="00D8748D" w:rsidP="00B0513D">
      <w:pPr>
        <w:spacing w:line="360" w:lineRule="auto"/>
        <w:jc w:val="both"/>
        <w:rPr>
          <w:rFonts w:ascii="Arial" w:hAnsi="Arial" w:cs="Arial"/>
          <w:sz w:val="24"/>
          <w:szCs w:val="24"/>
        </w:rPr>
      </w:pPr>
    </w:p>
    <w:p w:rsidR="0059413B" w:rsidRPr="00F43147" w:rsidRDefault="00D8748D" w:rsidP="00B0513D">
      <w:pPr>
        <w:spacing w:line="360" w:lineRule="auto"/>
        <w:jc w:val="both"/>
        <w:rPr>
          <w:rFonts w:ascii="Arial" w:hAnsi="Arial" w:cs="Arial"/>
          <w:sz w:val="24"/>
          <w:szCs w:val="24"/>
        </w:rPr>
      </w:pPr>
      <w:r w:rsidRPr="00F43147">
        <w:rPr>
          <w:rFonts w:ascii="Arial" w:hAnsi="Arial" w:cs="Arial"/>
          <w:sz w:val="24"/>
          <w:szCs w:val="24"/>
        </w:rPr>
        <w:t xml:space="preserve">Diversos son los estudios que se han realizado en torno a la democracia en México, a la gobernabilidad, procesos electorales, participación ciudadana y partidos políticos </w:t>
      </w:r>
      <w:r w:rsidR="0059413B" w:rsidRPr="00F43147">
        <w:rPr>
          <w:rFonts w:ascii="Arial" w:hAnsi="Arial" w:cs="Arial"/>
          <w:sz w:val="24"/>
          <w:szCs w:val="24"/>
        </w:rPr>
        <w:t>por mencionar algunos temas</w:t>
      </w:r>
      <w:r w:rsidR="00B0513D">
        <w:rPr>
          <w:rFonts w:ascii="Arial" w:hAnsi="Arial" w:cs="Arial"/>
          <w:sz w:val="24"/>
          <w:szCs w:val="24"/>
        </w:rPr>
        <w:t>;</w:t>
      </w:r>
      <w:r w:rsidR="0059413B" w:rsidRPr="00F43147">
        <w:rPr>
          <w:rFonts w:ascii="Arial" w:hAnsi="Arial" w:cs="Arial"/>
          <w:sz w:val="24"/>
          <w:szCs w:val="24"/>
        </w:rPr>
        <w:t xml:space="preserve"> </w:t>
      </w:r>
      <w:r w:rsidRPr="00F43147">
        <w:rPr>
          <w:rFonts w:ascii="Arial" w:hAnsi="Arial" w:cs="Arial"/>
          <w:sz w:val="24"/>
          <w:szCs w:val="24"/>
        </w:rPr>
        <w:t xml:space="preserve">sin embargo, </w:t>
      </w:r>
      <w:r w:rsidR="0059413B" w:rsidRPr="00F43147">
        <w:rPr>
          <w:rFonts w:ascii="Arial" w:hAnsi="Arial" w:cs="Arial"/>
          <w:sz w:val="24"/>
          <w:szCs w:val="24"/>
        </w:rPr>
        <w:t xml:space="preserve">no se dan en la misma medida para cuestiones más técnicas como pueden </w:t>
      </w:r>
      <w:r w:rsidR="00B0513D">
        <w:rPr>
          <w:rFonts w:ascii="Arial" w:hAnsi="Arial" w:cs="Arial"/>
          <w:sz w:val="24"/>
          <w:szCs w:val="24"/>
        </w:rPr>
        <w:t>serlo</w:t>
      </w:r>
      <w:r w:rsidR="0059413B" w:rsidRPr="00F43147">
        <w:rPr>
          <w:rFonts w:ascii="Arial" w:hAnsi="Arial" w:cs="Arial"/>
          <w:sz w:val="24"/>
          <w:szCs w:val="24"/>
        </w:rPr>
        <w:t xml:space="preserve"> los procesos que forman parte a su vez de un proceso marco y complejo como son los procesos electorales o las elecciones para efectos de esta investigación.</w:t>
      </w:r>
    </w:p>
    <w:p w:rsidR="0059413B" w:rsidRPr="00F43147" w:rsidRDefault="0059413B" w:rsidP="00B0513D">
      <w:pPr>
        <w:spacing w:line="360" w:lineRule="auto"/>
        <w:jc w:val="both"/>
        <w:rPr>
          <w:rFonts w:ascii="Arial" w:hAnsi="Arial" w:cs="Arial"/>
          <w:sz w:val="24"/>
          <w:szCs w:val="24"/>
        </w:rPr>
      </w:pPr>
    </w:p>
    <w:p w:rsidR="0059413B" w:rsidRPr="00F43147" w:rsidRDefault="0059413B" w:rsidP="00B0513D">
      <w:pPr>
        <w:spacing w:line="360" w:lineRule="auto"/>
        <w:jc w:val="both"/>
        <w:rPr>
          <w:rFonts w:ascii="Arial" w:hAnsi="Arial" w:cs="Arial"/>
          <w:sz w:val="24"/>
          <w:szCs w:val="24"/>
        </w:rPr>
      </w:pPr>
      <w:r w:rsidRPr="00F43147">
        <w:rPr>
          <w:rFonts w:ascii="Arial" w:hAnsi="Arial" w:cs="Arial"/>
          <w:sz w:val="24"/>
          <w:szCs w:val="24"/>
        </w:rPr>
        <w:t>La rendición de cuentas adquiere relevancia en el contexto nacional, pues cada vez es mayor el interés ciudadano para conocer el uso y destino de los recursos financieros asignados a los partidos políticos</w:t>
      </w:r>
      <w:r w:rsidR="00C209BF" w:rsidRPr="00F43147">
        <w:rPr>
          <w:rFonts w:ascii="Arial" w:hAnsi="Arial" w:cs="Arial"/>
          <w:sz w:val="24"/>
          <w:szCs w:val="24"/>
        </w:rPr>
        <w:t xml:space="preserve">; es por ello que consideramos la </w:t>
      </w:r>
      <w:r w:rsidR="00C209BF" w:rsidRPr="00B0513D">
        <w:rPr>
          <w:rFonts w:ascii="Arial" w:hAnsi="Arial" w:cs="Arial"/>
          <w:b/>
          <w:i/>
          <w:sz w:val="24"/>
          <w:szCs w:val="24"/>
        </w:rPr>
        <w:t>Fiscalización de los Recursos de Partidos Políticos</w:t>
      </w:r>
      <w:r w:rsidR="00C209BF" w:rsidRPr="00F43147">
        <w:rPr>
          <w:rFonts w:ascii="Arial" w:hAnsi="Arial" w:cs="Arial"/>
          <w:sz w:val="24"/>
          <w:szCs w:val="24"/>
        </w:rPr>
        <w:t xml:space="preserve"> como tema de estudio.</w:t>
      </w:r>
    </w:p>
    <w:p w:rsidR="00C209BF" w:rsidRPr="00F43147" w:rsidRDefault="00C209BF" w:rsidP="00B0513D">
      <w:pPr>
        <w:spacing w:line="360" w:lineRule="auto"/>
        <w:jc w:val="both"/>
        <w:rPr>
          <w:rFonts w:ascii="Arial" w:hAnsi="Arial" w:cs="Arial"/>
          <w:sz w:val="24"/>
          <w:szCs w:val="24"/>
        </w:rPr>
      </w:pPr>
    </w:p>
    <w:p w:rsidR="00C209BF" w:rsidRPr="00F43147" w:rsidRDefault="00C209BF" w:rsidP="00B0513D">
      <w:pPr>
        <w:spacing w:line="360" w:lineRule="auto"/>
        <w:jc w:val="both"/>
        <w:rPr>
          <w:rFonts w:ascii="Arial" w:hAnsi="Arial" w:cs="Arial"/>
          <w:sz w:val="24"/>
          <w:szCs w:val="24"/>
        </w:rPr>
      </w:pPr>
      <w:r w:rsidRPr="00F43147">
        <w:rPr>
          <w:rFonts w:ascii="Arial" w:hAnsi="Arial" w:cs="Arial"/>
          <w:sz w:val="24"/>
          <w:szCs w:val="24"/>
        </w:rPr>
        <w:t>Es así que nos planteamos diversos cuestionamientos respecto de ¿</w:t>
      </w:r>
      <w:r w:rsidR="003938C7">
        <w:rPr>
          <w:rFonts w:ascii="Arial" w:hAnsi="Arial" w:cs="Arial"/>
          <w:sz w:val="24"/>
          <w:szCs w:val="24"/>
        </w:rPr>
        <w:t>C</w:t>
      </w:r>
      <w:r w:rsidRPr="00F43147">
        <w:rPr>
          <w:rFonts w:ascii="Arial" w:hAnsi="Arial" w:cs="Arial"/>
          <w:sz w:val="24"/>
          <w:szCs w:val="24"/>
        </w:rPr>
        <w:t xml:space="preserve">ómo se da la fiscalización de los recursos asignados a los partidos políticos en nuestro país?, por lo que en el primer capítulo contextualizaremos el tema de investigación en su desarrollo histórico, </w:t>
      </w:r>
      <w:r w:rsidR="00CD4397" w:rsidRPr="00F43147">
        <w:rPr>
          <w:rFonts w:ascii="Arial" w:hAnsi="Arial" w:cs="Arial"/>
          <w:sz w:val="24"/>
          <w:szCs w:val="24"/>
        </w:rPr>
        <w:t>su definición y desarrollo en las últimas décadas.</w:t>
      </w:r>
    </w:p>
    <w:p w:rsidR="00CD4397" w:rsidRPr="00F43147" w:rsidRDefault="00CD4397" w:rsidP="00B0513D">
      <w:pPr>
        <w:spacing w:line="360" w:lineRule="auto"/>
        <w:jc w:val="both"/>
        <w:rPr>
          <w:rFonts w:ascii="Arial" w:hAnsi="Arial" w:cs="Arial"/>
          <w:sz w:val="24"/>
          <w:szCs w:val="24"/>
        </w:rPr>
      </w:pPr>
    </w:p>
    <w:p w:rsidR="00CD4397" w:rsidRPr="00F43147" w:rsidRDefault="00CD4397" w:rsidP="00B0513D">
      <w:pPr>
        <w:spacing w:line="360" w:lineRule="auto"/>
        <w:jc w:val="both"/>
        <w:rPr>
          <w:rFonts w:ascii="Arial" w:hAnsi="Arial" w:cs="Arial"/>
          <w:sz w:val="24"/>
          <w:szCs w:val="24"/>
        </w:rPr>
      </w:pPr>
      <w:r w:rsidRPr="00F43147">
        <w:rPr>
          <w:rFonts w:ascii="Arial" w:hAnsi="Arial" w:cs="Arial"/>
          <w:sz w:val="24"/>
          <w:szCs w:val="24"/>
        </w:rPr>
        <w:t xml:space="preserve">¿Cómo se lleva </w:t>
      </w:r>
      <w:r w:rsidR="003938C7">
        <w:rPr>
          <w:rFonts w:ascii="Arial" w:hAnsi="Arial" w:cs="Arial"/>
          <w:sz w:val="24"/>
          <w:szCs w:val="24"/>
        </w:rPr>
        <w:t xml:space="preserve">a cabo </w:t>
      </w:r>
      <w:r w:rsidRPr="00F43147">
        <w:rPr>
          <w:rFonts w:ascii="Arial" w:hAnsi="Arial" w:cs="Arial"/>
          <w:sz w:val="24"/>
          <w:szCs w:val="24"/>
        </w:rPr>
        <w:t xml:space="preserve">la fiscalización? es una de las preguntas planteadas base de este proyecto, </w:t>
      </w:r>
      <w:r w:rsidR="009333F6" w:rsidRPr="00F43147">
        <w:rPr>
          <w:rFonts w:ascii="Arial" w:hAnsi="Arial" w:cs="Arial"/>
          <w:sz w:val="24"/>
          <w:szCs w:val="24"/>
        </w:rPr>
        <w:t xml:space="preserve">lo cual se abordará </w:t>
      </w:r>
      <w:r w:rsidRPr="00F43147">
        <w:rPr>
          <w:rFonts w:ascii="Arial" w:hAnsi="Arial" w:cs="Arial"/>
          <w:sz w:val="24"/>
          <w:szCs w:val="24"/>
        </w:rPr>
        <w:t>en el segundo capítulo</w:t>
      </w:r>
      <w:r w:rsidR="009333F6" w:rsidRPr="00F43147">
        <w:rPr>
          <w:rFonts w:ascii="Arial" w:hAnsi="Arial" w:cs="Arial"/>
          <w:sz w:val="24"/>
          <w:szCs w:val="24"/>
        </w:rPr>
        <w:t xml:space="preserve">, introduciéndonos </w:t>
      </w:r>
      <w:r w:rsidR="009333F6" w:rsidRPr="00F43147">
        <w:rPr>
          <w:rFonts w:ascii="Arial" w:hAnsi="Arial" w:cs="Arial"/>
          <w:sz w:val="24"/>
          <w:szCs w:val="24"/>
        </w:rPr>
        <w:lastRenderedPageBreak/>
        <w:t xml:space="preserve">en </w:t>
      </w:r>
      <w:r w:rsidRPr="00F43147">
        <w:rPr>
          <w:rFonts w:ascii="Arial" w:hAnsi="Arial" w:cs="Arial"/>
          <w:sz w:val="24"/>
          <w:szCs w:val="24"/>
        </w:rPr>
        <w:t xml:space="preserve">el proceso realizado en dos de las Instituciones pioneras en el tema como son el Instituto Nacional Electoral (INE) y el Instituto Electoral del Estado de México (IEEM), </w:t>
      </w:r>
      <w:r w:rsidR="00F43147" w:rsidRPr="00F43147">
        <w:rPr>
          <w:rFonts w:ascii="Arial" w:hAnsi="Arial" w:cs="Arial"/>
          <w:sz w:val="24"/>
          <w:szCs w:val="24"/>
        </w:rPr>
        <w:t>delimitándolo</w:t>
      </w:r>
      <w:r w:rsidRPr="00F43147">
        <w:rPr>
          <w:rFonts w:ascii="Arial" w:hAnsi="Arial" w:cs="Arial"/>
          <w:sz w:val="24"/>
          <w:szCs w:val="24"/>
        </w:rPr>
        <w:t xml:space="preserve"> a determinados años electorales.</w:t>
      </w:r>
    </w:p>
    <w:p w:rsidR="00CD4397" w:rsidRPr="00F43147" w:rsidRDefault="00CD4397" w:rsidP="00B0513D">
      <w:pPr>
        <w:spacing w:line="360" w:lineRule="auto"/>
        <w:jc w:val="both"/>
        <w:rPr>
          <w:rFonts w:ascii="Arial" w:hAnsi="Arial" w:cs="Arial"/>
          <w:sz w:val="24"/>
          <w:szCs w:val="24"/>
        </w:rPr>
      </w:pPr>
    </w:p>
    <w:p w:rsidR="00AE32C2" w:rsidRDefault="00CD4397" w:rsidP="00992363">
      <w:pPr>
        <w:spacing w:line="360" w:lineRule="auto"/>
        <w:jc w:val="both"/>
        <w:rPr>
          <w:rFonts w:ascii="Arial" w:hAnsi="Arial" w:cs="Arial"/>
          <w:sz w:val="24"/>
          <w:szCs w:val="24"/>
        </w:rPr>
      </w:pPr>
      <w:r w:rsidRPr="00F43147">
        <w:rPr>
          <w:rFonts w:ascii="Arial" w:hAnsi="Arial" w:cs="Arial"/>
          <w:sz w:val="24"/>
          <w:szCs w:val="24"/>
        </w:rPr>
        <w:t xml:space="preserve">Nuestro objetivo es indagar más allá de </w:t>
      </w:r>
      <w:r w:rsidR="009333F6" w:rsidRPr="00F43147">
        <w:rPr>
          <w:rFonts w:ascii="Arial" w:hAnsi="Arial" w:cs="Arial"/>
          <w:sz w:val="24"/>
          <w:szCs w:val="24"/>
        </w:rPr>
        <w:t xml:space="preserve">los conceptos básicos y de hacer un análisis histórico, nos interesa conocer los factores internos y externos que determinan </w:t>
      </w:r>
      <w:r w:rsidR="00873CFD" w:rsidRPr="00F43147">
        <w:rPr>
          <w:rFonts w:ascii="Arial" w:hAnsi="Arial" w:cs="Arial"/>
          <w:sz w:val="24"/>
          <w:szCs w:val="24"/>
        </w:rPr>
        <w:t xml:space="preserve">a la Fiscalización como el mecanismo que a su vez es parte de un todo (el sistema electoral dentro del sistema político mexicano), por </w:t>
      </w:r>
      <w:proofErr w:type="gramStart"/>
      <w:r w:rsidR="00873CFD" w:rsidRPr="00F43147">
        <w:rPr>
          <w:rFonts w:ascii="Arial" w:hAnsi="Arial" w:cs="Arial"/>
          <w:sz w:val="24"/>
          <w:szCs w:val="24"/>
        </w:rPr>
        <w:t>tanto</w:t>
      </w:r>
      <w:proofErr w:type="gramEnd"/>
      <w:r w:rsidR="00873CFD" w:rsidRPr="00F43147">
        <w:rPr>
          <w:rFonts w:ascii="Arial" w:hAnsi="Arial" w:cs="Arial"/>
          <w:sz w:val="24"/>
          <w:szCs w:val="24"/>
        </w:rPr>
        <w:t xml:space="preserve"> en el tercer capítulo conoceremos las instancias responsables, fases que intervienen</w:t>
      </w:r>
      <w:r w:rsidR="00992363">
        <w:rPr>
          <w:rFonts w:ascii="Arial" w:hAnsi="Arial" w:cs="Arial"/>
          <w:sz w:val="24"/>
          <w:szCs w:val="24"/>
        </w:rPr>
        <w:t>, para ello se identificaron variables y recopiló información que dan forma a</w:t>
      </w:r>
      <w:r w:rsidR="00873CFD" w:rsidRPr="00F43147">
        <w:rPr>
          <w:rFonts w:ascii="Arial" w:hAnsi="Arial" w:cs="Arial"/>
          <w:sz w:val="24"/>
          <w:szCs w:val="24"/>
        </w:rPr>
        <w:t>l marco metodológico</w:t>
      </w:r>
      <w:r w:rsidR="00992363">
        <w:rPr>
          <w:rFonts w:ascii="Arial" w:hAnsi="Arial" w:cs="Arial"/>
          <w:sz w:val="24"/>
          <w:szCs w:val="24"/>
        </w:rPr>
        <w:t>.</w:t>
      </w:r>
    </w:p>
    <w:p w:rsidR="00490EE0" w:rsidRDefault="00490EE0" w:rsidP="00B0513D">
      <w:pPr>
        <w:spacing w:line="360" w:lineRule="auto"/>
        <w:jc w:val="both"/>
        <w:rPr>
          <w:rFonts w:ascii="Arial" w:hAnsi="Arial" w:cs="Arial"/>
          <w:sz w:val="24"/>
          <w:szCs w:val="24"/>
        </w:rPr>
      </w:pPr>
    </w:p>
    <w:p w:rsidR="00B00D85" w:rsidRDefault="00B00D85" w:rsidP="00B0513D">
      <w:pPr>
        <w:spacing w:line="360" w:lineRule="auto"/>
        <w:jc w:val="both"/>
        <w:rPr>
          <w:rFonts w:ascii="Arial" w:hAnsi="Arial" w:cs="Arial"/>
          <w:sz w:val="24"/>
          <w:szCs w:val="24"/>
        </w:rPr>
      </w:pPr>
      <w:r>
        <w:rPr>
          <w:rFonts w:ascii="Arial" w:hAnsi="Arial" w:cs="Arial"/>
          <w:sz w:val="24"/>
          <w:szCs w:val="24"/>
        </w:rPr>
        <w:t xml:space="preserve">Las </w:t>
      </w:r>
      <w:r w:rsidR="003938C7">
        <w:rPr>
          <w:rFonts w:ascii="Arial" w:hAnsi="Arial" w:cs="Arial"/>
          <w:sz w:val="24"/>
          <w:szCs w:val="24"/>
        </w:rPr>
        <w:t>preguntas</w:t>
      </w:r>
      <w:r>
        <w:rPr>
          <w:rFonts w:ascii="Arial" w:hAnsi="Arial" w:cs="Arial"/>
          <w:sz w:val="24"/>
          <w:szCs w:val="24"/>
        </w:rPr>
        <w:t xml:space="preserve"> que pretendemos responder son: ¿</w:t>
      </w:r>
      <w:r w:rsidR="003938C7">
        <w:rPr>
          <w:rFonts w:ascii="Arial" w:hAnsi="Arial" w:cs="Arial"/>
          <w:sz w:val="24"/>
          <w:szCs w:val="24"/>
        </w:rPr>
        <w:t>e</w:t>
      </w:r>
      <w:r>
        <w:rPr>
          <w:rFonts w:ascii="Arial" w:hAnsi="Arial" w:cs="Arial"/>
          <w:sz w:val="24"/>
          <w:szCs w:val="24"/>
        </w:rPr>
        <w:t xml:space="preserve">l INE fiscaliza con menor calidad que el IEEM? y ¿los procesos de fiscalización </w:t>
      </w:r>
      <w:r w:rsidR="00566041">
        <w:rPr>
          <w:rFonts w:ascii="Arial" w:hAnsi="Arial" w:cs="Arial"/>
          <w:sz w:val="24"/>
          <w:szCs w:val="24"/>
        </w:rPr>
        <w:t>empleados</w:t>
      </w:r>
      <w:r>
        <w:rPr>
          <w:rFonts w:ascii="Arial" w:hAnsi="Arial" w:cs="Arial"/>
          <w:sz w:val="24"/>
          <w:szCs w:val="24"/>
        </w:rPr>
        <w:t xml:space="preserve"> por las entidades responsables</w:t>
      </w:r>
      <w:r w:rsidR="00566041">
        <w:rPr>
          <w:rFonts w:ascii="Arial" w:hAnsi="Arial" w:cs="Arial"/>
          <w:sz w:val="24"/>
          <w:szCs w:val="24"/>
        </w:rPr>
        <w:t>, son similares?</w:t>
      </w:r>
    </w:p>
    <w:p w:rsidR="00B00D85" w:rsidRDefault="00B00D85" w:rsidP="00B0513D">
      <w:pPr>
        <w:spacing w:line="360" w:lineRule="auto"/>
        <w:jc w:val="both"/>
        <w:rPr>
          <w:rFonts w:ascii="Arial" w:hAnsi="Arial" w:cs="Arial"/>
          <w:sz w:val="24"/>
          <w:szCs w:val="24"/>
        </w:rPr>
      </w:pPr>
    </w:p>
    <w:p w:rsidR="00490EE0" w:rsidRDefault="00490EE0" w:rsidP="00B0513D">
      <w:pPr>
        <w:spacing w:line="360" w:lineRule="auto"/>
        <w:jc w:val="both"/>
        <w:rPr>
          <w:rFonts w:ascii="Arial" w:hAnsi="Arial" w:cs="Arial"/>
          <w:sz w:val="24"/>
          <w:szCs w:val="24"/>
        </w:rPr>
      </w:pPr>
      <w:r>
        <w:rPr>
          <w:rFonts w:ascii="Arial" w:hAnsi="Arial" w:cs="Arial"/>
          <w:sz w:val="24"/>
          <w:szCs w:val="24"/>
        </w:rPr>
        <w:t>Trazado lo anterior, en el capítulo cuarto</w:t>
      </w:r>
      <w:r w:rsidR="00CF3265">
        <w:rPr>
          <w:rFonts w:ascii="Arial" w:hAnsi="Arial" w:cs="Arial"/>
          <w:sz w:val="24"/>
          <w:szCs w:val="24"/>
        </w:rPr>
        <w:t xml:space="preserve"> </w:t>
      </w:r>
      <w:r>
        <w:rPr>
          <w:rFonts w:ascii="Arial" w:hAnsi="Arial" w:cs="Arial"/>
          <w:sz w:val="24"/>
          <w:szCs w:val="24"/>
        </w:rPr>
        <w:t xml:space="preserve">presentaremos los </w:t>
      </w:r>
      <w:r w:rsidR="00CF3265">
        <w:rPr>
          <w:rFonts w:ascii="Arial" w:hAnsi="Arial" w:cs="Arial"/>
          <w:sz w:val="24"/>
          <w:szCs w:val="24"/>
        </w:rPr>
        <w:t xml:space="preserve">datos y elementos </w:t>
      </w:r>
      <w:r>
        <w:rPr>
          <w:rFonts w:ascii="Arial" w:hAnsi="Arial" w:cs="Arial"/>
          <w:sz w:val="24"/>
          <w:szCs w:val="24"/>
        </w:rPr>
        <w:t xml:space="preserve">técnicos </w:t>
      </w:r>
      <w:r w:rsidR="00CF3265">
        <w:rPr>
          <w:rFonts w:ascii="Arial" w:hAnsi="Arial" w:cs="Arial"/>
          <w:sz w:val="24"/>
          <w:szCs w:val="24"/>
        </w:rPr>
        <w:t>de la Fiscalización empleados por</w:t>
      </w:r>
      <w:r w:rsidR="00566041">
        <w:rPr>
          <w:rFonts w:ascii="Arial" w:hAnsi="Arial" w:cs="Arial"/>
          <w:sz w:val="24"/>
          <w:szCs w:val="24"/>
        </w:rPr>
        <w:t xml:space="preserve"> los órganos de fiscalización</w:t>
      </w:r>
      <w:r w:rsidR="00CF3265">
        <w:rPr>
          <w:rFonts w:ascii="Arial" w:hAnsi="Arial" w:cs="Arial"/>
          <w:sz w:val="24"/>
          <w:szCs w:val="24"/>
        </w:rPr>
        <w:t>, para las elecciones que refer</w:t>
      </w:r>
      <w:r w:rsidR="00566041">
        <w:rPr>
          <w:rFonts w:ascii="Arial" w:hAnsi="Arial" w:cs="Arial"/>
          <w:sz w:val="24"/>
          <w:szCs w:val="24"/>
        </w:rPr>
        <w:t>imos en el contenido</w:t>
      </w:r>
      <w:r w:rsidR="00CF3265">
        <w:rPr>
          <w:rFonts w:ascii="Arial" w:hAnsi="Arial" w:cs="Arial"/>
          <w:sz w:val="24"/>
          <w:szCs w:val="24"/>
        </w:rPr>
        <w:t>, en el caso del Estado de México, además en base a la construcción de diversos cuadros explicativos pretendemos dar respuesta a las hipótesis planteadas.</w:t>
      </w:r>
    </w:p>
    <w:p w:rsidR="00B00D85" w:rsidRPr="00F43147" w:rsidRDefault="00B00D85" w:rsidP="00B0513D">
      <w:pPr>
        <w:spacing w:line="360" w:lineRule="auto"/>
        <w:jc w:val="both"/>
        <w:rPr>
          <w:rFonts w:ascii="Arial" w:hAnsi="Arial" w:cs="Arial"/>
          <w:sz w:val="24"/>
          <w:szCs w:val="24"/>
        </w:rPr>
      </w:pPr>
    </w:p>
    <w:p w:rsidR="00B00D85" w:rsidRPr="00CF3265" w:rsidRDefault="00B00D85" w:rsidP="00B00D85">
      <w:pPr>
        <w:spacing w:line="360" w:lineRule="auto"/>
        <w:jc w:val="both"/>
        <w:rPr>
          <w:rFonts w:ascii="Arial" w:hAnsi="Arial" w:cs="Arial"/>
          <w:sz w:val="24"/>
          <w:szCs w:val="24"/>
        </w:rPr>
      </w:pPr>
      <w:r w:rsidRPr="00CF3265">
        <w:rPr>
          <w:rFonts w:ascii="Arial" w:hAnsi="Arial" w:cs="Arial"/>
          <w:sz w:val="24"/>
          <w:szCs w:val="24"/>
        </w:rPr>
        <w:t xml:space="preserve">En cada capítulo se presenta la bibliografía consultada y finalmente se tiene una sección de tablas consultadas, elaboradas y anexos. </w:t>
      </w:r>
    </w:p>
    <w:p w:rsidR="00CF3265" w:rsidRPr="00CF3265" w:rsidRDefault="00CF3265" w:rsidP="00CF3265">
      <w:pPr>
        <w:spacing w:line="360" w:lineRule="auto"/>
        <w:jc w:val="both"/>
        <w:rPr>
          <w:rFonts w:ascii="Arial" w:hAnsi="Arial" w:cs="Arial"/>
          <w:sz w:val="24"/>
          <w:szCs w:val="24"/>
        </w:rPr>
      </w:pPr>
    </w:p>
    <w:p w:rsidR="00B0513D" w:rsidRDefault="00B0513D" w:rsidP="00CF3265">
      <w:pPr>
        <w:spacing w:line="360" w:lineRule="auto"/>
        <w:jc w:val="both"/>
        <w:rPr>
          <w:rFonts w:ascii="Arial" w:hAnsi="Arial" w:cs="Arial"/>
          <w:sz w:val="24"/>
          <w:szCs w:val="24"/>
        </w:rPr>
      </w:pPr>
      <w:r w:rsidRPr="00CF3265">
        <w:rPr>
          <w:rFonts w:ascii="Arial" w:hAnsi="Arial" w:cs="Arial"/>
          <w:sz w:val="24"/>
          <w:szCs w:val="24"/>
        </w:rPr>
        <w:t>En el último apartado, se redactan de manera sucinta las conclusiones a las que llegamos</w:t>
      </w:r>
      <w:r w:rsidR="00992363">
        <w:rPr>
          <w:rFonts w:ascii="Arial" w:hAnsi="Arial" w:cs="Arial"/>
          <w:sz w:val="24"/>
          <w:szCs w:val="24"/>
        </w:rPr>
        <w:t>, considerando sin duda que dan sentido a la investigación, al ser un diagnóstico en sí</w:t>
      </w:r>
      <w:r w:rsidR="00B00D85">
        <w:rPr>
          <w:rFonts w:ascii="Arial" w:hAnsi="Arial" w:cs="Arial"/>
          <w:sz w:val="24"/>
          <w:szCs w:val="24"/>
        </w:rPr>
        <w:t>,</w:t>
      </w:r>
      <w:r w:rsidR="00992363">
        <w:rPr>
          <w:rFonts w:ascii="Arial" w:hAnsi="Arial" w:cs="Arial"/>
          <w:sz w:val="24"/>
          <w:szCs w:val="24"/>
        </w:rPr>
        <w:t xml:space="preserve"> de la Fiscalización </w:t>
      </w:r>
      <w:r w:rsidR="00B00D85">
        <w:rPr>
          <w:rFonts w:ascii="Arial" w:hAnsi="Arial" w:cs="Arial"/>
          <w:sz w:val="24"/>
          <w:szCs w:val="24"/>
        </w:rPr>
        <w:t>que se realiza hoy en día en la entidad a través del IEEM y a nivel federal mediante el INE.</w:t>
      </w:r>
    </w:p>
    <w:p w:rsidR="00B00D85" w:rsidRDefault="00B00D85" w:rsidP="00CF3265">
      <w:pPr>
        <w:spacing w:line="360" w:lineRule="auto"/>
        <w:jc w:val="both"/>
        <w:rPr>
          <w:rFonts w:ascii="Arial" w:hAnsi="Arial" w:cs="Arial"/>
          <w:sz w:val="24"/>
          <w:szCs w:val="24"/>
        </w:rPr>
      </w:pPr>
    </w:p>
    <w:p w:rsidR="00B00D85" w:rsidRPr="00CF3265" w:rsidRDefault="00B00D85" w:rsidP="00CF3265">
      <w:pPr>
        <w:spacing w:line="360" w:lineRule="auto"/>
        <w:jc w:val="both"/>
        <w:rPr>
          <w:rFonts w:ascii="Arial" w:hAnsi="Arial" w:cs="Arial"/>
          <w:sz w:val="24"/>
          <w:szCs w:val="24"/>
        </w:rPr>
      </w:pPr>
      <w:r>
        <w:rPr>
          <w:rFonts w:ascii="Arial" w:hAnsi="Arial" w:cs="Arial"/>
          <w:sz w:val="24"/>
          <w:szCs w:val="24"/>
        </w:rPr>
        <w:t>Esperamos que este esfuerzo contribuya al análisis y discusión de los procesos, mecanismo y políticas encaminadas al fortalecimiento de la transparencia en la rendición de cuentas, de cara a la consolidación de la democracia.</w:t>
      </w:r>
    </w:p>
    <w:p w:rsidR="00873CFD" w:rsidRDefault="00873CFD" w:rsidP="00873CFD">
      <w:pPr>
        <w:rPr>
          <w:rFonts w:ascii="Arial" w:hAnsi="Arial" w:cs="Arial"/>
          <w:b/>
          <w:sz w:val="24"/>
          <w:szCs w:val="24"/>
        </w:rPr>
      </w:pPr>
    </w:p>
    <w:p w:rsidR="00A256AB" w:rsidRPr="00A85D78" w:rsidRDefault="00A256AB" w:rsidP="00566041">
      <w:pPr>
        <w:spacing w:line="360" w:lineRule="auto"/>
        <w:jc w:val="center"/>
        <w:rPr>
          <w:rFonts w:ascii="Arial" w:hAnsi="Arial" w:cs="Arial"/>
          <w:b/>
          <w:sz w:val="24"/>
          <w:szCs w:val="24"/>
        </w:rPr>
      </w:pPr>
      <w:r w:rsidRPr="00A85D78">
        <w:rPr>
          <w:rFonts w:ascii="Arial" w:hAnsi="Arial" w:cs="Arial"/>
          <w:b/>
          <w:sz w:val="24"/>
          <w:szCs w:val="24"/>
        </w:rPr>
        <w:lastRenderedPageBreak/>
        <w:t>CAP</w:t>
      </w:r>
      <w:r w:rsidR="00423176" w:rsidRPr="00A85D78">
        <w:rPr>
          <w:rFonts w:ascii="Arial" w:hAnsi="Arial" w:cs="Arial"/>
          <w:b/>
          <w:sz w:val="24"/>
          <w:szCs w:val="24"/>
        </w:rPr>
        <w:t>Í</w:t>
      </w:r>
      <w:r w:rsidRPr="00A85D78">
        <w:rPr>
          <w:rFonts w:ascii="Arial" w:hAnsi="Arial" w:cs="Arial"/>
          <w:b/>
          <w:sz w:val="24"/>
          <w:szCs w:val="24"/>
        </w:rPr>
        <w:t>TULO 1. CONTEXTO HIST</w:t>
      </w:r>
      <w:r w:rsidR="00423176" w:rsidRPr="00A85D78">
        <w:rPr>
          <w:rFonts w:ascii="Arial" w:hAnsi="Arial" w:cs="Arial"/>
          <w:b/>
          <w:sz w:val="24"/>
          <w:szCs w:val="24"/>
        </w:rPr>
        <w:t>Ó</w:t>
      </w:r>
      <w:r w:rsidRPr="00A85D78">
        <w:rPr>
          <w:rFonts w:ascii="Arial" w:hAnsi="Arial" w:cs="Arial"/>
          <w:b/>
          <w:sz w:val="24"/>
          <w:szCs w:val="24"/>
        </w:rPr>
        <w:t>RICO DE LA FISCALIZACIÓN</w:t>
      </w:r>
    </w:p>
    <w:p w:rsidR="00A256AB" w:rsidRPr="00A85D78" w:rsidRDefault="00A256AB"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El estudio de la fiscalización de partidos políticos es un tema relativamente reciente, afectado en gran parte por la creación del Instituto Nacional Electoral (INE) y su atribución de fiscalizar los procesos electorales locales; por lo </w:t>
      </w:r>
      <w:proofErr w:type="gramStart"/>
      <w:r w:rsidRPr="00A85D78">
        <w:rPr>
          <w:rFonts w:ascii="Arial" w:hAnsi="Arial" w:cs="Arial"/>
          <w:sz w:val="24"/>
          <w:szCs w:val="24"/>
        </w:rPr>
        <w:t>que</w:t>
      </w:r>
      <w:proofErr w:type="gramEnd"/>
      <w:r w:rsidRPr="00A85D78">
        <w:rPr>
          <w:rFonts w:ascii="Arial" w:hAnsi="Arial" w:cs="Arial"/>
          <w:sz w:val="24"/>
          <w:szCs w:val="24"/>
        </w:rPr>
        <w:t xml:space="preserve"> a partir del año 2015, el nuevo modelo de fiscalización se encuentra presente en todas las entidades del país. El objetivo central de este capítulo es introducirnos al estudio de la fiscalización electoral abordando elementos indispensables para su análisis en la coyuntura actual en dos apartados.</w:t>
      </w:r>
    </w:p>
    <w:p w:rsidR="00566041" w:rsidRPr="00A85D78" w:rsidRDefault="00566041"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En primera instancia el lector tendrá un acercamiento con un elemento primordial de la fiscalización: el financiamiento de los partidos políticos; en este apartado daremos un recorrido por los tipos de financiamiento, sus ventajas, desventajas, características y por último la evolución del régimen de financiamiento en nuestro país. </w:t>
      </w:r>
    </w:p>
    <w:p w:rsidR="00566041" w:rsidRPr="00A85D78" w:rsidRDefault="00566041"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En el segundo apartado se abordará la teoría de la fiscalización, conociendo acerca de sus antecedentes en materia electoral a nivel mundial, los órganos fiscalizadores y la instauración de los modelos de fiscalización en México y el Estado de México. </w:t>
      </w:r>
    </w:p>
    <w:p w:rsidR="00566041" w:rsidRPr="00A85D78" w:rsidRDefault="00566041"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La democracia en México se ha venido consolidando con el paso de los años, poco a poco se han ido conformando los elementos suficientes para llevar a nuestro sistema político al estado en el que actualmente se encuentra, el proceso no ha sido sencillo, y si bien los avances han sido lentos, en nuestros días la democracia cuenta con cimientos sólidos para evolucionar acorde a las exigencias coyunturales que se presenten.</w:t>
      </w:r>
    </w:p>
    <w:p w:rsidR="00566041" w:rsidRPr="00A85D78" w:rsidRDefault="00566041" w:rsidP="00566041">
      <w:pPr>
        <w:spacing w:line="360" w:lineRule="auto"/>
        <w:jc w:val="both"/>
        <w:rPr>
          <w:rFonts w:ascii="Arial" w:hAnsi="Arial" w:cs="Arial"/>
          <w:sz w:val="24"/>
          <w:szCs w:val="24"/>
        </w:rPr>
      </w:pPr>
    </w:p>
    <w:p w:rsidR="00A256AB" w:rsidRPr="00A85D78"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El pilar fundamental de nuestra democracia es el andamiaje institucional que se ha venido conformando con el transcurso de los años, producto del legado que las experiencias de los procesos electorales instauran en la agenda legislativa. A partir de 1977 a nuestros días se han llevado a </w:t>
      </w:r>
      <w:r w:rsidR="00600C69" w:rsidRPr="00A85D78">
        <w:rPr>
          <w:rFonts w:ascii="Arial" w:hAnsi="Arial" w:cs="Arial"/>
          <w:sz w:val="24"/>
          <w:szCs w:val="24"/>
        </w:rPr>
        <w:t>cabo siete</w:t>
      </w:r>
      <w:r w:rsidRPr="00A85D78">
        <w:rPr>
          <w:rFonts w:ascii="Arial" w:hAnsi="Arial" w:cs="Arial"/>
          <w:sz w:val="24"/>
          <w:szCs w:val="24"/>
        </w:rPr>
        <w:t xml:space="preserve"> reformas electorales, que han modificado de forma sustancial nuestro sistema democrático.</w:t>
      </w: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lastRenderedPageBreak/>
        <w:t>Con la implementación de las reformas se ha pasado de elecciones poco competitivas a escenarios de suma competencia donde todos los partidos cuentan con los mismos elementos para poder competir y obtener el triunfo en las urnas. Se transitó de un sistema de partido hegemónico a un sistema pluripartidista, en el que incluso ya no únicamente los partidos pueden postular candidatos, sino que ahora ya los ciudadanos pueden hacerlo de forma independiente, los órganos electorales hace muchos años que gozan de una total autonomía respecto del Estado, y se cuenta con instituciones en el seno del poder judicial a las cuales acudir en caso de que alguno de nuestros derechos político-electorales haya sido vulnerado.</w:t>
      </w:r>
    </w:p>
    <w:p w:rsidR="00566041" w:rsidRPr="00A85D78" w:rsidRDefault="00566041" w:rsidP="00566041">
      <w:pPr>
        <w:spacing w:line="360" w:lineRule="auto"/>
        <w:jc w:val="both"/>
        <w:rPr>
          <w:rFonts w:ascii="Arial" w:hAnsi="Arial" w:cs="Arial"/>
          <w:sz w:val="24"/>
          <w:szCs w:val="24"/>
        </w:rPr>
      </w:pPr>
    </w:p>
    <w:p w:rsidR="00566041"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El sistema político de acuerdo con </w:t>
      </w:r>
      <w:proofErr w:type="spellStart"/>
      <w:r w:rsidRPr="00A85D78">
        <w:rPr>
          <w:rFonts w:ascii="Arial" w:hAnsi="Arial" w:cs="Arial"/>
          <w:sz w:val="24"/>
          <w:szCs w:val="24"/>
        </w:rPr>
        <w:t>Schumpter</w:t>
      </w:r>
      <w:proofErr w:type="spellEnd"/>
      <w:r w:rsidRPr="00A85D78">
        <w:rPr>
          <w:rFonts w:ascii="Arial" w:hAnsi="Arial" w:cs="Arial"/>
          <w:sz w:val="24"/>
          <w:szCs w:val="24"/>
        </w:rPr>
        <w:t xml:space="preserve"> es “la ordenación institucional establecida para llegar a la adopción de decisiones políticas, por la que algunos individuos, adquieren el poder de decidir a través de una lucha competitiva, por el voto del pueblo” (</w:t>
      </w:r>
      <w:proofErr w:type="spellStart"/>
      <w:r w:rsidRPr="00A85D78">
        <w:rPr>
          <w:rFonts w:ascii="Arial" w:hAnsi="Arial" w:cs="Arial"/>
          <w:sz w:val="24"/>
          <w:szCs w:val="24"/>
        </w:rPr>
        <w:t>Schumpter</w:t>
      </w:r>
      <w:proofErr w:type="spellEnd"/>
      <w:r w:rsidRPr="00A85D78">
        <w:rPr>
          <w:rFonts w:ascii="Arial" w:hAnsi="Arial" w:cs="Arial"/>
          <w:sz w:val="24"/>
          <w:szCs w:val="24"/>
        </w:rPr>
        <w:t xml:space="preserve">, 1942: 269). Esta lucha competitiva se </w:t>
      </w:r>
      <w:r w:rsidR="00566041">
        <w:rPr>
          <w:rFonts w:ascii="Arial" w:hAnsi="Arial" w:cs="Arial"/>
          <w:sz w:val="24"/>
          <w:szCs w:val="24"/>
        </w:rPr>
        <w:t>fundamenta</w:t>
      </w:r>
      <w:r w:rsidRPr="00A85D78">
        <w:rPr>
          <w:rFonts w:ascii="Arial" w:hAnsi="Arial" w:cs="Arial"/>
          <w:sz w:val="24"/>
          <w:szCs w:val="24"/>
        </w:rPr>
        <w:t xml:space="preserve"> en la igualdad de condiciones entre los participantes y nuestra democracia al día de hoy lucha por garantizar esta igualdad de circunstancias.</w:t>
      </w:r>
    </w:p>
    <w:p w:rsidR="00A256AB" w:rsidRPr="00A85D78"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 </w:t>
      </w: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Uno de los aspectos que en los últimos años ha alcanzado notoriedad debido a su relevancia es la fiscalización de los recursos de los partidos políticos; este tema fue eje toral de la última reforma electoral del año 2014, y a 4 años de la implementación del nuevo modelo de fiscalización electoral, es pertinente analizar los resultados de su aplicación en los procesos electorales locales, particularmente en el Estado de México.</w:t>
      </w:r>
    </w:p>
    <w:p w:rsidR="00566041" w:rsidRPr="00A85D78" w:rsidRDefault="00566041"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Antes de introducirnos en el análisis de la mater</w:t>
      </w:r>
      <w:r w:rsidR="00423176" w:rsidRPr="00A85D78">
        <w:rPr>
          <w:rFonts w:ascii="Arial" w:hAnsi="Arial" w:cs="Arial"/>
          <w:sz w:val="24"/>
          <w:szCs w:val="24"/>
        </w:rPr>
        <w:t>ia</w:t>
      </w:r>
      <w:r w:rsidRPr="00A85D78">
        <w:rPr>
          <w:rFonts w:ascii="Arial" w:hAnsi="Arial" w:cs="Arial"/>
          <w:sz w:val="24"/>
          <w:szCs w:val="24"/>
        </w:rPr>
        <w:t xml:space="preserve"> que nos ocupa es preciso abordar el tema del financiamiento a partidos políticos punto de partida para la fiscalización electoral, decidimos situar en este capítulo en primer término el financiamiento a partidos políticos, ya que es a partir de que los partidos se allegan de recursos públicos y privados que se desprende la necesidad de establecer mecanismos de control como la fiscalización, tema a desarrollar posteriormente.</w:t>
      </w:r>
    </w:p>
    <w:p w:rsidR="00566041" w:rsidRPr="00A85D78" w:rsidRDefault="00566041" w:rsidP="00566041">
      <w:pPr>
        <w:spacing w:line="360" w:lineRule="auto"/>
        <w:jc w:val="both"/>
        <w:rPr>
          <w:rFonts w:ascii="Arial" w:hAnsi="Arial" w:cs="Arial"/>
          <w:sz w:val="24"/>
          <w:szCs w:val="24"/>
        </w:rPr>
      </w:pPr>
    </w:p>
    <w:p w:rsidR="00A256AB" w:rsidRPr="00566041" w:rsidRDefault="00A256AB" w:rsidP="00FA50A9">
      <w:pPr>
        <w:pStyle w:val="Prrafodelista"/>
        <w:numPr>
          <w:ilvl w:val="1"/>
          <w:numId w:val="89"/>
        </w:numPr>
        <w:spacing w:line="360" w:lineRule="auto"/>
        <w:jc w:val="both"/>
        <w:rPr>
          <w:rFonts w:ascii="Arial" w:hAnsi="Arial" w:cs="Arial"/>
          <w:b/>
          <w:sz w:val="24"/>
          <w:szCs w:val="24"/>
        </w:rPr>
      </w:pPr>
      <w:r w:rsidRPr="00566041">
        <w:rPr>
          <w:rFonts w:ascii="Arial" w:hAnsi="Arial" w:cs="Arial"/>
          <w:b/>
          <w:sz w:val="24"/>
          <w:szCs w:val="24"/>
        </w:rPr>
        <w:lastRenderedPageBreak/>
        <w:t xml:space="preserve">El </w:t>
      </w:r>
      <w:r w:rsidR="003D1A3D">
        <w:rPr>
          <w:rFonts w:ascii="Arial" w:hAnsi="Arial" w:cs="Arial"/>
          <w:b/>
          <w:sz w:val="24"/>
          <w:szCs w:val="24"/>
        </w:rPr>
        <w:t>f</w:t>
      </w:r>
      <w:r w:rsidRPr="00566041">
        <w:rPr>
          <w:rFonts w:ascii="Arial" w:hAnsi="Arial" w:cs="Arial"/>
          <w:b/>
          <w:sz w:val="24"/>
          <w:szCs w:val="24"/>
        </w:rPr>
        <w:t xml:space="preserve">inanciamiento a </w:t>
      </w:r>
      <w:r w:rsidR="003D1A3D">
        <w:rPr>
          <w:rFonts w:ascii="Arial" w:hAnsi="Arial" w:cs="Arial"/>
          <w:b/>
          <w:sz w:val="24"/>
          <w:szCs w:val="24"/>
        </w:rPr>
        <w:t>p</w:t>
      </w:r>
      <w:r w:rsidRPr="00566041">
        <w:rPr>
          <w:rFonts w:ascii="Arial" w:hAnsi="Arial" w:cs="Arial"/>
          <w:b/>
          <w:sz w:val="24"/>
          <w:szCs w:val="24"/>
        </w:rPr>
        <w:t xml:space="preserve">artidos </w:t>
      </w:r>
      <w:r w:rsidR="003D1A3D">
        <w:rPr>
          <w:rFonts w:ascii="Arial" w:hAnsi="Arial" w:cs="Arial"/>
          <w:b/>
          <w:sz w:val="24"/>
          <w:szCs w:val="24"/>
        </w:rPr>
        <w:t>p</w:t>
      </w:r>
      <w:r w:rsidRPr="00566041">
        <w:rPr>
          <w:rFonts w:ascii="Arial" w:hAnsi="Arial" w:cs="Arial"/>
          <w:b/>
          <w:sz w:val="24"/>
          <w:szCs w:val="24"/>
        </w:rPr>
        <w:t xml:space="preserve">olíticos como punto de partida de la </w:t>
      </w:r>
      <w:r w:rsidR="003D1A3D">
        <w:rPr>
          <w:rFonts w:ascii="Arial" w:hAnsi="Arial" w:cs="Arial"/>
          <w:b/>
          <w:sz w:val="24"/>
          <w:szCs w:val="24"/>
        </w:rPr>
        <w:t>f</w:t>
      </w:r>
      <w:r w:rsidRPr="00566041">
        <w:rPr>
          <w:rFonts w:ascii="Arial" w:hAnsi="Arial" w:cs="Arial"/>
          <w:b/>
          <w:sz w:val="24"/>
          <w:szCs w:val="24"/>
        </w:rPr>
        <w:t xml:space="preserve">iscalización </w:t>
      </w:r>
      <w:r w:rsidR="003D1A3D">
        <w:rPr>
          <w:rFonts w:ascii="Arial" w:hAnsi="Arial" w:cs="Arial"/>
          <w:b/>
          <w:sz w:val="24"/>
          <w:szCs w:val="24"/>
        </w:rPr>
        <w:t>e</w:t>
      </w:r>
      <w:r w:rsidRPr="00566041">
        <w:rPr>
          <w:rFonts w:ascii="Arial" w:hAnsi="Arial" w:cs="Arial"/>
          <w:b/>
          <w:sz w:val="24"/>
          <w:szCs w:val="24"/>
        </w:rPr>
        <w:t>lectoral.</w:t>
      </w: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La finalidad de la fiscalización electoral es realizar una revisión profunda de los recursos ejercidos por los partidos políticos; la necesidad de auditar el ejercicio de estos recursos surge a raíz del otorgamiento a los partidos de dinero proveniente del erario público y posteriormente de los recursos recibidos de fuentes privadas, es decir de su financiamiento.</w:t>
      </w:r>
    </w:p>
    <w:p w:rsidR="00566041" w:rsidRPr="00A85D78" w:rsidRDefault="00566041" w:rsidP="00566041">
      <w:pPr>
        <w:spacing w:line="360" w:lineRule="auto"/>
        <w:jc w:val="both"/>
        <w:rPr>
          <w:rFonts w:ascii="Arial" w:hAnsi="Arial" w:cs="Arial"/>
          <w:sz w:val="24"/>
          <w:szCs w:val="24"/>
        </w:rPr>
      </w:pPr>
    </w:p>
    <w:p w:rsidR="00A256AB" w:rsidRDefault="00A256AB" w:rsidP="00566041">
      <w:pPr>
        <w:spacing w:line="360" w:lineRule="auto"/>
        <w:jc w:val="both"/>
        <w:rPr>
          <w:rFonts w:ascii="Arial" w:hAnsi="Arial" w:cs="Arial"/>
          <w:sz w:val="24"/>
          <w:szCs w:val="24"/>
        </w:rPr>
      </w:pPr>
      <w:r w:rsidRPr="00A85D78">
        <w:rPr>
          <w:rFonts w:ascii="Arial" w:hAnsi="Arial" w:cs="Arial"/>
          <w:sz w:val="24"/>
          <w:szCs w:val="24"/>
        </w:rPr>
        <w:t>Los primeros países en introducir el financiamiento a partidos políticos fueron Uruguay en 1928, Italia en 1947, Alemania y Costa Rica en 1949. Una de las principales razones para su introducción “ha sido la convicción de que los partidos políticos juegan un papel trascendental en los sistemas democráticos representativos, por lo que el Estado debe asegurar que ellos dispongan del apoyo y los recursos necesarios para su funcionamiento ordinario y/o electoral, y para su institucionalización y fortalecimiento democrático”. (</w:t>
      </w:r>
      <w:proofErr w:type="spellStart"/>
      <w:r w:rsidRPr="00A85D78">
        <w:rPr>
          <w:rFonts w:ascii="Arial" w:hAnsi="Arial" w:cs="Arial"/>
          <w:sz w:val="24"/>
          <w:szCs w:val="24"/>
        </w:rPr>
        <w:t>Griner</w:t>
      </w:r>
      <w:proofErr w:type="spellEnd"/>
      <w:r w:rsidRPr="00A85D78">
        <w:rPr>
          <w:rFonts w:ascii="Arial" w:hAnsi="Arial" w:cs="Arial"/>
          <w:sz w:val="24"/>
          <w:szCs w:val="24"/>
        </w:rPr>
        <w:t xml:space="preserve"> y </w:t>
      </w:r>
      <w:proofErr w:type="spellStart"/>
      <w:r w:rsidRPr="00A85D78">
        <w:rPr>
          <w:rFonts w:ascii="Arial" w:hAnsi="Arial" w:cs="Arial"/>
          <w:sz w:val="24"/>
          <w:szCs w:val="24"/>
        </w:rPr>
        <w:t>Zovatto</w:t>
      </w:r>
      <w:proofErr w:type="spellEnd"/>
      <w:r w:rsidRPr="00A85D78">
        <w:rPr>
          <w:rFonts w:ascii="Arial" w:hAnsi="Arial" w:cs="Arial"/>
          <w:sz w:val="24"/>
          <w:szCs w:val="24"/>
        </w:rPr>
        <w:t>, 2004: 309).</w:t>
      </w:r>
    </w:p>
    <w:p w:rsidR="00566041" w:rsidRPr="00A85D78" w:rsidRDefault="00566041" w:rsidP="00566041">
      <w:pPr>
        <w:spacing w:line="360" w:lineRule="auto"/>
        <w:jc w:val="both"/>
        <w:rPr>
          <w:rFonts w:ascii="Arial" w:hAnsi="Arial" w:cs="Arial"/>
          <w:sz w:val="24"/>
          <w:szCs w:val="24"/>
        </w:rPr>
      </w:pPr>
    </w:p>
    <w:p w:rsidR="00A256AB" w:rsidRPr="00A85D78"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En palabras de </w:t>
      </w:r>
      <w:proofErr w:type="spellStart"/>
      <w:r w:rsidRPr="00A85D78">
        <w:rPr>
          <w:rFonts w:ascii="Arial" w:hAnsi="Arial" w:cs="Arial"/>
          <w:sz w:val="24"/>
          <w:szCs w:val="24"/>
        </w:rPr>
        <w:t>Koole</w:t>
      </w:r>
      <w:proofErr w:type="spellEnd"/>
      <w:r w:rsidRPr="00A85D78">
        <w:rPr>
          <w:rFonts w:ascii="Arial" w:hAnsi="Arial" w:cs="Arial"/>
          <w:sz w:val="24"/>
          <w:szCs w:val="24"/>
        </w:rPr>
        <w:t xml:space="preserve">, citado por </w:t>
      </w:r>
      <w:proofErr w:type="spellStart"/>
      <w:r w:rsidRPr="00A85D78">
        <w:rPr>
          <w:rFonts w:ascii="Arial" w:hAnsi="Arial" w:cs="Arial"/>
          <w:sz w:val="24"/>
          <w:szCs w:val="24"/>
        </w:rPr>
        <w:t>Wolde</w:t>
      </w:r>
      <w:r w:rsidR="00423176" w:rsidRPr="00A85D78">
        <w:rPr>
          <w:rFonts w:ascii="Arial" w:hAnsi="Arial" w:cs="Arial"/>
          <w:sz w:val="24"/>
          <w:szCs w:val="24"/>
        </w:rPr>
        <w:t>n</w:t>
      </w:r>
      <w:r w:rsidRPr="00A85D78">
        <w:rPr>
          <w:rFonts w:ascii="Arial" w:hAnsi="Arial" w:cs="Arial"/>
          <w:sz w:val="24"/>
          <w:szCs w:val="24"/>
        </w:rPr>
        <w:t>berg</w:t>
      </w:r>
      <w:proofErr w:type="spellEnd"/>
      <w:r w:rsidRPr="00A85D78">
        <w:rPr>
          <w:rFonts w:ascii="Arial" w:hAnsi="Arial" w:cs="Arial"/>
          <w:sz w:val="24"/>
          <w:szCs w:val="24"/>
        </w:rPr>
        <w:t xml:space="preserve"> (2003):</w:t>
      </w:r>
    </w:p>
    <w:p w:rsidR="00A256AB" w:rsidRDefault="00A256AB" w:rsidP="00566041">
      <w:pPr>
        <w:spacing w:line="360" w:lineRule="auto"/>
        <w:ind w:left="709"/>
        <w:jc w:val="both"/>
        <w:rPr>
          <w:rFonts w:ascii="Arial" w:hAnsi="Arial" w:cs="Arial"/>
          <w:sz w:val="24"/>
          <w:szCs w:val="24"/>
        </w:rPr>
      </w:pPr>
      <w:r w:rsidRPr="00A85D78">
        <w:rPr>
          <w:rFonts w:ascii="Arial" w:hAnsi="Arial" w:cs="Arial"/>
          <w:sz w:val="24"/>
          <w:szCs w:val="24"/>
        </w:rPr>
        <w:t>“la financiación de los partidos políticos se justifica por la necesidad de que tanto partidos como candidatos, puedan contar con los medios necesarios para poder competir en temporadas electorales (periódicas), y poder obtener o retener representación en los poderes políticos (especialmente el poder ejecutivo y el poder legislativo) y, que en épocas de inactividad electoral, los partidos puedan mantener su estructura y su organización” (citado en Rosales, 2012: 99) o dicho de otro modo el propósito del financiamiento público es garantizar un nivel de recursos suficiente para que la competencia electoral sea eso: una competencia entre distintas opciones con oportunidades reales de conquistar gobiernos o espacios de representación parlamentaria y no un ritual con ganadores y perdedores predeterminados” (pág. 21).</w:t>
      </w:r>
    </w:p>
    <w:p w:rsidR="00566041" w:rsidRPr="00A85D78" w:rsidRDefault="00566041" w:rsidP="00566041">
      <w:pPr>
        <w:spacing w:line="360" w:lineRule="auto"/>
        <w:ind w:left="709"/>
        <w:jc w:val="both"/>
        <w:rPr>
          <w:rFonts w:ascii="Arial" w:hAnsi="Arial" w:cs="Arial"/>
          <w:sz w:val="24"/>
          <w:szCs w:val="24"/>
        </w:rPr>
      </w:pPr>
    </w:p>
    <w:p w:rsidR="00A256AB" w:rsidRPr="00A85D78" w:rsidRDefault="00A256AB" w:rsidP="00566041">
      <w:pPr>
        <w:spacing w:line="360" w:lineRule="auto"/>
        <w:jc w:val="both"/>
        <w:rPr>
          <w:rFonts w:ascii="Arial" w:hAnsi="Arial" w:cs="Arial"/>
          <w:sz w:val="24"/>
          <w:szCs w:val="24"/>
        </w:rPr>
      </w:pPr>
      <w:r w:rsidRPr="00A85D78">
        <w:rPr>
          <w:rFonts w:ascii="Arial" w:hAnsi="Arial" w:cs="Arial"/>
          <w:sz w:val="24"/>
          <w:szCs w:val="24"/>
        </w:rPr>
        <w:t>De acuerdo con los estudiosos del financiamiento los modelos de este son principalmente tres:</w:t>
      </w:r>
    </w:p>
    <w:p w:rsidR="00A256AB" w:rsidRPr="00A85D78" w:rsidRDefault="00A256AB" w:rsidP="00566041">
      <w:pPr>
        <w:pStyle w:val="Prrafodelista"/>
        <w:numPr>
          <w:ilvl w:val="0"/>
          <w:numId w:val="1"/>
        </w:numPr>
        <w:spacing w:line="360" w:lineRule="auto"/>
        <w:jc w:val="both"/>
        <w:rPr>
          <w:rFonts w:ascii="Arial" w:hAnsi="Arial" w:cs="Arial"/>
          <w:sz w:val="24"/>
          <w:szCs w:val="24"/>
        </w:rPr>
      </w:pPr>
      <w:r w:rsidRPr="00566041">
        <w:rPr>
          <w:rFonts w:ascii="Arial" w:hAnsi="Arial" w:cs="Arial"/>
          <w:i/>
          <w:sz w:val="24"/>
          <w:szCs w:val="24"/>
        </w:rPr>
        <w:lastRenderedPageBreak/>
        <w:t>Público.</w:t>
      </w:r>
      <w:r w:rsidRPr="00A85D78">
        <w:rPr>
          <w:rFonts w:ascii="Arial" w:hAnsi="Arial" w:cs="Arial"/>
          <w:sz w:val="24"/>
          <w:szCs w:val="24"/>
        </w:rPr>
        <w:t xml:space="preserve"> Es aquel en el que el Estado otorga a los partidos recursos económicos, para que estos cumplan las funciones que la ley señalan. Puede otorgarse de forma directa (en efectivo mensual o anualmente) o indirecta (beneficios fiscales, tributarios, acceso gratuito a medios de comunicación, entre otros).</w:t>
      </w:r>
    </w:p>
    <w:p w:rsidR="00A256AB" w:rsidRPr="00A85D78" w:rsidRDefault="00A256AB" w:rsidP="00566041">
      <w:pPr>
        <w:pStyle w:val="Prrafodelista"/>
        <w:spacing w:line="360" w:lineRule="auto"/>
        <w:jc w:val="both"/>
        <w:rPr>
          <w:rFonts w:ascii="Arial" w:hAnsi="Arial" w:cs="Arial"/>
          <w:sz w:val="24"/>
          <w:szCs w:val="24"/>
        </w:rPr>
      </w:pPr>
    </w:p>
    <w:p w:rsidR="00A256AB" w:rsidRPr="00A85D78" w:rsidRDefault="00A256AB" w:rsidP="00566041">
      <w:pPr>
        <w:pStyle w:val="Prrafodelista"/>
        <w:numPr>
          <w:ilvl w:val="0"/>
          <w:numId w:val="1"/>
        </w:numPr>
        <w:spacing w:line="360" w:lineRule="auto"/>
        <w:jc w:val="both"/>
        <w:rPr>
          <w:rFonts w:ascii="Arial" w:hAnsi="Arial" w:cs="Arial"/>
          <w:sz w:val="24"/>
          <w:szCs w:val="24"/>
        </w:rPr>
      </w:pPr>
      <w:r w:rsidRPr="00566041">
        <w:rPr>
          <w:rFonts w:ascii="Arial" w:hAnsi="Arial" w:cs="Arial"/>
          <w:i/>
          <w:sz w:val="24"/>
          <w:szCs w:val="24"/>
        </w:rPr>
        <w:t xml:space="preserve">Privado. </w:t>
      </w:r>
      <w:r w:rsidRPr="00A85D78">
        <w:rPr>
          <w:rFonts w:ascii="Arial" w:hAnsi="Arial" w:cs="Arial"/>
          <w:sz w:val="24"/>
          <w:szCs w:val="24"/>
        </w:rPr>
        <w:t>Es el financiamiento proveniente de fuentes distintas al Estado, el mismo debe tener una procedencia lícita por ejemplo las aportaciones de militantes, simpatizantes y candidatos del partido político; préstamos o créditos de instituciones bancarias y en algunos países donaciones de grupos de interés como empresas mercantiles y sindicatos (en México está restringido el financiamiento proveniente de estas fuentes).</w:t>
      </w:r>
    </w:p>
    <w:p w:rsidR="00A256AB" w:rsidRPr="00A85D78" w:rsidRDefault="00A256AB" w:rsidP="00566041">
      <w:pPr>
        <w:pStyle w:val="Prrafodelista"/>
        <w:spacing w:line="360" w:lineRule="auto"/>
        <w:rPr>
          <w:rFonts w:ascii="Arial" w:hAnsi="Arial" w:cs="Arial"/>
          <w:sz w:val="24"/>
          <w:szCs w:val="24"/>
        </w:rPr>
      </w:pPr>
    </w:p>
    <w:p w:rsidR="00A256AB" w:rsidRPr="00A85D78" w:rsidRDefault="00A256AB" w:rsidP="00566041">
      <w:pPr>
        <w:pStyle w:val="Prrafodelista"/>
        <w:numPr>
          <w:ilvl w:val="0"/>
          <w:numId w:val="1"/>
        </w:numPr>
        <w:spacing w:line="360" w:lineRule="auto"/>
        <w:jc w:val="both"/>
        <w:rPr>
          <w:rFonts w:ascii="Arial" w:hAnsi="Arial" w:cs="Arial"/>
          <w:sz w:val="24"/>
          <w:szCs w:val="24"/>
        </w:rPr>
      </w:pPr>
      <w:r w:rsidRPr="00566041">
        <w:rPr>
          <w:rFonts w:ascii="Arial" w:hAnsi="Arial" w:cs="Arial"/>
          <w:i/>
          <w:sz w:val="24"/>
          <w:szCs w:val="24"/>
        </w:rPr>
        <w:t>Mixto.</w:t>
      </w:r>
      <w:r w:rsidRPr="00A85D78">
        <w:rPr>
          <w:rFonts w:ascii="Arial" w:hAnsi="Arial" w:cs="Arial"/>
          <w:sz w:val="24"/>
          <w:szCs w:val="24"/>
        </w:rPr>
        <w:t xml:space="preserve"> Es la combinación de los financiamientos público y privado, su finalidad es establecer un equilibrio entre ambos y por una parte evitar la dependencia de los partidos respecto del Estado, y el predominio de intereses particulares por parte de quienes realizan aportaciones a los partidos. </w:t>
      </w:r>
    </w:p>
    <w:p w:rsidR="00A256AB" w:rsidRPr="00A85D78" w:rsidRDefault="00A256AB" w:rsidP="00566041">
      <w:pPr>
        <w:pStyle w:val="Prrafodelista"/>
        <w:spacing w:line="360" w:lineRule="auto"/>
        <w:rPr>
          <w:rFonts w:ascii="Arial" w:hAnsi="Arial" w:cs="Arial"/>
          <w:sz w:val="24"/>
          <w:szCs w:val="24"/>
        </w:rPr>
      </w:pPr>
    </w:p>
    <w:p w:rsidR="00A256AB" w:rsidRPr="00A85D78" w:rsidRDefault="00A256AB" w:rsidP="00566041">
      <w:pPr>
        <w:spacing w:line="360" w:lineRule="auto"/>
        <w:jc w:val="both"/>
        <w:rPr>
          <w:rFonts w:ascii="Arial" w:hAnsi="Arial" w:cs="Arial"/>
          <w:sz w:val="24"/>
          <w:szCs w:val="24"/>
        </w:rPr>
      </w:pPr>
      <w:r w:rsidRPr="00A85D78">
        <w:rPr>
          <w:rFonts w:ascii="Arial" w:hAnsi="Arial" w:cs="Arial"/>
          <w:sz w:val="24"/>
          <w:szCs w:val="24"/>
        </w:rPr>
        <w:t xml:space="preserve">En la tabla 1.1, exponemos algunas de las principales y ventajas de los tipos de financiamiento más utilizados en los sistemas electorales del mundo como lo son el público y privado; cabe destacar </w:t>
      </w:r>
      <w:proofErr w:type="gramStart"/>
      <w:r w:rsidRPr="00A85D78">
        <w:rPr>
          <w:rFonts w:ascii="Arial" w:hAnsi="Arial" w:cs="Arial"/>
          <w:sz w:val="24"/>
          <w:szCs w:val="24"/>
        </w:rPr>
        <w:t>que</w:t>
      </w:r>
      <w:proofErr w:type="gramEnd"/>
      <w:r w:rsidRPr="00A85D78">
        <w:rPr>
          <w:rFonts w:ascii="Arial" w:hAnsi="Arial" w:cs="Arial"/>
          <w:sz w:val="24"/>
          <w:szCs w:val="24"/>
        </w:rPr>
        <w:t xml:space="preserve"> aunque existen países que optan ya sea por el financiamiento público o bien por el financiamiento privado, hay otros como es el caso de México, en que se utilizan ambos.</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566041" w:rsidP="00511785">
      <w:pPr>
        <w:rPr>
          <w:rFonts w:ascii="Arial" w:hAnsi="Arial" w:cs="Arial"/>
          <w:sz w:val="24"/>
          <w:szCs w:val="24"/>
        </w:rPr>
      </w:pPr>
      <w:r>
        <w:rPr>
          <w:rFonts w:ascii="Arial" w:hAnsi="Arial" w:cs="Arial"/>
          <w:sz w:val="24"/>
          <w:szCs w:val="24"/>
        </w:rPr>
        <w:br w:type="page"/>
      </w:r>
    </w:p>
    <w:p w:rsidR="00566041" w:rsidRDefault="00A256AB" w:rsidP="00566041">
      <w:pPr>
        <w:pStyle w:val="Sinespaciado"/>
        <w:ind w:left="1418" w:hanging="1418"/>
        <w:contextualSpacing/>
        <w:jc w:val="both"/>
        <w:rPr>
          <w:rStyle w:val="Ttulodellibro"/>
          <w:rFonts w:ascii="Arial" w:hAnsi="Arial" w:cs="Arial"/>
          <w:b/>
          <w:i/>
          <w:color w:val="auto"/>
          <w:sz w:val="20"/>
          <w:szCs w:val="20"/>
        </w:rPr>
      </w:pPr>
      <w:r w:rsidRPr="00566041">
        <w:rPr>
          <w:rStyle w:val="Ttulodellibro"/>
          <w:rFonts w:ascii="Arial" w:hAnsi="Arial" w:cs="Arial"/>
          <w:b/>
          <w:i/>
          <w:color w:val="auto"/>
          <w:sz w:val="20"/>
          <w:szCs w:val="20"/>
        </w:rPr>
        <w:lastRenderedPageBreak/>
        <w:t>Tabla 1.1 Ventajas y desventajas del financiamiento público y privado.</w:t>
      </w:r>
    </w:p>
    <w:p w:rsidR="00A256AB" w:rsidRPr="00566041" w:rsidRDefault="00A256AB" w:rsidP="00566041">
      <w:pPr>
        <w:pStyle w:val="Sinespaciado"/>
        <w:ind w:left="1418" w:hanging="1418"/>
        <w:contextualSpacing/>
        <w:jc w:val="both"/>
        <w:rPr>
          <w:rStyle w:val="Ttulodellibro"/>
          <w:rFonts w:ascii="Arial" w:hAnsi="Arial" w:cs="Arial"/>
          <w:b/>
          <w:i/>
          <w:color w:val="auto"/>
          <w:sz w:val="20"/>
          <w:szCs w:val="20"/>
        </w:rPr>
      </w:pPr>
      <w:r w:rsidRPr="00566041">
        <w:rPr>
          <w:rStyle w:val="Ttulodellibro"/>
          <w:rFonts w:ascii="Arial" w:hAnsi="Arial" w:cs="Arial"/>
          <w:b/>
          <w:i/>
          <w:color w:val="auto"/>
          <w:sz w:val="20"/>
          <w:szCs w:val="20"/>
        </w:rPr>
        <w:t xml:space="preserve"> </w:t>
      </w:r>
    </w:p>
    <w:tbl>
      <w:tblPr>
        <w:tblStyle w:val="Tablaconcuadrcula"/>
        <w:tblW w:w="8730" w:type="dxa"/>
        <w:tblLook w:val="04A0" w:firstRow="1" w:lastRow="0" w:firstColumn="1" w:lastColumn="0" w:noHBand="0" w:noVBand="1"/>
      </w:tblPr>
      <w:tblGrid>
        <w:gridCol w:w="2012"/>
        <w:gridCol w:w="3255"/>
        <w:gridCol w:w="3463"/>
      </w:tblGrid>
      <w:tr w:rsidR="00A256AB" w:rsidRPr="00A85D78" w:rsidTr="00566041">
        <w:tc>
          <w:tcPr>
            <w:tcW w:w="2012" w:type="dxa"/>
            <w:shd w:val="clear" w:color="auto" w:fill="FBE4D5" w:themeFill="accent2" w:themeFillTint="33"/>
            <w:vAlign w:val="center"/>
          </w:tcPr>
          <w:p w:rsidR="00A256AB" w:rsidRPr="00566041" w:rsidRDefault="00A256AB" w:rsidP="00A256AB">
            <w:pPr>
              <w:contextualSpacing/>
              <w:jc w:val="center"/>
              <w:rPr>
                <w:rFonts w:ascii="Arial" w:hAnsi="Arial" w:cs="Arial"/>
                <w:b/>
                <w:sz w:val="18"/>
                <w:szCs w:val="18"/>
                <w:lang w:val="es-ES_tradnl"/>
              </w:rPr>
            </w:pPr>
            <w:r w:rsidRPr="00566041">
              <w:rPr>
                <w:rFonts w:ascii="Arial" w:hAnsi="Arial" w:cs="Arial"/>
                <w:b/>
                <w:sz w:val="18"/>
                <w:szCs w:val="18"/>
                <w:lang w:val="es-ES_tradnl"/>
              </w:rPr>
              <w:t>TIPO DE FINANCIAMIENTO</w:t>
            </w:r>
          </w:p>
        </w:tc>
        <w:tc>
          <w:tcPr>
            <w:tcW w:w="3255" w:type="dxa"/>
            <w:shd w:val="clear" w:color="auto" w:fill="FBE4D5" w:themeFill="accent2" w:themeFillTint="33"/>
            <w:vAlign w:val="center"/>
          </w:tcPr>
          <w:p w:rsidR="00A256AB" w:rsidRPr="00566041" w:rsidRDefault="00A256AB" w:rsidP="00A256AB">
            <w:pPr>
              <w:contextualSpacing/>
              <w:jc w:val="center"/>
              <w:rPr>
                <w:rFonts w:ascii="Arial" w:hAnsi="Arial" w:cs="Arial"/>
                <w:b/>
                <w:sz w:val="18"/>
                <w:szCs w:val="18"/>
                <w:lang w:val="es-ES_tradnl"/>
              </w:rPr>
            </w:pPr>
            <w:r w:rsidRPr="00566041">
              <w:rPr>
                <w:rFonts w:ascii="Arial" w:hAnsi="Arial" w:cs="Arial"/>
                <w:b/>
                <w:sz w:val="18"/>
                <w:szCs w:val="18"/>
                <w:lang w:val="es-ES_tradnl"/>
              </w:rPr>
              <w:t>VENTAJAS</w:t>
            </w:r>
          </w:p>
        </w:tc>
        <w:tc>
          <w:tcPr>
            <w:tcW w:w="3463" w:type="dxa"/>
            <w:shd w:val="clear" w:color="auto" w:fill="FBE4D5" w:themeFill="accent2" w:themeFillTint="33"/>
            <w:vAlign w:val="center"/>
          </w:tcPr>
          <w:p w:rsidR="00A256AB" w:rsidRPr="00566041" w:rsidRDefault="00A256AB" w:rsidP="00A256AB">
            <w:pPr>
              <w:contextualSpacing/>
              <w:jc w:val="center"/>
              <w:rPr>
                <w:rFonts w:ascii="Arial" w:hAnsi="Arial" w:cs="Arial"/>
                <w:b/>
                <w:sz w:val="18"/>
                <w:szCs w:val="18"/>
                <w:lang w:val="es-ES_tradnl"/>
              </w:rPr>
            </w:pPr>
            <w:r w:rsidRPr="00566041">
              <w:rPr>
                <w:rFonts w:ascii="Arial" w:hAnsi="Arial" w:cs="Arial"/>
                <w:b/>
                <w:sz w:val="18"/>
                <w:szCs w:val="18"/>
                <w:lang w:val="es-ES_tradnl"/>
              </w:rPr>
              <w:t>DESVENTAJAS</w:t>
            </w:r>
          </w:p>
        </w:tc>
      </w:tr>
      <w:tr w:rsidR="00A256AB" w:rsidRPr="00A85D78" w:rsidTr="00566041">
        <w:trPr>
          <w:trHeight w:val="2723"/>
        </w:trPr>
        <w:tc>
          <w:tcPr>
            <w:tcW w:w="2012" w:type="dxa"/>
            <w:vAlign w:val="center"/>
          </w:tcPr>
          <w:p w:rsidR="00A256AB" w:rsidRPr="00566041" w:rsidRDefault="00A256AB" w:rsidP="008859AC">
            <w:pPr>
              <w:contextualSpacing/>
              <w:jc w:val="center"/>
              <w:rPr>
                <w:rFonts w:ascii="Arial" w:hAnsi="Arial" w:cs="Arial"/>
                <w:sz w:val="18"/>
                <w:szCs w:val="18"/>
                <w:lang w:val="es-ES_tradnl"/>
              </w:rPr>
            </w:pPr>
            <w:r w:rsidRPr="00566041">
              <w:rPr>
                <w:rFonts w:ascii="Arial" w:hAnsi="Arial" w:cs="Arial"/>
                <w:sz w:val="18"/>
                <w:szCs w:val="18"/>
                <w:lang w:val="es-ES_tradnl"/>
              </w:rPr>
              <w:t>Público</w:t>
            </w:r>
          </w:p>
        </w:tc>
        <w:tc>
          <w:tcPr>
            <w:tcW w:w="3255" w:type="dxa"/>
            <w:vAlign w:val="center"/>
          </w:tcPr>
          <w:p w:rsidR="00A256AB" w:rsidRPr="00566041" w:rsidRDefault="00A256AB" w:rsidP="008859AC">
            <w:pPr>
              <w:pStyle w:val="Prrafodelista"/>
              <w:numPr>
                <w:ilvl w:val="0"/>
                <w:numId w:val="3"/>
              </w:numPr>
              <w:jc w:val="both"/>
              <w:rPr>
                <w:rFonts w:ascii="Arial" w:hAnsi="Arial" w:cs="Arial"/>
                <w:sz w:val="18"/>
                <w:szCs w:val="18"/>
                <w:lang w:val="es-ES_tradnl"/>
              </w:rPr>
            </w:pPr>
            <w:r w:rsidRPr="00566041">
              <w:rPr>
                <w:rFonts w:ascii="Arial" w:hAnsi="Arial" w:cs="Arial"/>
                <w:sz w:val="18"/>
                <w:szCs w:val="18"/>
                <w:lang w:val="es-ES_tradnl"/>
              </w:rPr>
              <w:t>Transparencia en el origen de los recursos</w:t>
            </w:r>
          </w:p>
          <w:p w:rsidR="00A256AB" w:rsidRPr="00566041" w:rsidRDefault="00A256AB" w:rsidP="008859AC">
            <w:pPr>
              <w:pStyle w:val="Prrafodelista"/>
              <w:numPr>
                <w:ilvl w:val="0"/>
                <w:numId w:val="3"/>
              </w:numPr>
              <w:jc w:val="both"/>
              <w:rPr>
                <w:rFonts w:ascii="Arial" w:hAnsi="Arial" w:cs="Arial"/>
                <w:sz w:val="18"/>
                <w:szCs w:val="18"/>
                <w:lang w:val="es-ES_tradnl"/>
              </w:rPr>
            </w:pPr>
            <w:r w:rsidRPr="00566041">
              <w:rPr>
                <w:rFonts w:ascii="Arial" w:hAnsi="Arial" w:cs="Arial"/>
                <w:sz w:val="18"/>
                <w:szCs w:val="18"/>
                <w:lang w:val="es-ES_tradnl"/>
              </w:rPr>
              <w:t>Independencia de los partidos políticos respecto de cualquier interés ajeno a los mismos</w:t>
            </w:r>
          </w:p>
          <w:p w:rsidR="00A256AB" w:rsidRPr="00566041" w:rsidRDefault="00A256AB" w:rsidP="008859AC">
            <w:pPr>
              <w:pStyle w:val="Prrafodelista"/>
              <w:numPr>
                <w:ilvl w:val="0"/>
                <w:numId w:val="3"/>
              </w:numPr>
              <w:jc w:val="both"/>
              <w:rPr>
                <w:rFonts w:ascii="Arial" w:hAnsi="Arial" w:cs="Arial"/>
                <w:sz w:val="18"/>
                <w:szCs w:val="18"/>
                <w:lang w:val="es-ES_tradnl"/>
              </w:rPr>
            </w:pPr>
            <w:r w:rsidRPr="00566041">
              <w:rPr>
                <w:rFonts w:ascii="Arial" w:hAnsi="Arial" w:cs="Arial"/>
                <w:sz w:val="18"/>
                <w:szCs w:val="18"/>
                <w:lang w:val="es-ES_tradnl"/>
              </w:rPr>
              <w:t>Condiciones adecuadas de equidad en la competencia electoral</w:t>
            </w:r>
          </w:p>
          <w:p w:rsidR="00A256AB" w:rsidRPr="00566041" w:rsidRDefault="00A256AB" w:rsidP="008859AC">
            <w:pPr>
              <w:pStyle w:val="Prrafodelista"/>
              <w:numPr>
                <w:ilvl w:val="0"/>
                <w:numId w:val="3"/>
              </w:numPr>
              <w:jc w:val="both"/>
              <w:rPr>
                <w:rFonts w:ascii="Arial" w:hAnsi="Arial" w:cs="Arial"/>
                <w:sz w:val="18"/>
                <w:szCs w:val="18"/>
                <w:lang w:val="es-ES_tradnl"/>
              </w:rPr>
            </w:pPr>
            <w:r w:rsidRPr="00566041">
              <w:rPr>
                <w:rFonts w:ascii="Arial" w:hAnsi="Arial" w:cs="Arial"/>
                <w:sz w:val="18"/>
                <w:szCs w:val="18"/>
                <w:lang w:val="es-ES_tradnl"/>
              </w:rPr>
              <w:t>Evitar la tentación de acudir a fuentes ilegítimas de financiamiento.</w:t>
            </w:r>
          </w:p>
        </w:tc>
        <w:tc>
          <w:tcPr>
            <w:tcW w:w="3463" w:type="dxa"/>
            <w:vAlign w:val="center"/>
          </w:tcPr>
          <w:p w:rsidR="00A256AB" w:rsidRPr="00566041" w:rsidRDefault="00A256AB" w:rsidP="008859AC">
            <w:pPr>
              <w:pStyle w:val="Prrafodelista"/>
              <w:numPr>
                <w:ilvl w:val="0"/>
                <w:numId w:val="2"/>
              </w:numPr>
              <w:jc w:val="both"/>
              <w:rPr>
                <w:rFonts w:ascii="Arial" w:hAnsi="Arial" w:cs="Arial"/>
                <w:sz w:val="18"/>
                <w:szCs w:val="18"/>
                <w:lang w:val="es-ES_tradnl"/>
              </w:rPr>
            </w:pPr>
            <w:r w:rsidRPr="00566041">
              <w:rPr>
                <w:rFonts w:ascii="Arial" w:hAnsi="Arial" w:cs="Arial"/>
                <w:sz w:val="18"/>
                <w:szCs w:val="18"/>
                <w:lang w:val="es-ES_tradnl"/>
              </w:rPr>
              <w:t>Desvinculación de los partidos políticos respecto de la sociedad.</w:t>
            </w:r>
          </w:p>
          <w:p w:rsidR="00A256AB" w:rsidRPr="00566041" w:rsidRDefault="00A256AB" w:rsidP="008859AC">
            <w:pPr>
              <w:pStyle w:val="Prrafodelista"/>
              <w:numPr>
                <w:ilvl w:val="0"/>
                <w:numId w:val="2"/>
              </w:numPr>
              <w:jc w:val="both"/>
              <w:rPr>
                <w:rFonts w:ascii="Arial" w:hAnsi="Arial" w:cs="Arial"/>
                <w:sz w:val="18"/>
                <w:szCs w:val="18"/>
                <w:lang w:val="es-ES_tradnl"/>
              </w:rPr>
            </w:pPr>
            <w:r w:rsidRPr="00566041">
              <w:rPr>
                <w:rFonts w:ascii="Arial" w:hAnsi="Arial" w:cs="Arial"/>
                <w:sz w:val="18"/>
                <w:szCs w:val="18"/>
                <w:lang w:val="es-ES_tradnl"/>
              </w:rPr>
              <w:t>Crecimiento desmedido de los trabajadores empleados por los partidos políticos.</w:t>
            </w:r>
          </w:p>
          <w:p w:rsidR="00A256AB" w:rsidRPr="00566041" w:rsidRDefault="00A256AB" w:rsidP="008859AC">
            <w:pPr>
              <w:pStyle w:val="Prrafodelista"/>
              <w:numPr>
                <w:ilvl w:val="0"/>
                <w:numId w:val="2"/>
              </w:numPr>
              <w:jc w:val="both"/>
              <w:rPr>
                <w:rFonts w:ascii="Arial" w:hAnsi="Arial" w:cs="Arial"/>
                <w:sz w:val="18"/>
                <w:szCs w:val="18"/>
                <w:lang w:val="es-ES_tradnl"/>
              </w:rPr>
            </w:pPr>
            <w:r w:rsidRPr="00566041">
              <w:rPr>
                <w:rFonts w:ascii="Arial" w:hAnsi="Arial" w:cs="Arial"/>
                <w:sz w:val="18"/>
                <w:szCs w:val="18"/>
                <w:lang w:val="es-ES_tradnl"/>
              </w:rPr>
              <w:t>Gasto desmesurado por parte de los partidos políticos respecto de los recursos provenientes del erario público</w:t>
            </w:r>
          </w:p>
          <w:p w:rsidR="00A256AB" w:rsidRPr="00566041" w:rsidRDefault="00A256AB" w:rsidP="008859AC">
            <w:pPr>
              <w:pStyle w:val="Prrafodelista"/>
              <w:numPr>
                <w:ilvl w:val="0"/>
                <w:numId w:val="2"/>
              </w:numPr>
              <w:jc w:val="both"/>
              <w:rPr>
                <w:rFonts w:ascii="Arial" w:hAnsi="Arial" w:cs="Arial"/>
                <w:sz w:val="18"/>
                <w:szCs w:val="18"/>
                <w:lang w:val="es-ES_tradnl"/>
              </w:rPr>
            </w:pPr>
            <w:r w:rsidRPr="00566041">
              <w:rPr>
                <w:rFonts w:ascii="Arial" w:hAnsi="Arial" w:cs="Arial"/>
                <w:sz w:val="18"/>
                <w:szCs w:val="18"/>
                <w:lang w:val="es-ES_tradnl"/>
              </w:rPr>
              <w:t>Absoluta dependencia por parte de los partidos respecto del Estado.</w:t>
            </w:r>
          </w:p>
          <w:p w:rsidR="00A256AB" w:rsidRPr="00566041" w:rsidRDefault="00A256AB" w:rsidP="008859AC">
            <w:pPr>
              <w:pStyle w:val="Prrafodelista"/>
              <w:numPr>
                <w:ilvl w:val="0"/>
                <w:numId w:val="2"/>
              </w:numPr>
              <w:jc w:val="both"/>
              <w:rPr>
                <w:rFonts w:ascii="Arial" w:hAnsi="Arial" w:cs="Arial"/>
                <w:sz w:val="18"/>
                <w:szCs w:val="18"/>
                <w:lang w:val="es-ES_tradnl"/>
              </w:rPr>
            </w:pPr>
            <w:r w:rsidRPr="00566041">
              <w:rPr>
                <w:rFonts w:ascii="Arial" w:hAnsi="Arial" w:cs="Arial"/>
                <w:sz w:val="18"/>
                <w:szCs w:val="18"/>
                <w:lang w:val="es-ES_tradnl"/>
              </w:rPr>
              <w:t>Descontento popular debido al excesivo monto proveniente de la recaudación fiscal destinado al sostenimiento de los partidos políticos.</w:t>
            </w:r>
          </w:p>
        </w:tc>
      </w:tr>
      <w:tr w:rsidR="00A256AB" w:rsidRPr="00A85D78" w:rsidTr="00566041">
        <w:trPr>
          <w:trHeight w:val="2835"/>
        </w:trPr>
        <w:tc>
          <w:tcPr>
            <w:tcW w:w="2012" w:type="dxa"/>
            <w:vAlign w:val="center"/>
          </w:tcPr>
          <w:p w:rsidR="00A256AB" w:rsidRPr="00566041" w:rsidRDefault="00A256AB" w:rsidP="008859AC">
            <w:pPr>
              <w:contextualSpacing/>
              <w:jc w:val="center"/>
              <w:rPr>
                <w:rFonts w:ascii="Arial" w:hAnsi="Arial" w:cs="Arial"/>
                <w:sz w:val="18"/>
                <w:szCs w:val="18"/>
                <w:lang w:val="es-ES_tradnl"/>
              </w:rPr>
            </w:pPr>
            <w:r w:rsidRPr="00566041">
              <w:rPr>
                <w:rFonts w:ascii="Arial" w:hAnsi="Arial" w:cs="Arial"/>
                <w:sz w:val="18"/>
                <w:szCs w:val="18"/>
                <w:lang w:val="es-ES_tradnl"/>
              </w:rPr>
              <w:t>Privado</w:t>
            </w:r>
          </w:p>
        </w:tc>
        <w:tc>
          <w:tcPr>
            <w:tcW w:w="3255" w:type="dxa"/>
            <w:vAlign w:val="center"/>
          </w:tcPr>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Obliga a los partidos políticos a estrechar sus lazos con la sociedad, ya que, de no hacerlo, podrían perder votos del electorado y el apoyo económico, poniendo en riesgo su propia existencia.</w:t>
            </w:r>
          </w:p>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Evita la dependencia de los recursos del Estado.</w:t>
            </w:r>
          </w:p>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Evita el crecimiento desmedido de los empleados de los partidos políticos.</w:t>
            </w:r>
          </w:p>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Cierra las puertas al multipartidismo exagerado, subsidiando con fondos públicos que podrían destinarse a otras prioridades.</w:t>
            </w:r>
          </w:p>
        </w:tc>
        <w:tc>
          <w:tcPr>
            <w:tcW w:w="3463" w:type="dxa"/>
            <w:vAlign w:val="center"/>
          </w:tcPr>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 xml:space="preserve">El desequilibrio en la contienda electoral, es decir, </w:t>
            </w:r>
            <w:r w:rsidR="00423176" w:rsidRPr="00566041">
              <w:rPr>
                <w:rFonts w:ascii="Arial" w:hAnsi="Arial" w:cs="Arial"/>
                <w:sz w:val="18"/>
                <w:szCs w:val="18"/>
                <w:lang w:val="es-ES_tradnl"/>
              </w:rPr>
              <w:t>l</w:t>
            </w:r>
            <w:r w:rsidRPr="00566041">
              <w:rPr>
                <w:rFonts w:ascii="Arial" w:hAnsi="Arial" w:cs="Arial"/>
                <w:sz w:val="18"/>
                <w:szCs w:val="18"/>
                <w:lang w:val="es-ES_tradnl"/>
              </w:rPr>
              <w:t>a desigualdad de oportunidades de llegar al poder.</w:t>
            </w:r>
          </w:p>
          <w:p w:rsidR="00A256AB" w:rsidRPr="00566041" w:rsidRDefault="00A256AB" w:rsidP="008859AC">
            <w:pPr>
              <w:pStyle w:val="Prrafodelista"/>
              <w:numPr>
                <w:ilvl w:val="0"/>
                <w:numId w:val="4"/>
              </w:numPr>
              <w:jc w:val="both"/>
              <w:rPr>
                <w:rFonts w:ascii="Arial" w:hAnsi="Arial" w:cs="Arial"/>
                <w:sz w:val="18"/>
                <w:szCs w:val="18"/>
                <w:lang w:val="es-ES_tradnl"/>
              </w:rPr>
            </w:pPr>
            <w:r w:rsidRPr="00566041">
              <w:rPr>
                <w:rFonts w:ascii="Arial" w:hAnsi="Arial" w:cs="Arial"/>
                <w:sz w:val="18"/>
                <w:szCs w:val="18"/>
                <w:lang w:val="es-ES_tradnl"/>
              </w:rPr>
              <w:t xml:space="preserve">La injerencia de intereses de grupos o personas ajenas al partido político. </w:t>
            </w:r>
          </w:p>
        </w:tc>
      </w:tr>
    </w:tbl>
    <w:p w:rsidR="00A256AB" w:rsidRPr="00511785" w:rsidRDefault="00A256AB" w:rsidP="009F1C04">
      <w:pPr>
        <w:rPr>
          <w:rFonts w:ascii="Arial" w:hAnsi="Arial" w:cs="Arial"/>
          <w:i/>
          <w:sz w:val="18"/>
          <w:szCs w:val="18"/>
        </w:rPr>
      </w:pPr>
      <w:r w:rsidRPr="00511785">
        <w:rPr>
          <w:rFonts w:ascii="Arial" w:hAnsi="Arial" w:cs="Arial"/>
          <w:b/>
          <w:i/>
          <w:sz w:val="18"/>
          <w:szCs w:val="18"/>
        </w:rPr>
        <w:t>Fuente</w:t>
      </w:r>
      <w:r w:rsidRPr="00511785">
        <w:rPr>
          <w:rFonts w:ascii="Arial" w:hAnsi="Arial" w:cs="Arial"/>
          <w:i/>
          <w:sz w:val="18"/>
          <w:szCs w:val="18"/>
        </w:rPr>
        <w:t>. Elaboración propia con base en Bernal (2006: 62-64)</w:t>
      </w:r>
    </w:p>
    <w:p w:rsidR="00C8134D" w:rsidRPr="00A85D78" w:rsidRDefault="00C8134D" w:rsidP="008859AC">
      <w:pPr>
        <w:jc w:val="center"/>
        <w:rPr>
          <w:rFonts w:ascii="Arial" w:hAnsi="Arial" w:cs="Arial"/>
          <w:sz w:val="16"/>
          <w:szCs w:val="16"/>
        </w:rPr>
      </w:pPr>
    </w:p>
    <w:p w:rsidR="00511785" w:rsidRDefault="00511785"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Como podemos observar el ejercicio de recursos públicos, implica un mayor grado de compromiso para la rendición de cuentas sobre su destino,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el financiamiento privado funciona como un mecanismo de control para evitar el crecimiento de la nómina de los partidos y los incentiva a estrechar lazos con la ciudadanía.</w:t>
      </w:r>
    </w:p>
    <w:p w:rsidR="00511785" w:rsidRDefault="00511785" w:rsidP="00511785">
      <w:pPr>
        <w:spacing w:line="360" w:lineRule="auto"/>
        <w:jc w:val="both"/>
        <w:rPr>
          <w:rFonts w:ascii="Arial" w:hAnsi="Arial" w:cs="Arial"/>
          <w:sz w:val="24"/>
          <w:szCs w:val="24"/>
        </w:rPr>
      </w:pPr>
    </w:p>
    <w:p w:rsidR="00511785" w:rsidRPr="00A85D78" w:rsidRDefault="00511785" w:rsidP="00511785">
      <w:pPr>
        <w:spacing w:line="360" w:lineRule="auto"/>
        <w:jc w:val="both"/>
        <w:rPr>
          <w:rFonts w:ascii="Arial" w:hAnsi="Arial" w:cs="Arial"/>
          <w:sz w:val="24"/>
          <w:szCs w:val="24"/>
        </w:rPr>
      </w:pPr>
    </w:p>
    <w:p w:rsidR="00511785" w:rsidRPr="00511785" w:rsidRDefault="00A256AB" w:rsidP="00FA50A9">
      <w:pPr>
        <w:pStyle w:val="Prrafodelista"/>
        <w:numPr>
          <w:ilvl w:val="2"/>
          <w:numId w:val="89"/>
        </w:numPr>
        <w:spacing w:line="360" w:lineRule="auto"/>
        <w:jc w:val="both"/>
        <w:rPr>
          <w:rFonts w:ascii="Arial" w:hAnsi="Arial" w:cs="Arial"/>
          <w:b/>
          <w:sz w:val="24"/>
          <w:szCs w:val="24"/>
        </w:rPr>
      </w:pPr>
      <w:r w:rsidRPr="00511785">
        <w:rPr>
          <w:rFonts w:ascii="Arial" w:hAnsi="Arial" w:cs="Arial"/>
          <w:b/>
          <w:sz w:val="24"/>
          <w:szCs w:val="24"/>
        </w:rPr>
        <w:t xml:space="preserve">Características </w:t>
      </w:r>
      <w:r w:rsidR="008842D1">
        <w:rPr>
          <w:rFonts w:ascii="Arial" w:hAnsi="Arial" w:cs="Arial"/>
          <w:b/>
          <w:sz w:val="24"/>
          <w:szCs w:val="24"/>
        </w:rPr>
        <w:t>f</w:t>
      </w:r>
      <w:r w:rsidRPr="00511785">
        <w:rPr>
          <w:rFonts w:ascii="Arial" w:hAnsi="Arial" w:cs="Arial"/>
          <w:b/>
          <w:sz w:val="24"/>
          <w:szCs w:val="24"/>
        </w:rPr>
        <w:t xml:space="preserve">ormales de los </w:t>
      </w:r>
      <w:r w:rsidR="008842D1">
        <w:rPr>
          <w:rFonts w:ascii="Arial" w:hAnsi="Arial" w:cs="Arial"/>
          <w:b/>
          <w:sz w:val="24"/>
          <w:szCs w:val="24"/>
        </w:rPr>
        <w:t>s</w:t>
      </w:r>
      <w:r w:rsidRPr="00511785">
        <w:rPr>
          <w:rFonts w:ascii="Arial" w:hAnsi="Arial" w:cs="Arial"/>
          <w:b/>
          <w:sz w:val="24"/>
          <w:szCs w:val="24"/>
        </w:rPr>
        <w:t xml:space="preserve">istemas de </w:t>
      </w:r>
      <w:r w:rsidR="008842D1">
        <w:rPr>
          <w:rFonts w:ascii="Arial" w:hAnsi="Arial" w:cs="Arial"/>
          <w:b/>
          <w:sz w:val="24"/>
          <w:szCs w:val="24"/>
        </w:rPr>
        <w:t>f</w:t>
      </w:r>
      <w:r w:rsidRPr="00511785">
        <w:rPr>
          <w:rFonts w:ascii="Arial" w:hAnsi="Arial" w:cs="Arial"/>
          <w:b/>
          <w:sz w:val="24"/>
          <w:szCs w:val="24"/>
        </w:rPr>
        <w:t xml:space="preserve">inanciamiento de los </w:t>
      </w:r>
      <w:r w:rsidR="008842D1">
        <w:rPr>
          <w:rFonts w:ascii="Arial" w:hAnsi="Arial" w:cs="Arial"/>
          <w:b/>
          <w:sz w:val="24"/>
          <w:szCs w:val="24"/>
        </w:rPr>
        <w:t>p</w:t>
      </w:r>
      <w:r w:rsidRPr="00511785">
        <w:rPr>
          <w:rFonts w:ascii="Arial" w:hAnsi="Arial" w:cs="Arial"/>
          <w:b/>
          <w:sz w:val="24"/>
          <w:szCs w:val="24"/>
        </w:rPr>
        <w:t xml:space="preserve">artidos </w:t>
      </w:r>
      <w:r w:rsidR="008842D1">
        <w:rPr>
          <w:rFonts w:ascii="Arial" w:hAnsi="Arial" w:cs="Arial"/>
          <w:b/>
          <w:sz w:val="24"/>
          <w:szCs w:val="24"/>
        </w:rPr>
        <w:t>p</w:t>
      </w:r>
      <w:r w:rsidRPr="00511785">
        <w:rPr>
          <w:rFonts w:ascii="Arial" w:hAnsi="Arial" w:cs="Arial"/>
          <w:b/>
          <w:sz w:val="24"/>
          <w:szCs w:val="24"/>
        </w:rPr>
        <w:t xml:space="preserve">olíticos y </w:t>
      </w:r>
      <w:r w:rsidR="008842D1">
        <w:rPr>
          <w:rFonts w:ascii="Arial" w:hAnsi="Arial" w:cs="Arial"/>
          <w:b/>
          <w:sz w:val="24"/>
          <w:szCs w:val="24"/>
        </w:rPr>
        <w:t>c</w:t>
      </w:r>
      <w:r w:rsidRPr="00511785">
        <w:rPr>
          <w:rFonts w:ascii="Arial" w:hAnsi="Arial" w:cs="Arial"/>
          <w:b/>
          <w:sz w:val="24"/>
          <w:szCs w:val="24"/>
        </w:rPr>
        <w:t xml:space="preserve">ampañas </w:t>
      </w:r>
      <w:r w:rsidR="008842D1">
        <w:rPr>
          <w:rFonts w:ascii="Arial" w:hAnsi="Arial" w:cs="Arial"/>
          <w:b/>
          <w:sz w:val="24"/>
          <w:szCs w:val="24"/>
        </w:rPr>
        <w:t>e</w:t>
      </w:r>
      <w:r w:rsidRPr="00511785">
        <w:rPr>
          <w:rFonts w:ascii="Arial" w:hAnsi="Arial" w:cs="Arial"/>
          <w:b/>
          <w:sz w:val="24"/>
          <w:szCs w:val="24"/>
        </w:rPr>
        <w:t>lectorales.</w:t>
      </w: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De acuerdo con </w:t>
      </w:r>
      <w:proofErr w:type="spellStart"/>
      <w:r w:rsidRPr="00A85D78">
        <w:rPr>
          <w:rFonts w:ascii="Arial" w:hAnsi="Arial" w:cs="Arial"/>
          <w:sz w:val="24"/>
          <w:szCs w:val="24"/>
        </w:rPr>
        <w:t>Griner</w:t>
      </w:r>
      <w:proofErr w:type="spellEnd"/>
      <w:r w:rsidRPr="00A85D78">
        <w:rPr>
          <w:rFonts w:ascii="Arial" w:hAnsi="Arial" w:cs="Arial"/>
          <w:sz w:val="24"/>
          <w:szCs w:val="24"/>
        </w:rPr>
        <w:t xml:space="preserve"> y </w:t>
      </w:r>
      <w:proofErr w:type="spellStart"/>
      <w:r w:rsidRPr="00A85D78">
        <w:rPr>
          <w:rFonts w:ascii="Arial" w:hAnsi="Arial" w:cs="Arial"/>
          <w:sz w:val="24"/>
          <w:szCs w:val="24"/>
        </w:rPr>
        <w:t>Zovatto</w:t>
      </w:r>
      <w:proofErr w:type="spellEnd"/>
      <w:r w:rsidRPr="00A85D78">
        <w:rPr>
          <w:rFonts w:ascii="Arial" w:hAnsi="Arial" w:cs="Arial"/>
          <w:sz w:val="24"/>
          <w:szCs w:val="24"/>
        </w:rPr>
        <w:t xml:space="preserve"> (2004), en América Latina, los sistemas de financiamiento para partidos políticos, comparten ciertas características, entre las más relevantes:</w:t>
      </w:r>
    </w:p>
    <w:p w:rsidR="00DF4909" w:rsidRPr="00A85D78" w:rsidRDefault="00DF4909" w:rsidP="00511785">
      <w:pPr>
        <w:spacing w:line="360" w:lineRule="auto"/>
        <w:jc w:val="both"/>
        <w:rPr>
          <w:rFonts w:ascii="Arial" w:hAnsi="Arial" w:cs="Arial"/>
          <w:sz w:val="24"/>
          <w:szCs w:val="24"/>
        </w:rPr>
      </w:pPr>
    </w:p>
    <w:p w:rsidR="00DF4909" w:rsidRPr="00DF4909" w:rsidRDefault="00A256AB" w:rsidP="00DF4909">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lastRenderedPageBreak/>
        <w:t>Predomina el financiamiento mixto, con excepción de Venezuela.</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Dentro del financiamiento público se cuenta con subvenciones directas (dinero o bonos) o indirectas (acceso a radio y tv, beneficios tributarios)</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 xml:space="preserve">Los métodos de distribución del financiamiento público son de tres tipos: </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Proporcional a la fuerza electoral.</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Combinado una parte equitativamente entre todos los partidos y el resto en base a la fuerza electoral.</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Una parte en relación con la fuerza electoral y el resto con base en la representación parlamentaria.</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El financiamiento público se condiciona a la obtención de un porcentaje mínimo de votación en los procesos electorales o en su defecto de diputados.</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El financiamiento para campañas se presenta en tres vertientes:</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Un monto antes del proceso electoral y un monto posterior.</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Reembolso de gastos posterior a las elecciones</w:t>
      </w:r>
    </w:p>
    <w:p w:rsidR="00A256AB" w:rsidRPr="00A85D78" w:rsidRDefault="00A256AB" w:rsidP="00511785">
      <w:pPr>
        <w:pStyle w:val="Prrafodelista"/>
        <w:numPr>
          <w:ilvl w:val="1"/>
          <w:numId w:val="5"/>
        </w:numPr>
        <w:spacing w:line="360" w:lineRule="auto"/>
        <w:jc w:val="both"/>
        <w:rPr>
          <w:rFonts w:ascii="Arial" w:hAnsi="Arial" w:cs="Arial"/>
          <w:sz w:val="24"/>
          <w:szCs w:val="24"/>
        </w:rPr>
      </w:pPr>
      <w:r w:rsidRPr="00A85D78">
        <w:rPr>
          <w:rFonts w:ascii="Arial" w:hAnsi="Arial" w:cs="Arial"/>
          <w:sz w:val="24"/>
          <w:szCs w:val="24"/>
        </w:rPr>
        <w:t>El financiamiento se entrega antes de las elecciones.</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El financiamiento privado se restringe con el establecimiento de límites y la prohibición de aportaciones de entes públicos, anónimos y extranjeros.</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Se otorga acceso gratuito a los medios de comunicación estatales y privados.</w:t>
      </w:r>
    </w:p>
    <w:p w:rsidR="00A256AB" w:rsidRPr="00A85D78"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Existe un órgano encargado de la fiscalización del financiamiento de los partidos.</w:t>
      </w:r>
    </w:p>
    <w:p w:rsidR="00A256AB" w:rsidRDefault="00A256AB" w:rsidP="00511785">
      <w:pPr>
        <w:pStyle w:val="Prrafodelista"/>
        <w:numPr>
          <w:ilvl w:val="0"/>
          <w:numId w:val="5"/>
        </w:numPr>
        <w:spacing w:line="360" w:lineRule="auto"/>
        <w:jc w:val="both"/>
        <w:rPr>
          <w:rFonts w:ascii="Arial" w:hAnsi="Arial" w:cs="Arial"/>
          <w:sz w:val="24"/>
          <w:szCs w:val="24"/>
        </w:rPr>
      </w:pPr>
      <w:r w:rsidRPr="00A85D78">
        <w:rPr>
          <w:rFonts w:ascii="Arial" w:hAnsi="Arial" w:cs="Arial"/>
          <w:sz w:val="24"/>
          <w:szCs w:val="24"/>
        </w:rPr>
        <w:t>Existe un régimen de sanciones para castigar la inobservancia de la legislación sobre financiamiento, en el que se contemplan sanciones monetarias, administrativas, perdida de registro del partido, suspensión del financiamiento público, e incluso sanciones penales para candidatos y donantes.</w:t>
      </w:r>
    </w:p>
    <w:p w:rsidR="00511785" w:rsidRPr="00511785" w:rsidRDefault="00511785"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Gran parte de estos elementos se encuentran presentes en el modelo de financiamiento de nuestro país, donde contamos con un modelo mixto, donde para tener derecho a el financiamiento público se requiere obtener por lo menos el 3% de la votación </w:t>
      </w:r>
      <w:r w:rsidR="00510D12" w:rsidRPr="00A85D78">
        <w:rPr>
          <w:rFonts w:ascii="Arial" w:hAnsi="Arial" w:cs="Arial"/>
          <w:sz w:val="24"/>
          <w:szCs w:val="24"/>
        </w:rPr>
        <w:t>total; este</w:t>
      </w:r>
      <w:r w:rsidRPr="00A85D78">
        <w:rPr>
          <w:rFonts w:ascii="Arial" w:hAnsi="Arial" w:cs="Arial"/>
          <w:sz w:val="24"/>
          <w:szCs w:val="24"/>
        </w:rPr>
        <w:t xml:space="preserve"> se distribuye 30% de forma equitativa y 70% en función de la fuerza electoral;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existen prerrogativas de acceso a radio y televisión. así como un órgano fiscalizador (INE) y un régimen de </w:t>
      </w:r>
      <w:r w:rsidRPr="00A85D78">
        <w:rPr>
          <w:rFonts w:ascii="Arial" w:hAnsi="Arial" w:cs="Arial"/>
          <w:sz w:val="24"/>
          <w:szCs w:val="24"/>
        </w:rPr>
        <w:lastRenderedPageBreak/>
        <w:t>sanciones para partidos y candidatos; dichos elementos se revisar</w:t>
      </w:r>
      <w:r w:rsidR="00423176" w:rsidRPr="00A85D78">
        <w:rPr>
          <w:rFonts w:ascii="Arial" w:hAnsi="Arial" w:cs="Arial"/>
          <w:sz w:val="24"/>
          <w:szCs w:val="24"/>
        </w:rPr>
        <w:t>á</w:t>
      </w:r>
      <w:r w:rsidRPr="00A85D78">
        <w:rPr>
          <w:rFonts w:ascii="Arial" w:hAnsi="Arial" w:cs="Arial"/>
          <w:sz w:val="24"/>
          <w:szCs w:val="24"/>
        </w:rPr>
        <w:t>n a mayor profundidad a continuación.</w:t>
      </w:r>
    </w:p>
    <w:p w:rsidR="00511785" w:rsidRDefault="00511785" w:rsidP="00511785">
      <w:pPr>
        <w:spacing w:line="360" w:lineRule="auto"/>
        <w:jc w:val="both"/>
        <w:rPr>
          <w:rFonts w:ascii="Arial" w:hAnsi="Arial" w:cs="Arial"/>
          <w:sz w:val="24"/>
          <w:szCs w:val="24"/>
        </w:rPr>
      </w:pPr>
    </w:p>
    <w:p w:rsidR="00760F78" w:rsidRPr="00A85D78" w:rsidRDefault="00760F78" w:rsidP="00511785">
      <w:pPr>
        <w:spacing w:line="360" w:lineRule="auto"/>
        <w:jc w:val="both"/>
        <w:rPr>
          <w:rFonts w:ascii="Arial" w:hAnsi="Arial" w:cs="Arial"/>
          <w:sz w:val="24"/>
          <w:szCs w:val="24"/>
        </w:rPr>
      </w:pPr>
    </w:p>
    <w:p w:rsidR="00A256AB" w:rsidRPr="00A85D78" w:rsidRDefault="00A256AB" w:rsidP="00511785">
      <w:pPr>
        <w:spacing w:line="360" w:lineRule="auto"/>
        <w:rPr>
          <w:rFonts w:ascii="Arial" w:hAnsi="Arial" w:cs="Arial"/>
          <w:b/>
          <w:sz w:val="24"/>
          <w:szCs w:val="24"/>
        </w:rPr>
      </w:pPr>
      <w:r w:rsidRPr="00A85D78">
        <w:rPr>
          <w:rFonts w:ascii="Arial" w:hAnsi="Arial" w:cs="Arial"/>
          <w:b/>
          <w:sz w:val="24"/>
          <w:szCs w:val="24"/>
        </w:rPr>
        <w:t xml:space="preserve">1.2 Régimen de </w:t>
      </w:r>
      <w:r w:rsidR="009A117B">
        <w:rPr>
          <w:rFonts w:ascii="Arial" w:hAnsi="Arial" w:cs="Arial"/>
          <w:b/>
          <w:sz w:val="24"/>
          <w:szCs w:val="24"/>
        </w:rPr>
        <w:t>f</w:t>
      </w:r>
      <w:r w:rsidRPr="00A85D78">
        <w:rPr>
          <w:rFonts w:ascii="Arial" w:hAnsi="Arial" w:cs="Arial"/>
          <w:b/>
          <w:sz w:val="24"/>
          <w:szCs w:val="24"/>
        </w:rPr>
        <w:t>inanciamiento en México.</w:t>
      </w: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Esta sección busca hacer un recuento histórico sobre las principales modificaciones que ha sufrido el marco legal respecto del financiamiento a partidos políticos y por consiguiente de la evolución del mismo a través del tiempo.</w:t>
      </w:r>
    </w:p>
    <w:p w:rsidR="00511785" w:rsidRPr="00A85D78" w:rsidRDefault="00511785"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Los partidos políticos han gozado de prerrogativas para su funcionamiento desde la década de los sesentas, el artículo 44 bis de la entonces Ley Federal Electoral (1963), en un hecho sin precedentes otorgó a los partidos nacionales con carácter de “legamente registrados” beneficios fiscales, condonando el cobro de impuestos derivados de sus ingresos privados, tales como donaciones, rifas, venta de publicaciones, entre otros; sin embargo las necesidades de los partidos se incrementaron con el paso del tiempo, si bien la competencia electoral era nula debido al gran arraigo del partido hegemónico, los partidos políticos que legitimaban al régimen requerían de un mayor espacio para intentar ganar la simpatía del electorado.</w:t>
      </w:r>
    </w:p>
    <w:p w:rsidR="00511785" w:rsidRPr="00A85D78" w:rsidRDefault="00511785"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Es de esta manera que el 5 de </w:t>
      </w:r>
      <w:r w:rsidR="00511785" w:rsidRPr="00A85D78">
        <w:rPr>
          <w:rFonts w:ascii="Arial" w:hAnsi="Arial" w:cs="Arial"/>
          <w:sz w:val="24"/>
          <w:szCs w:val="24"/>
        </w:rPr>
        <w:t>enero</w:t>
      </w:r>
      <w:r w:rsidRPr="00A85D78">
        <w:rPr>
          <w:rFonts w:ascii="Arial" w:hAnsi="Arial" w:cs="Arial"/>
          <w:sz w:val="24"/>
          <w:szCs w:val="24"/>
        </w:rPr>
        <w:t xml:space="preserve"> de 1973, el </w:t>
      </w:r>
      <w:proofErr w:type="gramStart"/>
      <w:r w:rsidRPr="00A85D78">
        <w:rPr>
          <w:rFonts w:ascii="Arial" w:hAnsi="Arial" w:cs="Arial"/>
          <w:sz w:val="24"/>
          <w:szCs w:val="24"/>
        </w:rPr>
        <w:t>Presidente</w:t>
      </w:r>
      <w:proofErr w:type="gramEnd"/>
      <w:r w:rsidRPr="00A85D78">
        <w:rPr>
          <w:rFonts w:ascii="Arial" w:hAnsi="Arial" w:cs="Arial"/>
          <w:sz w:val="24"/>
          <w:szCs w:val="24"/>
        </w:rPr>
        <w:t xml:space="preserve"> Luis Echeverría promulga la nueva Ley Federal Electoral, misma que contempla la ampliación de prerrogativas otorgadas a los partidos políticos y en su artículo 39 establece los subsidios a los partidos a través de franquicias postales y telegráficas, así como con acceso gratuito a radio y televisión. Para 1977 se otorga a los partidos “elementos para sus actividades de campaña electoral y propaganda”,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la Ley no contemplaba criterios concretos para su cálculo o </w:t>
      </w:r>
      <w:r w:rsidR="002F7FBF" w:rsidRPr="00A85D78">
        <w:rPr>
          <w:rFonts w:ascii="Arial" w:hAnsi="Arial" w:cs="Arial"/>
          <w:sz w:val="24"/>
          <w:szCs w:val="24"/>
        </w:rPr>
        <w:t>asignación,</w:t>
      </w:r>
      <w:r w:rsidRPr="00A85D78">
        <w:rPr>
          <w:rFonts w:ascii="Arial" w:hAnsi="Arial" w:cs="Arial"/>
          <w:sz w:val="24"/>
          <w:szCs w:val="24"/>
        </w:rPr>
        <w:t xml:space="preserve"> por lo tanto, estos se distribuían de manera discrecional a criterio de la Comisión Federal Electoral entonces bajo las órdenes de la Secretar</w:t>
      </w:r>
      <w:r w:rsidR="00423176" w:rsidRPr="00A85D78">
        <w:rPr>
          <w:rFonts w:ascii="Arial" w:hAnsi="Arial" w:cs="Arial"/>
          <w:sz w:val="24"/>
          <w:szCs w:val="24"/>
        </w:rPr>
        <w:t>í</w:t>
      </w:r>
      <w:r w:rsidRPr="00A85D78">
        <w:rPr>
          <w:rFonts w:ascii="Arial" w:hAnsi="Arial" w:cs="Arial"/>
          <w:sz w:val="24"/>
          <w:szCs w:val="24"/>
        </w:rPr>
        <w:t>a de Gobernación. (Guerrero, 2003).</w:t>
      </w:r>
    </w:p>
    <w:p w:rsidR="00511785" w:rsidRPr="00A85D78" w:rsidRDefault="00511785"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lastRenderedPageBreak/>
        <w:t>El financiamiento público contin</w:t>
      </w:r>
      <w:r w:rsidR="00423176" w:rsidRPr="00A85D78">
        <w:rPr>
          <w:rFonts w:ascii="Arial" w:hAnsi="Arial" w:cs="Arial"/>
          <w:sz w:val="24"/>
          <w:szCs w:val="24"/>
        </w:rPr>
        <w:t>uó</w:t>
      </w:r>
      <w:r w:rsidRPr="00A85D78">
        <w:rPr>
          <w:rFonts w:ascii="Arial" w:hAnsi="Arial" w:cs="Arial"/>
          <w:sz w:val="24"/>
          <w:szCs w:val="24"/>
        </w:rPr>
        <w:t xml:space="preserve"> su evolución y estableció a partir de 1987 criterios bien definidos para su asignación en función del llamado “costo mínimo</w:t>
      </w:r>
      <w:r w:rsidRPr="00A85D78">
        <w:rPr>
          <w:rStyle w:val="Refdenotaalpie"/>
          <w:rFonts w:ascii="Arial" w:hAnsi="Arial" w:cs="Arial"/>
          <w:sz w:val="24"/>
          <w:szCs w:val="24"/>
        </w:rPr>
        <w:footnoteReference w:id="1"/>
      </w:r>
      <w:r w:rsidRPr="00A85D78">
        <w:rPr>
          <w:rFonts w:ascii="Arial" w:hAnsi="Arial" w:cs="Arial"/>
          <w:sz w:val="24"/>
          <w:szCs w:val="24"/>
        </w:rPr>
        <w:t xml:space="preserve"> de una campaña” se multiplicaría por el número de candidatos a diputados de mayoría registrados por los partidos políticos; dicho monto se distribuyó entre los partidos con registro 50% en función del % de votos válidos obtenidos en la última elección de diputados federales y el 50% en función del número de diputados que cada partido obtuvo. El monto obtenido por cada partido se distribuiría en un periodo de 3 años 20% el primer año, 30% el segundo año y el 50% en el tercer año en el que se llevarían a cabo elecciones.</w:t>
      </w:r>
    </w:p>
    <w:p w:rsidR="00511785" w:rsidRPr="00A85D78" w:rsidRDefault="00511785" w:rsidP="00511785">
      <w:pPr>
        <w:spacing w:line="360" w:lineRule="auto"/>
        <w:jc w:val="both"/>
        <w:rPr>
          <w:rFonts w:ascii="Arial" w:hAnsi="Arial" w:cs="Arial"/>
          <w:sz w:val="24"/>
          <w:szCs w:val="24"/>
        </w:rPr>
      </w:pP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A partir del año de 1990 el financiamiento público a los partidos alcanzó un boom notable, pues el Código Federal de Instituciones y Procedimientos Electorales, </w:t>
      </w:r>
      <w:r w:rsidR="00511785" w:rsidRPr="00A85D78">
        <w:rPr>
          <w:rFonts w:ascii="Arial" w:hAnsi="Arial" w:cs="Arial"/>
          <w:sz w:val="24"/>
          <w:szCs w:val="24"/>
        </w:rPr>
        <w:t>COFIPE, contempló</w:t>
      </w:r>
      <w:r w:rsidRPr="00A85D78">
        <w:rPr>
          <w:rFonts w:ascii="Arial" w:hAnsi="Arial" w:cs="Arial"/>
          <w:sz w:val="24"/>
          <w:szCs w:val="24"/>
        </w:rPr>
        <w:t xml:space="preserve"> 4 modalidades de financiamiento público:</w:t>
      </w:r>
    </w:p>
    <w:p w:rsidR="00A256AB" w:rsidRPr="00A85D78" w:rsidRDefault="00A256AB" w:rsidP="00511785">
      <w:pPr>
        <w:pStyle w:val="Prrafodelista"/>
        <w:numPr>
          <w:ilvl w:val="0"/>
          <w:numId w:val="6"/>
        </w:numPr>
        <w:spacing w:line="360" w:lineRule="auto"/>
        <w:jc w:val="both"/>
        <w:rPr>
          <w:rFonts w:ascii="Arial" w:hAnsi="Arial" w:cs="Arial"/>
          <w:sz w:val="24"/>
          <w:szCs w:val="24"/>
        </w:rPr>
      </w:pPr>
      <w:r w:rsidRPr="00A85D78">
        <w:rPr>
          <w:rFonts w:ascii="Arial" w:hAnsi="Arial" w:cs="Arial"/>
          <w:sz w:val="24"/>
          <w:szCs w:val="24"/>
        </w:rPr>
        <w:t>Por actividad electoral (de acuerdo a número de votos en elecciones de diputados y senadores);</w:t>
      </w:r>
    </w:p>
    <w:p w:rsidR="00A256AB" w:rsidRPr="00A85D78" w:rsidRDefault="00A256AB" w:rsidP="00511785">
      <w:pPr>
        <w:pStyle w:val="Prrafodelista"/>
        <w:numPr>
          <w:ilvl w:val="0"/>
          <w:numId w:val="6"/>
        </w:numPr>
        <w:spacing w:line="360" w:lineRule="auto"/>
        <w:jc w:val="both"/>
        <w:rPr>
          <w:rFonts w:ascii="Arial" w:hAnsi="Arial" w:cs="Arial"/>
          <w:sz w:val="24"/>
          <w:szCs w:val="24"/>
        </w:rPr>
      </w:pPr>
      <w:r w:rsidRPr="00A85D78">
        <w:rPr>
          <w:rFonts w:ascii="Arial" w:hAnsi="Arial" w:cs="Arial"/>
          <w:sz w:val="24"/>
          <w:szCs w:val="24"/>
        </w:rPr>
        <w:t xml:space="preserve">Por actividades generales como entidades de interés público (10% adicional en partes iguales a los partidos con registro); </w:t>
      </w:r>
    </w:p>
    <w:p w:rsidR="00A256AB" w:rsidRPr="00A85D78" w:rsidRDefault="00A256AB" w:rsidP="00511785">
      <w:pPr>
        <w:pStyle w:val="Prrafodelista"/>
        <w:numPr>
          <w:ilvl w:val="0"/>
          <w:numId w:val="6"/>
        </w:numPr>
        <w:spacing w:line="360" w:lineRule="auto"/>
        <w:jc w:val="both"/>
        <w:rPr>
          <w:rFonts w:ascii="Arial" w:hAnsi="Arial" w:cs="Arial"/>
          <w:sz w:val="24"/>
          <w:szCs w:val="24"/>
        </w:rPr>
      </w:pPr>
      <w:r w:rsidRPr="00A85D78">
        <w:rPr>
          <w:rFonts w:ascii="Arial" w:hAnsi="Arial" w:cs="Arial"/>
          <w:sz w:val="24"/>
          <w:szCs w:val="24"/>
        </w:rPr>
        <w:t xml:space="preserve">Por subrogación del Estado de las contribuciones que los legisladores habrían de aportar para el sostenimiento de sus partidos, y </w:t>
      </w:r>
    </w:p>
    <w:p w:rsidR="00A256AB" w:rsidRDefault="00A256AB" w:rsidP="00511785">
      <w:pPr>
        <w:pStyle w:val="Prrafodelista"/>
        <w:numPr>
          <w:ilvl w:val="0"/>
          <w:numId w:val="6"/>
        </w:numPr>
        <w:spacing w:line="360" w:lineRule="auto"/>
        <w:jc w:val="both"/>
        <w:rPr>
          <w:rFonts w:ascii="Arial" w:hAnsi="Arial" w:cs="Arial"/>
          <w:sz w:val="24"/>
          <w:szCs w:val="24"/>
        </w:rPr>
      </w:pPr>
      <w:r w:rsidRPr="00A85D78">
        <w:rPr>
          <w:rFonts w:ascii="Arial" w:hAnsi="Arial" w:cs="Arial"/>
          <w:sz w:val="24"/>
          <w:szCs w:val="24"/>
        </w:rPr>
        <w:t>Por actividades específicas como entidades de interés público, manteniendo el criterio dual, proporcional al número de votos y escaños.  (Altamirano y Figueroa, 2007)</w:t>
      </w:r>
      <w:r w:rsidR="00511785">
        <w:rPr>
          <w:rFonts w:ascii="Arial" w:hAnsi="Arial" w:cs="Arial"/>
          <w:sz w:val="24"/>
          <w:szCs w:val="24"/>
        </w:rPr>
        <w:t>.</w:t>
      </w:r>
    </w:p>
    <w:p w:rsidR="00511785" w:rsidRPr="00A85D78" w:rsidRDefault="00511785" w:rsidP="00511785">
      <w:pPr>
        <w:pStyle w:val="Prrafodelista"/>
        <w:spacing w:line="360" w:lineRule="auto"/>
        <w:jc w:val="both"/>
        <w:rPr>
          <w:rFonts w:ascii="Arial" w:hAnsi="Arial" w:cs="Arial"/>
          <w:sz w:val="24"/>
          <w:szCs w:val="24"/>
        </w:rPr>
      </w:pP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Desde este año los partidos gozarían de financiamiento exclusivo para tres fines</w:t>
      </w:r>
      <w:r w:rsidR="008A7EA1" w:rsidRPr="00A85D78">
        <w:rPr>
          <w:rFonts w:ascii="Arial" w:hAnsi="Arial" w:cs="Arial"/>
          <w:sz w:val="24"/>
          <w:szCs w:val="24"/>
        </w:rPr>
        <w:t>:</w:t>
      </w:r>
      <w:r w:rsidRPr="00A85D78">
        <w:rPr>
          <w:rFonts w:ascii="Arial" w:hAnsi="Arial" w:cs="Arial"/>
          <w:sz w:val="24"/>
          <w:szCs w:val="24"/>
        </w:rPr>
        <w:t xml:space="preserve"> i) procesos electorales, ii) actividades permanentes (en estos conceptos el 90% del monto destinado por el IFE se distribuiría de forma paritaria entre los partidos con registro) y iii) actividades específicas (el IFE reembolsaría el equivalente al 50% del gasto que los partidos realizaran en estos conceptos); además de una cuarta fuente de recursos equivalente al 50% de los ingresos anuales de sus </w:t>
      </w:r>
      <w:r w:rsidR="00511785">
        <w:rPr>
          <w:rFonts w:ascii="Arial" w:hAnsi="Arial" w:cs="Arial"/>
          <w:sz w:val="24"/>
          <w:szCs w:val="24"/>
        </w:rPr>
        <w:t>S</w:t>
      </w:r>
      <w:r w:rsidRPr="00A85D78">
        <w:rPr>
          <w:rFonts w:ascii="Arial" w:hAnsi="Arial" w:cs="Arial"/>
          <w:sz w:val="24"/>
          <w:szCs w:val="24"/>
        </w:rPr>
        <w:t xml:space="preserve">enadores y </w:t>
      </w:r>
      <w:r w:rsidR="00511785">
        <w:rPr>
          <w:rFonts w:ascii="Arial" w:hAnsi="Arial" w:cs="Arial"/>
          <w:sz w:val="24"/>
          <w:szCs w:val="24"/>
        </w:rPr>
        <w:t>D</w:t>
      </w:r>
      <w:r w:rsidRPr="00A85D78">
        <w:rPr>
          <w:rFonts w:ascii="Arial" w:hAnsi="Arial" w:cs="Arial"/>
          <w:sz w:val="24"/>
          <w:szCs w:val="24"/>
        </w:rPr>
        <w:t>iputados.</w:t>
      </w: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lastRenderedPageBreak/>
        <w:t xml:space="preserve">Para 1993, se incorpora en la legislación la regulación del financiamiento privado, </w:t>
      </w:r>
      <w:r w:rsidR="001A6128" w:rsidRPr="00A85D78">
        <w:rPr>
          <w:rFonts w:ascii="Arial" w:hAnsi="Arial" w:cs="Arial"/>
          <w:sz w:val="24"/>
          <w:szCs w:val="24"/>
        </w:rPr>
        <w:t xml:space="preserve">ahora los partidos políticos </w:t>
      </w:r>
      <w:r w:rsidR="00327021" w:rsidRPr="00A85D78">
        <w:rPr>
          <w:rFonts w:ascii="Arial" w:hAnsi="Arial" w:cs="Arial"/>
          <w:sz w:val="24"/>
          <w:szCs w:val="24"/>
        </w:rPr>
        <w:t>están</w:t>
      </w:r>
      <w:r w:rsidR="001A6128" w:rsidRPr="00A85D78">
        <w:rPr>
          <w:rFonts w:ascii="Arial" w:hAnsi="Arial" w:cs="Arial"/>
          <w:sz w:val="24"/>
          <w:szCs w:val="24"/>
        </w:rPr>
        <w:t xml:space="preserve"> en posibilidad de recibir aportaciones de la militancia, </w:t>
      </w:r>
      <w:r w:rsidR="00327021" w:rsidRPr="00A85D78">
        <w:rPr>
          <w:rFonts w:ascii="Arial" w:hAnsi="Arial" w:cs="Arial"/>
          <w:sz w:val="24"/>
          <w:szCs w:val="24"/>
        </w:rPr>
        <w:t>simpatizantes</w:t>
      </w:r>
      <w:r w:rsidR="001A6128" w:rsidRPr="00A85D78">
        <w:rPr>
          <w:rFonts w:ascii="Arial" w:hAnsi="Arial" w:cs="Arial"/>
          <w:sz w:val="24"/>
          <w:szCs w:val="24"/>
        </w:rPr>
        <w:t xml:space="preserve">, autofinanciamiento y rendimientos financieros </w:t>
      </w:r>
      <w:r w:rsidRPr="00A85D78">
        <w:rPr>
          <w:rFonts w:ascii="Arial" w:hAnsi="Arial" w:cs="Arial"/>
          <w:sz w:val="24"/>
          <w:szCs w:val="24"/>
        </w:rPr>
        <w:t>(Guerrero, 2003). Se aplicaron algunas restricciones a este tipo de financiamiento entre las que destacan prohibiciones relativas a recibir recursos provenientes de cualquier ámbito de gobierno, extranjeros, ministros de culto y empresas mercantiles; el total de aportaciones privadas no podría superar el 10% del financiamiento público recibido por los partidos.</w:t>
      </w:r>
    </w:p>
    <w:p w:rsidR="00F45C67" w:rsidRPr="00A85D78" w:rsidRDefault="00F45C67" w:rsidP="00511785">
      <w:pPr>
        <w:spacing w:line="360" w:lineRule="auto"/>
        <w:jc w:val="both"/>
        <w:rPr>
          <w:rFonts w:ascii="Arial" w:hAnsi="Arial" w:cs="Arial"/>
          <w:sz w:val="24"/>
          <w:szCs w:val="24"/>
        </w:rPr>
      </w:pP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Una nueva reestructuración al financiamiento público se presentó para 1996, donde nuevamente </w:t>
      </w:r>
      <w:r w:rsidR="00F45C67" w:rsidRPr="00A85D78">
        <w:rPr>
          <w:rFonts w:ascii="Arial" w:hAnsi="Arial" w:cs="Arial"/>
          <w:sz w:val="24"/>
          <w:szCs w:val="24"/>
        </w:rPr>
        <w:t>los recursos económicos destinados por el Estado a los partidos se incrementaron notablemente</w:t>
      </w:r>
      <w:r w:rsidRPr="00A85D78">
        <w:rPr>
          <w:rFonts w:ascii="Arial" w:hAnsi="Arial" w:cs="Arial"/>
          <w:sz w:val="24"/>
          <w:szCs w:val="24"/>
        </w:rPr>
        <w:t xml:space="preserve">; en primera instancia el financiamiento para actividades permanentes ya no se distribuiría en un 90% de forma paritaria, ahora únicamente se distribuiría de esta forma el 30% y el restante 70% en función al número de votos.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el financiamiento para gastos de campaña sería equivalente al 100% del financiamiento para actividades permanentes y el financiamiento para actividades específicas pasaría del 50% del monto que los partidos ejercieran en este concepto a un 75%.</w:t>
      </w:r>
    </w:p>
    <w:p w:rsidR="00244525" w:rsidRDefault="00244525" w:rsidP="00511785">
      <w:pPr>
        <w:spacing w:line="360" w:lineRule="auto"/>
        <w:jc w:val="both"/>
        <w:rPr>
          <w:rFonts w:ascii="Arial" w:hAnsi="Arial" w:cs="Arial"/>
          <w:sz w:val="24"/>
          <w:szCs w:val="24"/>
        </w:rPr>
      </w:pPr>
    </w:p>
    <w:p w:rsidR="00244525" w:rsidRPr="00A85D78" w:rsidRDefault="00244525" w:rsidP="00511785">
      <w:pPr>
        <w:spacing w:line="360" w:lineRule="auto"/>
        <w:jc w:val="both"/>
        <w:rPr>
          <w:rFonts w:ascii="Arial" w:hAnsi="Arial" w:cs="Arial"/>
          <w:sz w:val="24"/>
          <w:szCs w:val="24"/>
        </w:rPr>
      </w:pPr>
    </w:p>
    <w:p w:rsidR="00A256AB" w:rsidRPr="00A85D78" w:rsidRDefault="00A256AB" w:rsidP="00511785">
      <w:pPr>
        <w:spacing w:line="360" w:lineRule="auto"/>
        <w:jc w:val="both"/>
        <w:rPr>
          <w:rFonts w:ascii="Arial" w:hAnsi="Arial" w:cs="Arial"/>
          <w:b/>
          <w:sz w:val="24"/>
          <w:szCs w:val="24"/>
        </w:rPr>
      </w:pPr>
      <w:r w:rsidRPr="00A85D78">
        <w:rPr>
          <w:rFonts w:ascii="Arial" w:hAnsi="Arial" w:cs="Arial"/>
          <w:b/>
          <w:sz w:val="24"/>
          <w:szCs w:val="24"/>
        </w:rPr>
        <w:t xml:space="preserve">1.2.1 Financiamiento en la </w:t>
      </w:r>
      <w:r w:rsidR="009A117B">
        <w:rPr>
          <w:rFonts w:ascii="Arial" w:hAnsi="Arial" w:cs="Arial"/>
          <w:b/>
          <w:sz w:val="24"/>
          <w:szCs w:val="24"/>
        </w:rPr>
        <w:t>r</w:t>
      </w:r>
      <w:r w:rsidRPr="00A85D78">
        <w:rPr>
          <w:rFonts w:ascii="Arial" w:hAnsi="Arial" w:cs="Arial"/>
          <w:b/>
          <w:sz w:val="24"/>
          <w:szCs w:val="24"/>
        </w:rPr>
        <w:t>eforma de 2007-2008, disminución del financiamiento público y la regulación de las precampañas.</w:t>
      </w: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La reforma de 1996 estuvo vigente durante 10 años,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en los comicios celebrados durante esa coyuntura se presentaron situaciones que suscitaron la necesidad de realizar un nuevo ajuste al marco jurídico electoral, tales como el gasto indiscriminado en tiempo de radio y televisión, propiciado en gran medida por el excesivo financiamiento público que recibían los partidos políticos</w:t>
      </w:r>
      <w:r w:rsidRPr="00A85D78">
        <w:rPr>
          <w:rStyle w:val="Refdenotaalpie"/>
          <w:rFonts w:ascii="Arial" w:hAnsi="Arial" w:cs="Arial"/>
          <w:sz w:val="24"/>
          <w:szCs w:val="24"/>
        </w:rPr>
        <w:footnoteReference w:id="2"/>
      </w:r>
      <w:r w:rsidRPr="00A85D78">
        <w:rPr>
          <w:rFonts w:ascii="Arial" w:hAnsi="Arial" w:cs="Arial"/>
          <w:sz w:val="24"/>
          <w:szCs w:val="24"/>
        </w:rPr>
        <w:t>. En palabras de Serrato (2014):</w:t>
      </w:r>
    </w:p>
    <w:p w:rsidR="00A256AB" w:rsidRDefault="00A256AB" w:rsidP="00511785">
      <w:pPr>
        <w:spacing w:line="360" w:lineRule="auto"/>
        <w:ind w:left="709"/>
        <w:jc w:val="both"/>
        <w:rPr>
          <w:rFonts w:ascii="Arial" w:hAnsi="Arial" w:cs="Arial"/>
          <w:sz w:val="24"/>
          <w:szCs w:val="24"/>
        </w:rPr>
      </w:pPr>
      <w:r w:rsidRPr="00A85D78">
        <w:rPr>
          <w:rFonts w:ascii="Arial" w:hAnsi="Arial" w:cs="Arial"/>
          <w:sz w:val="24"/>
          <w:szCs w:val="24"/>
        </w:rPr>
        <w:t xml:space="preserve">“la reforma de 1996 estableció un esquema mediante el cual los partidos políticos tenían acceso a los medios de comunicación colectiva, con el objetivo de generar condiciones de equidad en la competencia, esta </w:t>
      </w:r>
      <w:r w:rsidRPr="00A85D78">
        <w:rPr>
          <w:rFonts w:ascii="Arial" w:hAnsi="Arial" w:cs="Arial"/>
          <w:sz w:val="24"/>
          <w:szCs w:val="24"/>
        </w:rPr>
        <w:lastRenderedPageBreak/>
        <w:t xml:space="preserve">reforma cumple su fin </w:t>
      </w:r>
      <w:proofErr w:type="gramStart"/>
      <w:r w:rsidRPr="00A85D78">
        <w:rPr>
          <w:rFonts w:ascii="Arial" w:hAnsi="Arial" w:cs="Arial"/>
          <w:sz w:val="24"/>
          <w:szCs w:val="24"/>
        </w:rPr>
        <w:t>principal</w:t>
      </w:r>
      <w:proofErr w:type="gramEnd"/>
      <w:r w:rsidRPr="00A85D78">
        <w:rPr>
          <w:rFonts w:ascii="Arial" w:hAnsi="Arial" w:cs="Arial"/>
          <w:sz w:val="24"/>
          <w:szCs w:val="24"/>
        </w:rPr>
        <w:t xml:space="preserve"> pero trae consigo otro problema, la sujeción de la política al dinero y a la televisión” (pág. 61).</w:t>
      </w:r>
    </w:p>
    <w:p w:rsidR="00244525" w:rsidRPr="00A85D78" w:rsidRDefault="00244525" w:rsidP="00511785">
      <w:pPr>
        <w:spacing w:line="360" w:lineRule="auto"/>
        <w:ind w:left="709"/>
        <w:jc w:val="both"/>
        <w:rPr>
          <w:rFonts w:ascii="Arial" w:hAnsi="Arial" w:cs="Arial"/>
          <w:sz w:val="24"/>
          <w:szCs w:val="24"/>
        </w:rPr>
      </w:pP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Como muestra la elección de 2006 en la que el ambiente político estuvo extremadamente polarizado y se caracterizó por descalificaciones entre los participantes a través de campañas negativas en medios de comunicación, en la que intervino el gobierno de la </w:t>
      </w:r>
      <w:r w:rsidR="00E52CCB" w:rsidRPr="00A85D78">
        <w:rPr>
          <w:rFonts w:ascii="Arial" w:hAnsi="Arial" w:cs="Arial"/>
          <w:sz w:val="24"/>
          <w:szCs w:val="24"/>
        </w:rPr>
        <w:t>R</w:t>
      </w:r>
      <w:r w:rsidRPr="00A85D78">
        <w:rPr>
          <w:rFonts w:ascii="Arial" w:hAnsi="Arial" w:cs="Arial"/>
          <w:sz w:val="24"/>
          <w:szCs w:val="24"/>
        </w:rPr>
        <w:t>epública alertando sobre los “riesgos” de cambiar de rumbo y grupos empresariales que mostraban abiertamente su apoyo al candidato del partido en el gobierno a través de spots.</w:t>
      </w: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Las circunstancias presentes en el proceso electoral del 2006 para renovar titular del ejecutivo federal, orientaron la reforma electoral principalmente a:</w:t>
      </w:r>
    </w:p>
    <w:p w:rsidR="00A256AB" w:rsidRPr="00A85D78" w:rsidRDefault="00A256AB" w:rsidP="00511785">
      <w:pPr>
        <w:numPr>
          <w:ilvl w:val="0"/>
          <w:numId w:val="7"/>
        </w:num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Reducir el financiamiento público otorgado a los partidos.</w:t>
      </w:r>
    </w:p>
    <w:p w:rsidR="00A256AB" w:rsidRPr="00A85D78" w:rsidRDefault="00A256AB" w:rsidP="00511785">
      <w:pPr>
        <w:numPr>
          <w:ilvl w:val="0"/>
          <w:numId w:val="7"/>
        </w:num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Disminuir la duración de las campañas electorales.</w:t>
      </w:r>
    </w:p>
    <w:p w:rsidR="00A256AB" w:rsidRPr="00A85D78" w:rsidRDefault="00A256AB" w:rsidP="00511785">
      <w:pPr>
        <w:numPr>
          <w:ilvl w:val="0"/>
          <w:numId w:val="7"/>
        </w:num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Regular las precampañas.</w:t>
      </w:r>
    </w:p>
    <w:p w:rsidR="00A256AB" w:rsidRPr="00A85D78" w:rsidRDefault="00A256AB" w:rsidP="00511785">
      <w:pPr>
        <w:numPr>
          <w:ilvl w:val="0"/>
          <w:numId w:val="7"/>
        </w:num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Eliminar la contratación de propaganda política en radio y televisión.</w:t>
      </w:r>
    </w:p>
    <w:p w:rsidR="00A256AB" w:rsidRPr="00A85D78" w:rsidRDefault="00A256AB" w:rsidP="00511785">
      <w:pPr>
        <w:numPr>
          <w:ilvl w:val="0"/>
          <w:numId w:val="7"/>
        </w:num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Regular la propaganda de los gobiernos.</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En respuesta a esta problemática la reforma al artículo 41 constitucional cre</w:t>
      </w:r>
      <w:r w:rsidR="00586362" w:rsidRPr="00A85D78">
        <w:rPr>
          <w:rFonts w:ascii="Arial" w:hAnsi="Arial" w:cs="Arial"/>
          <w:sz w:val="24"/>
          <w:szCs w:val="24"/>
        </w:rPr>
        <w:t>ó</w:t>
      </w:r>
      <w:r w:rsidRPr="00A85D78">
        <w:rPr>
          <w:rFonts w:ascii="Arial" w:hAnsi="Arial" w:cs="Arial"/>
          <w:sz w:val="24"/>
          <w:szCs w:val="24"/>
        </w:rPr>
        <w:t xml:space="preserve"> una fórmula para calcular el financiamiento público de los partidos (artículo 41, incisos a) y c), Fracción II de la CPEUM</w:t>
      </w:r>
      <w:r w:rsidR="00586362" w:rsidRPr="00A85D78">
        <w:rPr>
          <w:rFonts w:ascii="Arial" w:hAnsi="Arial" w:cs="Arial"/>
          <w:sz w:val="24"/>
          <w:szCs w:val="24"/>
        </w:rPr>
        <w:t>); de</w:t>
      </w:r>
      <w:r w:rsidRPr="00A85D78">
        <w:rPr>
          <w:rFonts w:ascii="Arial" w:hAnsi="Arial" w:cs="Arial"/>
          <w:sz w:val="24"/>
          <w:szCs w:val="24"/>
        </w:rPr>
        <w:t xml:space="preserve"> esta manera el financiamiento público se obtiene multiplicando el número total de ciudadanos inscritos en el padrón electoral por el 65% del salario mínimo diario vigente para el </w:t>
      </w:r>
      <w:r w:rsidR="00586362" w:rsidRPr="00A85D78">
        <w:rPr>
          <w:rFonts w:ascii="Arial" w:hAnsi="Arial" w:cs="Arial"/>
          <w:sz w:val="24"/>
          <w:szCs w:val="24"/>
        </w:rPr>
        <w:t xml:space="preserve">entonces </w:t>
      </w:r>
      <w:r w:rsidRPr="00A85D78">
        <w:rPr>
          <w:rFonts w:ascii="Arial" w:hAnsi="Arial" w:cs="Arial"/>
          <w:sz w:val="24"/>
          <w:szCs w:val="24"/>
        </w:rPr>
        <w:t>D.F., 30% se distribuye de forma igualitaria y 70% acorde a la fuerza electoral. Para actividades específicas</w:t>
      </w:r>
      <w:r w:rsidRPr="00A85D78">
        <w:rPr>
          <w:rStyle w:val="Refdenotaalpie"/>
          <w:rFonts w:ascii="Arial" w:hAnsi="Arial" w:cs="Arial"/>
          <w:sz w:val="24"/>
          <w:szCs w:val="24"/>
        </w:rPr>
        <w:footnoteReference w:id="3"/>
      </w:r>
      <w:r w:rsidRPr="00A85D78">
        <w:rPr>
          <w:rFonts w:ascii="Arial" w:hAnsi="Arial" w:cs="Arial"/>
          <w:sz w:val="24"/>
          <w:szCs w:val="24"/>
        </w:rPr>
        <w:t xml:space="preserve"> los partidos recibirán adicionalmente el equivalente al 3% del financiamiento público. (Artículo 78, COFIPE: 2008)</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 xml:space="preserve">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el financiamiento público para gastos de campaña también sufrió modificaciones tendientes a su disminución y pas</w:t>
      </w:r>
      <w:r w:rsidR="00586362" w:rsidRPr="00A85D78">
        <w:rPr>
          <w:rFonts w:ascii="Arial" w:hAnsi="Arial" w:cs="Arial"/>
          <w:sz w:val="24"/>
          <w:szCs w:val="24"/>
        </w:rPr>
        <w:t>ó</w:t>
      </w:r>
      <w:r w:rsidRPr="00A85D78">
        <w:rPr>
          <w:rFonts w:ascii="Arial" w:hAnsi="Arial" w:cs="Arial"/>
          <w:sz w:val="24"/>
          <w:szCs w:val="24"/>
        </w:rPr>
        <w:t xml:space="preserve"> de un monto equivalente al 100% recibido para gastos de operación ordinaria a un 50% en caso de elección de Presidente de la República, Senadores y Diputados Federales; y un 30% en </w:t>
      </w:r>
      <w:r w:rsidRPr="00A85D78">
        <w:rPr>
          <w:rFonts w:ascii="Arial" w:hAnsi="Arial" w:cs="Arial"/>
          <w:sz w:val="24"/>
          <w:szCs w:val="24"/>
        </w:rPr>
        <w:lastRenderedPageBreak/>
        <w:t>caso de elección únicamente de Diputados Federales. (Artículo 41, inciso b), Fracción II de la CPEUM), (Artículo 78, COFIPE: 2008).</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 xml:space="preserve">Se estipula también en el marco de esta reforma la creación de un procedimiento de liquidación para el caso en que los partidos políticos pierdan su registro, de forma tal que los bienes que posean sean reintegrados a la federación. </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En materia de acceso a radio y televisión, se eleva a rango constitucional la prohibición para la compra o contratación por parte de los partidos políticos o a través de terceras personas la contratación de tiempo en radio y televisión para difundir propaganda. Artículo 41, apartado A, Fracción III, CPEUM), (Artículo 49, COFIPE: 2008).</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Por vez primera se suspende la difusión de propaganda gubernamental en medios de comunicación durante los periodos de campañas políticas</w:t>
      </w:r>
      <w:r w:rsidRPr="00A85D78">
        <w:rPr>
          <w:rStyle w:val="Refdenotaalpie"/>
          <w:rFonts w:ascii="Arial" w:hAnsi="Arial" w:cs="Arial"/>
          <w:sz w:val="24"/>
          <w:szCs w:val="24"/>
        </w:rPr>
        <w:footnoteReference w:id="4"/>
      </w:r>
      <w:r w:rsidRPr="00A85D78">
        <w:rPr>
          <w:rFonts w:ascii="Arial" w:hAnsi="Arial" w:cs="Arial"/>
          <w:sz w:val="24"/>
          <w:szCs w:val="24"/>
        </w:rPr>
        <w:t xml:space="preserve">.  Los periodos de campaña se reducen a 90 días cuando la elección de </w:t>
      </w:r>
      <w:proofErr w:type="gramStart"/>
      <w:r w:rsidRPr="00A85D78">
        <w:rPr>
          <w:rFonts w:ascii="Arial" w:hAnsi="Arial" w:cs="Arial"/>
          <w:sz w:val="24"/>
          <w:szCs w:val="24"/>
        </w:rPr>
        <w:t>Presidente</w:t>
      </w:r>
      <w:proofErr w:type="gramEnd"/>
      <w:r w:rsidRPr="00A85D78">
        <w:rPr>
          <w:rFonts w:ascii="Arial" w:hAnsi="Arial" w:cs="Arial"/>
          <w:sz w:val="24"/>
          <w:szCs w:val="24"/>
        </w:rPr>
        <w:t xml:space="preserve"> de la República, Senadores y Diputados Federales sea concurrente y 60 días cuando s</w:t>
      </w:r>
      <w:r w:rsidR="00586362" w:rsidRPr="00A85D78">
        <w:rPr>
          <w:rFonts w:ascii="Arial" w:hAnsi="Arial" w:cs="Arial"/>
          <w:sz w:val="24"/>
          <w:szCs w:val="24"/>
        </w:rPr>
        <w:t>ó</w:t>
      </w:r>
      <w:r w:rsidRPr="00A85D78">
        <w:rPr>
          <w:rFonts w:ascii="Arial" w:hAnsi="Arial" w:cs="Arial"/>
          <w:sz w:val="24"/>
          <w:szCs w:val="24"/>
        </w:rPr>
        <w:t>lo se elijan Diputados Federales. (Artículo 237, COFIPE: 2008)</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 xml:space="preserve">No se omite mencionar que para </w:t>
      </w:r>
      <w:r w:rsidR="00F55671" w:rsidRPr="00A85D78">
        <w:rPr>
          <w:rFonts w:ascii="Arial" w:hAnsi="Arial" w:cs="Arial"/>
          <w:sz w:val="24"/>
          <w:szCs w:val="24"/>
        </w:rPr>
        <w:t>las 2008 dichas reformas constitucionales</w:t>
      </w:r>
      <w:r w:rsidRPr="00A85D78">
        <w:rPr>
          <w:rFonts w:ascii="Arial" w:hAnsi="Arial" w:cs="Arial"/>
          <w:sz w:val="24"/>
          <w:szCs w:val="24"/>
        </w:rPr>
        <w:t xml:space="preserve"> se plasmaron en el Código Federal de Instituciones y Procedimientos Electorales. </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r w:rsidRPr="00A85D78">
        <w:rPr>
          <w:rFonts w:ascii="Arial" w:hAnsi="Arial" w:cs="Arial"/>
          <w:sz w:val="24"/>
          <w:szCs w:val="24"/>
        </w:rPr>
        <w:t>En materia de tiempos en radio y televisión por primera vez se otorga esta prerrogativa a los procesos electorales locales.</w:t>
      </w:r>
    </w:p>
    <w:p w:rsidR="00A256AB" w:rsidRPr="00A85D78" w:rsidRDefault="00A256AB" w:rsidP="00511785">
      <w:pPr>
        <w:shd w:val="clear" w:color="auto" w:fill="FFFFFF"/>
        <w:spacing w:before="100" w:beforeAutospacing="1" w:after="100" w:afterAutospacing="1" w:line="360" w:lineRule="auto"/>
        <w:jc w:val="both"/>
        <w:rPr>
          <w:rFonts w:ascii="Arial" w:hAnsi="Arial" w:cs="Arial"/>
          <w:sz w:val="24"/>
          <w:szCs w:val="24"/>
        </w:rPr>
      </w:pPr>
      <w:proofErr w:type="gramStart"/>
      <w:r w:rsidRPr="00A85D78">
        <w:rPr>
          <w:rFonts w:ascii="Arial" w:hAnsi="Arial" w:cs="Arial"/>
          <w:sz w:val="24"/>
          <w:szCs w:val="24"/>
        </w:rPr>
        <w:t>Finalmente</w:t>
      </w:r>
      <w:proofErr w:type="gramEnd"/>
      <w:r w:rsidRPr="00A85D78">
        <w:rPr>
          <w:rFonts w:ascii="Arial" w:hAnsi="Arial" w:cs="Arial"/>
          <w:sz w:val="24"/>
          <w:szCs w:val="24"/>
        </w:rPr>
        <w:t xml:space="preserve"> la reforma 2007, regula los aspectos concernientes a las precampañas, en primera instancia su duración: en caso de renovación de presidente y las dos cámaras hasta 60 días y en caso de renovación de legislatura federal, 40 días (Artículo 211, COFIPE: 2008). En el mismo orden de ideas el artículo 214 del COFIPE, facultó al Consejo General del IFE, para determinar topes de gastos de precampaña equivalentes al 20% del monto establecido para las campañas inmediatas anteriores. </w:t>
      </w:r>
    </w:p>
    <w:p w:rsidR="00A256AB" w:rsidRPr="00A85D78" w:rsidRDefault="00A256AB" w:rsidP="00511785">
      <w:pPr>
        <w:shd w:val="clear" w:color="auto" w:fill="FFFFFF"/>
        <w:spacing w:before="100" w:beforeAutospacing="1" w:after="100" w:afterAutospacing="1" w:line="360" w:lineRule="auto"/>
        <w:jc w:val="both"/>
        <w:rPr>
          <w:rFonts w:ascii="Arial" w:hAnsi="Arial" w:cs="Arial"/>
          <w:b/>
          <w:sz w:val="24"/>
          <w:szCs w:val="24"/>
        </w:rPr>
      </w:pPr>
      <w:r w:rsidRPr="00A85D78">
        <w:rPr>
          <w:rFonts w:ascii="Arial" w:hAnsi="Arial" w:cs="Arial"/>
          <w:b/>
          <w:sz w:val="24"/>
          <w:szCs w:val="24"/>
        </w:rPr>
        <w:lastRenderedPageBreak/>
        <w:t xml:space="preserve">1.2.2 Financiamiento en reforma 2014. </w:t>
      </w:r>
      <w:r w:rsidR="00F55671" w:rsidRPr="00A85D78">
        <w:rPr>
          <w:rFonts w:ascii="Arial" w:hAnsi="Arial" w:cs="Arial"/>
          <w:b/>
          <w:sz w:val="24"/>
          <w:szCs w:val="24"/>
        </w:rPr>
        <w:t>El nuevo</w:t>
      </w:r>
      <w:r w:rsidRPr="00A85D78">
        <w:rPr>
          <w:rFonts w:ascii="Arial" w:hAnsi="Arial" w:cs="Arial"/>
          <w:b/>
          <w:sz w:val="24"/>
          <w:szCs w:val="24"/>
        </w:rPr>
        <w:t xml:space="preserve"> marco institucional y legal del financiamiento en los ámbitos nacional y local.</w:t>
      </w:r>
    </w:p>
    <w:p w:rsidR="00A256AB" w:rsidRDefault="00A256AB" w:rsidP="00511785">
      <w:pPr>
        <w:spacing w:line="360" w:lineRule="auto"/>
        <w:jc w:val="both"/>
        <w:rPr>
          <w:rFonts w:ascii="Arial" w:hAnsi="Arial" w:cs="Arial"/>
          <w:sz w:val="24"/>
          <w:szCs w:val="24"/>
        </w:rPr>
      </w:pPr>
      <w:r w:rsidRPr="00A85D78">
        <w:rPr>
          <w:rFonts w:ascii="Arial" w:hAnsi="Arial" w:cs="Arial"/>
          <w:sz w:val="24"/>
          <w:szCs w:val="24"/>
        </w:rPr>
        <w:t>La funcionalidad de la reforma de 2007, qued</w:t>
      </w:r>
      <w:r w:rsidR="00566705" w:rsidRPr="00A85D78">
        <w:rPr>
          <w:rFonts w:ascii="Arial" w:hAnsi="Arial" w:cs="Arial"/>
          <w:sz w:val="24"/>
          <w:szCs w:val="24"/>
        </w:rPr>
        <w:t>ó</w:t>
      </w:r>
      <w:r w:rsidRPr="00A85D78">
        <w:rPr>
          <w:rFonts w:ascii="Arial" w:hAnsi="Arial" w:cs="Arial"/>
          <w:sz w:val="24"/>
          <w:szCs w:val="24"/>
        </w:rPr>
        <w:t xml:space="preserve"> en entredicho después del proceso electoral 2012, a causa del denominado “caso Monex”, en el que tanto PAN y PRD, denunciaron el rebase de topes de gastos de campaña de la coalición integrada por el PRI-PVEM-NA, por la operación de recursos privados a través de tarjetas del Banco Monex por un monto mayor a 700 millones de pesos</w:t>
      </w:r>
      <w:r w:rsidRPr="00A85D78">
        <w:rPr>
          <w:rStyle w:val="Refdenotaalpie"/>
          <w:rFonts w:ascii="Arial" w:hAnsi="Arial" w:cs="Arial"/>
          <w:sz w:val="24"/>
          <w:szCs w:val="24"/>
        </w:rPr>
        <w:footnoteReference w:id="5"/>
      </w:r>
      <w:r w:rsidRPr="00A85D78">
        <w:rPr>
          <w:rFonts w:ascii="Arial" w:hAnsi="Arial" w:cs="Arial"/>
          <w:sz w:val="24"/>
          <w:szCs w:val="24"/>
        </w:rPr>
        <w:t xml:space="preserve">. </w:t>
      </w:r>
    </w:p>
    <w:p w:rsidR="00AB4628" w:rsidRPr="00A85D78" w:rsidRDefault="00AB4628" w:rsidP="00511785">
      <w:pPr>
        <w:spacing w:line="360" w:lineRule="auto"/>
        <w:jc w:val="both"/>
        <w:rPr>
          <w:rFonts w:ascii="Arial" w:hAnsi="Arial" w:cs="Arial"/>
          <w:sz w:val="24"/>
          <w:szCs w:val="24"/>
        </w:rPr>
      </w:pP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El resultado electoral tan cerrado y la crisis desatada por el caso Monex, fueron los principales detonantes de la reforma político-electoral más ambiciosa en la historia de nuestro País. El marco jurídico electoral se reformó por completo con la sustitución del COFIPE por un conjunto de ordenamientos legales de nueva generación: la Ley General de Partidos Políticos, (LGPP); la Ley General de Instituciones y Procedimientos Electorales (LGIPE) y la Ley General en Materia de Delitos Electorales (LGMDE). El cambio más sustancial fue la sustitución del IFE por el Instituto Nacional Electoral (INE), con este hecho la nueva autoridad electoral ya no solo tiene facultades para organizar procesos electorales del ámbito federal, sino que también a partir del 2015, lo hace en los procesos electorales locales para elegir</w:t>
      </w:r>
      <w:r w:rsidR="00566705" w:rsidRPr="00A85D78">
        <w:rPr>
          <w:rFonts w:ascii="Arial" w:hAnsi="Arial" w:cs="Arial"/>
          <w:sz w:val="24"/>
          <w:szCs w:val="24"/>
        </w:rPr>
        <w:t>:</w:t>
      </w:r>
      <w:r w:rsidRPr="00A85D78">
        <w:rPr>
          <w:rFonts w:ascii="Arial" w:hAnsi="Arial" w:cs="Arial"/>
          <w:sz w:val="24"/>
          <w:szCs w:val="24"/>
        </w:rPr>
        <w:t xml:space="preserve"> Gobernador, Jefe de Gobierno, Diputados Locales, Presidentes Municipales, </w:t>
      </w:r>
      <w:proofErr w:type="gramStart"/>
      <w:r w:rsidRPr="00A85D78">
        <w:rPr>
          <w:rFonts w:ascii="Arial" w:hAnsi="Arial" w:cs="Arial"/>
          <w:sz w:val="24"/>
          <w:szCs w:val="24"/>
        </w:rPr>
        <w:t>Alcaldes</w:t>
      </w:r>
      <w:proofErr w:type="gramEnd"/>
      <w:r w:rsidRPr="00A85D78">
        <w:rPr>
          <w:rFonts w:ascii="Arial" w:hAnsi="Arial" w:cs="Arial"/>
          <w:sz w:val="24"/>
          <w:szCs w:val="24"/>
        </w:rPr>
        <w:t xml:space="preserve"> y Jefes de Comunidad. De la misma forma la inclusión de candidaturas independientes representa otro de los grandes avances de esta reforma.</w:t>
      </w:r>
    </w:p>
    <w:p w:rsidR="00A256AB" w:rsidRPr="00A85D78" w:rsidRDefault="00A256AB" w:rsidP="00511785">
      <w:pPr>
        <w:spacing w:line="360" w:lineRule="auto"/>
        <w:jc w:val="both"/>
        <w:rPr>
          <w:rFonts w:ascii="Arial" w:hAnsi="Arial" w:cs="Arial"/>
          <w:sz w:val="24"/>
          <w:szCs w:val="24"/>
        </w:rPr>
      </w:pPr>
    </w:p>
    <w:p w:rsidR="00A256AB" w:rsidRPr="00A85D78" w:rsidRDefault="00A256AB" w:rsidP="00511785">
      <w:pPr>
        <w:spacing w:line="360" w:lineRule="auto"/>
        <w:jc w:val="both"/>
        <w:rPr>
          <w:rFonts w:ascii="Arial" w:hAnsi="Arial" w:cs="Arial"/>
          <w:sz w:val="24"/>
          <w:szCs w:val="24"/>
        </w:rPr>
      </w:pPr>
      <w:r w:rsidRPr="00A85D78">
        <w:rPr>
          <w:rFonts w:ascii="Arial" w:hAnsi="Arial" w:cs="Arial"/>
          <w:sz w:val="24"/>
          <w:szCs w:val="24"/>
        </w:rPr>
        <w:t xml:space="preserve">En la tabla 1.2 podemos apreciar a detalle la situación actual del financiamiento público, acorde a los preceptos de la reforma electoral 2014. En ella podemos apreciar cómo se integra el financiamiento público (actividades ordinarias, obtención del voto y actividades específicas); en el mismo sentido podemos apreciar la fórmula para su cálculo, mecanismos de distribución y fundamento dentro del marco jurídico. </w:t>
      </w:r>
    </w:p>
    <w:p w:rsidR="00A256AB" w:rsidRPr="00A85D78" w:rsidRDefault="00DF4909" w:rsidP="00511785">
      <w:pPr>
        <w:spacing w:line="360" w:lineRule="auto"/>
        <w:jc w:val="both"/>
        <w:rPr>
          <w:rFonts w:ascii="Arial" w:hAnsi="Arial" w:cs="Arial"/>
          <w:sz w:val="24"/>
          <w:szCs w:val="24"/>
        </w:rPr>
      </w:pPr>
      <w:r>
        <w:rPr>
          <w:rFonts w:ascii="Arial" w:hAnsi="Arial" w:cs="Arial"/>
          <w:sz w:val="24"/>
          <w:szCs w:val="24"/>
        </w:rPr>
        <w:lastRenderedPageBreak/>
        <w:t>En</w:t>
      </w:r>
      <w:r w:rsidR="00A256AB" w:rsidRPr="00A85D78">
        <w:rPr>
          <w:rFonts w:ascii="Arial" w:hAnsi="Arial" w:cs="Arial"/>
          <w:sz w:val="24"/>
          <w:szCs w:val="24"/>
        </w:rPr>
        <w:t xml:space="preserve"> la tabla 1.3 se observa a detalle la integración del financiamiento privado vigente al día de hoy, los diferentes </w:t>
      </w:r>
      <w:proofErr w:type="spellStart"/>
      <w:r w:rsidR="00A256AB" w:rsidRPr="00A85D78">
        <w:rPr>
          <w:rFonts w:ascii="Arial" w:hAnsi="Arial" w:cs="Arial"/>
          <w:sz w:val="24"/>
          <w:szCs w:val="24"/>
        </w:rPr>
        <w:t>subrubros</w:t>
      </w:r>
      <w:proofErr w:type="spellEnd"/>
      <w:r w:rsidR="00A256AB" w:rsidRPr="00A85D78">
        <w:rPr>
          <w:rFonts w:ascii="Arial" w:hAnsi="Arial" w:cs="Arial"/>
          <w:sz w:val="24"/>
          <w:szCs w:val="24"/>
        </w:rPr>
        <w:t xml:space="preserve"> que lo componen de simpatizantes, por la militancia, autofinanciamiento, rendimientos financieros, </w:t>
      </w:r>
      <w:proofErr w:type="spellStart"/>
      <w:r w:rsidR="00A256AB" w:rsidRPr="00A85D78">
        <w:rPr>
          <w:rFonts w:ascii="Arial" w:hAnsi="Arial" w:cs="Arial"/>
          <w:sz w:val="24"/>
          <w:szCs w:val="24"/>
        </w:rPr>
        <w:t>etc</w:t>
      </w:r>
      <w:proofErr w:type="spellEnd"/>
      <w:r w:rsidR="00A256AB" w:rsidRPr="00A85D78">
        <w:rPr>
          <w:rFonts w:ascii="Arial" w:hAnsi="Arial" w:cs="Arial"/>
          <w:sz w:val="24"/>
          <w:szCs w:val="24"/>
        </w:rPr>
        <w:t xml:space="preserve">, es relevante observar también los límites y restricciones de cada uno de ellos. </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rPr>
          <w:rFonts w:ascii="Arial" w:hAnsi="Arial" w:cs="Arial"/>
          <w:sz w:val="24"/>
          <w:szCs w:val="24"/>
        </w:rPr>
      </w:pPr>
      <w:r w:rsidRPr="00A85D78">
        <w:rPr>
          <w:rFonts w:ascii="Arial" w:hAnsi="Arial" w:cs="Arial"/>
          <w:sz w:val="24"/>
          <w:szCs w:val="24"/>
        </w:rPr>
        <w:br w:type="page"/>
      </w:r>
    </w:p>
    <w:p w:rsidR="00A256AB" w:rsidRPr="00A85D78" w:rsidRDefault="00A256AB" w:rsidP="00A256AB">
      <w:pPr>
        <w:rPr>
          <w:rFonts w:ascii="Arial" w:hAnsi="Arial" w:cs="Arial"/>
          <w:sz w:val="24"/>
          <w:szCs w:val="24"/>
        </w:rPr>
        <w:sectPr w:rsidR="00A256AB" w:rsidRPr="00A85D78" w:rsidSect="006A7F9A">
          <w:footerReference w:type="even" r:id="rId10"/>
          <w:footerReference w:type="default" r:id="rId11"/>
          <w:pgSz w:w="11906" w:h="16838"/>
          <w:pgMar w:top="1417" w:right="1701" w:bottom="1417" w:left="1701" w:header="708" w:footer="708" w:gutter="0"/>
          <w:pgNumType w:start="0"/>
          <w:cols w:space="708"/>
          <w:titlePg/>
          <w:docGrid w:linePitch="360"/>
        </w:sectPr>
      </w:pPr>
    </w:p>
    <w:p w:rsidR="00A256AB" w:rsidRDefault="00A256AB" w:rsidP="00AB4628">
      <w:pPr>
        <w:pStyle w:val="Sinespaciado"/>
        <w:ind w:left="1418" w:hanging="1418"/>
        <w:contextualSpacing/>
        <w:jc w:val="both"/>
        <w:rPr>
          <w:rStyle w:val="Ttulodellibro"/>
          <w:rFonts w:ascii="Arial" w:hAnsi="Arial" w:cs="Arial"/>
          <w:b/>
          <w:i/>
          <w:color w:val="auto"/>
          <w:sz w:val="20"/>
          <w:szCs w:val="20"/>
        </w:rPr>
      </w:pPr>
      <w:r w:rsidRPr="00AB4628">
        <w:rPr>
          <w:rStyle w:val="Ttulodellibro"/>
          <w:rFonts w:ascii="Arial" w:hAnsi="Arial" w:cs="Arial"/>
          <w:b/>
          <w:i/>
          <w:color w:val="auto"/>
          <w:sz w:val="20"/>
          <w:szCs w:val="20"/>
        </w:rPr>
        <w:lastRenderedPageBreak/>
        <w:t>TABLA 1. 2. Esquemas de Financiamiento Público de Partidos Políticos en Reforma Electoral 2014.</w:t>
      </w:r>
    </w:p>
    <w:p w:rsidR="0007586E" w:rsidRPr="00AB4628" w:rsidRDefault="0007586E" w:rsidP="00AB4628">
      <w:pPr>
        <w:pStyle w:val="Sinespaciado"/>
        <w:ind w:left="1418" w:hanging="1418"/>
        <w:contextualSpacing/>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840"/>
        <w:gridCol w:w="1984"/>
        <w:gridCol w:w="1416"/>
        <w:gridCol w:w="4962"/>
        <w:gridCol w:w="3792"/>
      </w:tblGrid>
      <w:tr w:rsidR="00A256AB" w:rsidRPr="00760F78" w:rsidTr="00760F78">
        <w:tc>
          <w:tcPr>
            <w:tcW w:w="657"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RUBRO DE FINANCIAMIENTO</w:t>
            </w:r>
          </w:p>
        </w:tc>
        <w:tc>
          <w:tcPr>
            <w:tcW w:w="709"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ORDENAMIENTO LEGAL</w:t>
            </w:r>
          </w:p>
        </w:tc>
        <w:tc>
          <w:tcPr>
            <w:tcW w:w="506"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ARTÍCULOS</w:t>
            </w:r>
          </w:p>
        </w:tc>
        <w:tc>
          <w:tcPr>
            <w:tcW w:w="1773"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CARACTER</w:t>
            </w:r>
            <w:r w:rsidR="0012398D" w:rsidRPr="00760F78">
              <w:rPr>
                <w:rFonts w:ascii="Arial" w:hAnsi="Arial" w:cs="Arial"/>
                <w:b/>
                <w:sz w:val="16"/>
                <w:szCs w:val="16"/>
                <w:lang w:val="es-ES_tradnl"/>
              </w:rPr>
              <w:t>Í</w:t>
            </w:r>
            <w:r w:rsidRPr="00760F78">
              <w:rPr>
                <w:rFonts w:ascii="Arial" w:hAnsi="Arial" w:cs="Arial"/>
                <w:b/>
                <w:sz w:val="16"/>
                <w:szCs w:val="16"/>
                <w:lang w:val="es-ES_tradnl"/>
              </w:rPr>
              <w:t>STICAS</w:t>
            </w:r>
          </w:p>
        </w:tc>
        <w:tc>
          <w:tcPr>
            <w:tcW w:w="1355"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OBSERVACIONES</w:t>
            </w:r>
          </w:p>
        </w:tc>
      </w:tr>
      <w:tr w:rsidR="00A256AB" w:rsidRPr="00760F78" w:rsidTr="00760F78">
        <w:trPr>
          <w:trHeight w:val="716"/>
        </w:trPr>
        <w:tc>
          <w:tcPr>
            <w:tcW w:w="657" w:type="pct"/>
            <w:vMerge w:val="restar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Financiamiento Público</w:t>
            </w: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Constitución Política de los Estados Unidos Mexicanos</w:t>
            </w:r>
          </w:p>
        </w:tc>
        <w:tc>
          <w:tcPr>
            <w:tcW w:w="506"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41, Base II</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Se compondrá de las ministraciones destinadas al sostenimiento de sus actividades ordinarias permanentes, las tendientes a la obtención del voto durante los procesos electorales y las de carácter específico.</w:t>
            </w:r>
          </w:p>
        </w:tc>
        <w:tc>
          <w:tcPr>
            <w:tcW w:w="1355" w:type="pct"/>
            <w:vAlign w:val="center"/>
          </w:tcPr>
          <w:p w:rsidR="00A256AB" w:rsidRPr="00760F78" w:rsidRDefault="00A256AB" w:rsidP="00FF3F86">
            <w:pPr>
              <w:contextualSpacing/>
              <w:jc w:val="both"/>
              <w:rPr>
                <w:rFonts w:ascii="Arial" w:hAnsi="Arial" w:cs="Arial"/>
                <w:sz w:val="16"/>
                <w:szCs w:val="16"/>
                <w:lang w:val="es-ES_tradnl"/>
              </w:rPr>
            </w:pPr>
          </w:p>
        </w:tc>
      </w:tr>
      <w:tr w:rsidR="00A256AB" w:rsidRPr="00760F78" w:rsidTr="00760F78">
        <w:trPr>
          <w:trHeight w:val="953"/>
        </w:trPr>
        <w:tc>
          <w:tcPr>
            <w:tcW w:w="657" w:type="pct"/>
            <w:vMerge/>
            <w:vAlign w:val="center"/>
          </w:tcPr>
          <w:p w:rsidR="00A256AB" w:rsidRPr="00760F78" w:rsidRDefault="00A256AB" w:rsidP="00FF3F86">
            <w:pPr>
              <w:contextualSpacing/>
              <w:jc w:val="center"/>
              <w:rPr>
                <w:rFonts w:ascii="Arial" w:hAnsi="Arial" w:cs="Arial"/>
                <w:sz w:val="16"/>
                <w:szCs w:val="16"/>
                <w:lang w:val="es-ES_tradnl"/>
              </w:rPr>
            </w:pP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06"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50</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Los partidos políticos tienen derecho a recibir, para desarrollar sus actividades, financiamiento público que se distribuirá de manera equitativa. Será destinado para el sostenimiento de actividades ordinarias permanentes, gastos de procesos electorales y para actividades específicas como entidades de interés público.</w:t>
            </w:r>
          </w:p>
        </w:tc>
        <w:tc>
          <w:tcPr>
            <w:tcW w:w="1355"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El financiamiento público deberá prevalecer sobre otros tipos de financiamiento</w:t>
            </w:r>
            <w:r w:rsidR="001C54C8" w:rsidRPr="00760F78">
              <w:rPr>
                <w:rFonts w:ascii="Arial" w:hAnsi="Arial" w:cs="Arial"/>
                <w:sz w:val="16"/>
                <w:szCs w:val="16"/>
                <w:lang w:val="es-ES_tradnl"/>
              </w:rPr>
              <w:t>.</w:t>
            </w:r>
          </w:p>
        </w:tc>
      </w:tr>
      <w:tr w:rsidR="00A256AB" w:rsidRPr="00760F78" w:rsidTr="00760F78">
        <w:trPr>
          <w:trHeight w:val="697"/>
        </w:trPr>
        <w:tc>
          <w:tcPr>
            <w:tcW w:w="657" w:type="pct"/>
            <w:vMerge w:val="restar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Financiamiento público para el sostenimiento de sus actividades ordinarias permanentes</w:t>
            </w: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Constitución Política de los Estados Unidos Mexicanos</w:t>
            </w:r>
          </w:p>
        </w:tc>
        <w:tc>
          <w:tcPr>
            <w:tcW w:w="506" w:type="pct"/>
            <w:vAlign w:val="center"/>
          </w:tcPr>
          <w:p w:rsidR="00F01BC7"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41, Base II,</w:t>
            </w:r>
          </w:p>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inciso a)</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Se fijará anualmente, multiplicando el número total de ciudadanos inscritos en el padrón electoral por el </w:t>
            </w:r>
            <w:r w:rsidR="00510D12" w:rsidRPr="00760F78">
              <w:rPr>
                <w:rFonts w:ascii="Arial" w:hAnsi="Arial" w:cs="Arial"/>
                <w:sz w:val="16"/>
                <w:szCs w:val="16"/>
                <w:lang w:val="es-ES_tradnl"/>
              </w:rPr>
              <w:t xml:space="preserve">65% </w:t>
            </w:r>
            <w:r w:rsidRPr="00760F78">
              <w:rPr>
                <w:rFonts w:ascii="Arial" w:hAnsi="Arial" w:cs="Arial"/>
                <w:sz w:val="16"/>
                <w:szCs w:val="16"/>
                <w:lang w:val="es-ES_tradnl"/>
              </w:rPr>
              <w:t>del salario mínimo diario vigente para el Distrito Federal</w:t>
            </w:r>
            <w:r w:rsidR="001C54C8" w:rsidRPr="00760F78">
              <w:rPr>
                <w:rFonts w:ascii="Arial" w:hAnsi="Arial" w:cs="Arial"/>
                <w:sz w:val="16"/>
                <w:szCs w:val="16"/>
                <w:lang w:val="es-ES_tradnl"/>
              </w:rPr>
              <w:t>.</w:t>
            </w:r>
          </w:p>
        </w:tc>
        <w:tc>
          <w:tcPr>
            <w:tcW w:w="1355"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El 30%, se distribuirá en forma igualitaria y el 70% restante de acuerdo con el porcentaje de votos que hubieren obtenido en la elección de </w:t>
            </w:r>
            <w:r w:rsidR="00510D12" w:rsidRPr="00760F78">
              <w:rPr>
                <w:rFonts w:ascii="Arial" w:hAnsi="Arial" w:cs="Arial"/>
                <w:sz w:val="16"/>
                <w:szCs w:val="16"/>
                <w:lang w:val="es-ES_tradnl"/>
              </w:rPr>
              <w:t>D</w:t>
            </w:r>
            <w:r w:rsidRPr="00760F78">
              <w:rPr>
                <w:rFonts w:ascii="Arial" w:hAnsi="Arial" w:cs="Arial"/>
                <w:sz w:val="16"/>
                <w:szCs w:val="16"/>
                <w:lang w:val="es-ES_tradnl"/>
              </w:rPr>
              <w:t>iputados inmediata anterior</w:t>
            </w:r>
            <w:r w:rsidR="001C54C8" w:rsidRPr="00760F78">
              <w:rPr>
                <w:rFonts w:ascii="Arial" w:hAnsi="Arial" w:cs="Arial"/>
                <w:sz w:val="16"/>
                <w:szCs w:val="16"/>
                <w:lang w:val="es-ES_tradnl"/>
              </w:rPr>
              <w:t>.</w:t>
            </w:r>
          </w:p>
        </w:tc>
      </w:tr>
      <w:tr w:rsidR="00A256AB" w:rsidRPr="00760F78" w:rsidTr="00760F78">
        <w:trPr>
          <w:trHeight w:val="948"/>
        </w:trPr>
        <w:tc>
          <w:tcPr>
            <w:tcW w:w="657" w:type="pct"/>
            <w:vMerge/>
            <w:vAlign w:val="center"/>
          </w:tcPr>
          <w:p w:rsidR="00A256AB" w:rsidRPr="00760F78" w:rsidRDefault="00A256AB" w:rsidP="00FF3F86">
            <w:pPr>
              <w:contextualSpacing/>
              <w:jc w:val="center"/>
              <w:rPr>
                <w:rFonts w:ascii="Arial" w:hAnsi="Arial" w:cs="Arial"/>
                <w:sz w:val="16"/>
                <w:szCs w:val="16"/>
                <w:lang w:val="es-ES_tradnl"/>
              </w:rPr>
            </w:pP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06" w:type="pct"/>
            <w:vAlign w:val="center"/>
          </w:tcPr>
          <w:p w:rsidR="00F01BC7"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51, numeral 1, inciso a),</w:t>
            </w:r>
          </w:p>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fracción I</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Se determina multiplicando el número total de ciudadanos inscritos en el padrón electoral federal o local, con fecha de corte de julio de cada año, por el 65% del salario mínimo diario vigente para el D.F., o el salario mínimo de la región en la cual se encuentre la entidad federativa, para el caso de los partidos políticos locales</w:t>
            </w:r>
            <w:r w:rsidR="00230840" w:rsidRPr="00760F78">
              <w:rPr>
                <w:rFonts w:ascii="Arial" w:hAnsi="Arial" w:cs="Arial"/>
                <w:sz w:val="16"/>
                <w:szCs w:val="16"/>
                <w:lang w:val="es-ES_tradnl"/>
              </w:rPr>
              <w:t>.</w:t>
            </w:r>
          </w:p>
        </w:tc>
        <w:tc>
          <w:tcPr>
            <w:tcW w:w="1355"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El Consejo General, en el caso de los partidos políticos nacionales, o el Organismo Público Local, tratándose de partidos políticos locales, determinarán anualmente el monto por distribuir.</w:t>
            </w:r>
          </w:p>
        </w:tc>
      </w:tr>
      <w:tr w:rsidR="00A256AB" w:rsidRPr="00760F78" w:rsidTr="00760F78">
        <w:trPr>
          <w:trHeight w:val="849"/>
        </w:trPr>
        <w:tc>
          <w:tcPr>
            <w:tcW w:w="657" w:type="pct"/>
            <w:vMerge w:val="restar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Financiamiento público para las actividades</w:t>
            </w:r>
            <w:r w:rsidR="00566705" w:rsidRPr="00760F78">
              <w:rPr>
                <w:rFonts w:ascii="Arial" w:hAnsi="Arial" w:cs="Arial"/>
                <w:sz w:val="16"/>
                <w:szCs w:val="16"/>
                <w:lang w:val="es-ES_tradnl"/>
              </w:rPr>
              <w:t xml:space="preserve"> </w:t>
            </w:r>
            <w:r w:rsidRPr="00760F78">
              <w:rPr>
                <w:rFonts w:ascii="Arial" w:hAnsi="Arial" w:cs="Arial"/>
                <w:sz w:val="16"/>
                <w:szCs w:val="16"/>
                <w:lang w:val="es-ES_tradnl"/>
              </w:rPr>
              <w:t>tendientes a la obtención del voto</w:t>
            </w: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Constitución Política de los Estados Unidos Mexicanos</w:t>
            </w:r>
          </w:p>
        </w:tc>
        <w:tc>
          <w:tcPr>
            <w:tcW w:w="506" w:type="pct"/>
            <w:vAlign w:val="center"/>
          </w:tcPr>
          <w:p w:rsidR="00F01BC7"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41, Base II,</w:t>
            </w:r>
          </w:p>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inciso b)</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Durante el año en que se elijan </w:t>
            </w:r>
            <w:proofErr w:type="gramStart"/>
            <w:r w:rsidRPr="00760F78">
              <w:rPr>
                <w:rFonts w:ascii="Arial" w:hAnsi="Arial" w:cs="Arial"/>
                <w:sz w:val="16"/>
                <w:szCs w:val="16"/>
                <w:lang w:val="es-ES_tradnl"/>
              </w:rPr>
              <w:t>Presidente</w:t>
            </w:r>
            <w:proofErr w:type="gramEnd"/>
            <w:r w:rsidRPr="00760F78">
              <w:rPr>
                <w:rFonts w:ascii="Arial" w:hAnsi="Arial" w:cs="Arial"/>
                <w:sz w:val="16"/>
                <w:szCs w:val="16"/>
                <w:lang w:val="es-ES_tradnl"/>
              </w:rPr>
              <w:t xml:space="preserve"> de la República, </w:t>
            </w:r>
            <w:r w:rsidR="00566705" w:rsidRPr="00760F78">
              <w:rPr>
                <w:rFonts w:ascii="Arial" w:hAnsi="Arial" w:cs="Arial"/>
                <w:sz w:val="16"/>
                <w:szCs w:val="16"/>
                <w:lang w:val="es-ES_tradnl"/>
              </w:rPr>
              <w:t>S</w:t>
            </w:r>
            <w:r w:rsidRPr="00760F78">
              <w:rPr>
                <w:rFonts w:ascii="Arial" w:hAnsi="Arial" w:cs="Arial"/>
                <w:sz w:val="16"/>
                <w:szCs w:val="16"/>
                <w:lang w:val="es-ES_tradnl"/>
              </w:rPr>
              <w:t xml:space="preserve">enadores y </w:t>
            </w:r>
            <w:r w:rsidR="00566705" w:rsidRPr="00760F78">
              <w:rPr>
                <w:rFonts w:ascii="Arial" w:hAnsi="Arial" w:cs="Arial"/>
                <w:sz w:val="16"/>
                <w:szCs w:val="16"/>
                <w:lang w:val="es-ES_tradnl"/>
              </w:rPr>
              <w:t>D</w:t>
            </w:r>
            <w:r w:rsidRPr="00760F78">
              <w:rPr>
                <w:rFonts w:ascii="Arial" w:hAnsi="Arial" w:cs="Arial"/>
                <w:sz w:val="16"/>
                <w:szCs w:val="16"/>
                <w:lang w:val="es-ES_tradnl"/>
              </w:rPr>
              <w:t>iputados</w:t>
            </w:r>
            <w:r w:rsidR="00230840" w:rsidRPr="00760F78">
              <w:rPr>
                <w:rFonts w:ascii="Arial" w:hAnsi="Arial" w:cs="Arial"/>
                <w:sz w:val="16"/>
                <w:szCs w:val="16"/>
                <w:lang w:val="es-ES_tradnl"/>
              </w:rPr>
              <w:t xml:space="preserve"> </w:t>
            </w:r>
            <w:r w:rsidR="00566705" w:rsidRPr="00760F78">
              <w:rPr>
                <w:rFonts w:ascii="Arial" w:hAnsi="Arial" w:cs="Arial"/>
                <w:sz w:val="16"/>
                <w:szCs w:val="16"/>
                <w:lang w:val="es-ES_tradnl"/>
              </w:rPr>
              <w:t>F</w:t>
            </w:r>
            <w:r w:rsidRPr="00760F78">
              <w:rPr>
                <w:rFonts w:ascii="Arial" w:hAnsi="Arial" w:cs="Arial"/>
                <w:sz w:val="16"/>
                <w:szCs w:val="16"/>
                <w:lang w:val="es-ES_tradnl"/>
              </w:rPr>
              <w:t>ederales, equivaldrá al cincuenta por ciento del financiamiento público que le corresponda a cada partido político por actividades ordinarias en ese mismo año.</w:t>
            </w:r>
          </w:p>
        </w:tc>
        <w:tc>
          <w:tcPr>
            <w:tcW w:w="1355"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Cuando sólo se elijan </w:t>
            </w:r>
            <w:r w:rsidR="00230840" w:rsidRPr="00760F78">
              <w:rPr>
                <w:rFonts w:ascii="Arial" w:hAnsi="Arial" w:cs="Arial"/>
                <w:sz w:val="16"/>
                <w:szCs w:val="16"/>
                <w:lang w:val="es-ES_tradnl"/>
              </w:rPr>
              <w:t>D</w:t>
            </w:r>
            <w:r w:rsidRPr="00760F78">
              <w:rPr>
                <w:rFonts w:ascii="Arial" w:hAnsi="Arial" w:cs="Arial"/>
                <w:sz w:val="16"/>
                <w:szCs w:val="16"/>
                <w:lang w:val="es-ES_tradnl"/>
              </w:rPr>
              <w:t xml:space="preserve">iputados </w:t>
            </w:r>
            <w:r w:rsidR="00230840" w:rsidRPr="00760F78">
              <w:rPr>
                <w:rFonts w:ascii="Arial" w:hAnsi="Arial" w:cs="Arial"/>
                <w:sz w:val="16"/>
                <w:szCs w:val="16"/>
                <w:lang w:val="es-ES_tradnl"/>
              </w:rPr>
              <w:t>F</w:t>
            </w:r>
            <w:r w:rsidRPr="00760F78">
              <w:rPr>
                <w:rFonts w:ascii="Arial" w:hAnsi="Arial" w:cs="Arial"/>
                <w:sz w:val="16"/>
                <w:szCs w:val="16"/>
                <w:lang w:val="es-ES_tradnl"/>
              </w:rPr>
              <w:t xml:space="preserve">ederales, equivaldrá al </w:t>
            </w:r>
            <w:r w:rsidR="00510D12" w:rsidRPr="00760F78">
              <w:rPr>
                <w:rFonts w:ascii="Arial" w:hAnsi="Arial" w:cs="Arial"/>
                <w:sz w:val="16"/>
                <w:szCs w:val="16"/>
                <w:lang w:val="es-ES_tradnl"/>
              </w:rPr>
              <w:t>30%</w:t>
            </w:r>
            <w:r w:rsidRPr="00760F78">
              <w:rPr>
                <w:rFonts w:ascii="Arial" w:hAnsi="Arial" w:cs="Arial"/>
                <w:sz w:val="16"/>
                <w:szCs w:val="16"/>
                <w:lang w:val="es-ES_tradnl"/>
              </w:rPr>
              <w:t xml:space="preserve"> de dicho financiamiento</w:t>
            </w:r>
            <w:r w:rsidR="001C54C8" w:rsidRPr="00760F78">
              <w:rPr>
                <w:rFonts w:ascii="Arial" w:hAnsi="Arial" w:cs="Arial"/>
                <w:sz w:val="16"/>
                <w:szCs w:val="16"/>
                <w:lang w:val="es-ES_tradnl"/>
              </w:rPr>
              <w:t>.</w:t>
            </w:r>
          </w:p>
        </w:tc>
      </w:tr>
      <w:tr w:rsidR="00A256AB" w:rsidRPr="00760F78" w:rsidTr="00760F78">
        <w:trPr>
          <w:trHeight w:val="420"/>
        </w:trPr>
        <w:tc>
          <w:tcPr>
            <w:tcW w:w="657" w:type="pct"/>
            <w:vMerge/>
            <w:vAlign w:val="center"/>
          </w:tcPr>
          <w:p w:rsidR="00A256AB" w:rsidRPr="00760F78" w:rsidRDefault="00A256AB" w:rsidP="00FF3F86">
            <w:pPr>
              <w:contextualSpacing/>
              <w:jc w:val="center"/>
              <w:rPr>
                <w:rFonts w:ascii="Arial" w:hAnsi="Arial" w:cs="Arial"/>
                <w:sz w:val="16"/>
                <w:szCs w:val="16"/>
                <w:lang w:val="es-ES_tradnl"/>
              </w:rPr>
            </w:pP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06"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 xml:space="preserve">51, numeral 1, inciso b), </w:t>
            </w:r>
            <w:r w:rsidR="00F55671" w:rsidRPr="00760F78">
              <w:rPr>
                <w:rFonts w:ascii="Arial" w:hAnsi="Arial" w:cs="Arial"/>
                <w:sz w:val="16"/>
                <w:szCs w:val="16"/>
                <w:lang w:val="es-ES_tradnl"/>
              </w:rPr>
              <w:t>fracciones</w:t>
            </w:r>
            <w:r w:rsidRPr="00760F78">
              <w:rPr>
                <w:rFonts w:ascii="Arial" w:hAnsi="Arial" w:cs="Arial"/>
                <w:sz w:val="16"/>
                <w:szCs w:val="16"/>
                <w:lang w:val="es-ES_tradnl"/>
              </w:rPr>
              <w:t xml:space="preserve"> I y II</w:t>
            </w:r>
          </w:p>
        </w:tc>
        <w:tc>
          <w:tcPr>
            <w:tcW w:w="1773" w:type="pct"/>
            <w:vAlign w:val="center"/>
          </w:tcPr>
          <w:p w:rsidR="00A256AB"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En el año en que se renueven </w:t>
            </w:r>
            <w:r w:rsidR="00230840" w:rsidRPr="00760F78">
              <w:rPr>
                <w:rFonts w:ascii="Arial" w:hAnsi="Arial" w:cs="Arial"/>
                <w:sz w:val="16"/>
                <w:szCs w:val="16"/>
                <w:lang w:val="es-ES_tradnl"/>
              </w:rPr>
              <w:t>el</w:t>
            </w:r>
            <w:r w:rsidRPr="00760F78">
              <w:rPr>
                <w:rFonts w:ascii="Arial" w:hAnsi="Arial" w:cs="Arial"/>
                <w:sz w:val="16"/>
                <w:szCs w:val="16"/>
                <w:lang w:val="es-ES_tradnl"/>
              </w:rPr>
              <w:t xml:space="preserve"> </w:t>
            </w:r>
            <w:r w:rsidR="00230840" w:rsidRPr="00760F78">
              <w:rPr>
                <w:rFonts w:ascii="Arial" w:hAnsi="Arial" w:cs="Arial"/>
                <w:sz w:val="16"/>
                <w:szCs w:val="16"/>
                <w:lang w:val="es-ES_tradnl"/>
              </w:rPr>
              <w:t>E</w:t>
            </w:r>
            <w:r w:rsidRPr="00760F78">
              <w:rPr>
                <w:rFonts w:ascii="Arial" w:hAnsi="Arial" w:cs="Arial"/>
                <w:sz w:val="16"/>
                <w:szCs w:val="16"/>
                <w:lang w:val="es-ES_tradnl"/>
              </w:rPr>
              <w:t xml:space="preserve">jecutivo </w:t>
            </w:r>
            <w:r w:rsidR="00230840" w:rsidRPr="00760F78">
              <w:rPr>
                <w:rFonts w:ascii="Arial" w:hAnsi="Arial" w:cs="Arial"/>
                <w:sz w:val="16"/>
                <w:szCs w:val="16"/>
                <w:lang w:val="es-ES_tradnl"/>
              </w:rPr>
              <w:t>F</w:t>
            </w:r>
            <w:r w:rsidRPr="00760F78">
              <w:rPr>
                <w:rFonts w:ascii="Arial" w:hAnsi="Arial" w:cs="Arial"/>
                <w:sz w:val="16"/>
                <w:szCs w:val="16"/>
                <w:lang w:val="es-ES_tradnl"/>
              </w:rPr>
              <w:t xml:space="preserve">ederal o </w:t>
            </w:r>
            <w:r w:rsidR="00230840" w:rsidRPr="00760F78">
              <w:rPr>
                <w:rFonts w:ascii="Arial" w:hAnsi="Arial" w:cs="Arial"/>
                <w:sz w:val="16"/>
                <w:szCs w:val="16"/>
                <w:lang w:val="es-ES_tradnl"/>
              </w:rPr>
              <w:t>L</w:t>
            </w:r>
            <w:r w:rsidRPr="00760F78">
              <w:rPr>
                <w:rFonts w:ascii="Arial" w:hAnsi="Arial" w:cs="Arial"/>
                <w:sz w:val="16"/>
                <w:szCs w:val="16"/>
                <w:lang w:val="es-ES_tradnl"/>
              </w:rPr>
              <w:t>ocal y las dos Cámaras del Congreso o la Cámara de alguna entidad federativa, a cada partido nacional o local, se le otorgará para gastos de campaña un monto equivalente al 50% del financiamiento público que para el sostenimiento de sus actividades ordinarias permanentes le corresponda en ese año</w:t>
            </w:r>
            <w:r w:rsidR="00230840" w:rsidRPr="00760F78">
              <w:rPr>
                <w:rFonts w:ascii="Arial" w:hAnsi="Arial" w:cs="Arial"/>
                <w:sz w:val="16"/>
                <w:szCs w:val="16"/>
                <w:lang w:val="es-ES_tradnl"/>
              </w:rPr>
              <w:t>.</w:t>
            </w:r>
          </w:p>
        </w:tc>
        <w:tc>
          <w:tcPr>
            <w:tcW w:w="1355" w:type="pct"/>
            <w:vAlign w:val="center"/>
          </w:tcPr>
          <w:p w:rsidR="001C54C8" w:rsidRPr="00760F78" w:rsidRDefault="00A256AB" w:rsidP="00FF3F86">
            <w:pPr>
              <w:contextualSpacing/>
              <w:jc w:val="both"/>
              <w:rPr>
                <w:rFonts w:ascii="Arial" w:hAnsi="Arial" w:cs="Arial"/>
                <w:sz w:val="16"/>
                <w:szCs w:val="16"/>
                <w:lang w:val="es-ES_tradnl"/>
              </w:rPr>
            </w:pPr>
            <w:r w:rsidRPr="00760F78">
              <w:rPr>
                <w:rFonts w:ascii="Arial" w:hAnsi="Arial" w:cs="Arial"/>
                <w:sz w:val="16"/>
                <w:szCs w:val="16"/>
                <w:lang w:val="es-ES_tradnl"/>
              </w:rPr>
              <w:t xml:space="preserve">En el año en que se renueve la Cámara de Diputados </w:t>
            </w:r>
            <w:r w:rsidR="00230840" w:rsidRPr="00760F78">
              <w:rPr>
                <w:rFonts w:ascii="Arial" w:hAnsi="Arial" w:cs="Arial"/>
                <w:sz w:val="16"/>
                <w:szCs w:val="16"/>
                <w:lang w:val="es-ES_tradnl"/>
              </w:rPr>
              <w:t>F</w:t>
            </w:r>
            <w:r w:rsidRPr="00760F78">
              <w:rPr>
                <w:rFonts w:ascii="Arial" w:hAnsi="Arial" w:cs="Arial"/>
                <w:sz w:val="16"/>
                <w:szCs w:val="16"/>
                <w:lang w:val="es-ES_tradnl"/>
              </w:rPr>
              <w:t>ederal</w:t>
            </w:r>
            <w:r w:rsidR="00230840" w:rsidRPr="00760F78">
              <w:rPr>
                <w:rFonts w:ascii="Arial" w:hAnsi="Arial" w:cs="Arial"/>
                <w:sz w:val="16"/>
                <w:szCs w:val="16"/>
                <w:lang w:val="es-ES_tradnl"/>
              </w:rPr>
              <w:t>es</w:t>
            </w:r>
            <w:r w:rsidRPr="00760F78">
              <w:rPr>
                <w:rFonts w:ascii="Arial" w:hAnsi="Arial" w:cs="Arial"/>
                <w:sz w:val="16"/>
                <w:szCs w:val="16"/>
                <w:lang w:val="es-ES_tradnl"/>
              </w:rPr>
              <w:t xml:space="preserve"> o los Congresos Locales, a cada partido político nacional o local, se le otorgará para gastos de campaña un monto equivalente al 30</w:t>
            </w:r>
            <w:r w:rsidR="001C54C8" w:rsidRPr="00760F78">
              <w:rPr>
                <w:rFonts w:ascii="Arial" w:hAnsi="Arial" w:cs="Arial"/>
                <w:sz w:val="16"/>
                <w:szCs w:val="16"/>
                <w:lang w:val="es-ES_tradnl"/>
              </w:rPr>
              <w:t>% del</w:t>
            </w:r>
            <w:r w:rsidRPr="00760F78">
              <w:rPr>
                <w:rFonts w:ascii="Arial" w:hAnsi="Arial" w:cs="Arial"/>
                <w:sz w:val="16"/>
                <w:szCs w:val="16"/>
                <w:lang w:val="es-ES_tradnl"/>
              </w:rPr>
              <w:t xml:space="preserve"> financiamiento público para actividades ordinarias permanentes</w:t>
            </w:r>
            <w:r w:rsidR="00230840" w:rsidRPr="00760F78">
              <w:rPr>
                <w:rFonts w:ascii="Arial" w:hAnsi="Arial" w:cs="Arial"/>
                <w:sz w:val="16"/>
                <w:szCs w:val="16"/>
                <w:lang w:val="es-ES_tradnl"/>
              </w:rPr>
              <w:t>.</w:t>
            </w:r>
          </w:p>
        </w:tc>
      </w:tr>
      <w:tr w:rsidR="00A256AB" w:rsidRPr="00760F78" w:rsidTr="00760F78">
        <w:trPr>
          <w:trHeight w:val="862"/>
        </w:trPr>
        <w:tc>
          <w:tcPr>
            <w:tcW w:w="657" w:type="pct"/>
            <w:vMerge w:val="restar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Financiamiento público por actividades</w:t>
            </w:r>
            <w:r w:rsidR="00230840" w:rsidRPr="00760F78">
              <w:rPr>
                <w:rFonts w:ascii="Arial" w:hAnsi="Arial" w:cs="Arial"/>
                <w:sz w:val="16"/>
                <w:szCs w:val="16"/>
                <w:lang w:val="es-ES_tradnl"/>
              </w:rPr>
              <w:t xml:space="preserve"> </w:t>
            </w:r>
            <w:r w:rsidRPr="00760F78">
              <w:rPr>
                <w:rFonts w:ascii="Arial" w:hAnsi="Arial" w:cs="Arial"/>
                <w:sz w:val="16"/>
                <w:szCs w:val="16"/>
                <w:lang w:val="es-ES_tradnl"/>
              </w:rPr>
              <w:t>específicas</w:t>
            </w: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Constitución Política de los Estados Unidos Mexicanos</w:t>
            </w:r>
          </w:p>
        </w:tc>
        <w:tc>
          <w:tcPr>
            <w:tcW w:w="506"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41, Base II, inciso c)</w:t>
            </w:r>
          </w:p>
        </w:tc>
        <w:tc>
          <w:tcPr>
            <w:tcW w:w="1773" w:type="pct"/>
            <w:vAlign w:val="center"/>
          </w:tcPr>
          <w:p w:rsidR="00A256AB" w:rsidRPr="00760F78" w:rsidRDefault="00A256AB" w:rsidP="00230840">
            <w:pPr>
              <w:contextualSpacing/>
              <w:jc w:val="both"/>
              <w:rPr>
                <w:rFonts w:ascii="Arial" w:hAnsi="Arial" w:cs="Arial"/>
                <w:sz w:val="16"/>
                <w:szCs w:val="16"/>
                <w:lang w:val="es-ES_tradnl"/>
              </w:rPr>
            </w:pPr>
            <w:r w:rsidRPr="00760F78">
              <w:rPr>
                <w:rFonts w:ascii="Arial" w:hAnsi="Arial" w:cs="Arial"/>
                <w:sz w:val="16"/>
                <w:szCs w:val="16"/>
                <w:lang w:val="es-ES_tradnl"/>
              </w:rPr>
              <w:t xml:space="preserve">Relativas a la educación, capacitación, investigación socioeconómica y política, así como a las tareas editoriales equivaldrá al </w:t>
            </w:r>
            <w:r w:rsidR="00230840" w:rsidRPr="00760F78">
              <w:rPr>
                <w:rFonts w:ascii="Arial" w:hAnsi="Arial" w:cs="Arial"/>
                <w:sz w:val="16"/>
                <w:szCs w:val="16"/>
                <w:lang w:val="es-ES_tradnl"/>
              </w:rPr>
              <w:t>3%</w:t>
            </w:r>
            <w:r w:rsidRPr="00760F78">
              <w:rPr>
                <w:rFonts w:ascii="Arial" w:hAnsi="Arial" w:cs="Arial"/>
                <w:sz w:val="16"/>
                <w:szCs w:val="16"/>
                <w:lang w:val="es-ES_tradnl"/>
              </w:rPr>
              <w:t xml:space="preserve"> del monto total del financiamiento público que corresponda en cada año por actividades ordinarias.</w:t>
            </w:r>
          </w:p>
        </w:tc>
        <w:tc>
          <w:tcPr>
            <w:tcW w:w="1355" w:type="pct"/>
            <w:vAlign w:val="center"/>
          </w:tcPr>
          <w:p w:rsidR="00A256AB" w:rsidRPr="00760F78" w:rsidRDefault="00A256AB" w:rsidP="00230840">
            <w:pPr>
              <w:contextualSpacing/>
              <w:jc w:val="both"/>
              <w:rPr>
                <w:rFonts w:ascii="Arial" w:hAnsi="Arial" w:cs="Arial"/>
                <w:sz w:val="16"/>
                <w:szCs w:val="16"/>
                <w:lang w:val="es-ES_tradnl"/>
              </w:rPr>
            </w:pPr>
            <w:r w:rsidRPr="00760F78">
              <w:rPr>
                <w:rFonts w:ascii="Arial" w:hAnsi="Arial" w:cs="Arial"/>
                <w:sz w:val="16"/>
                <w:szCs w:val="16"/>
                <w:lang w:val="es-ES_tradnl"/>
              </w:rPr>
              <w:t xml:space="preserve">El 30%, se distribuirá en forma igualitaria y el 70% restante de acuerdo con el porcentaje de votos que hubieren obtenido en la elección de </w:t>
            </w:r>
            <w:r w:rsidR="00510D12" w:rsidRPr="00760F78">
              <w:rPr>
                <w:rFonts w:ascii="Arial" w:hAnsi="Arial" w:cs="Arial"/>
                <w:sz w:val="16"/>
                <w:szCs w:val="16"/>
                <w:lang w:val="es-ES_tradnl"/>
              </w:rPr>
              <w:t>D</w:t>
            </w:r>
            <w:r w:rsidRPr="00760F78">
              <w:rPr>
                <w:rFonts w:ascii="Arial" w:hAnsi="Arial" w:cs="Arial"/>
                <w:sz w:val="16"/>
                <w:szCs w:val="16"/>
                <w:lang w:val="es-ES_tradnl"/>
              </w:rPr>
              <w:t>iputados inmediata anterior</w:t>
            </w:r>
            <w:r w:rsidR="001C54C8" w:rsidRPr="00760F78">
              <w:rPr>
                <w:rFonts w:ascii="Arial" w:hAnsi="Arial" w:cs="Arial"/>
                <w:sz w:val="16"/>
                <w:szCs w:val="16"/>
                <w:lang w:val="es-ES_tradnl"/>
              </w:rPr>
              <w:t>.</w:t>
            </w:r>
          </w:p>
        </w:tc>
      </w:tr>
      <w:tr w:rsidR="00A256AB" w:rsidRPr="00760F78" w:rsidTr="00760F78">
        <w:trPr>
          <w:trHeight w:val="974"/>
        </w:trPr>
        <w:tc>
          <w:tcPr>
            <w:tcW w:w="657" w:type="pct"/>
            <w:vMerge/>
            <w:vAlign w:val="center"/>
          </w:tcPr>
          <w:p w:rsidR="00A256AB" w:rsidRPr="00760F78" w:rsidRDefault="00A256AB" w:rsidP="00A256AB">
            <w:pPr>
              <w:jc w:val="center"/>
              <w:rPr>
                <w:rFonts w:ascii="Arial" w:hAnsi="Arial" w:cs="Arial"/>
                <w:sz w:val="16"/>
                <w:szCs w:val="16"/>
                <w:lang w:val="es-ES_tradnl"/>
              </w:rPr>
            </w:pPr>
          </w:p>
        </w:tc>
        <w:tc>
          <w:tcPr>
            <w:tcW w:w="709"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06" w:type="pct"/>
            <w:vAlign w:val="center"/>
          </w:tcPr>
          <w:p w:rsidR="00A256AB" w:rsidRPr="00760F78" w:rsidRDefault="00A256AB" w:rsidP="00FF3F86">
            <w:pPr>
              <w:contextualSpacing/>
              <w:jc w:val="center"/>
              <w:rPr>
                <w:rFonts w:ascii="Arial" w:hAnsi="Arial" w:cs="Arial"/>
                <w:sz w:val="16"/>
                <w:szCs w:val="16"/>
                <w:lang w:val="es-ES_tradnl"/>
              </w:rPr>
            </w:pPr>
            <w:r w:rsidRPr="00760F78">
              <w:rPr>
                <w:rFonts w:ascii="Arial" w:hAnsi="Arial" w:cs="Arial"/>
                <w:sz w:val="16"/>
                <w:szCs w:val="16"/>
                <w:lang w:val="es-ES_tradnl"/>
              </w:rPr>
              <w:t>51, numeral 1, inciso c), fracción I</w:t>
            </w:r>
          </w:p>
        </w:tc>
        <w:tc>
          <w:tcPr>
            <w:tcW w:w="1773" w:type="pct"/>
            <w:vAlign w:val="center"/>
          </w:tcPr>
          <w:p w:rsidR="00A256AB" w:rsidRPr="00760F78" w:rsidRDefault="00A256AB" w:rsidP="00230840">
            <w:pPr>
              <w:contextualSpacing/>
              <w:jc w:val="both"/>
              <w:rPr>
                <w:rFonts w:ascii="Arial" w:hAnsi="Arial" w:cs="Arial"/>
                <w:sz w:val="16"/>
                <w:szCs w:val="16"/>
                <w:lang w:val="es-ES_tradnl"/>
              </w:rPr>
            </w:pPr>
            <w:r w:rsidRPr="00760F78">
              <w:rPr>
                <w:rFonts w:ascii="Arial" w:hAnsi="Arial" w:cs="Arial"/>
                <w:sz w:val="16"/>
                <w:szCs w:val="16"/>
                <w:lang w:val="es-ES_tradnl"/>
              </w:rPr>
              <w:t>La educación y capacitación política, investigación socioeconómica y política, así como las tareas editoriales, serán apoyadas mediante financiamiento público por un monto total anual equivalente al 3% del que corresponda en el mismo año para las actividades ordinarias</w:t>
            </w:r>
            <w:r w:rsidR="001C54C8" w:rsidRPr="00760F78">
              <w:rPr>
                <w:rFonts w:ascii="Arial" w:hAnsi="Arial" w:cs="Arial"/>
                <w:sz w:val="16"/>
                <w:szCs w:val="16"/>
                <w:lang w:val="es-ES_tradnl"/>
              </w:rPr>
              <w:t>.</w:t>
            </w:r>
          </w:p>
        </w:tc>
        <w:tc>
          <w:tcPr>
            <w:tcW w:w="1355" w:type="pct"/>
            <w:vAlign w:val="center"/>
          </w:tcPr>
          <w:p w:rsidR="00A256AB" w:rsidRPr="00760F78" w:rsidRDefault="00A256AB" w:rsidP="00230840">
            <w:pPr>
              <w:contextualSpacing/>
              <w:jc w:val="both"/>
              <w:rPr>
                <w:rFonts w:ascii="Arial" w:hAnsi="Arial" w:cs="Arial"/>
                <w:sz w:val="16"/>
                <w:szCs w:val="16"/>
                <w:lang w:val="es-ES_tradnl"/>
              </w:rPr>
            </w:pPr>
            <w:r w:rsidRPr="00760F78">
              <w:rPr>
                <w:rFonts w:ascii="Arial" w:hAnsi="Arial" w:cs="Arial"/>
                <w:sz w:val="16"/>
                <w:szCs w:val="16"/>
                <w:lang w:val="es-ES_tradnl"/>
              </w:rPr>
              <w:t xml:space="preserve">Adicionalmente cada partido político deberá destinar anualmente por lo menos el </w:t>
            </w:r>
            <w:r w:rsidR="00510D12" w:rsidRPr="00760F78">
              <w:rPr>
                <w:rFonts w:ascii="Arial" w:hAnsi="Arial" w:cs="Arial"/>
                <w:sz w:val="16"/>
                <w:szCs w:val="16"/>
                <w:lang w:val="es-ES_tradnl"/>
              </w:rPr>
              <w:t>2%</w:t>
            </w:r>
            <w:r w:rsidRPr="00760F78">
              <w:rPr>
                <w:rFonts w:ascii="Arial" w:hAnsi="Arial" w:cs="Arial"/>
                <w:sz w:val="16"/>
                <w:szCs w:val="16"/>
                <w:lang w:val="es-ES_tradnl"/>
              </w:rPr>
              <w:t xml:space="preserve"> del financiamiento público que reciba para el desarrollo de las actividades específicas</w:t>
            </w:r>
            <w:r w:rsidR="001C54C8" w:rsidRPr="00760F78">
              <w:rPr>
                <w:rFonts w:ascii="Arial" w:hAnsi="Arial" w:cs="Arial"/>
                <w:sz w:val="16"/>
                <w:szCs w:val="16"/>
                <w:lang w:val="es-ES_tradnl"/>
              </w:rPr>
              <w:t>.</w:t>
            </w:r>
          </w:p>
        </w:tc>
      </w:tr>
    </w:tbl>
    <w:p w:rsidR="00A256AB" w:rsidRPr="00760F78" w:rsidRDefault="00A256AB" w:rsidP="009F1C04">
      <w:pPr>
        <w:rPr>
          <w:rFonts w:ascii="Arial" w:hAnsi="Arial" w:cs="Arial"/>
          <w:i/>
          <w:sz w:val="16"/>
          <w:szCs w:val="16"/>
        </w:rPr>
      </w:pPr>
      <w:r w:rsidRPr="00760F78">
        <w:rPr>
          <w:rFonts w:ascii="Arial" w:hAnsi="Arial" w:cs="Arial"/>
          <w:b/>
          <w:i/>
          <w:sz w:val="16"/>
          <w:szCs w:val="16"/>
        </w:rPr>
        <w:t>Fuente:</w:t>
      </w:r>
      <w:r w:rsidRPr="00760F78">
        <w:rPr>
          <w:rFonts w:ascii="Arial" w:hAnsi="Arial" w:cs="Arial"/>
          <w:i/>
          <w:sz w:val="16"/>
          <w:szCs w:val="16"/>
        </w:rPr>
        <w:t xml:space="preserve"> Elaboración propia con base en Compendio de Legislación Nacional Electoral Tomo I y II (2015). INE, FEPADE, TEPJF, UNAM.</w:t>
      </w:r>
    </w:p>
    <w:p w:rsidR="0007586E" w:rsidRPr="00A85D78" w:rsidRDefault="0007586E" w:rsidP="00A256AB">
      <w:pPr>
        <w:rPr>
          <w:rFonts w:ascii="Arial" w:hAnsi="Arial" w:cs="Arial"/>
        </w:rPr>
      </w:pPr>
    </w:p>
    <w:p w:rsidR="00A256AB" w:rsidRDefault="00A256AB" w:rsidP="0007586E">
      <w:pPr>
        <w:pStyle w:val="Sinespaciado"/>
        <w:ind w:left="1418" w:hanging="1418"/>
        <w:contextualSpacing/>
        <w:jc w:val="both"/>
        <w:rPr>
          <w:rStyle w:val="Ttulodellibro"/>
          <w:rFonts w:ascii="Arial" w:hAnsi="Arial" w:cs="Arial"/>
          <w:b/>
          <w:i/>
          <w:color w:val="auto"/>
          <w:sz w:val="20"/>
          <w:szCs w:val="20"/>
        </w:rPr>
      </w:pPr>
      <w:r w:rsidRPr="0007586E">
        <w:rPr>
          <w:rStyle w:val="Ttulodellibro"/>
          <w:rFonts w:ascii="Arial" w:hAnsi="Arial" w:cs="Arial"/>
          <w:b/>
          <w:i/>
          <w:color w:val="auto"/>
          <w:sz w:val="20"/>
          <w:szCs w:val="20"/>
        </w:rPr>
        <w:t>TABLA 1.3. Esquemas de Financiamiento Privado en Reforma de 2014.</w:t>
      </w:r>
    </w:p>
    <w:p w:rsidR="0007586E" w:rsidRPr="0007586E" w:rsidRDefault="0007586E" w:rsidP="0007586E">
      <w:pPr>
        <w:pStyle w:val="Sinespaciado"/>
        <w:ind w:left="1418" w:hanging="1418"/>
        <w:contextualSpacing/>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696"/>
        <w:gridCol w:w="1987"/>
        <w:gridCol w:w="1665"/>
        <w:gridCol w:w="4291"/>
        <w:gridCol w:w="4355"/>
      </w:tblGrid>
      <w:tr w:rsidR="00A256AB" w:rsidRPr="00760F78" w:rsidTr="00760F78">
        <w:tc>
          <w:tcPr>
            <w:tcW w:w="606"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RUBRO DE FINANCIAMIENTO</w:t>
            </w:r>
          </w:p>
        </w:tc>
        <w:tc>
          <w:tcPr>
            <w:tcW w:w="710"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ORDENAMIENTO LEGAL</w:t>
            </w:r>
          </w:p>
        </w:tc>
        <w:tc>
          <w:tcPr>
            <w:tcW w:w="595"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ARTÍCULOS</w:t>
            </w:r>
          </w:p>
        </w:tc>
        <w:tc>
          <w:tcPr>
            <w:tcW w:w="1533"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CARACTER</w:t>
            </w:r>
            <w:r w:rsidR="0012398D" w:rsidRPr="00760F78">
              <w:rPr>
                <w:rFonts w:ascii="Arial" w:hAnsi="Arial" w:cs="Arial"/>
                <w:b/>
                <w:sz w:val="16"/>
                <w:szCs w:val="16"/>
                <w:lang w:val="es-ES_tradnl"/>
              </w:rPr>
              <w:t>Í</w:t>
            </w:r>
            <w:r w:rsidRPr="00760F78">
              <w:rPr>
                <w:rFonts w:ascii="Arial" w:hAnsi="Arial" w:cs="Arial"/>
                <w:b/>
                <w:sz w:val="16"/>
                <w:szCs w:val="16"/>
                <w:lang w:val="es-ES_tradnl"/>
              </w:rPr>
              <w:t>STICAS</w:t>
            </w:r>
          </w:p>
        </w:tc>
        <w:tc>
          <w:tcPr>
            <w:tcW w:w="1557" w:type="pct"/>
            <w:shd w:val="clear" w:color="auto" w:fill="FBE4D5" w:themeFill="accent2" w:themeFillTint="33"/>
            <w:vAlign w:val="center"/>
          </w:tcPr>
          <w:p w:rsidR="00A256AB" w:rsidRPr="00760F78" w:rsidRDefault="00A256AB" w:rsidP="00A256AB">
            <w:pPr>
              <w:contextualSpacing/>
              <w:jc w:val="center"/>
              <w:rPr>
                <w:rFonts w:ascii="Arial" w:hAnsi="Arial" w:cs="Arial"/>
                <w:b/>
                <w:sz w:val="16"/>
                <w:szCs w:val="16"/>
                <w:lang w:val="es-ES_tradnl"/>
              </w:rPr>
            </w:pPr>
            <w:r w:rsidRPr="00760F78">
              <w:rPr>
                <w:rFonts w:ascii="Arial" w:hAnsi="Arial" w:cs="Arial"/>
                <w:b/>
                <w:sz w:val="16"/>
                <w:szCs w:val="16"/>
                <w:lang w:val="es-ES_tradnl"/>
              </w:rPr>
              <w:t>OBSERVACIONES</w:t>
            </w:r>
          </w:p>
        </w:tc>
      </w:tr>
      <w:tr w:rsidR="00A256AB" w:rsidRPr="00760F78" w:rsidTr="00760F78">
        <w:tc>
          <w:tcPr>
            <w:tcW w:w="606" w:type="pct"/>
            <w:vMerge w:val="restar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Financiamiento Privado</w:t>
            </w:r>
          </w:p>
        </w:tc>
        <w:tc>
          <w:tcPr>
            <w:tcW w:w="710"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Constitución Política de los Estados Unidos Mexicanos</w:t>
            </w:r>
          </w:p>
        </w:tc>
        <w:tc>
          <w:tcPr>
            <w:tcW w:w="595"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41, Base II, inciso c), párrafo segundo</w:t>
            </w:r>
          </w:p>
        </w:tc>
        <w:tc>
          <w:tcPr>
            <w:tcW w:w="1533"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La propia ley establecerá el monto máximo que tendrán las aportaciones de sus militantes y simpatizantes</w:t>
            </w:r>
            <w:r w:rsidR="00230840" w:rsidRPr="00760F78">
              <w:rPr>
                <w:rFonts w:ascii="Arial" w:hAnsi="Arial" w:cs="Arial"/>
                <w:sz w:val="16"/>
                <w:szCs w:val="16"/>
                <w:lang w:val="es-ES_tradnl"/>
              </w:rPr>
              <w:t>.</w:t>
            </w:r>
          </w:p>
        </w:tc>
        <w:tc>
          <w:tcPr>
            <w:tcW w:w="1557" w:type="pct"/>
            <w:vAlign w:val="center"/>
          </w:tcPr>
          <w:p w:rsidR="00A256AB" w:rsidRPr="00760F78" w:rsidRDefault="00A256AB" w:rsidP="00BB5094">
            <w:pPr>
              <w:contextualSpacing/>
              <w:jc w:val="both"/>
              <w:rPr>
                <w:rFonts w:ascii="Arial" w:hAnsi="Arial" w:cs="Arial"/>
                <w:sz w:val="16"/>
                <w:szCs w:val="16"/>
                <w:lang w:val="es-ES_tradnl"/>
              </w:rPr>
            </w:pPr>
          </w:p>
        </w:tc>
      </w:tr>
      <w:tr w:rsidR="00A256AB" w:rsidRPr="00760F78" w:rsidTr="00760F78">
        <w:trPr>
          <w:trHeight w:val="897"/>
        </w:trPr>
        <w:tc>
          <w:tcPr>
            <w:tcW w:w="606" w:type="pct"/>
            <w:vMerge/>
            <w:vAlign w:val="center"/>
          </w:tcPr>
          <w:p w:rsidR="00A256AB" w:rsidRPr="00760F78" w:rsidRDefault="00A256AB" w:rsidP="00BB5094">
            <w:pPr>
              <w:contextualSpacing/>
              <w:jc w:val="center"/>
              <w:rPr>
                <w:rFonts w:ascii="Arial" w:hAnsi="Arial" w:cs="Arial"/>
                <w:sz w:val="16"/>
                <w:szCs w:val="16"/>
                <w:lang w:val="es-ES_tradnl"/>
              </w:rPr>
            </w:pPr>
          </w:p>
        </w:tc>
        <w:tc>
          <w:tcPr>
            <w:tcW w:w="710"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95"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53</w:t>
            </w:r>
          </w:p>
        </w:tc>
        <w:tc>
          <w:tcPr>
            <w:tcW w:w="1533" w:type="pct"/>
            <w:vAlign w:val="center"/>
          </w:tcPr>
          <w:p w:rsidR="00A256AB" w:rsidRPr="00760F78" w:rsidRDefault="00230840" w:rsidP="00BB5094">
            <w:pPr>
              <w:contextualSpacing/>
              <w:jc w:val="both"/>
              <w:rPr>
                <w:rFonts w:ascii="Arial" w:hAnsi="Arial" w:cs="Arial"/>
                <w:sz w:val="16"/>
                <w:szCs w:val="16"/>
                <w:lang w:val="es-ES_tradnl"/>
              </w:rPr>
            </w:pPr>
            <w:r w:rsidRPr="00760F78">
              <w:rPr>
                <w:rFonts w:ascii="Arial" w:hAnsi="Arial" w:cs="Arial"/>
                <w:sz w:val="16"/>
                <w:szCs w:val="16"/>
                <w:lang w:val="es-ES_tradnl"/>
              </w:rPr>
              <w:t>L</w:t>
            </w:r>
            <w:r w:rsidR="00A256AB" w:rsidRPr="00760F78">
              <w:rPr>
                <w:rFonts w:ascii="Arial" w:hAnsi="Arial" w:cs="Arial"/>
                <w:sz w:val="16"/>
                <w:szCs w:val="16"/>
                <w:lang w:val="es-ES_tradnl"/>
              </w:rPr>
              <w:t>os partidos políticos podrán recibir financiamiento que no provenga del</w:t>
            </w:r>
            <w:r w:rsidRPr="00760F78">
              <w:rPr>
                <w:rFonts w:ascii="Arial" w:hAnsi="Arial" w:cs="Arial"/>
                <w:sz w:val="16"/>
                <w:szCs w:val="16"/>
                <w:lang w:val="es-ES_tradnl"/>
              </w:rPr>
              <w:t xml:space="preserve"> </w:t>
            </w:r>
            <w:r w:rsidR="00A256AB" w:rsidRPr="00760F78">
              <w:rPr>
                <w:rFonts w:ascii="Arial" w:hAnsi="Arial" w:cs="Arial"/>
                <w:sz w:val="16"/>
                <w:szCs w:val="16"/>
                <w:lang w:val="es-ES_tradnl"/>
              </w:rPr>
              <w:t>erario público</w:t>
            </w:r>
            <w:r w:rsidRPr="00760F78">
              <w:rPr>
                <w:rFonts w:ascii="Arial" w:hAnsi="Arial" w:cs="Arial"/>
                <w:sz w:val="16"/>
                <w:szCs w:val="16"/>
                <w:lang w:val="es-ES_tradnl"/>
              </w:rPr>
              <w:t>.</w:t>
            </w:r>
          </w:p>
        </w:tc>
        <w:tc>
          <w:tcPr>
            <w:tcW w:w="1557"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a) Financiamiento por la militancia;</w:t>
            </w:r>
          </w:p>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b) Financiamiento de simpatizantes;</w:t>
            </w:r>
          </w:p>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c) Autofinanciamiento, y</w:t>
            </w:r>
          </w:p>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d) Financiamiento por rendimientos financieros, fondos y fideicomisos.</w:t>
            </w:r>
          </w:p>
        </w:tc>
      </w:tr>
      <w:tr w:rsidR="00A256AB" w:rsidRPr="00760F78" w:rsidTr="00760F78">
        <w:trPr>
          <w:trHeight w:val="810"/>
        </w:trPr>
        <w:tc>
          <w:tcPr>
            <w:tcW w:w="606"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Financiamiento por la militancia</w:t>
            </w:r>
          </w:p>
        </w:tc>
        <w:tc>
          <w:tcPr>
            <w:tcW w:w="710"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95"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56, numerales 1 y 2</w:t>
            </w:r>
          </w:p>
        </w:tc>
        <w:tc>
          <w:tcPr>
            <w:tcW w:w="1533"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Las aportaciones o cuotas individuales y obligatorias, ordinarias y extraordinarias, en dinero o en especie, que realicen los militantes de los partidos políticos</w:t>
            </w:r>
            <w:r w:rsidR="00BB5094" w:rsidRPr="00760F78">
              <w:rPr>
                <w:rFonts w:ascii="Arial" w:hAnsi="Arial" w:cs="Arial"/>
                <w:sz w:val="16"/>
                <w:szCs w:val="16"/>
                <w:lang w:val="es-ES_tradnl"/>
              </w:rPr>
              <w:t>.</w:t>
            </w:r>
          </w:p>
        </w:tc>
        <w:tc>
          <w:tcPr>
            <w:tcW w:w="1557"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Tendrán un límite de</w:t>
            </w:r>
            <w:r w:rsidR="00510D12" w:rsidRPr="00760F78">
              <w:rPr>
                <w:rFonts w:ascii="Arial" w:hAnsi="Arial" w:cs="Arial"/>
                <w:sz w:val="16"/>
                <w:szCs w:val="16"/>
                <w:lang w:val="es-ES_tradnl"/>
              </w:rPr>
              <w:t>l</w:t>
            </w:r>
            <w:r w:rsidRPr="00760F78">
              <w:rPr>
                <w:rFonts w:ascii="Arial" w:hAnsi="Arial" w:cs="Arial"/>
                <w:sz w:val="16"/>
                <w:szCs w:val="16"/>
                <w:lang w:val="es-ES_tradnl"/>
              </w:rPr>
              <w:t xml:space="preserve"> </w:t>
            </w:r>
            <w:r w:rsidR="00510D12" w:rsidRPr="00760F78">
              <w:rPr>
                <w:rFonts w:ascii="Arial" w:hAnsi="Arial" w:cs="Arial"/>
                <w:sz w:val="16"/>
                <w:szCs w:val="16"/>
                <w:lang w:val="es-ES_tradnl"/>
              </w:rPr>
              <w:t>2%</w:t>
            </w:r>
            <w:r w:rsidRPr="00760F78">
              <w:rPr>
                <w:rFonts w:ascii="Arial" w:hAnsi="Arial" w:cs="Arial"/>
                <w:sz w:val="16"/>
                <w:szCs w:val="16"/>
                <w:lang w:val="es-ES_tradnl"/>
              </w:rPr>
              <w:t xml:space="preserve"> del financiamiento público otorgado a la totalidad de los partidos políticos para el sostenimiento de sus actividades ordinarias y precampañas en el año de que se trate</w:t>
            </w:r>
            <w:r w:rsidR="001C54C8" w:rsidRPr="00760F78">
              <w:rPr>
                <w:rFonts w:ascii="Arial" w:hAnsi="Arial" w:cs="Arial"/>
                <w:sz w:val="16"/>
                <w:szCs w:val="16"/>
                <w:lang w:val="es-ES_tradnl"/>
              </w:rPr>
              <w:t>.</w:t>
            </w:r>
          </w:p>
        </w:tc>
      </w:tr>
      <w:tr w:rsidR="00A256AB" w:rsidRPr="00760F78" w:rsidTr="00760F78">
        <w:trPr>
          <w:trHeight w:val="850"/>
        </w:trPr>
        <w:tc>
          <w:tcPr>
            <w:tcW w:w="606"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Financiamiento de simpatizantes</w:t>
            </w:r>
          </w:p>
        </w:tc>
        <w:tc>
          <w:tcPr>
            <w:tcW w:w="710"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95"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56, numerales 1 y 2</w:t>
            </w:r>
          </w:p>
        </w:tc>
        <w:tc>
          <w:tcPr>
            <w:tcW w:w="1533"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Estará conformado por las aportaciones o donativos, en dinero o en especie, hechas a los partidos políticos en forma libre y voluntaria por las personas físicas mexicanas con residencia en el país.</w:t>
            </w:r>
          </w:p>
        </w:tc>
        <w:tc>
          <w:tcPr>
            <w:tcW w:w="1557"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 xml:space="preserve">Tendrán un </w:t>
            </w:r>
            <w:r w:rsidR="000C50FE" w:rsidRPr="00760F78">
              <w:rPr>
                <w:rFonts w:ascii="Arial" w:hAnsi="Arial" w:cs="Arial"/>
                <w:sz w:val="16"/>
                <w:szCs w:val="16"/>
                <w:lang w:val="es-ES_tradnl"/>
              </w:rPr>
              <w:t>límite individual</w:t>
            </w:r>
            <w:r w:rsidRPr="00760F78">
              <w:rPr>
                <w:rFonts w:ascii="Arial" w:hAnsi="Arial" w:cs="Arial"/>
                <w:sz w:val="16"/>
                <w:szCs w:val="16"/>
                <w:lang w:val="es-ES_tradnl"/>
              </w:rPr>
              <w:t xml:space="preserve"> anual el 0.5</w:t>
            </w:r>
            <w:r w:rsidR="00510D12" w:rsidRPr="00760F78">
              <w:rPr>
                <w:rFonts w:ascii="Arial" w:hAnsi="Arial" w:cs="Arial"/>
                <w:sz w:val="16"/>
                <w:szCs w:val="16"/>
                <w:lang w:val="es-ES_tradnl"/>
              </w:rPr>
              <w:t>%</w:t>
            </w:r>
            <w:r w:rsidRPr="00760F78">
              <w:rPr>
                <w:rFonts w:ascii="Arial" w:hAnsi="Arial" w:cs="Arial"/>
                <w:sz w:val="16"/>
                <w:szCs w:val="16"/>
                <w:lang w:val="es-ES_tradnl"/>
              </w:rPr>
              <w:t xml:space="preserve"> del tope de gasto para la elección presidencial inmediata anterior.</w:t>
            </w:r>
          </w:p>
        </w:tc>
      </w:tr>
      <w:tr w:rsidR="00A256AB" w:rsidRPr="00760F78" w:rsidTr="00760F78">
        <w:trPr>
          <w:trHeight w:val="1442"/>
        </w:trPr>
        <w:tc>
          <w:tcPr>
            <w:tcW w:w="606"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Autofinanciamiento</w:t>
            </w:r>
          </w:p>
        </w:tc>
        <w:tc>
          <w:tcPr>
            <w:tcW w:w="710"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Reglamento de Fiscalización</w:t>
            </w:r>
          </w:p>
        </w:tc>
        <w:tc>
          <w:tcPr>
            <w:tcW w:w="595" w:type="pct"/>
            <w:vAlign w:val="center"/>
          </w:tcPr>
          <w:p w:rsidR="00A256AB" w:rsidRPr="00760F78" w:rsidRDefault="00A256AB" w:rsidP="00BB5094">
            <w:pPr>
              <w:contextualSpacing/>
              <w:jc w:val="center"/>
              <w:rPr>
                <w:rFonts w:ascii="Arial" w:hAnsi="Arial" w:cs="Arial"/>
                <w:sz w:val="16"/>
                <w:szCs w:val="16"/>
                <w:lang w:val="es-ES_tradnl"/>
              </w:rPr>
            </w:pPr>
            <w:r w:rsidRPr="00760F78">
              <w:rPr>
                <w:rFonts w:ascii="Arial" w:hAnsi="Arial" w:cs="Arial"/>
                <w:sz w:val="16"/>
                <w:szCs w:val="16"/>
                <w:lang w:val="es-ES_tradnl"/>
              </w:rPr>
              <w:t>111, numeral 1.</w:t>
            </w:r>
          </w:p>
        </w:tc>
        <w:tc>
          <w:tcPr>
            <w:tcW w:w="1533"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Estará constituido por los ingresos que obtengan de sus actividades promocionales, tales como conferencias, espectáculos, rifas y sorteos, eventos culturales, ventas editoriales, de bienes y propaganda utilitaria, así como cualquier otro similar que realicen para allegarse de fondos, las que estarán sujetas a las leyes correspondientes a su naturaleza.</w:t>
            </w:r>
          </w:p>
        </w:tc>
        <w:tc>
          <w:tcPr>
            <w:tcW w:w="1557" w:type="pct"/>
            <w:vAlign w:val="center"/>
          </w:tcPr>
          <w:p w:rsidR="00A256AB" w:rsidRPr="00760F78" w:rsidRDefault="00A256AB" w:rsidP="00BB5094">
            <w:pPr>
              <w:contextualSpacing/>
              <w:jc w:val="both"/>
              <w:rPr>
                <w:rFonts w:ascii="Arial" w:hAnsi="Arial" w:cs="Arial"/>
                <w:sz w:val="16"/>
                <w:szCs w:val="16"/>
                <w:lang w:val="es-ES_tradnl"/>
              </w:rPr>
            </w:pPr>
            <w:r w:rsidRPr="00760F78">
              <w:rPr>
                <w:rFonts w:ascii="Arial" w:hAnsi="Arial" w:cs="Arial"/>
                <w:sz w:val="16"/>
                <w:szCs w:val="16"/>
                <w:lang w:val="es-ES_tradnl"/>
              </w:rPr>
              <w:t>El autofinanciamiento no qued</w:t>
            </w:r>
            <w:r w:rsidR="000C50FE" w:rsidRPr="00760F78">
              <w:rPr>
                <w:rFonts w:ascii="Arial" w:hAnsi="Arial" w:cs="Arial"/>
                <w:sz w:val="16"/>
                <w:szCs w:val="16"/>
                <w:lang w:val="es-ES_tradnl"/>
              </w:rPr>
              <w:t>ó</w:t>
            </w:r>
            <w:r w:rsidRPr="00760F78">
              <w:rPr>
                <w:rFonts w:ascii="Arial" w:hAnsi="Arial" w:cs="Arial"/>
                <w:sz w:val="16"/>
                <w:szCs w:val="16"/>
                <w:lang w:val="es-ES_tradnl"/>
              </w:rPr>
              <w:t xml:space="preserve"> detallado en la Ley General de Partidos Políticos, no obstante, se reguló a través del Reglamento de Fiscalización.</w:t>
            </w:r>
          </w:p>
        </w:tc>
      </w:tr>
      <w:tr w:rsidR="00A256AB" w:rsidRPr="00760F78" w:rsidTr="00760F78">
        <w:trPr>
          <w:trHeight w:val="865"/>
        </w:trPr>
        <w:tc>
          <w:tcPr>
            <w:tcW w:w="606"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Financiamiento por rendimientos financieros, fondos y fideicomisos.</w:t>
            </w:r>
          </w:p>
        </w:tc>
        <w:tc>
          <w:tcPr>
            <w:tcW w:w="710"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95"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57, numeral 1</w:t>
            </w:r>
          </w:p>
        </w:tc>
        <w:tc>
          <w:tcPr>
            <w:tcW w:w="1533" w:type="pct"/>
            <w:vAlign w:val="center"/>
          </w:tcPr>
          <w:p w:rsidR="00A256AB" w:rsidRPr="00760F78" w:rsidRDefault="00A256AB" w:rsidP="000C50FE">
            <w:pPr>
              <w:contextualSpacing/>
              <w:jc w:val="both"/>
              <w:rPr>
                <w:rFonts w:ascii="Arial" w:hAnsi="Arial" w:cs="Arial"/>
                <w:sz w:val="16"/>
                <w:szCs w:val="16"/>
                <w:lang w:val="es-ES_tradnl"/>
              </w:rPr>
            </w:pPr>
            <w:r w:rsidRPr="00760F78">
              <w:rPr>
                <w:rFonts w:ascii="Arial" w:hAnsi="Arial" w:cs="Arial"/>
                <w:sz w:val="16"/>
                <w:szCs w:val="16"/>
                <w:lang w:val="es-ES_tradnl"/>
              </w:rPr>
              <w:t>Los partidos políticos podrán establecer en instituciones bancarias domiciliadas en México cuentas, fondos o fideicomisos para la inversión de sus recursos líquidos a fin de obtener rendimientos financieros.</w:t>
            </w:r>
          </w:p>
        </w:tc>
        <w:tc>
          <w:tcPr>
            <w:tcW w:w="1557" w:type="pct"/>
            <w:vAlign w:val="center"/>
          </w:tcPr>
          <w:p w:rsidR="00A256AB" w:rsidRPr="00760F78" w:rsidRDefault="00A256AB" w:rsidP="000C50FE">
            <w:pPr>
              <w:contextualSpacing/>
              <w:jc w:val="both"/>
              <w:rPr>
                <w:rFonts w:ascii="Arial" w:hAnsi="Arial" w:cs="Arial"/>
                <w:sz w:val="16"/>
                <w:szCs w:val="16"/>
                <w:lang w:val="es-ES_tradnl"/>
              </w:rPr>
            </w:pPr>
            <w:r w:rsidRPr="00760F78">
              <w:rPr>
                <w:rFonts w:ascii="Arial" w:hAnsi="Arial" w:cs="Arial"/>
                <w:sz w:val="16"/>
                <w:szCs w:val="16"/>
                <w:lang w:val="es-ES_tradnl"/>
              </w:rPr>
              <w:t>Los rendimientos financieros obtenidos a través de esta modalidad deberán destinarse para el cumplimiento de los objetivos del partido político</w:t>
            </w:r>
            <w:r w:rsidR="000C50FE" w:rsidRPr="00760F78">
              <w:rPr>
                <w:rFonts w:ascii="Arial" w:hAnsi="Arial" w:cs="Arial"/>
                <w:sz w:val="16"/>
                <w:szCs w:val="16"/>
                <w:lang w:val="es-ES_tradnl"/>
              </w:rPr>
              <w:t>.</w:t>
            </w:r>
          </w:p>
        </w:tc>
      </w:tr>
      <w:tr w:rsidR="00A256AB" w:rsidRPr="00760F78" w:rsidTr="00760F78">
        <w:trPr>
          <w:trHeight w:val="910"/>
        </w:trPr>
        <w:tc>
          <w:tcPr>
            <w:tcW w:w="606"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Financiamiento de Candidatos</w:t>
            </w:r>
          </w:p>
        </w:tc>
        <w:tc>
          <w:tcPr>
            <w:tcW w:w="710"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Ley General de Partidos Políticos</w:t>
            </w:r>
          </w:p>
        </w:tc>
        <w:tc>
          <w:tcPr>
            <w:tcW w:w="595" w:type="pct"/>
            <w:vAlign w:val="center"/>
          </w:tcPr>
          <w:p w:rsidR="00A256AB" w:rsidRPr="00760F78" w:rsidRDefault="00A256AB" w:rsidP="000C50FE">
            <w:pPr>
              <w:contextualSpacing/>
              <w:jc w:val="center"/>
              <w:rPr>
                <w:rFonts w:ascii="Arial" w:hAnsi="Arial" w:cs="Arial"/>
                <w:sz w:val="16"/>
                <w:szCs w:val="16"/>
                <w:lang w:val="es-ES_tradnl"/>
              </w:rPr>
            </w:pPr>
            <w:r w:rsidRPr="00760F78">
              <w:rPr>
                <w:rFonts w:ascii="Arial" w:hAnsi="Arial" w:cs="Arial"/>
                <w:sz w:val="16"/>
                <w:szCs w:val="16"/>
                <w:lang w:val="es-ES_tradnl"/>
              </w:rPr>
              <w:t>56, numerales 1 y 2</w:t>
            </w:r>
          </w:p>
        </w:tc>
        <w:tc>
          <w:tcPr>
            <w:tcW w:w="1533" w:type="pct"/>
            <w:vAlign w:val="center"/>
          </w:tcPr>
          <w:p w:rsidR="00A256AB" w:rsidRPr="00760F78" w:rsidRDefault="00A256AB" w:rsidP="000C50FE">
            <w:pPr>
              <w:contextualSpacing/>
              <w:jc w:val="both"/>
              <w:rPr>
                <w:rFonts w:ascii="Arial" w:hAnsi="Arial" w:cs="Arial"/>
                <w:sz w:val="16"/>
                <w:szCs w:val="16"/>
                <w:lang w:val="es-ES_tradnl"/>
              </w:rPr>
            </w:pPr>
            <w:r w:rsidRPr="00760F78">
              <w:rPr>
                <w:rFonts w:ascii="Arial" w:hAnsi="Arial" w:cs="Arial"/>
                <w:sz w:val="16"/>
                <w:szCs w:val="16"/>
                <w:lang w:val="es-ES_tradnl"/>
              </w:rPr>
              <w:t>Las aportaciones voluntarias y personales, en dinero o en especie, que los precandidatos y candidatos aporten exclusivamente para sus precampañas y campañas.</w:t>
            </w:r>
          </w:p>
        </w:tc>
        <w:tc>
          <w:tcPr>
            <w:tcW w:w="1557" w:type="pct"/>
            <w:vAlign w:val="center"/>
          </w:tcPr>
          <w:p w:rsidR="00A256AB" w:rsidRPr="00760F78" w:rsidRDefault="00A256AB" w:rsidP="000C50FE">
            <w:pPr>
              <w:contextualSpacing/>
              <w:jc w:val="both"/>
              <w:rPr>
                <w:rFonts w:ascii="Arial" w:hAnsi="Arial" w:cs="Arial"/>
                <w:sz w:val="16"/>
                <w:szCs w:val="16"/>
                <w:lang w:val="es-ES_tradnl"/>
              </w:rPr>
            </w:pPr>
            <w:r w:rsidRPr="00760F78">
              <w:rPr>
                <w:rFonts w:ascii="Arial" w:hAnsi="Arial" w:cs="Arial"/>
                <w:sz w:val="16"/>
                <w:szCs w:val="16"/>
                <w:lang w:val="es-ES_tradnl"/>
              </w:rPr>
              <w:t xml:space="preserve">Tendrán un límite </w:t>
            </w:r>
            <w:r w:rsidR="000C50FE" w:rsidRPr="00760F78">
              <w:rPr>
                <w:rFonts w:ascii="Arial" w:hAnsi="Arial" w:cs="Arial"/>
                <w:sz w:val="16"/>
                <w:szCs w:val="16"/>
                <w:lang w:val="es-ES_tradnl"/>
              </w:rPr>
              <w:t xml:space="preserve">del </w:t>
            </w:r>
            <w:r w:rsidR="00510D12" w:rsidRPr="00760F78">
              <w:rPr>
                <w:rFonts w:ascii="Arial" w:hAnsi="Arial" w:cs="Arial"/>
                <w:sz w:val="16"/>
                <w:szCs w:val="16"/>
                <w:lang w:val="es-ES_tradnl"/>
              </w:rPr>
              <w:t>10%</w:t>
            </w:r>
            <w:r w:rsidRPr="00760F78">
              <w:rPr>
                <w:rFonts w:ascii="Arial" w:hAnsi="Arial" w:cs="Arial"/>
                <w:sz w:val="16"/>
                <w:szCs w:val="16"/>
                <w:lang w:val="es-ES_tradnl"/>
              </w:rPr>
              <w:t xml:space="preserve"> del tope de gasto para la elección presidencial inmediata anterior, para ser utilizadas en las campañas de sus candidatos</w:t>
            </w:r>
          </w:p>
        </w:tc>
      </w:tr>
    </w:tbl>
    <w:p w:rsidR="00A256AB" w:rsidRPr="00760F78" w:rsidRDefault="00A256AB" w:rsidP="009F1C04">
      <w:pPr>
        <w:rPr>
          <w:rFonts w:ascii="Arial" w:hAnsi="Arial" w:cs="Arial"/>
          <w:i/>
          <w:sz w:val="16"/>
          <w:szCs w:val="16"/>
        </w:rPr>
        <w:sectPr w:rsidR="00A256AB" w:rsidRPr="00760F78" w:rsidSect="00A256AB">
          <w:pgSz w:w="16838" w:h="11906" w:orient="landscape"/>
          <w:pgMar w:top="1701" w:right="1417" w:bottom="1701" w:left="1417" w:header="708" w:footer="708" w:gutter="0"/>
          <w:cols w:space="708"/>
          <w:docGrid w:linePitch="360"/>
        </w:sectPr>
      </w:pPr>
      <w:r w:rsidRPr="00760F78">
        <w:rPr>
          <w:rFonts w:ascii="Arial" w:hAnsi="Arial" w:cs="Arial"/>
          <w:b/>
          <w:i/>
          <w:sz w:val="16"/>
          <w:szCs w:val="16"/>
        </w:rPr>
        <w:t>Fuente:</w:t>
      </w:r>
      <w:r w:rsidRPr="00760F78">
        <w:rPr>
          <w:rFonts w:ascii="Arial" w:hAnsi="Arial" w:cs="Arial"/>
          <w:i/>
          <w:sz w:val="16"/>
          <w:szCs w:val="16"/>
        </w:rPr>
        <w:t xml:space="preserve"> Elaboración propia con base en Compendio de Legislación Nacional Electoral Tomo I y II (2015). INE, FEPADE, TEPJF, UNAM, y Reglamento de Fiscalización, </w:t>
      </w:r>
      <w:r w:rsidR="0007586E" w:rsidRPr="00760F78">
        <w:rPr>
          <w:rFonts w:ascii="Arial" w:hAnsi="Arial" w:cs="Arial"/>
          <w:i/>
          <w:sz w:val="16"/>
          <w:szCs w:val="16"/>
        </w:rPr>
        <w:t>I</w:t>
      </w:r>
      <w:r w:rsidRPr="00760F78">
        <w:rPr>
          <w:rFonts w:ascii="Arial" w:hAnsi="Arial" w:cs="Arial"/>
          <w:i/>
          <w:sz w:val="16"/>
          <w:szCs w:val="16"/>
        </w:rPr>
        <w:t>NE (2015)</w:t>
      </w:r>
      <w:r w:rsidR="008859AC" w:rsidRPr="00760F78">
        <w:rPr>
          <w:rFonts w:ascii="Arial" w:hAnsi="Arial" w:cs="Arial"/>
          <w:i/>
          <w:sz w:val="16"/>
          <w:szCs w:val="16"/>
        </w:rPr>
        <w:t>.</w:t>
      </w:r>
    </w:p>
    <w:p w:rsidR="00A256AB" w:rsidRPr="00A85D78" w:rsidRDefault="00A256AB" w:rsidP="0007586E">
      <w:pPr>
        <w:spacing w:line="360" w:lineRule="auto"/>
        <w:rPr>
          <w:rFonts w:ascii="Arial" w:hAnsi="Arial" w:cs="Arial"/>
          <w:b/>
          <w:sz w:val="24"/>
          <w:szCs w:val="24"/>
        </w:rPr>
      </w:pPr>
      <w:r w:rsidRPr="00A85D78">
        <w:rPr>
          <w:rFonts w:ascii="Arial" w:hAnsi="Arial" w:cs="Arial"/>
          <w:b/>
          <w:sz w:val="24"/>
          <w:szCs w:val="24"/>
        </w:rPr>
        <w:lastRenderedPageBreak/>
        <w:t xml:space="preserve">1.3 Teoría de la </w:t>
      </w:r>
      <w:r w:rsidR="003D1A3D">
        <w:rPr>
          <w:rFonts w:ascii="Arial" w:hAnsi="Arial" w:cs="Arial"/>
          <w:b/>
          <w:sz w:val="24"/>
          <w:szCs w:val="24"/>
        </w:rPr>
        <w:t>f</w:t>
      </w:r>
      <w:r w:rsidRPr="00A85D78">
        <w:rPr>
          <w:rFonts w:ascii="Arial" w:hAnsi="Arial" w:cs="Arial"/>
          <w:b/>
          <w:sz w:val="24"/>
          <w:szCs w:val="24"/>
        </w:rPr>
        <w:t>iscalización.</w:t>
      </w: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Como podemos observar el financiamiento a los partidos políticos ha sido reestructurado en el entramado institucional a lo largo de los últimos años;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en la práctica el sistema de financiamiento de los partidos presenta variables que generalmente transgreden el marco legal preestablecido, la necesidad de los partidos de llevar su mensaje a un mayor número de electores les obliga a invertir grandes cantidades de recursos en propaganda política. </w:t>
      </w:r>
      <w:r w:rsidR="0007586E" w:rsidRPr="00A85D78">
        <w:rPr>
          <w:rFonts w:ascii="Arial" w:hAnsi="Arial" w:cs="Arial"/>
          <w:sz w:val="24"/>
          <w:szCs w:val="24"/>
        </w:rPr>
        <w:t>La infiltración de actores externos a la política afecta considerablemente</w:t>
      </w:r>
      <w:r w:rsidRPr="00A85D78">
        <w:rPr>
          <w:rFonts w:ascii="Arial" w:hAnsi="Arial" w:cs="Arial"/>
          <w:sz w:val="24"/>
          <w:szCs w:val="24"/>
        </w:rPr>
        <w:t xml:space="preserve"> los ingresos de los partidos y candidatos de acuerdo con </w:t>
      </w:r>
      <w:proofErr w:type="spellStart"/>
      <w:r w:rsidRPr="00A85D78">
        <w:rPr>
          <w:rFonts w:ascii="Arial" w:hAnsi="Arial" w:cs="Arial"/>
          <w:sz w:val="24"/>
          <w:szCs w:val="24"/>
        </w:rPr>
        <w:t>Grinner</w:t>
      </w:r>
      <w:proofErr w:type="spellEnd"/>
      <w:r w:rsidRPr="00A85D78">
        <w:rPr>
          <w:rFonts w:ascii="Arial" w:hAnsi="Arial" w:cs="Arial"/>
          <w:sz w:val="24"/>
          <w:szCs w:val="24"/>
        </w:rPr>
        <w:t xml:space="preserve"> y </w:t>
      </w:r>
      <w:proofErr w:type="spellStart"/>
      <w:r w:rsidRPr="00A85D78">
        <w:rPr>
          <w:rFonts w:ascii="Arial" w:hAnsi="Arial" w:cs="Arial"/>
          <w:sz w:val="24"/>
          <w:szCs w:val="24"/>
        </w:rPr>
        <w:t>Zovatto</w:t>
      </w:r>
      <w:proofErr w:type="spellEnd"/>
      <w:r w:rsidRPr="00A85D78">
        <w:rPr>
          <w:rFonts w:ascii="Arial" w:hAnsi="Arial" w:cs="Arial"/>
          <w:sz w:val="24"/>
          <w:szCs w:val="24"/>
        </w:rPr>
        <w:t xml:space="preserve"> cada vez es más frecuente que recursos ilícitos tengan como destino las campañas políticas, de la misma forma las grandes corporaciones financian campañas a cambio de favores una vez que los candidatos asuman el ejercicio del poder público. </w:t>
      </w: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sz w:val="24"/>
          <w:szCs w:val="24"/>
        </w:rPr>
      </w:pPr>
      <w:r w:rsidRPr="00A85D78">
        <w:rPr>
          <w:rFonts w:ascii="Arial" w:hAnsi="Arial" w:cs="Arial"/>
          <w:sz w:val="24"/>
          <w:szCs w:val="24"/>
        </w:rPr>
        <w:t>En el mismo tenor Navas-</w:t>
      </w:r>
      <w:proofErr w:type="spellStart"/>
      <w:r w:rsidRPr="00A85D78">
        <w:rPr>
          <w:rFonts w:ascii="Arial" w:hAnsi="Arial" w:cs="Arial"/>
          <w:sz w:val="24"/>
          <w:szCs w:val="24"/>
        </w:rPr>
        <w:t>Carbó</w:t>
      </w:r>
      <w:proofErr w:type="spellEnd"/>
      <w:r w:rsidRPr="00A85D78">
        <w:rPr>
          <w:rFonts w:ascii="Arial" w:hAnsi="Arial" w:cs="Arial"/>
          <w:sz w:val="24"/>
          <w:szCs w:val="24"/>
        </w:rPr>
        <w:t xml:space="preserve"> citada por </w:t>
      </w:r>
      <w:proofErr w:type="spellStart"/>
      <w:r w:rsidRPr="00A85D78">
        <w:rPr>
          <w:rFonts w:ascii="Arial" w:hAnsi="Arial" w:cs="Arial"/>
          <w:sz w:val="24"/>
          <w:szCs w:val="24"/>
        </w:rPr>
        <w:t>Griner</w:t>
      </w:r>
      <w:proofErr w:type="spellEnd"/>
      <w:r w:rsidRPr="00A85D78">
        <w:rPr>
          <w:rFonts w:ascii="Arial" w:hAnsi="Arial" w:cs="Arial"/>
          <w:sz w:val="24"/>
          <w:szCs w:val="24"/>
        </w:rPr>
        <w:t xml:space="preserve"> y </w:t>
      </w:r>
      <w:proofErr w:type="spellStart"/>
      <w:r w:rsidRPr="00A85D78">
        <w:rPr>
          <w:rFonts w:ascii="Arial" w:hAnsi="Arial" w:cs="Arial"/>
          <w:sz w:val="24"/>
          <w:szCs w:val="24"/>
        </w:rPr>
        <w:t>Zovatto</w:t>
      </w:r>
      <w:proofErr w:type="spellEnd"/>
      <w:r w:rsidRPr="00A85D78">
        <w:rPr>
          <w:rFonts w:ascii="Arial" w:hAnsi="Arial" w:cs="Arial"/>
          <w:sz w:val="24"/>
          <w:szCs w:val="24"/>
        </w:rPr>
        <w:t xml:space="preserve"> (2004) afirma que: </w:t>
      </w:r>
    </w:p>
    <w:p w:rsidR="00A256AB" w:rsidRDefault="00A256AB" w:rsidP="0007586E">
      <w:pPr>
        <w:spacing w:line="360" w:lineRule="auto"/>
        <w:ind w:left="709"/>
        <w:jc w:val="both"/>
        <w:rPr>
          <w:rFonts w:ascii="Arial" w:hAnsi="Arial" w:cs="Arial"/>
          <w:sz w:val="24"/>
          <w:szCs w:val="24"/>
        </w:rPr>
      </w:pPr>
      <w:r w:rsidRPr="00A85D78">
        <w:rPr>
          <w:rFonts w:ascii="Arial" w:hAnsi="Arial" w:cs="Arial"/>
          <w:sz w:val="24"/>
          <w:szCs w:val="24"/>
        </w:rPr>
        <w:t xml:space="preserve"> “el presidencialismo tiene una incidencia directa sobre las finanzas partidarias. Los sistemas políticos de América Latina se caracterizan por la combinación de sistemas presidenciales, con sistemas de representación proporcional y multipartidismo, si bien con diferencias importantes en cada uno de estos aspectos. De esta manera, son las elecciones presidenciales y no las legislativas, las que ponen en movimiento y determinan el destino de los grandes flujos de capital para campañas electorales”. (pág. 306).</w:t>
      </w:r>
    </w:p>
    <w:p w:rsidR="0007586E" w:rsidRPr="00A85D78" w:rsidRDefault="0007586E" w:rsidP="0007586E">
      <w:pPr>
        <w:spacing w:line="360" w:lineRule="auto"/>
        <w:ind w:left="709"/>
        <w:jc w:val="both"/>
        <w:rPr>
          <w:rFonts w:ascii="Arial" w:hAnsi="Arial" w:cs="Arial"/>
          <w:sz w:val="24"/>
          <w:szCs w:val="24"/>
        </w:rPr>
      </w:pPr>
    </w:p>
    <w:p w:rsidR="00A256AB" w:rsidRPr="00A85D78" w:rsidRDefault="00A256AB" w:rsidP="0007586E">
      <w:pPr>
        <w:spacing w:line="360" w:lineRule="auto"/>
        <w:jc w:val="both"/>
        <w:rPr>
          <w:rFonts w:ascii="Arial" w:hAnsi="Arial" w:cs="Arial"/>
          <w:sz w:val="24"/>
          <w:szCs w:val="24"/>
        </w:rPr>
      </w:pPr>
      <w:r w:rsidRPr="00A85D78">
        <w:rPr>
          <w:rFonts w:ascii="Arial" w:hAnsi="Arial" w:cs="Arial"/>
          <w:sz w:val="24"/>
          <w:szCs w:val="24"/>
        </w:rPr>
        <w:t>Rosales y Estrada (2012), se pronuncian en este mismo sentido:</w:t>
      </w:r>
    </w:p>
    <w:p w:rsidR="00A256AB" w:rsidRDefault="00A256AB" w:rsidP="0007586E">
      <w:pPr>
        <w:spacing w:line="360" w:lineRule="auto"/>
        <w:ind w:left="709"/>
        <w:jc w:val="both"/>
        <w:rPr>
          <w:rFonts w:ascii="Arial" w:hAnsi="Arial" w:cs="Arial"/>
          <w:sz w:val="24"/>
          <w:szCs w:val="24"/>
        </w:rPr>
      </w:pPr>
      <w:r w:rsidRPr="00A85D78">
        <w:rPr>
          <w:rFonts w:ascii="Arial" w:hAnsi="Arial" w:cs="Arial"/>
          <w:sz w:val="24"/>
          <w:szCs w:val="24"/>
        </w:rPr>
        <w:t xml:space="preserve"> “es evidente que las campañas electorales cada vez son más costosas y pone a los partidos frente al problema de recaudar cantidades cada vez más grandes de recursos financieros, instalándose en la posibilidad al financiamiento ilegal, al predominio cada vez mayor de fuertes grupos económicos, al tráfico de influencias y al flagelo del crimen organizado” (pág. 108)</w:t>
      </w:r>
      <w:r w:rsidR="0007586E">
        <w:rPr>
          <w:rFonts w:ascii="Arial" w:hAnsi="Arial" w:cs="Arial"/>
          <w:sz w:val="24"/>
          <w:szCs w:val="24"/>
        </w:rPr>
        <w:t>.</w:t>
      </w:r>
    </w:p>
    <w:p w:rsidR="0007586E" w:rsidRPr="00A85D78" w:rsidRDefault="0007586E" w:rsidP="0007586E">
      <w:pPr>
        <w:spacing w:line="360" w:lineRule="auto"/>
        <w:ind w:left="709"/>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En este contexto la incidencia del factor económico en los procesos electorales cobra una particular relevancia, y por ello es que en los últimos años la </w:t>
      </w:r>
      <w:r w:rsidRPr="00A85D78">
        <w:rPr>
          <w:rFonts w:ascii="Arial" w:hAnsi="Arial" w:cs="Arial"/>
          <w:sz w:val="24"/>
          <w:szCs w:val="24"/>
        </w:rPr>
        <w:lastRenderedPageBreak/>
        <w:t>fiscalización de los recursos utilizados por los partidos y candidatos cobra auge en nuestro país, no solo por el control de los recursos públicos utilizados por partidos y candidatos; sino también por los recursos de origen privado que coadyuvan a las actividades políticas de los mismos.</w:t>
      </w:r>
    </w:p>
    <w:p w:rsidR="0007586E" w:rsidRDefault="0007586E" w:rsidP="0007586E">
      <w:pPr>
        <w:spacing w:line="360" w:lineRule="auto"/>
        <w:jc w:val="both"/>
        <w:rPr>
          <w:rFonts w:ascii="Arial" w:hAnsi="Arial" w:cs="Arial"/>
          <w:sz w:val="24"/>
          <w:szCs w:val="24"/>
        </w:rPr>
      </w:pP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b/>
          <w:sz w:val="24"/>
          <w:szCs w:val="24"/>
        </w:rPr>
      </w:pPr>
      <w:r w:rsidRPr="00A85D78">
        <w:rPr>
          <w:rFonts w:ascii="Arial" w:hAnsi="Arial" w:cs="Arial"/>
          <w:b/>
          <w:sz w:val="24"/>
          <w:szCs w:val="24"/>
        </w:rPr>
        <w:t>1.3.1 Fiscalización en el ámbito electoral a nivel mundial.</w:t>
      </w: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Uno de los países pioneros en la fiscalización de los recursos de los partidos políticos fue Estados Unidos de Norteamérica; en el año de 1971 el Congreso estadounidense promulgó la Ley Federal de Campañas Electorales; este ordenamiento jurídico creo el órgano electoral denominado Comisión Federal de Elecciones y obligó a los candidatos a informar sobre sus gastos de campaña y el financiamiento de las mismas.</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El caso de nuestro vecino del norte cuenta con notables diferencias provenientes del sistema de financiamiento principalmente debido que </w:t>
      </w:r>
      <w:r w:rsidR="00A7749C" w:rsidRPr="00A85D78">
        <w:rPr>
          <w:rFonts w:ascii="Arial" w:hAnsi="Arial" w:cs="Arial"/>
          <w:sz w:val="24"/>
          <w:szCs w:val="24"/>
        </w:rPr>
        <w:t>l</w:t>
      </w:r>
      <w:r w:rsidRPr="00A85D78">
        <w:rPr>
          <w:rFonts w:ascii="Arial" w:hAnsi="Arial" w:cs="Arial"/>
          <w:sz w:val="24"/>
          <w:szCs w:val="24"/>
        </w:rPr>
        <w:t>os partidos y candidatos de Estados Unidos no reciben recursos públicos, todo el financiamiento proviene de fuentes privadas y tampoco cuentan con topes de gastos de campaña; así que los candidatos pueden gastar ilimitadamente en la búsqueda de la simpatía de los ciudadanos.</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Los candidatos en E.U. pueden financiar sus campañas a través de aportaciones propias, pr</w:t>
      </w:r>
      <w:r w:rsidR="008745D1" w:rsidRPr="00A85D78">
        <w:rPr>
          <w:rFonts w:ascii="Arial" w:hAnsi="Arial" w:cs="Arial"/>
          <w:sz w:val="24"/>
          <w:szCs w:val="24"/>
        </w:rPr>
        <w:t>é</w:t>
      </w:r>
      <w:r w:rsidRPr="00A85D78">
        <w:rPr>
          <w:rFonts w:ascii="Arial" w:hAnsi="Arial" w:cs="Arial"/>
          <w:sz w:val="24"/>
          <w:szCs w:val="24"/>
        </w:rPr>
        <w:t xml:space="preserve">stamos, aportaciones en efectivo y en especie y en gran medida del apoyo de grupos </w:t>
      </w:r>
      <w:r w:rsidR="00795727" w:rsidRPr="00A85D78">
        <w:rPr>
          <w:rFonts w:ascii="Arial" w:hAnsi="Arial" w:cs="Arial"/>
          <w:sz w:val="24"/>
          <w:szCs w:val="24"/>
        </w:rPr>
        <w:t>denominados” Comités</w:t>
      </w:r>
      <w:r w:rsidRPr="00A85D78">
        <w:rPr>
          <w:rFonts w:ascii="Arial" w:hAnsi="Arial" w:cs="Arial"/>
          <w:sz w:val="24"/>
          <w:szCs w:val="24"/>
        </w:rPr>
        <w:t xml:space="preserve"> de Acción Política” (PAC)</w:t>
      </w:r>
      <w:r w:rsidRPr="00A85D78">
        <w:rPr>
          <w:rStyle w:val="Refdenotaalpie"/>
          <w:rFonts w:ascii="Arial" w:hAnsi="Arial" w:cs="Arial"/>
          <w:sz w:val="24"/>
          <w:szCs w:val="24"/>
        </w:rPr>
        <w:footnoteReference w:id="6"/>
      </w:r>
      <w:r w:rsidR="0007586E">
        <w:rPr>
          <w:rFonts w:ascii="Arial" w:hAnsi="Arial" w:cs="Arial"/>
          <w:sz w:val="24"/>
          <w:szCs w:val="24"/>
        </w:rPr>
        <w:t>.</w:t>
      </w: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Los candidatos tienen la obligación de informar sus ingresos independientemente de la índole que estos sean. Un PAC que reciba más de 200 dólares de un individuo en un año calendario debe divulgar el nombre, dirección, ocupación, empleador y empleo del aportante. </w:t>
      </w: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lastRenderedPageBreak/>
        <w:t xml:space="preserve">En relación con los candidatos deben entregar informes trimestrales durante los años electorales e informes semestrales en otros años para el caso de candidatos al Congreso; los candidatos Presidenciales deben informar de forma mensual. En caso de recibir una aportación en efectivo o especie equivalente a mil dólares, esta debe ser informada en un lapso máximo de 48 horas por escrito a la Secretaría de la Cámara de Representantes o a la Secretaría del Senado según sea el cargo por el que se contienda. </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Los individuos que por sí mismos realicen gastos de forma independiente en favor o en contra de alguna candidatura en específico, también están obligados a rendir de forma trimestral durante periodos electorales informes certificados ante notario público por todo gasto superior a 250 dólares, si estos gastos son superiores a 1000 dólares deben informarse por escrito al </w:t>
      </w:r>
      <w:r w:rsidR="008745D1" w:rsidRPr="00A85D78">
        <w:rPr>
          <w:rFonts w:ascii="Arial" w:hAnsi="Arial" w:cs="Arial"/>
          <w:sz w:val="24"/>
          <w:szCs w:val="24"/>
        </w:rPr>
        <w:t>C</w:t>
      </w:r>
      <w:r w:rsidRPr="00A85D78">
        <w:rPr>
          <w:rFonts w:ascii="Arial" w:hAnsi="Arial" w:cs="Arial"/>
          <w:sz w:val="24"/>
          <w:szCs w:val="24"/>
        </w:rPr>
        <w:t>ongreso en un término de 24 horas.</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Los procedimientos para la entrega de dichos informes son demasiado específicos y exhaustivos; las reglas y metodología ocupan 62 páginas de la Guía de Campaña para Candidatos al Congreso y Comités. (</w:t>
      </w:r>
      <w:proofErr w:type="spellStart"/>
      <w:r w:rsidRPr="00A85D78">
        <w:rPr>
          <w:rFonts w:ascii="Arial" w:hAnsi="Arial" w:cs="Arial"/>
          <w:sz w:val="24"/>
          <w:szCs w:val="24"/>
        </w:rPr>
        <w:t>Palda</w:t>
      </w:r>
      <w:proofErr w:type="spellEnd"/>
      <w:r w:rsidRPr="00A85D78">
        <w:rPr>
          <w:rFonts w:ascii="Arial" w:hAnsi="Arial" w:cs="Arial"/>
          <w:sz w:val="24"/>
          <w:szCs w:val="24"/>
        </w:rPr>
        <w:t>, 1999)</w:t>
      </w:r>
      <w:r w:rsidR="0007586E">
        <w:rPr>
          <w:rFonts w:ascii="Arial" w:hAnsi="Arial" w:cs="Arial"/>
          <w:sz w:val="24"/>
          <w:szCs w:val="24"/>
        </w:rPr>
        <w:t>.</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La fiscalización depende directamente de las características del Sistema Político y de las formas de financiamiento de los partidos en palabras de Nohlen “para resolver los problemas electorales, es fundamental mencionar lugar y tiempo: la respuesta tiene que ser individual, dirigida a casos concretos. (2006: 122).</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Es de esta manera que cada país realiza la fiscalización de los recursos de los partidos políticos acorde a las características propias de su sistema político, en América Latina hay distintas modalidades de rendición de cuentas, desde la perspectiva de la fiscalización entre ellas la comprobación de gastos, contabilidad de ingresos y egresos; así como informes sobre el origen, monto y empleo de cualquier tipo de aportación (</w:t>
      </w:r>
      <w:proofErr w:type="spellStart"/>
      <w:r w:rsidRPr="00A85D78">
        <w:rPr>
          <w:rFonts w:ascii="Arial" w:hAnsi="Arial" w:cs="Arial"/>
          <w:sz w:val="24"/>
          <w:szCs w:val="24"/>
        </w:rPr>
        <w:t>Zovatto</w:t>
      </w:r>
      <w:proofErr w:type="spellEnd"/>
      <w:r w:rsidRPr="00A85D78">
        <w:rPr>
          <w:rFonts w:ascii="Arial" w:hAnsi="Arial" w:cs="Arial"/>
          <w:sz w:val="24"/>
          <w:szCs w:val="24"/>
        </w:rPr>
        <w:t>, 2003)</w:t>
      </w:r>
      <w:r w:rsidR="00620416" w:rsidRPr="00A85D78">
        <w:rPr>
          <w:rFonts w:ascii="Arial" w:hAnsi="Arial" w:cs="Arial"/>
          <w:sz w:val="24"/>
          <w:szCs w:val="24"/>
        </w:rPr>
        <w:t>. E</w:t>
      </w:r>
      <w:r w:rsidRPr="00A85D78">
        <w:rPr>
          <w:rFonts w:ascii="Arial" w:hAnsi="Arial" w:cs="Arial"/>
          <w:sz w:val="24"/>
          <w:szCs w:val="24"/>
        </w:rPr>
        <w:t xml:space="preserve">n el siguiente apartado veremos los órganos encargados de la fiscalización en los diferentes países de nuestro continente;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en “la vertiente de transparencia revela que el acto de reportar públicamente las aportaciones y los gastos de partidos y campañas es un mecanismo cada vez más común para fiscalizar el </w:t>
      </w:r>
      <w:r w:rsidRPr="00A85D78">
        <w:rPr>
          <w:rFonts w:ascii="Arial" w:hAnsi="Arial" w:cs="Arial"/>
          <w:sz w:val="24"/>
          <w:szCs w:val="24"/>
        </w:rPr>
        <w:lastRenderedPageBreak/>
        <w:t>financiamiento a las campañas” (Guerrero, 2003: 30). Además de legitimar las elecciones la fiscalización a través de la rendición de cuentas y la transparencia busca convertirse en un factor orientador del sentido del voto, bajo la tesitura de un ciudadano mejor informado del uso de los recursos, tomará mejores decisiones en las urnas.</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En este contexto es menester analizar los resultados de </w:t>
      </w:r>
      <w:proofErr w:type="spellStart"/>
      <w:r w:rsidRPr="00A85D78">
        <w:rPr>
          <w:rFonts w:ascii="Arial" w:hAnsi="Arial" w:cs="Arial"/>
          <w:sz w:val="24"/>
          <w:szCs w:val="24"/>
        </w:rPr>
        <w:t>Latinobarómetro</w:t>
      </w:r>
      <w:proofErr w:type="spellEnd"/>
      <w:r w:rsidRPr="00A85D78">
        <w:rPr>
          <w:rFonts w:ascii="Arial" w:hAnsi="Arial" w:cs="Arial"/>
          <w:sz w:val="24"/>
          <w:szCs w:val="24"/>
        </w:rPr>
        <w:t xml:space="preserve"> (2017), que nos indican que los esfuerzos por convertir la rendición de cuentas en un factor determinante del sentido del voto, aún no ha rendido frutos, ya que los mexicanos no muestran una cultura de rendición de cuentas o por lo menos no la consideran como elemento toral para depositar su confianza en las instituciones públicas que transparenten el ejercicio de los recursos. Los resultados arrojan que 16% de los mexicanos confían en las instituciones si estas son fiscalizadas; mientras que el 43% confían si cumplen sus promesas y 63% confía en las instituciones si estas tratan por igual a todos los ciudadanos. Esto significa que para el elector mexicano promedio es más relevante que los partidos políticos brinden un trato digno a los ciudadanos y cumplan sus promesas, a los resultados que puedan arrojar los procesos de auditoria a los partidos. </w:t>
      </w: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pStyle w:val="Pa8"/>
        <w:spacing w:line="360" w:lineRule="auto"/>
        <w:jc w:val="both"/>
        <w:rPr>
          <w:rFonts w:ascii="Arial" w:hAnsi="Arial" w:cs="Arial"/>
        </w:rPr>
      </w:pPr>
      <w:r w:rsidRPr="00A85D78">
        <w:rPr>
          <w:rFonts w:ascii="Arial" w:hAnsi="Arial" w:cs="Arial"/>
        </w:rPr>
        <w:t>Otra de las metas de la fiscalización es “evitar competencias injustas, la compra de la voluntad del ciudadano, la manipulación de los medios de comunicación, etc., lo que se busca es que no sea el dinero el factor que domine la contienda electoral, de lo contrario, se generarían prác</w:t>
      </w:r>
      <w:r w:rsidRPr="00A85D78">
        <w:rPr>
          <w:rFonts w:ascii="Arial" w:hAnsi="Arial" w:cs="Arial"/>
        </w:rPr>
        <w:softHyphen/>
        <w:t xml:space="preserve">ticas contrarias a los principios democráticos”, (Rosales y Estrada, 2012:150). </w:t>
      </w:r>
    </w:p>
    <w:p w:rsidR="00A256AB" w:rsidRPr="00A85D78" w:rsidRDefault="00A256AB"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Por lo anterior expuesto uno de los conceptos más atinados para </w:t>
      </w:r>
      <w:r w:rsidR="00620416" w:rsidRPr="00A85D78">
        <w:rPr>
          <w:rFonts w:ascii="Arial" w:hAnsi="Arial" w:cs="Arial"/>
          <w:sz w:val="24"/>
          <w:szCs w:val="24"/>
        </w:rPr>
        <w:t>definir a</w:t>
      </w:r>
      <w:r w:rsidRPr="00A85D78">
        <w:rPr>
          <w:rFonts w:ascii="Arial" w:hAnsi="Arial" w:cs="Arial"/>
          <w:sz w:val="24"/>
          <w:szCs w:val="24"/>
        </w:rPr>
        <w:t xml:space="preserve"> la fiscalización en el ámbito electoral es el aportado por Márquez, “la acción por medio de la cual se evalúan y revisan las acciones de gobierno considerando su veracidad, razonabilidad y apego a la ley, la fiscalización no se detiene en una simple revisión contable de los ingresos y los egresos a través de técnicas de la revisión o auditoría. Requiere, además, que se considere la veracidad de las operaciones, su razonabilidad y, por supuesto, el respeto a las leyes que regulan” (2009: 309).</w:t>
      </w: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lastRenderedPageBreak/>
        <w:t xml:space="preserve">La definición de Márquez es muy completa para los fines que se persiguen en la investigación en curso, ya que efectivamente la fiscalización en materia electoral tiene la finalidad de realizar un análisis a mayor profundidad de lo que implica una revisión de registros contables, el interés primordial del órgano revisor es adentrarse en las entrañas del origen y destino de los recursos públicos y privados que los partidos y candidatos utilizaron para sus campañas políticas. Si bien el registro contable de todos y cada uno de los ingresos y gastos realizados en tiempo y forma es primordial para la fiscalización, debe realizarse acompañado de documentación adjunta como contratos, facturas, comprobantes de pago, muestra, </w:t>
      </w:r>
      <w:proofErr w:type="spellStart"/>
      <w:r w:rsidRPr="00A85D78">
        <w:rPr>
          <w:rFonts w:ascii="Arial" w:hAnsi="Arial" w:cs="Arial"/>
          <w:sz w:val="24"/>
          <w:szCs w:val="24"/>
        </w:rPr>
        <w:t>kardex</w:t>
      </w:r>
      <w:proofErr w:type="spellEnd"/>
      <w:r w:rsidRPr="00A85D78">
        <w:rPr>
          <w:rFonts w:ascii="Arial" w:hAnsi="Arial" w:cs="Arial"/>
          <w:sz w:val="24"/>
          <w:szCs w:val="24"/>
        </w:rPr>
        <w:t xml:space="preserve">, notas de entrada, salida, estos son los elementos que le darán veracidad y razonabilidad a las operaciones. </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El apego a la ley y la normatividad es indispensable en cada momento del proceso de fiscalización, pues cada uno de los procesos cuenta con una fundamentación y motivación en el marco jurídico electoral que determina puntualmente los momentos en que deben registrarse los ingresos y gastos, el sistema </w:t>
      </w:r>
      <w:r w:rsidR="00DE6E5D" w:rsidRPr="00A85D78">
        <w:rPr>
          <w:rFonts w:ascii="Arial" w:hAnsi="Arial" w:cs="Arial"/>
          <w:sz w:val="24"/>
          <w:szCs w:val="24"/>
        </w:rPr>
        <w:t>de registro</w:t>
      </w:r>
      <w:r w:rsidRPr="00A85D78">
        <w:rPr>
          <w:rFonts w:ascii="Arial" w:hAnsi="Arial" w:cs="Arial"/>
          <w:sz w:val="24"/>
          <w:szCs w:val="24"/>
        </w:rPr>
        <w:t xml:space="preserve">, el tipo de documentación con el que </w:t>
      </w:r>
      <w:r w:rsidR="00DE6E5D" w:rsidRPr="00A85D78">
        <w:rPr>
          <w:rFonts w:ascii="Arial" w:hAnsi="Arial" w:cs="Arial"/>
          <w:sz w:val="24"/>
          <w:szCs w:val="24"/>
        </w:rPr>
        <w:t>se</w:t>
      </w:r>
      <w:r w:rsidRPr="00A85D78">
        <w:rPr>
          <w:rFonts w:ascii="Arial" w:hAnsi="Arial" w:cs="Arial"/>
          <w:sz w:val="24"/>
          <w:szCs w:val="24"/>
        </w:rPr>
        <w:t xml:space="preserve"> acompaña cada registro contable, las características del proveedor con el que pueden realizarse transacciones comerciales o el tipo de personas que pueden realizar aportaciones en dinero o en especie a los partidos y/o campañas políticas. </w:t>
      </w: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pStyle w:val="Pa8"/>
        <w:spacing w:line="360" w:lineRule="auto"/>
        <w:jc w:val="both"/>
        <w:rPr>
          <w:rFonts w:ascii="Arial" w:hAnsi="Arial" w:cs="Arial"/>
        </w:rPr>
      </w:pPr>
      <w:r w:rsidRPr="00A85D78">
        <w:rPr>
          <w:rFonts w:ascii="Arial" w:hAnsi="Arial" w:cs="Arial"/>
        </w:rPr>
        <w:t>Para que la Ley sea respetada debe contar con un fuerte marco institucional según Rosales y Estrada en materia de dinero, partidos políticos y elecciones, el entramado jurídico-insti</w:t>
      </w:r>
      <w:r w:rsidRPr="00A85D78">
        <w:rPr>
          <w:rFonts w:ascii="Arial" w:hAnsi="Arial" w:cs="Arial"/>
        </w:rPr>
        <w:softHyphen/>
        <w:t xml:space="preserve">tucional debe contemplar al menos los siguientes elementos para resguardar una competencia equitativa y transparente: </w:t>
      </w:r>
    </w:p>
    <w:p w:rsidR="00A256AB" w:rsidRPr="00A85D78" w:rsidRDefault="00A256AB" w:rsidP="0007586E">
      <w:pPr>
        <w:pStyle w:val="Pa8"/>
        <w:numPr>
          <w:ilvl w:val="0"/>
          <w:numId w:val="8"/>
        </w:numPr>
        <w:spacing w:line="360" w:lineRule="auto"/>
        <w:jc w:val="both"/>
        <w:rPr>
          <w:rFonts w:ascii="Arial" w:hAnsi="Arial" w:cs="Arial"/>
        </w:rPr>
      </w:pPr>
      <w:r w:rsidRPr="00A85D78">
        <w:rPr>
          <w:rFonts w:ascii="Arial" w:hAnsi="Arial" w:cs="Arial"/>
        </w:rPr>
        <w:t>“igualdad de recursos materiales (estable</w:t>
      </w:r>
      <w:r w:rsidRPr="00A85D78">
        <w:rPr>
          <w:rFonts w:ascii="Arial" w:hAnsi="Arial" w:cs="Arial"/>
        </w:rPr>
        <w:softHyphen/>
        <w:t xml:space="preserve">ciéndose un límite a los gastos de campaña. El monto dependerá con relación al cargo al que se aspira); </w:t>
      </w:r>
    </w:p>
    <w:p w:rsidR="00A256AB" w:rsidRPr="00A85D78" w:rsidRDefault="00A256AB" w:rsidP="0007586E">
      <w:pPr>
        <w:pStyle w:val="Pa8"/>
        <w:numPr>
          <w:ilvl w:val="0"/>
          <w:numId w:val="8"/>
        </w:numPr>
        <w:spacing w:line="360" w:lineRule="auto"/>
        <w:jc w:val="both"/>
        <w:rPr>
          <w:rFonts w:ascii="Arial" w:hAnsi="Arial" w:cs="Arial"/>
        </w:rPr>
      </w:pPr>
      <w:r w:rsidRPr="00A85D78">
        <w:rPr>
          <w:rFonts w:ascii="Arial" w:hAnsi="Arial" w:cs="Arial"/>
        </w:rPr>
        <w:t xml:space="preserve">que </w:t>
      </w:r>
      <w:r w:rsidR="0007586E" w:rsidRPr="00A85D78">
        <w:rPr>
          <w:rFonts w:ascii="Arial" w:hAnsi="Arial" w:cs="Arial"/>
        </w:rPr>
        <w:t>estos</w:t>
      </w:r>
      <w:r w:rsidRPr="00A85D78">
        <w:rPr>
          <w:rFonts w:ascii="Arial" w:hAnsi="Arial" w:cs="Arial"/>
        </w:rPr>
        <w:t xml:space="preserve"> recursos hayan tenido un origen lícito;</w:t>
      </w:r>
    </w:p>
    <w:p w:rsidR="00A256AB" w:rsidRPr="00A85D78" w:rsidRDefault="00A256AB" w:rsidP="0007586E">
      <w:pPr>
        <w:pStyle w:val="Pa8"/>
        <w:numPr>
          <w:ilvl w:val="0"/>
          <w:numId w:val="8"/>
        </w:numPr>
        <w:spacing w:line="360" w:lineRule="auto"/>
        <w:jc w:val="both"/>
        <w:rPr>
          <w:rFonts w:ascii="Arial" w:hAnsi="Arial" w:cs="Arial"/>
        </w:rPr>
      </w:pPr>
      <w:r w:rsidRPr="00A85D78">
        <w:rPr>
          <w:rFonts w:ascii="Arial" w:hAnsi="Arial" w:cs="Arial"/>
        </w:rPr>
        <w:t>que sea transparente y de conocimiento público, todas las erogaciones realizadas por los candidatos y/o los partidos políticos (y terceros);</w:t>
      </w:r>
    </w:p>
    <w:p w:rsidR="00A256AB" w:rsidRPr="00A85D78" w:rsidRDefault="00A256AB" w:rsidP="0007586E">
      <w:pPr>
        <w:pStyle w:val="Pa8"/>
        <w:numPr>
          <w:ilvl w:val="0"/>
          <w:numId w:val="8"/>
        </w:numPr>
        <w:spacing w:line="360" w:lineRule="auto"/>
        <w:jc w:val="both"/>
        <w:rPr>
          <w:rFonts w:ascii="Arial" w:hAnsi="Arial" w:cs="Arial"/>
        </w:rPr>
      </w:pPr>
      <w:r w:rsidRPr="00A85D78">
        <w:rPr>
          <w:rFonts w:ascii="Arial" w:hAnsi="Arial" w:cs="Arial"/>
        </w:rPr>
        <w:t>la existencia de una autoridad independiente e imparcial que vigile, controle y califique que las elecciones se hayan desarrollado conforme a derecho y;</w:t>
      </w:r>
    </w:p>
    <w:p w:rsidR="00A256AB" w:rsidRPr="00A85D78" w:rsidRDefault="00A256AB" w:rsidP="0007586E">
      <w:pPr>
        <w:pStyle w:val="Pa8"/>
        <w:numPr>
          <w:ilvl w:val="0"/>
          <w:numId w:val="8"/>
        </w:numPr>
        <w:spacing w:line="360" w:lineRule="auto"/>
        <w:jc w:val="both"/>
        <w:rPr>
          <w:rFonts w:ascii="Arial" w:hAnsi="Arial" w:cs="Arial"/>
        </w:rPr>
      </w:pPr>
      <w:r w:rsidRPr="00A85D78">
        <w:rPr>
          <w:rFonts w:ascii="Arial" w:hAnsi="Arial" w:cs="Arial"/>
        </w:rPr>
        <w:lastRenderedPageBreak/>
        <w:t>la impo</w:t>
      </w:r>
      <w:r w:rsidRPr="00A85D78">
        <w:rPr>
          <w:rFonts w:ascii="Arial" w:hAnsi="Arial" w:cs="Arial"/>
        </w:rPr>
        <w:softHyphen/>
        <w:t>sición de sanciones efectivas en caso de viola</w:t>
      </w:r>
      <w:r w:rsidRPr="00A85D78">
        <w:rPr>
          <w:rFonts w:ascii="Arial" w:hAnsi="Arial" w:cs="Arial"/>
        </w:rPr>
        <w:softHyphen/>
        <w:t>ciones a las reglas del juego, para que no se repita esa conducta”. (2012: 106)</w:t>
      </w:r>
    </w:p>
    <w:p w:rsidR="00A256AB" w:rsidRPr="00A85D78" w:rsidRDefault="00A256AB" w:rsidP="0007586E">
      <w:pPr>
        <w:spacing w:line="360" w:lineRule="auto"/>
        <w:rPr>
          <w:rFonts w:ascii="Arial" w:hAnsi="Arial" w:cs="Arial"/>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En la actualidad nuestro sistema político cuenta con un entramado institucional muy fortalecido, no obstante no ha sido una tarea sencilla se ha ido construyendo paulatinamente a la par de los acontecimientos de coyuntura política donde se ha tratado de dar respuesta y prevenir comportamientos que generaron polémica por suscitarse dentro de “vacíos legales” que en su momento cuestionaron la legalidad y legitimidad de partidos y candidatos, en el siguiente apartado se expondrá a detalle la evolución del marco legal en materia de fiscalización.</w:t>
      </w:r>
    </w:p>
    <w:p w:rsidR="0007586E" w:rsidRDefault="0007586E" w:rsidP="0007586E">
      <w:pPr>
        <w:spacing w:line="360" w:lineRule="auto"/>
        <w:jc w:val="both"/>
        <w:rPr>
          <w:rFonts w:ascii="Arial" w:hAnsi="Arial" w:cs="Arial"/>
          <w:sz w:val="24"/>
          <w:szCs w:val="24"/>
        </w:rPr>
      </w:pP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b/>
          <w:sz w:val="24"/>
          <w:szCs w:val="24"/>
        </w:rPr>
      </w:pPr>
      <w:r w:rsidRPr="00A85D78">
        <w:rPr>
          <w:rFonts w:ascii="Arial" w:hAnsi="Arial" w:cs="Arial"/>
          <w:b/>
          <w:sz w:val="24"/>
          <w:szCs w:val="24"/>
        </w:rPr>
        <w:t>1.3.2 Órganos encargados de la fiscalización.</w:t>
      </w: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Para poder llevar a cabo esta rendición de cuentas se requiere de un medio que nos permita corroborar que el dinero que los partidos utilizan ingrese de fuentes lícitas y sea ejercido de la misma manera y en caso contrario se sancione con la finalidad de inhibir las conductas contrarias a lo establecido en la legislación. Esta labor de fiscalización debe recaer en una institución independiente e imparcial ajena a los intereses de los partidos políticos, con autoridad suficiente para realizar los trabajos de forma autónoma al gobierno. </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En una coyuntura la confianza de los latinoamericanos en las instituciones electorales a cargo de las elecciones; donde las mismas han perdido legitimidad sus niveles de aprobación han decrecido considerablemente mientras que en 2006 alcanzaban el 51% para 2017 es de 29%. En nuestro país los índices de confianza en las autoridades electorales superan la media con un 33%. (</w:t>
      </w:r>
      <w:proofErr w:type="spellStart"/>
      <w:r w:rsidRPr="00A85D78">
        <w:rPr>
          <w:rFonts w:ascii="Arial" w:hAnsi="Arial" w:cs="Arial"/>
          <w:sz w:val="24"/>
          <w:szCs w:val="24"/>
        </w:rPr>
        <w:t>Latinobarómetro</w:t>
      </w:r>
      <w:proofErr w:type="spellEnd"/>
      <w:r w:rsidRPr="00A85D78">
        <w:rPr>
          <w:rFonts w:ascii="Arial" w:hAnsi="Arial" w:cs="Arial"/>
          <w:sz w:val="24"/>
          <w:szCs w:val="24"/>
        </w:rPr>
        <w:t xml:space="preserve"> 2017), es </w:t>
      </w:r>
      <w:r w:rsidR="002965D8" w:rsidRPr="00A85D78">
        <w:rPr>
          <w:rFonts w:ascii="Arial" w:hAnsi="Arial" w:cs="Arial"/>
          <w:sz w:val="24"/>
          <w:szCs w:val="24"/>
        </w:rPr>
        <w:t>fundamental</w:t>
      </w:r>
      <w:r w:rsidRPr="00A85D78">
        <w:rPr>
          <w:rFonts w:ascii="Arial" w:hAnsi="Arial" w:cs="Arial"/>
          <w:sz w:val="24"/>
          <w:szCs w:val="24"/>
        </w:rPr>
        <w:t xml:space="preserve"> legitimar a la institución encargada de fiscalizar a los partidos políticos. </w:t>
      </w:r>
    </w:p>
    <w:p w:rsidR="0007586E" w:rsidRPr="00A85D78" w:rsidRDefault="0007586E" w:rsidP="0007586E">
      <w:pPr>
        <w:spacing w:line="360" w:lineRule="auto"/>
        <w:jc w:val="both"/>
        <w:rPr>
          <w:rFonts w:ascii="Arial" w:hAnsi="Arial" w:cs="Arial"/>
          <w:sz w:val="24"/>
          <w:szCs w:val="24"/>
        </w:rPr>
      </w:pPr>
    </w:p>
    <w:p w:rsidR="00A256AB" w:rsidRDefault="00A256AB" w:rsidP="0007586E">
      <w:pPr>
        <w:spacing w:line="360" w:lineRule="auto"/>
        <w:jc w:val="both"/>
        <w:rPr>
          <w:rFonts w:ascii="Arial" w:hAnsi="Arial" w:cs="Arial"/>
          <w:sz w:val="24"/>
          <w:szCs w:val="24"/>
        </w:rPr>
      </w:pPr>
      <w:r w:rsidRPr="00A85D78">
        <w:rPr>
          <w:rFonts w:ascii="Arial" w:hAnsi="Arial" w:cs="Arial"/>
          <w:sz w:val="24"/>
          <w:szCs w:val="24"/>
        </w:rPr>
        <w:t xml:space="preserve">En América Latina la tarea recae principalmente en los órganos electorales, quienes han enfrentado obstáculos que les impiden realizar la labor entre las que destacan la falta de facultades para investigar el origen y destino de los recursos en los sistemas bancarios y fiscales. En la tabla 1.4 se presentan una </w:t>
      </w:r>
      <w:r w:rsidRPr="00A85D78">
        <w:rPr>
          <w:rFonts w:ascii="Arial" w:hAnsi="Arial" w:cs="Arial"/>
          <w:sz w:val="24"/>
          <w:szCs w:val="24"/>
        </w:rPr>
        <w:lastRenderedPageBreak/>
        <w:t>compilación de los órganos de fiscalización en América Latina y algunos países europeos, así como de nuestros vecinos del norte.</w:t>
      </w:r>
    </w:p>
    <w:p w:rsidR="0007586E" w:rsidRPr="00A85D78" w:rsidRDefault="0007586E" w:rsidP="0007586E">
      <w:pPr>
        <w:spacing w:line="360" w:lineRule="auto"/>
        <w:jc w:val="both"/>
        <w:rPr>
          <w:rFonts w:ascii="Arial" w:hAnsi="Arial" w:cs="Arial"/>
          <w:sz w:val="24"/>
          <w:szCs w:val="24"/>
        </w:rPr>
      </w:pPr>
    </w:p>
    <w:p w:rsidR="00A256AB" w:rsidRPr="00A85D78" w:rsidRDefault="00A256AB" w:rsidP="0007586E">
      <w:pPr>
        <w:spacing w:line="360" w:lineRule="auto"/>
        <w:jc w:val="both"/>
        <w:rPr>
          <w:rFonts w:ascii="Arial" w:hAnsi="Arial" w:cs="Arial"/>
          <w:sz w:val="24"/>
          <w:szCs w:val="24"/>
        </w:rPr>
      </w:pPr>
      <w:r w:rsidRPr="00A85D78">
        <w:rPr>
          <w:rFonts w:ascii="Arial" w:hAnsi="Arial" w:cs="Arial"/>
          <w:sz w:val="24"/>
          <w:szCs w:val="24"/>
        </w:rPr>
        <w:t>De acuerdo con datos de IDEA Internacional la mayoría de los países de América Latina, delegan la facultad de fiscalizar en los órganos encargados de organizar las elecciones, como es el caso de nuestro país donde el Instituto Nacional Electoral, es el responsable de fiscalizar, por otra parte destacan los casos de Argentina donde la fiscalización depende directamente del poder Judicial;  España donde dicha función recae en el Tribunal de Cuentas</w:t>
      </w:r>
      <w:r w:rsidR="002965D8" w:rsidRPr="00A85D78">
        <w:rPr>
          <w:rFonts w:ascii="Arial" w:hAnsi="Arial" w:cs="Arial"/>
          <w:sz w:val="24"/>
          <w:szCs w:val="24"/>
        </w:rPr>
        <w:t>,</w:t>
      </w:r>
      <w:r w:rsidRPr="00A85D78">
        <w:rPr>
          <w:rFonts w:ascii="Arial" w:hAnsi="Arial" w:cs="Arial"/>
          <w:sz w:val="24"/>
          <w:szCs w:val="24"/>
        </w:rPr>
        <w:t xml:space="preserve"> órgano encargado de llevar a cabo la rendición de cuentas de todo el sector público incluyendo los partidos políticos. Destaca también el caso de Francia donde la Comisión Nacional de Cuentas de Campaña y Financiaciones Políticas, es integrada por miembros honorarios del Consejo de Estado, Tribunal Supremo y del Tribunal de Cuentas. </w:t>
      </w:r>
    </w:p>
    <w:p w:rsidR="00A256AB" w:rsidRPr="00A85D78" w:rsidRDefault="00A256AB" w:rsidP="0007586E">
      <w:pPr>
        <w:spacing w:line="360" w:lineRule="auto"/>
        <w:jc w:val="both"/>
        <w:rPr>
          <w:rFonts w:ascii="Arial" w:hAnsi="Arial" w:cs="Arial"/>
          <w:sz w:val="24"/>
          <w:szCs w:val="24"/>
        </w:rPr>
      </w:pPr>
    </w:p>
    <w:p w:rsidR="00A256AB" w:rsidRDefault="00A256AB" w:rsidP="009F1C04">
      <w:pPr>
        <w:pStyle w:val="Sinespaciado"/>
        <w:ind w:left="1418" w:hanging="1418"/>
        <w:contextualSpacing/>
        <w:jc w:val="both"/>
        <w:rPr>
          <w:rStyle w:val="Ttulodellibro"/>
          <w:rFonts w:ascii="Arial" w:hAnsi="Arial" w:cs="Arial"/>
          <w:b/>
          <w:i/>
          <w:color w:val="auto"/>
          <w:sz w:val="20"/>
          <w:szCs w:val="20"/>
        </w:rPr>
      </w:pPr>
      <w:r w:rsidRPr="00707439">
        <w:rPr>
          <w:rStyle w:val="Ttulodellibro"/>
          <w:rFonts w:ascii="Arial" w:hAnsi="Arial" w:cs="Arial"/>
          <w:b/>
          <w:i/>
          <w:color w:val="auto"/>
          <w:sz w:val="20"/>
          <w:szCs w:val="20"/>
        </w:rPr>
        <w:t>Tabla 1.4</w:t>
      </w:r>
      <w:r w:rsidR="002965D8" w:rsidRPr="00707439">
        <w:rPr>
          <w:rStyle w:val="Ttulodellibro"/>
          <w:rFonts w:ascii="Arial" w:hAnsi="Arial" w:cs="Arial"/>
          <w:b/>
          <w:i/>
          <w:color w:val="auto"/>
          <w:sz w:val="20"/>
          <w:szCs w:val="20"/>
        </w:rPr>
        <w:t xml:space="preserve"> Órganos Fiscalizadores en América y </w:t>
      </w:r>
      <w:r w:rsidR="00F55671" w:rsidRPr="00707439">
        <w:rPr>
          <w:rStyle w:val="Ttulodellibro"/>
          <w:rFonts w:ascii="Arial" w:hAnsi="Arial" w:cs="Arial"/>
          <w:b/>
          <w:i/>
          <w:color w:val="auto"/>
          <w:sz w:val="20"/>
          <w:szCs w:val="20"/>
        </w:rPr>
        <w:t>Países</w:t>
      </w:r>
      <w:r w:rsidR="002965D8" w:rsidRPr="00707439">
        <w:rPr>
          <w:rStyle w:val="Ttulodellibro"/>
          <w:rFonts w:ascii="Arial" w:hAnsi="Arial" w:cs="Arial"/>
          <w:b/>
          <w:i/>
          <w:color w:val="auto"/>
          <w:sz w:val="20"/>
          <w:szCs w:val="20"/>
        </w:rPr>
        <w:t xml:space="preserve"> Europ</w:t>
      </w:r>
      <w:r w:rsidR="00136605" w:rsidRPr="00707439">
        <w:rPr>
          <w:rStyle w:val="Ttulodellibro"/>
          <w:rFonts w:ascii="Arial" w:hAnsi="Arial" w:cs="Arial"/>
          <w:b/>
          <w:i/>
          <w:color w:val="auto"/>
          <w:sz w:val="20"/>
          <w:szCs w:val="20"/>
        </w:rPr>
        <w:t>eos</w:t>
      </w:r>
      <w:r w:rsidR="00707439">
        <w:rPr>
          <w:rStyle w:val="Ttulodellibro"/>
          <w:rFonts w:ascii="Arial" w:hAnsi="Arial" w:cs="Arial"/>
          <w:b/>
          <w:i/>
          <w:color w:val="auto"/>
          <w:sz w:val="20"/>
          <w:szCs w:val="20"/>
        </w:rPr>
        <w:t>.</w:t>
      </w:r>
    </w:p>
    <w:p w:rsidR="00707439" w:rsidRPr="00707439" w:rsidRDefault="00707439" w:rsidP="00A256AB">
      <w:pPr>
        <w:jc w:val="both"/>
        <w:rPr>
          <w:rStyle w:val="Ttulodellibro"/>
          <w:rFonts w:ascii="Arial" w:hAnsi="Arial" w:cs="Arial"/>
          <w:b/>
          <w:i/>
          <w:color w:val="auto"/>
          <w:sz w:val="20"/>
          <w:szCs w:val="20"/>
        </w:rPr>
      </w:pPr>
    </w:p>
    <w:tbl>
      <w:tblPr>
        <w:tblStyle w:val="Tablaconcuadrcula"/>
        <w:tblW w:w="5000" w:type="pct"/>
        <w:jc w:val="center"/>
        <w:tblLook w:val="04A0" w:firstRow="1" w:lastRow="0" w:firstColumn="1" w:lastColumn="0" w:noHBand="0" w:noVBand="1"/>
      </w:tblPr>
      <w:tblGrid>
        <w:gridCol w:w="2190"/>
        <w:gridCol w:w="6304"/>
      </w:tblGrid>
      <w:tr w:rsidR="00A256AB" w:rsidRPr="00707439" w:rsidTr="0012398D">
        <w:trPr>
          <w:trHeight w:val="144"/>
          <w:jc w:val="center"/>
        </w:trPr>
        <w:tc>
          <w:tcPr>
            <w:tcW w:w="1289" w:type="pct"/>
            <w:shd w:val="clear" w:color="auto" w:fill="FBE4D5" w:themeFill="accent2" w:themeFillTint="33"/>
          </w:tcPr>
          <w:p w:rsidR="00A256AB" w:rsidRPr="00707439" w:rsidRDefault="00A256AB" w:rsidP="00136605">
            <w:pPr>
              <w:contextualSpacing/>
              <w:jc w:val="center"/>
              <w:rPr>
                <w:rFonts w:ascii="Arial" w:hAnsi="Arial" w:cs="Arial"/>
                <w:b/>
                <w:sz w:val="18"/>
                <w:szCs w:val="18"/>
                <w:lang w:val="es-ES_tradnl"/>
              </w:rPr>
            </w:pPr>
            <w:r w:rsidRPr="00707439">
              <w:rPr>
                <w:rFonts w:ascii="Arial" w:hAnsi="Arial" w:cs="Arial"/>
                <w:b/>
                <w:sz w:val="18"/>
                <w:szCs w:val="18"/>
                <w:lang w:val="es-ES_tradnl"/>
              </w:rPr>
              <w:t>PAÍS</w:t>
            </w:r>
          </w:p>
        </w:tc>
        <w:tc>
          <w:tcPr>
            <w:tcW w:w="3711" w:type="pct"/>
            <w:shd w:val="clear" w:color="auto" w:fill="FBE4D5" w:themeFill="accent2" w:themeFillTint="33"/>
          </w:tcPr>
          <w:p w:rsidR="00A256AB" w:rsidRPr="00707439" w:rsidRDefault="00A256AB" w:rsidP="00136605">
            <w:pPr>
              <w:contextualSpacing/>
              <w:jc w:val="center"/>
              <w:rPr>
                <w:rFonts w:ascii="Arial" w:hAnsi="Arial" w:cs="Arial"/>
                <w:b/>
                <w:sz w:val="18"/>
                <w:szCs w:val="18"/>
                <w:lang w:val="es-ES_tradnl"/>
              </w:rPr>
            </w:pPr>
            <w:r w:rsidRPr="00707439">
              <w:rPr>
                <w:rFonts w:ascii="Arial" w:hAnsi="Arial" w:cs="Arial"/>
                <w:b/>
                <w:sz w:val="18"/>
                <w:szCs w:val="18"/>
                <w:lang w:val="es-ES_tradnl"/>
              </w:rPr>
              <w:t>ÓRGANO FISCALIZADOR</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Argentina</w:t>
            </w:r>
          </w:p>
        </w:tc>
        <w:tc>
          <w:tcPr>
            <w:tcW w:w="3711"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Jueces Federales con Jurisdicción Federal</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Alemania</w:t>
            </w:r>
          </w:p>
        </w:tc>
        <w:tc>
          <w:tcPr>
            <w:tcW w:w="3711"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Poder Legislativo (</w:t>
            </w:r>
            <w:proofErr w:type="gramStart"/>
            <w:r w:rsidRPr="00707439">
              <w:rPr>
                <w:rFonts w:ascii="Arial" w:hAnsi="Arial" w:cs="Arial"/>
                <w:sz w:val="18"/>
                <w:szCs w:val="18"/>
                <w:lang w:val="es-ES_tradnl"/>
              </w:rPr>
              <w:t>Presidente</w:t>
            </w:r>
            <w:proofErr w:type="gramEnd"/>
            <w:r w:rsidRPr="00707439">
              <w:rPr>
                <w:rFonts w:ascii="Arial" w:hAnsi="Arial" w:cs="Arial"/>
                <w:sz w:val="18"/>
                <w:szCs w:val="18"/>
                <w:lang w:val="es-ES_tradnl"/>
              </w:rPr>
              <w:t xml:space="preserve"> del </w:t>
            </w:r>
            <w:proofErr w:type="spellStart"/>
            <w:r w:rsidRPr="00707439">
              <w:rPr>
                <w:rFonts w:ascii="Arial" w:hAnsi="Arial" w:cs="Arial"/>
                <w:sz w:val="18"/>
                <w:szCs w:val="18"/>
                <w:lang w:val="es-ES_tradnl"/>
              </w:rPr>
              <w:t>Bundestag</w:t>
            </w:r>
            <w:proofErr w:type="spellEnd"/>
            <w:r w:rsidRPr="00707439">
              <w:rPr>
                <w:rFonts w:ascii="Arial" w:hAnsi="Arial" w:cs="Arial"/>
                <w:sz w:val="18"/>
                <w:szCs w:val="18"/>
                <w:lang w:val="es-ES_tradnl"/>
              </w:rPr>
              <w:t>)</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Bolivia</w:t>
            </w:r>
          </w:p>
        </w:tc>
        <w:tc>
          <w:tcPr>
            <w:tcW w:w="3711"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Brasil</w:t>
            </w:r>
          </w:p>
        </w:tc>
        <w:tc>
          <w:tcPr>
            <w:tcW w:w="3711" w:type="pct"/>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Canadá</w:t>
            </w:r>
          </w:p>
        </w:tc>
        <w:tc>
          <w:tcPr>
            <w:tcW w:w="3711" w:type="pct"/>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tcPr>
          <w:p w:rsidR="00A256AB" w:rsidRPr="00707439" w:rsidRDefault="00A256AB" w:rsidP="00136605">
            <w:pPr>
              <w:contextualSpacing/>
              <w:jc w:val="both"/>
              <w:rPr>
                <w:rFonts w:ascii="Arial" w:hAnsi="Arial" w:cs="Arial"/>
                <w:sz w:val="18"/>
                <w:szCs w:val="18"/>
                <w:lang w:val="es-ES_tradnl"/>
              </w:rPr>
            </w:pPr>
            <w:r w:rsidRPr="00707439">
              <w:rPr>
                <w:rFonts w:ascii="Arial" w:hAnsi="Arial" w:cs="Arial"/>
                <w:sz w:val="18"/>
                <w:szCs w:val="18"/>
                <w:lang w:val="es-ES_tradnl"/>
              </w:rPr>
              <w:t>Colombia</w:t>
            </w:r>
          </w:p>
        </w:tc>
        <w:tc>
          <w:tcPr>
            <w:tcW w:w="3711" w:type="pct"/>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Costa Rica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 / Contraloría General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Chile</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Ecuador</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El Salvador</w:t>
            </w:r>
            <w:r w:rsidRPr="00707439">
              <w:rPr>
                <w:rStyle w:val="Refdenotaalpie"/>
                <w:rFonts w:ascii="Arial" w:hAnsi="Arial" w:cs="Arial"/>
                <w:sz w:val="18"/>
                <w:szCs w:val="18"/>
                <w:lang w:val="es-ES_tradnl"/>
              </w:rPr>
              <w:footnoteReference w:id="7"/>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No Aplica</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España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Corte (Tribunal de Cuentas)</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Estados Unidos</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Francia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Comisión Nacional de Cuentas de Campaña y Financiamiento Político</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Guatemala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Honduras</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México</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Nicaragua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Contraloría General, Órgano Electoral, Ministerio del Tesoro</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Panamá</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Paraguay</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Perú</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Reino Unido</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República Dominicana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Uruguay</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r w:rsidR="00A256AB" w:rsidRPr="00707439" w:rsidTr="00136605">
        <w:trPr>
          <w:jc w:val="center"/>
        </w:trPr>
        <w:tc>
          <w:tcPr>
            <w:tcW w:w="1289"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Venezuela</w:t>
            </w:r>
          </w:p>
        </w:tc>
        <w:tc>
          <w:tcPr>
            <w:tcW w:w="3711" w:type="pct"/>
            <w:vAlign w:val="center"/>
          </w:tcPr>
          <w:p w:rsidR="00A256AB" w:rsidRPr="00707439" w:rsidRDefault="00A256AB" w:rsidP="00136605">
            <w:pPr>
              <w:contextualSpacing/>
              <w:rPr>
                <w:rFonts w:ascii="Arial" w:hAnsi="Arial" w:cs="Arial"/>
                <w:sz w:val="18"/>
                <w:szCs w:val="18"/>
                <w:lang w:val="es-ES_tradnl"/>
              </w:rPr>
            </w:pPr>
            <w:r w:rsidRPr="00707439">
              <w:rPr>
                <w:rFonts w:ascii="Arial" w:hAnsi="Arial" w:cs="Arial"/>
                <w:sz w:val="18"/>
                <w:szCs w:val="18"/>
                <w:lang w:val="es-ES_tradnl"/>
              </w:rPr>
              <w:t>Órgano Electoral</w:t>
            </w:r>
          </w:p>
        </w:tc>
      </w:tr>
    </w:tbl>
    <w:p w:rsidR="00A256AB" w:rsidRPr="00707439" w:rsidRDefault="00A256AB" w:rsidP="009F1C04">
      <w:pPr>
        <w:rPr>
          <w:rFonts w:ascii="Arial" w:hAnsi="Arial" w:cs="Arial"/>
          <w:i/>
          <w:sz w:val="16"/>
          <w:szCs w:val="16"/>
        </w:rPr>
      </w:pPr>
      <w:r w:rsidRPr="00707439">
        <w:rPr>
          <w:rFonts w:ascii="Arial" w:hAnsi="Arial" w:cs="Arial"/>
          <w:b/>
          <w:i/>
          <w:sz w:val="16"/>
          <w:szCs w:val="16"/>
        </w:rPr>
        <w:t>Fuente:</w:t>
      </w:r>
      <w:r w:rsidRPr="00707439">
        <w:rPr>
          <w:rFonts w:ascii="Arial" w:hAnsi="Arial" w:cs="Arial"/>
          <w:i/>
          <w:sz w:val="16"/>
          <w:szCs w:val="16"/>
        </w:rPr>
        <w:t xml:space="preserve"> Elaboración Propia con datos de Instituto Internacional para la Democracia y la Asistencia Electoral (IDEA Internacional) en https://www.idea.int/data-tools/question-countries-view/569/26/reg</w:t>
      </w:r>
    </w:p>
    <w:p w:rsidR="00C8134D" w:rsidRDefault="00C8134D" w:rsidP="00A256AB">
      <w:pPr>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lastRenderedPageBreak/>
        <w:t>Los organismos encargados de la fiscalización también hacen frente a limitaciones financieras como recursos humanos y materiales restringidos para cumplir sus objetivos, la labor de verificar y dar fé de todos los gastos que se realizan en una campaña política es humanamente imposible cuando en cada rincón del espacio geográfico donde est</w:t>
      </w:r>
      <w:r w:rsidR="00637705" w:rsidRPr="00A85D78">
        <w:rPr>
          <w:rFonts w:ascii="Arial" w:hAnsi="Arial" w:cs="Arial"/>
          <w:sz w:val="24"/>
          <w:szCs w:val="24"/>
        </w:rPr>
        <w:t>é</w:t>
      </w:r>
      <w:r w:rsidRPr="00A85D78">
        <w:rPr>
          <w:rFonts w:ascii="Arial" w:hAnsi="Arial" w:cs="Arial"/>
          <w:sz w:val="24"/>
          <w:szCs w:val="24"/>
        </w:rPr>
        <w:t xml:space="preserve"> en juego un cargo de elección popular se llevan a cabo simultáneamente actos que implican la erogación de recursos, donde la autoridad requiere de ojos y oídos para contabilizar dichos gastos.</w:t>
      </w:r>
    </w:p>
    <w:p w:rsidR="001D3076" w:rsidRPr="00A85D78" w:rsidRDefault="001D3076"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No s</w:t>
      </w:r>
      <w:r w:rsidR="00637705" w:rsidRPr="00A85D78">
        <w:rPr>
          <w:rFonts w:ascii="Arial" w:hAnsi="Arial" w:cs="Arial"/>
          <w:sz w:val="24"/>
          <w:szCs w:val="24"/>
        </w:rPr>
        <w:t>ó</w:t>
      </w:r>
      <w:r w:rsidRPr="00A85D78">
        <w:rPr>
          <w:rFonts w:ascii="Arial" w:hAnsi="Arial" w:cs="Arial"/>
          <w:sz w:val="24"/>
          <w:szCs w:val="24"/>
        </w:rPr>
        <w:t>lo es importante dotar del marco jurídico institucional a los órganos de fiscalización, sino también de la suficiencia presupuestal para realizar su actividad de auditor</w:t>
      </w:r>
      <w:r w:rsidR="00637705" w:rsidRPr="00A85D78">
        <w:rPr>
          <w:rFonts w:ascii="Arial" w:hAnsi="Arial" w:cs="Arial"/>
          <w:sz w:val="24"/>
          <w:szCs w:val="24"/>
        </w:rPr>
        <w:t>í</w:t>
      </w:r>
      <w:r w:rsidRPr="00A85D78">
        <w:rPr>
          <w:rFonts w:ascii="Arial" w:hAnsi="Arial" w:cs="Arial"/>
          <w:sz w:val="24"/>
          <w:szCs w:val="24"/>
        </w:rPr>
        <w:t xml:space="preserve">a, dado que “la contabilidad obligatoria y las leyes de transparencia que podría adoptar un país, sin decir mucho sobre los organismos </w:t>
      </w:r>
      <w:r w:rsidR="00637705" w:rsidRPr="00A85D78">
        <w:rPr>
          <w:rFonts w:ascii="Arial" w:hAnsi="Arial" w:cs="Arial"/>
          <w:sz w:val="24"/>
          <w:szCs w:val="24"/>
        </w:rPr>
        <w:t xml:space="preserve">encargados de </w:t>
      </w:r>
      <w:r w:rsidRPr="00A85D78">
        <w:rPr>
          <w:rFonts w:ascii="Arial" w:hAnsi="Arial" w:cs="Arial"/>
          <w:sz w:val="24"/>
          <w:szCs w:val="24"/>
        </w:rPr>
        <w:t>cumplir dichas leyes y hacerlas realidad. La estructura de tal organismo puede ser tan importante para el impacto de la ley como la elaboración del documento legislativo mismo” (</w:t>
      </w:r>
      <w:proofErr w:type="spellStart"/>
      <w:r w:rsidRPr="00A85D78">
        <w:rPr>
          <w:rFonts w:ascii="Arial" w:hAnsi="Arial" w:cs="Arial"/>
          <w:sz w:val="24"/>
          <w:szCs w:val="24"/>
        </w:rPr>
        <w:t>Palda</w:t>
      </w:r>
      <w:proofErr w:type="spellEnd"/>
      <w:r w:rsidRPr="00A85D78">
        <w:rPr>
          <w:rFonts w:ascii="Arial" w:hAnsi="Arial" w:cs="Arial"/>
          <w:sz w:val="24"/>
          <w:szCs w:val="24"/>
        </w:rPr>
        <w:t xml:space="preserve">, 1999: 244); en este mismo sentido se pronuncian </w:t>
      </w:r>
      <w:proofErr w:type="spellStart"/>
      <w:r w:rsidRPr="00A85D78">
        <w:rPr>
          <w:rFonts w:ascii="Arial" w:hAnsi="Arial" w:cs="Arial"/>
          <w:sz w:val="24"/>
          <w:szCs w:val="24"/>
        </w:rPr>
        <w:t>Falgera</w:t>
      </w:r>
      <w:proofErr w:type="spellEnd"/>
      <w:r w:rsidRPr="00A85D78">
        <w:rPr>
          <w:rFonts w:ascii="Arial" w:hAnsi="Arial" w:cs="Arial"/>
          <w:sz w:val="24"/>
          <w:szCs w:val="24"/>
        </w:rPr>
        <w:t>, Jones y Magnus (2015: 33) “A fin de garantizar el cumplimiento eficaz de las normas se necesita una institución pública con un mandato claro e independencia, recursos y voluntad suficientes para encargarse de las cuestiones relacionadas con financiamiento político”; no obstante dichas carencias no son objeto central de este trabajo de investigación.</w:t>
      </w:r>
    </w:p>
    <w:p w:rsidR="001D3076" w:rsidRPr="00A85D78" w:rsidRDefault="001D3076"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En el capítulo 4 realizaremos un análisis de los resultados arrojados por la actividad fiscalizadora tanto del órgano Técnico de Fiscalización del IEEM, como de la Unidad Técnica de Fiscalización del INE; en los procesos electorales celebrados en territorio mexiquense, el objetivo central es comparar principalmente las acciones sancionatorias identificadas por el trabajo de auditoria y las multas impuestas por dichas conductas infractoras</w:t>
      </w:r>
      <w:r w:rsidR="001D3076">
        <w:rPr>
          <w:rFonts w:ascii="Arial" w:hAnsi="Arial" w:cs="Arial"/>
          <w:sz w:val="24"/>
          <w:szCs w:val="24"/>
        </w:rPr>
        <w:t>.</w:t>
      </w:r>
    </w:p>
    <w:p w:rsidR="001D3076" w:rsidRDefault="001D3076" w:rsidP="00707439">
      <w:pPr>
        <w:spacing w:line="360" w:lineRule="auto"/>
        <w:jc w:val="both"/>
        <w:rPr>
          <w:rFonts w:ascii="Arial" w:hAnsi="Arial" w:cs="Arial"/>
          <w:sz w:val="24"/>
          <w:szCs w:val="24"/>
        </w:rPr>
      </w:pPr>
    </w:p>
    <w:p w:rsidR="001D3076" w:rsidRPr="00A85D78" w:rsidRDefault="001D3076" w:rsidP="00707439">
      <w:pPr>
        <w:spacing w:line="360" w:lineRule="auto"/>
        <w:jc w:val="both"/>
        <w:rPr>
          <w:rFonts w:ascii="Arial" w:hAnsi="Arial" w:cs="Arial"/>
          <w:sz w:val="24"/>
          <w:szCs w:val="24"/>
        </w:rPr>
      </w:pPr>
    </w:p>
    <w:p w:rsidR="00A256AB" w:rsidRPr="00A85D78" w:rsidRDefault="00A256AB" w:rsidP="00707439">
      <w:pPr>
        <w:spacing w:line="360" w:lineRule="auto"/>
        <w:rPr>
          <w:rFonts w:ascii="Arial" w:hAnsi="Arial" w:cs="Arial"/>
          <w:b/>
          <w:sz w:val="24"/>
          <w:szCs w:val="24"/>
        </w:rPr>
      </w:pPr>
      <w:r w:rsidRPr="00A85D78">
        <w:rPr>
          <w:rFonts w:ascii="Arial" w:hAnsi="Arial" w:cs="Arial"/>
          <w:b/>
          <w:sz w:val="24"/>
          <w:szCs w:val="24"/>
        </w:rPr>
        <w:t xml:space="preserve">1.4. Evolución de la </w:t>
      </w:r>
      <w:r w:rsidR="003D1A3D">
        <w:rPr>
          <w:rFonts w:ascii="Arial" w:hAnsi="Arial" w:cs="Arial"/>
          <w:b/>
          <w:sz w:val="24"/>
          <w:szCs w:val="24"/>
        </w:rPr>
        <w:t>f</w:t>
      </w:r>
      <w:r w:rsidRPr="00A85D78">
        <w:rPr>
          <w:rFonts w:ascii="Arial" w:hAnsi="Arial" w:cs="Arial"/>
          <w:b/>
          <w:sz w:val="24"/>
          <w:szCs w:val="24"/>
        </w:rPr>
        <w:t>iscalización en México.</w:t>
      </w: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La fiscalización en nuestro país es un proceso que se ha ido construyendo prácticamente de la nada; esto se debe en gran medida a las circunstancias que rodean el desarrollo de la democracia en México, donde durante las décadas de los setentas, ochentas y noventas, el debate de la agenda legislativa estuvo más </w:t>
      </w:r>
      <w:r w:rsidRPr="00A85D78">
        <w:rPr>
          <w:rFonts w:ascii="Arial" w:hAnsi="Arial" w:cs="Arial"/>
          <w:sz w:val="24"/>
          <w:szCs w:val="24"/>
        </w:rPr>
        <w:lastRenderedPageBreak/>
        <w:t>enfocado en temas como la representación de partidos de oposición en el Congreso, otorgar autonomía y ciudadanizar al órgano electoral, y en términos generales en procurar condiciones de mayor competitividad en los procesos electorales. En una coyuntura donde la hegemonía del partido en el gobierno obtenía triunfos aplastantes en los comicios, es comprensible que las modificaciones a las leyes electorales estuvieran enfocadas en temas más relevantes para la coyuntura político-electoral.</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Esta evolución de la fiscalización fue a la par de la transformación de los mecanismos de financiamiento de los partidos políticos, donde en un primer momento los partidos que recibieron recursos no tenían una obligación clara de rendir cuentas sobre su uso; conforme el financiamiento fue incrementando sus posibilidades, de forma directamente proporcional fue mayor la necesidad de transparentar el ejercicio de dichos recursos. A </w:t>
      </w:r>
      <w:proofErr w:type="gramStart"/>
      <w:r w:rsidRPr="00A85D78">
        <w:rPr>
          <w:rFonts w:ascii="Arial" w:hAnsi="Arial" w:cs="Arial"/>
          <w:sz w:val="24"/>
          <w:szCs w:val="24"/>
        </w:rPr>
        <w:t>continuación</w:t>
      </w:r>
      <w:proofErr w:type="gramEnd"/>
      <w:r w:rsidRPr="00A85D78">
        <w:rPr>
          <w:rFonts w:ascii="Arial" w:hAnsi="Arial" w:cs="Arial"/>
          <w:sz w:val="24"/>
          <w:szCs w:val="24"/>
        </w:rPr>
        <w:t xml:space="preserve"> haremos una breve reseña de la evolución de la obligación de rendir cuentas de los partidos a través de los años.</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La primera gran transformación electoral del sistema político implementada a partir de la reforma de 1977, no contempl</w:t>
      </w:r>
      <w:r w:rsidR="00637705" w:rsidRPr="00A85D78">
        <w:rPr>
          <w:rFonts w:ascii="Arial" w:hAnsi="Arial" w:cs="Arial"/>
          <w:sz w:val="24"/>
          <w:szCs w:val="24"/>
        </w:rPr>
        <w:t>ó</w:t>
      </w:r>
      <w:r w:rsidRPr="00A85D78">
        <w:rPr>
          <w:rFonts w:ascii="Arial" w:hAnsi="Arial" w:cs="Arial"/>
          <w:sz w:val="24"/>
          <w:szCs w:val="24"/>
        </w:rPr>
        <w:t xml:space="preserve"> en su principal instrumento la Ley Federal de Organizaciones Políticas y Procesos Electorales (LOPPE), ningún tipo de mecanismo de control relativo a los recursos utilizados por los partidos políticos, al no existir la dotación de dinero público a los partidos</w:t>
      </w:r>
      <w:r w:rsidR="00637705" w:rsidRPr="00A85D78">
        <w:rPr>
          <w:rFonts w:ascii="Arial" w:hAnsi="Arial" w:cs="Arial"/>
          <w:sz w:val="24"/>
          <w:szCs w:val="24"/>
        </w:rPr>
        <w:t>,</w:t>
      </w:r>
      <w:r w:rsidRPr="00A85D78">
        <w:rPr>
          <w:rFonts w:ascii="Arial" w:hAnsi="Arial" w:cs="Arial"/>
          <w:sz w:val="24"/>
          <w:szCs w:val="24"/>
        </w:rPr>
        <w:t xml:space="preserve"> esta situación los eximía de la rendición de cuentas y las aportaciones de los militantes base del sostenimiento de estas instituciones quedaba en la opacidad. En aquel momento los procesos electorales eran un simple trámite para legitimar el acceso al poder de los candidatos del partido oficial, por lo </w:t>
      </w:r>
      <w:proofErr w:type="gramStart"/>
      <w:r w:rsidRPr="00A85D78">
        <w:rPr>
          <w:rFonts w:ascii="Arial" w:hAnsi="Arial" w:cs="Arial"/>
          <w:sz w:val="24"/>
          <w:szCs w:val="24"/>
        </w:rPr>
        <w:t>que</w:t>
      </w:r>
      <w:proofErr w:type="gramEnd"/>
      <w:r w:rsidRPr="00A85D78">
        <w:rPr>
          <w:rFonts w:ascii="Arial" w:hAnsi="Arial" w:cs="Arial"/>
          <w:sz w:val="24"/>
          <w:szCs w:val="24"/>
        </w:rPr>
        <w:t xml:space="preserve"> ante la ausencia de una competencia electoral, la fiscalización era un tema ajeno.</w:t>
      </w:r>
    </w:p>
    <w:p w:rsidR="00B706D9" w:rsidRDefault="00B706D9" w:rsidP="00707439">
      <w:pPr>
        <w:spacing w:line="360" w:lineRule="auto"/>
        <w:jc w:val="both"/>
        <w:rPr>
          <w:rFonts w:ascii="Arial" w:hAnsi="Arial" w:cs="Arial"/>
          <w:sz w:val="24"/>
          <w:szCs w:val="24"/>
        </w:rPr>
      </w:pP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b/>
          <w:sz w:val="24"/>
          <w:szCs w:val="24"/>
        </w:rPr>
      </w:pPr>
      <w:r w:rsidRPr="00A85D78">
        <w:rPr>
          <w:rFonts w:ascii="Arial" w:hAnsi="Arial" w:cs="Arial"/>
          <w:b/>
          <w:sz w:val="24"/>
          <w:szCs w:val="24"/>
        </w:rPr>
        <w:t>1.4.1 Los albores de la fiscalización electoral 1987 – 1993</w:t>
      </w:r>
      <w:r w:rsidR="003D1A3D">
        <w:rPr>
          <w:rFonts w:ascii="Arial" w:hAnsi="Arial" w:cs="Arial"/>
          <w:b/>
          <w:sz w:val="24"/>
          <w:szCs w:val="24"/>
        </w:rPr>
        <w:t xml:space="preserve">. </w:t>
      </w: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La Reforma de 1987, fue la primera que reglament</w:t>
      </w:r>
      <w:r w:rsidR="00637705" w:rsidRPr="00A85D78">
        <w:rPr>
          <w:rFonts w:ascii="Arial" w:hAnsi="Arial" w:cs="Arial"/>
          <w:sz w:val="24"/>
          <w:szCs w:val="24"/>
        </w:rPr>
        <w:t>ó</w:t>
      </w:r>
      <w:r w:rsidRPr="00A85D78">
        <w:rPr>
          <w:rFonts w:ascii="Arial" w:hAnsi="Arial" w:cs="Arial"/>
          <w:sz w:val="24"/>
          <w:szCs w:val="24"/>
        </w:rPr>
        <w:t xml:space="preserve"> la ministración de recursos para los partidos políticos, la LOPPE se transforma en Código Federal Electoral </w:t>
      </w:r>
      <w:r w:rsidRPr="00A85D78">
        <w:rPr>
          <w:rFonts w:ascii="Arial" w:hAnsi="Arial" w:cs="Arial"/>
          <w:sz w:val="24"/>
          <w:szCs w:val="24"/>
        </w:rPr>
        <w:lastRenderedPageBreak/>
        <w:t>(CFE) donde se establece el derecho a recibir financiamiento público</w:t>
      </w:r>
      <w:r w:rsidRPr="00A85D78">
        <w:rPr>
          <w:rStyle w:val="Refdenotaalpie"/>
          <w:rFonts w:ascii="Arial" w:hAnsi="Arial" w:cs="Arial"/>
          <w:sz w:val="24"/>
          <w:szCs w:val="24"/>
        </w:rPr>
        <w:footnoteReference w:id="8"/>
      </w:r>
      <w:r w:rsidRPr="00A85D78">
        <w:rPr>
          <w:rFonts w:ascii="Arial" w:hAnsi="Arial" w:cs="Arial"/>
          <w:sz w:val="24"/>
          <w:szCs w:val="24"/>
        </w:rPr>
        <w:t xml:space="preserve"> a estas entidades; en </w:t>
      </w:r>
      <w:r w:rsidR="00E85F3A" w:rsidRPr="00A85D78">
        <w:rPr>
          <w:rFonts w:ascii="Arial" w:hAnsi="Arial" w:cs="Arial"/>
          <w:sz w:val="24"/>
          <w:szCs w:val="24"/>
        </w:rPr>
        <w:t>esta reforma</w:t>
      </w:r>
      <w:r w:rsidRPr="00A85D78">
        <w:rPr>
          <w:rFonts w:ascii="Arial" w:hAnsi="Arial" w:cs="Arial"/>
          <w:sz w:val="24"/>
          <w:szCs w:val="24"/>
        </w:rPr>
        <w:t xml:space="preserve"> es donde surgen los albores de la fiscalización;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este hecho es de una forma muy escueta; el Código en su artículo 61, fracción VII estableció:</w:t>
      </w:r>
    </w:p>
    <w:p w:rsidR="00A256AB" w:rsidRDefault="00A256AB" w:rsidP="00707439">
      <w:pPr>
        <w:spacing w:line="360" w:lineRule="auto"/>
        <w:ind w:left="284" w:right="284"/>
        <w:jc w:val="both"/>
        <w:rPr>
          <w:rFonts w:ascii="Arial" w:hAnsi="Arial" w:cs="Arial"/>
          <w:sz w:val="24"/>
          <w:szCs w:val="24"/>
        </w:rPr>
      </w:pPr>
      <w:r w:rsidRPr="00A85D78">
        <w:rPr>
          <w:rFonts w:ascii="Arial" w:hAnsi="Arial" w:cs="Arial"/>
          <w:sz w:val="24"/>
          <w:szCs w:val="24"/>
        </w:rPr>
        <w:t>“</w:t>
      </w:r>
      <w:r w:rsidRPr="00A85D78">
        <w:rPr>
          <w:rFonts w:ascii="Arial" w:hAnsi="Arial" w:cs="Arial"/>
          <w:i/>
        </w:rPr>
        <w:t>VIII.- Los partidos políticos justificarán anualmente ante la Comisión Federal Electoral el empleo del financiamiento público</w:t>
      </w:r>
      <w:r w:rsidRPr="00A85D78">
        <w:rPr>
          <w:rFonts w:ascii="Arial" w:hAnsi="Arial" w:cs="Arial"/>
          <w:sz w:val="24"/>
          <w:szCs w:val="24"/>
        </w:rPr>
        <w:t>”</w:t>
      </w:r>
      <w:r w:rsidR="00B706D9">
        <w:rPr>
          <w:rFonts w:ascii="Arial" w:hAnsi="Arial" w:cs="Arial"/>
          <w:sz w:val="24"/>
          <w:szCs w:val="24"/>
        </w:rPr>
        <w:t>.</w:t>
      </w:r>
    </w:p>
    <w:p w:rsidR="00B706D9" w:rsidRPr="00A85D78" w:rsidRDefault="00B706D9" w:rsidP="00707439">
      <w:pPr>
        <w:spacing w:line="360" w:lineRule="auto"/>
        <w:ind w:left="284" w:right="284"/>
        <w:jc w:val="both"/>
        <w:rPr>
          <w:rFonts w:ascii="Arial" w:hAnsi="Arial" w:cs="Arial"/>
          <w:sz w:val="24"/>
          <w:szCs w:val="24"/>
        </w:rPr>
      </w:pPr>
    </w:p>
    <w:p w:rsidR="00A256AB" w:rsidRDefault="00B706D9" w:rsidP="00707439">
      <w:pPr>
        <w:spacing w:line="360" w:lineRule="auto"/>
        <w:jc w:val="both"/>
        <w:rPr>
          <w:rFonts w:ascii="Arial" w:hAnsi="Arial" w:cs="Arial"/>
          <w:sz w:val="24"/>
          <w:szCs w:val="24"/>
        </w:rPr>
      </w:pPr>
      <w:r w:rsidRPr="00A85D78">
        <w:rPr>
          <w:rFonts w:ascii="Arial" w:hAnsi="Arial" w:cs="Arial"/>
          <w:sz w:val="24"/>
          <w:szCs w:val="24"/>
        </w:rPr>
        <w:t>Fue</w:t>
      </w:r>
      <w:r w:rsidR="00A256AB" w:rsidRPr="00A85D78">
        <w:rPr>
          <w:rFonts w:ascii="Arial" w:hAnsi="Arial" w:cs="Arial"/>
          <w:sz w:val="24"/>
          <w:szCs w:val="24"/>
        </w:rPr>
        <w:t xml:space="preserve"> de esta manera como la rendición de cuentas dio inicio en el ámbito electoral, sin </w:t>
      </w:r>
      <w:proofErr w:type="gramStart"/>
      <w:r w:rsidR="00A256AB" w:rsidRPr="00A85D78">
        <w:rPr>
          <w:rFonts w:ascii="Arial" w:hAnsi="Arial" w:cs="Arial"/>
          <w:sz w:val="24"/>
          <w:szCs w:val="24"/>
        </w:rPr>
        <w:t>embargo</w:t>
      </w:r>
      <w:proofErr w:type="gramEnd"/>
      <w:r w:rsidR="00A256AB" w:rsidRPr="00A85D78">
        <w:rPr>
          <w:rFonts w:ascii="Arial" w:hAnsi="Arial" w:cs="Arial"/>
          <w:sz w:val="24"/>
          <w:szCs w:val="24"/>
        </w:rPr>
        <w:t xml:space="preserve"> como en todo comienzo los avances fueron lentos</w:t>
      </w:r>
      <w:r w:rsidR="00637705" w:rsidRPr="00A85D78">
        <w:rPr>
          <w:rFonts w:ascii="Arial" w:hAnsi="Arial" w:cs="Arial"/>
          <w:sz w:val="24"/>
          <w:szCs w:val="24"/>
        </w:rPr>
        <w:t>,</w:t>
      </w:r>
      <w:r w:rsidR="00A256AB" w:rsidRPr="00A85D78">
        <w:rPr>
          <w:rFonts w:ascii="Arial" w:hAnsi="Arial" w:cs="Arial"/>
          <w:sz w:val="24"/>
          <w:szCs w:val="24"/>
        </w:rPr>
        <w:t xml:space="preserve"> ya que no existió una normativa secundaría que estableciera con mayor precisión las obligaciones puntuales de los partidos respecto del uso del financiamiento público aunado a que las aportaciones realizadas por los militantes continuaron sin ser objeto de revisión, tampoco se diferenció el financiamiento para gasto ordinario y gasto de campaña. Por otra </w:t>
      </w:r>
      <w:proofErr w:type="gramStart"/>
      <w:r w:rsidR="00A256AB" w:rsidRPr="00A85D78">
        <w:rPr>
          <w:rFonts w:ascii="Arial" w:hAnsi="Arial" w:cs="Arial"/>
          <w:sz w:val="24"/>
          <w:szCs w:val="24"/>
        </w:rPr>
        <w:t>parte</w:t>
      </w:r>
      <w:proofErr w:type="gramEnd"/>
      <w:r w:rsidR="00A256AB" w:rsidRPr="00A85D78">
        <w:rPr>
          <w:rFonts w:ascii="Arial" w:hAnsi="Arial" w:cs="Arial"/>
          <w:sz w:val="24"/>
          <w:szCs w:val="24"/>
        </w:rPr>
        <w:t xml:space="preserve"> en las funciones atribuidas a la Comisión Federal Electoral por el CFE (artículo 170), no se encontraba la revisión del empleo del financiamiento público, por lo que la rendición de cuentas distaba mucho de ser una prioridad en esta reforma y la opacidad financiera de los partidos continuaba sin ser regulada. Adicionalmente el órgano revisor la entonces Comisión Federal Electoral, no contaba con autonomía suficiente para poder realizar su labor con certeza e imparcialidad por la naturaleza propia de su conformación</w:t>
      </w:r>
      <w:r w:rsidR="00A256AB" w:rsidRPr="00A85D78">
        <w:rPr>
          <w:rStyle w:val="Refdenotaalpie"/>
          <w:rFonts w:ascii="Arial" w:hAnsi="Arial" w:cs="Arial"/>
          <w:sz w:val="24"/>
          <w:szCs w:val="24"/>
        </w:rPr>
        <w:footnoteReference w:id="9"/>
      </w:r>
      <w:r w:rsidR="00A256AB" w:rsidRPr="00A85D78">
        <w:rPr>
          <w:rFonts w:ascii="Arial" w:hAnsi="Arial" w:cs="Arial"/>
          <w:sz w:val="24"/>
          <w:szCs w:val="24"/>
        </w:rPr>
        <w:t>.</w:t>
      </w: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La reforma siguiente lleg</w:t>
      </w:r>
      <w:r w:rsidR="004D6F8D" w:rsidRPr="00A85D78">
        <w:rPr>
          <w:rFonts w:ascii="Arial" w:hAnsi="Arial" w:cs="Arial"/>
          <w:sz w:val="24"/>
          <w:szCs w:val="24"/>
        </w:rPr>
        <w:t>ó</w:t>
      </w:r>
      <w:r w:rsidRPr="00A85D78">
        <w:rPr>
          <w:rFonts w:ascii="Arial" w:hAnsi="Arial" w:cs="Arial"/>
          <w:sz w:val="24"/>
          <w:szCs w:val="24"/>
        </w:rPr>
        <w:t xml:space="preserve"> cuatro años después en 1990, el eje central gir</w:t>
      </w:r>
      <w:r w:rsidR="004D6F8D" w:rsidRPr="00A85D78">
        <w:rPr>
          <w:rFonts w:ascii="Arial" w:hAnsi="Arial" w:cs="Arial"/>
          <w:sz w:val="24"/>
          <w:szCs w:val="24"/>
        </w:rPr>
        <w:t>ó</w:t>
      </w:r>
      <w:r w:rsidRPr="00A85D78">
        <w:rPr>
          <w:rFonts w:ascii="Arial" w:hAnsi="Arial" w:cs="Arial"/>
          <w:sz w:val="24"/>
          <w:szCs w:val="24"/>
        </w:rPr>
        <w:t xml:space="preserve"> entorno de la desaparición del CFE y la creación de la primera versión del Código Federal de Instituciones y Procedimientos Electorales (COFIPE), así como el nacimiento del Instituto Federal Electoral (IFE). En el tema que nos ocupa los cambios jurídicos e institucionales antes mencionados no impactaron sustancialmente la forma en que los partidos políticos habrían de ser fiscalizados. El COPIFE en su artículo 49, numeral 5, estableció lo siguiente:</w:t>
      </w:r>
    </w:p>
    <w:p w:rsidR="00A256AB" w:rsidRDefault="00A256AB" w:rsidP="00707439">
      <w:pPr>
        <w:spacing w:line="360" w:lineRule="auto"/>
        <w:ind w:left="284" w:right="284"/>
        <w:jc w:val="both"/>
        <w:rPr>
          <w:rFonts w:ascii="Arial" w:hAnsi="Arial" w:cs="Arial"/>
          <w:i/>
        </w:rPr>
      </w:pPr>
      <w:r w:rsidRPr="00A85D78">
        <w:rPr>
          <w:rFonts w:ascii="Arial" w:hAnsi="Arial" w:cs="Arial"/>
          <w:i/>
        </w:rPr>
        <w:lastRenderedPageBreak/>
        <w:t>“5. Los partidos políticos informarán anualmente al Instituto Federal Electoral el empleo del financiamiento público”.</w:t>
      </w:r>
    </w:p>
    <w:p w:rsidR="00B706D9" w:rsidRPr="00A85D78" w:rsidRDefault="00B706D9" w:rsidP="00707439">
      <w:pPr>
        <w:spacing w:line="360" w:lineRule="auto"/>
        <w:ind w:left="284" w:right="284"/>
        <w:jc w:val="both"/>
        <w:rPr>
          <w:rFonts w:ascii="Arial" w:hAnsi="Arial" w:cs="Arial"/>
          <w:i/>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Como podemos observar el texto del nuevo COFIPE, es prácticamente el mismo que el del CFE, y conserva la esencia de la opacidad en cuanto a fiscalización de los recursos, pues las condiciones de falta de voluntad y claridad para llevar a cabo una auditor</w:t>
      </w:r>
      <w:r w:rsidR="004D6F8D" w:rsidRPr="00A85D78">
        <w:rPr>
          <w:rFonts w:ascii="Arial" w:hAnsi="Arial" w:cs="Arial"/>
          <w:sz w:val="24"/>
          <w:szCs w:val="24"/>
        </w:rPr>
        <w:t>í</w:t>
      </w:r>
      <w:r w:rsidRPr="00A85D78">
        <w:rPr>
          <w:rFonts w:ascii="Arial" w:hAnsi="Arial" w:cs="Arial"/>
          <w:sz w:val="24"/>
          <w:szCs w:val="24"/>
        </w:rPr>
        <w:t>a a los ingresos y gastos de los institutos políticos se mantuvo: el Código no fundament</w:t>
      </w:r>
      <w:r w:rsidR="004D6F8D" w:rsidRPr="00A85D78">
        <w:rPr>
          <w:rFonts w:ascii="Arial" w:hAnsi="Arial" w:cs="Arial"/>
          <w:sz w:val="24"/>
          <w:szCs w:val="24"/>
        </w:rPr>
        <w:t>ó</w:t>
      </w:r>
      <w:r w:rsidRPr="00A85D78">
        <w:rPr>
          <w:rFonts w:ascii="Arial" w:hAnsi="Arial" w:cs="Arial"/>
          <w:sz w:val="24"/>
          <w:szCs w:val="24"/>
        </w:rPr>
        <w:t xml:space="preserve"> la facultad del Consejo General del IFE (artículo 82) para revisar el empleo del financiamiento público, la falta de una delimitación de gasto ordinario y de campaña persistió, también la discrecionalidad para revisar las aportaciones privadas; así como la injerencia del ejecutivo federal sobre el órgano electoral a través de la Presidencia del Consejo General del IFE que era ocupada por el Secretario de Gobernación.</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En 1993, la Reforma Electoral llevada a cabo, modific</w:t>
      </w:r>
      <w:r w:rsidR="004D6F8D" w:rsidRPr="00A85D78">
        <w:rPr>
          <w:rFonts w:ascii="Arial" w:hAnsi="Arial" w:cs="Arial"/>
          <w:sz w:val="24"/>
          <w:szCs w:val="24"/>
        </w:rPr>
        <w:t>ó</w:t>
      </w:r>
      <w:r w:rsidRPr="00A85D78">
        <w:rPr>
          <w:rFonts w:ascii="Arial" w:hAnsi="Arial" w:cs="Arial"/>
          <w:sz w:val="24"/>
          <w:szCs w:val="24"/>
        </w:rPr>
        <w:t xml:space="preserve"> el COFIPE, reformando, adicionando y derogando diversos artículos; en los que se nota un esfuerzo por dar inicio a un proceso de rendición de cuentas real. En primera instancia se establece la obligación de los partidos políticos para contar con un órgano interno encargado de la obtención y administración de sus recursos generales y de campaña, así como de la presentación de los informes (artículos 27, fracción IV, inciso c) y 49 numeral 5). Cabe destacar también que a raíz de esta reforma se faculta al órgano electoral </w:t>
      </w:r>
      <w:r w:rsidR="004D6F8D" w:rsidRPr="00A85D78">
        <w:rPr>
          <w:rFonts w:ascii="Arial" w:hAnsi="Arial" w:cs="Arial"/>
          <w:sz w:val="24"/>
          <w:szCs w:val="24"/>
        </w:rPr>
        <w:t>(</w:t>
      </w:r>
      <w:r w:rsidRPr="00A85D78">
        <w:rPr>
          <w:rFonts w:ascii="Arial" w:hAnsi="Arial" w:cs="Arial"/>
          <w:sz w:val="24"/>
          <w:szCs w:val="24"/>
        </w:rPr>
        <w:t>IFE</w:t>
      </w:r>
      <w:r w:rsidR="004D6F8D" w:rsidRPr="00A85D78">
        <w:rPr>
          <w:rFonts w:ascii="Arial" w:hAnsi="Arial" w:cs="Arial"/>
          <w:sz w:val="24"/>
          <w:szCs w:val="24"/>
        </w:rPr>
        <w:t>)</w:t>
      </w:r>
      <w:r w:rsidRPr="00A85D78">
        <w:rPr>
          <w:rFonts w:ascii="Arial" w:hAnsi="Arial" w:cs="Arial"/>
          <w:sz w:val="24"/>
          <w:szCs w:val="24"/>
        </w:rPr>
        <w:t>, para revisar los informes que los partidos políticos presenten sobre el origen y destino de sus recursos anuales y de campaña (artículo 49, numeral 6), a través de una Comisión de Consejeros del Consejo General, misma que contará con el apoyo de la Dirección Ejecutiva de Prerrogativas y Partidos Políticos (artículo 49-B).</w:t>
      </w: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En el mismo tenor se estipuló también un procedimiento para la revisión de los informes anuales –ordinario- y de campaña, incluyendo la totalidad de ingresos recibidos por los partidos, es decir a partir de ese momento las aportaciones realizadas por militantes y entes privados serían incluidas en la revisión; se establecieron tiempos para llevar a cabo la auditor</w:t>
      </w:r>
      <w:r w:rsidR="00A93BC1" w:rsidRPr="00A85D78">
        <w:rPr>
          <w:rFonts w:ascii="Arial" w:hAnsi="Arial" w:cs="Arial"/>
          <w:sz w:val="24"/>
          <w:szCs w:val="24"/>
        </w:rPr>
        <w:t>í</w:t>
      </w:r>
      <w:r w:rsidRPr="00A85D78">
        <w:rPr>
          <w:rFonts w:ascii="Arial" w:hAnsi="Arial" w:cs="Arial"/>
          <w:sz w:val="24"/>
          <w:szCs w:val="24"/>
        </w:rPr>
        <w:t>a por mencionar los más relevantes. (Artículos 49-A y 49-C).</w:t>
      </w:r>
    </w:p>
    <w:p w:rsidR="00A256AB" w:rsidRDefault="00A256AB" w:rsidP="00707439">
      <w:pPr>
        <w:spacing w:line="360" w:lineRule="auto"/>
        <w:ind w:left="284" w:right="284"/>
        <w:jc w:val="both"/>
        <w:rPr>
          <w:rFonts w:ascii="Arial" w:hAnsi="Arial" w:cs="Arial"/>
          <w:i/>
        </w:rPr>
      </w:pPr>
      <w:r w:rsidRPr="00A85D78">
        <w:rPr>
          <w:rFonts w:ascii="Arial" w:hAnsi="Arial" w:cs="Arial"/>
          <w:i/>
        </w:rPr>
        <w:lastRenderedPageBreak/>
        <w:t xml:space="preserve">“Artículo 49-A. Los partidos políticos deberán presentar ante la Comisión del Instituto Federal Electoral a que se refiere el párrafo 6 del artículo anterior, los informes del origen y monto de los ingresos que reciban por cualquier modalidad de financiamiento, así como su empleo y </w:t>
      </w:r>
      <w:proofErr w:type="gramStart"/>
      <w:r w:rsidRPr="00A85D78">
        <w:rPr>
          <w:rFonts w:ascii="Arial" w:hAnsi="Arial" w:cs="Arial"/>
          <w:i/>
        </w:rPr>
        <w:t>aplicación….</w:t>
      </w:r>
      <w:proofErr w:type="gramEnd"/>
      <w:r w:rsidRPr="00A85D78">
        <w:rPr>
          <w:rFonts w:ascii="Arial" w:hAnsi="Arial" w:cs="Arial"/>
          <w:i/>
        </w:rPr>
        <w:t>”</w:t>
      </w:r>
    </w:p>
    <w:p w:rsidR="00B706D9" w:rsidRPr="00A85D78" w:rsidRDefault="00B706D9" w:rsidP="00707439">
      <w:pPr>
        <w:spacing w:line="360" w:lineRule="auto"/>
        <w:ind w:left="284" w:right="284"/>
        <w:jc w:val="both"/>
        <w:rPr>
          <w:rFonts w:ascii="Arial" w:hAnsi="Arial" w:cs="Arial"/>
          <w:i/>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Los intentos por instaurar una rendición de cuentas en nuestro sistema de partidos empezaron a rendir frutos 16 años después del  primer esfuerzo iniciado con la reforma de finales de los setentas, por primera ocasión se denotó voluntad política para transparentar las finanzas de los partidos, eliminando diversos obstáculos que impedían la claridad en el uso de los recursos por parte de los partidos, con la reforma de 1993 se establecieron bases claras para que los partidos en la teoría rindieran cuentas de los ingresos y gastos de su actividad ordinaria y de campaña; si bien el Consejo General del IFE continuaba bajo la tutela del Ejecutivo Federal, situación que representaba el principal factor limitante para una fiscalización leg</w:t>
      </w:r>
      <w:r w:rsidR="00A93BC1" w:rsidRPr="00A85D78">
        <w:rPr>
          <w:rFonts w:ascii="Arial" w:hAnsi="Arial" w:cs="Arial"/>
          <w:sz w:val="24"/>
          <w:szCs w:val="24"/>
        </w:rPr>
        <w:t>í</w:t>
      </w:r>
      <w:r w:rsidRPr="00A85D78">
        <w:rPr>
          <w:rFonts w:ascii="Arial" w:hAnsi="Arial" w:cs="Arial"/>
          <w:sz w:val="24"/>
          <w:szCs w:val="24"/>
        </w:rPr>
        <w:t>tima, el primer paso estaba dado.</w:t>
      </w:r>
    </w:p>
    <w:p w:rsidR="00B706D9" w:rsidRDefault="00B706D9" w:rsidP="00707439">
      <w:pPr>
        <w:spacing w:line="360" w:lineRule="auto"/>
        <w:jc w:val="both"/>
        <w:rPr>
          <w:rFonts w:ascii="Arial" w:hAnsi="Arial" w:cs="Arial"/>
          <w:sz w:val="24"/>
          <w:szCs w:val="24"/>
        </w:rPr>
      </w:pP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b/>
          <w:sz w:val="24"/>
          <w:szCs w:val="24"/>
        </w:rPr>
      </w:pPr>
      <w:r w:rsidRPr="00A85D78">
        <w:rPr>
          <w:rFonts w:ascii="Arial" w:hAnsi="Arial" w:cs="Arial"/>
          <w:b/>
          <w:sz w:val="24"/>
          <w:szCs w:val="24"/>
        </w:rPr>
        <w:t>1.4.2 La segunda generación de reformas en materia de fiscalización 1996 – 2007</w:t>
      </w:r>
      <w:r w:rsidR="003D1A3D">
        <w:rPr>
          <w:rFonts w:ascii="Arial" w:hAnsi="Arial" w:cs="Arial"/>
          <w:b/>
          <w:sz w:val="24"/>
          <w:szCs w:val="24"/>
        </w:rPr>
        <w:t xml:space="preserve">. </w:t>
      </w: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La nueva generación de reformas inicia en el año de 1996, con un hecho reclamado a voces: la independencia del órgano electoral con respecto al Ejecutivo Federal; a partir de ahora el Instituto Federal Electoral estaría conformado por un Consejo General ciudadanizado, lo que le otorga un alto grado de autonomía y legitimidad a sus acciones. E</w:t>
      </w:r>
      <w:r w:rsidR="00A93BC1" w:rsidRPr="00A85D78">
        <w:rPr>
          <w:rFonts w:ascii="Arial" w:hAnsi="Arial" w:cs="Arial"/>
          <w:sz w:val="24"/>
          <w:szCs w:val="24"/>
        </w:rPr>
        <w:t>n e</w:t>
      </w:r>
      <w:r w:rsidRPr="00A85D78">
        <w:rPr>
          <w:rFonts w:ascii="Arial" w:hAnsi="Arial" w:cs="Arial"/>
          <w:sz w:val="24"/>
          <w:szCs w:val="24"/>
        </w:rPr>
        <w:t xml:space="preserve">sta nueva etapa del IFE, la reforma estuvo encaminada en su mayor parte a sentar las bases organizacionales del </w:t>
      </w:r>
      <w:r w:rsidR="00A93BC1" w:rsidRPr="00A85D78">
        <w:rPr>
          <w:rFonts w:ascii="Arial" w:hAnsi="Arial" w:cs="Arial"/>
          <w:sz w:val="24"/>
          <w:szCs w:val="24"/>
        </w:rPr>
        <w:t>I</w:t>
      </w:r>
      <w:r w:rsidRPr="00A85D78">
        <w:rPr>
          <w:rFonts w:ascii="Arial" w:hAnsi="Arial" w:cs="Arial"/>
          <w:sz w:val="24"/>
          <w:szCs w:val="24"/>
        </w:rPr>
        <w:t>nstituto cuya estructura sufrió diversas modificaciones.</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En relación con los avances en materia de fiscalización, se institucionaliza el órgano encargado de revisar los informes sobre el origen y destino de los recursos anuales y de campaña utilizados por los partidos políticos a través de la creación de la Comisión de Fiscalización de los Recursos de los Partidos Políticos y Agrupaciones Políticas, que a partir de este momento es una comisión con calidad de permanente y se fijan sus atribuciones en el COFIPE. Si bien con la primera reforma de esta segunda generación, no existieron abundantes </w:t>
      </w:r>
      <w:r w:rsidRPr="00A85D78">
        <w:rPr>
          <w:rFonts w:ascii="Arial" w:hAnsi="Arial" w:cs="Arial"/>
          <w:sz w:val="24"/>
          <w:szCs w:val="24"/>
        </w:rPr>
        <w:lastRenderedPageBreak/>
        <w:t xml:space="preserve">adiciones para la rendición de </w:t>
      </w:r>
      <w:r w:rsidR="00B706D9" w:rsidRPr="00A85D78">
        <w:rPr>
          <w:rFonts w:ascii="Arial" w:hAnsi="Arial" w:cs="Arial"/>
          <w:sz w:val="24"/>
          <w:szCs w:val="24"/>
        </w:rPr>
        <w:t>cuentas, por</w:t>
      </w:r>
      <w:r w:rsidRPr="00A85D78">
        <w:rPr>
          <w:rFonts w:ascii="Arial" w:hAnsi="Arial" w:cs="Arial"/>
          <w:sz w:val="24"/>
          <w:szCs w:val="24"/>
        </w:rPr>
        <w:t xml:space="preserve"> otro </w:t>
      </w:r>
      <w:proofErr w:type="gramStart"/>
      <w:r w:rsidRPr="00A85D78">
        <w:rPr>
          <w:rFonts w:ascii="Arial" w:hAnsi="Arial" w:cs="Arial"/>
          <w:sz w:val="24"/>
          <w:szCs w:val="24"/>
        </w:rPr>
        <w:t>lado</w:t>
      </w:r>
      <w:proofErr w:type="gramEnd"/>
      <w:r w:rsidRPr="00A85D78">
        <w:rPr>
          <w:rFonts w:ascii="Arial" w:hAnsi="Arial" w:cs="Arial"/>
          <w:sz w:val="24"/>
          <w:szCs w:val="24"/>
        </w:rPr>
        <w:t xml:space="preserve"> se dio un avance contundente dado que al obtener el IFE una autonomía y ciudadanización, por ende la fiscalización también lo hizo, dando un enorme paso con miras a su consolidación en el sistema democrático de México.</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Con un IFE afianzado como organismo autónomo e independiente, y después de dos procesos electorales en los que la alternancia en el poder se ratificó en el ámbito federal, y tras más de una década después se realiza la Reforma Electoral 2008, en la que se presenta la cuarta versión del COFIPE. Con esta reforma se hacen modificaciones de forma en cuanto al órgano encargado de fiscalizar a los partidos políticos, se desparece la Comisión de Fiscalización de los Recursos de los Partidos Políticos y Agrupaciones Políticas; con esta acción la labor de auditoría deja de depender directamente del Consejo General del IFE (ya no estarán involucrados los consejeros) y se faculta a un órgano técnico especializado del mismo Consejo para asumir dicha facultad con la creación de la Unidad de Fiscalización de los Recursos de los Partidos Políticos (UFRPP). (Artículos 77, numeral 6 y 79, numeral 1 del COFIPE), la Unidad administrativamente tendría el rango de una dirección ejecutiva y estaría a cargo de un Director General.</w:t>
      </w: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En el mismo sentido la reforma en relación con los partidos políticos se amplió las obligaciones de rendición de cuentas y transparencia, en primer </w:t>
      </w:r>
      <w:proofErr w:type="gramStart"/>
      <w:r w:rsidR="00B706D9" w:rsidRPr="00A85D78">
        <w:rPr>
          <w:rFonts w:ascii="Arial" w:hAnsi="Arial" w:cs="Arial"/>
          <w:sz w:val="24"/>
          <w:szCs w:val="24"/>
        </w:rPr>
        <w:t>término</w:t>
      </w:r>
      <w:proofErr w:type="gramEnd"/>
      <w:r w:rsidRPr="00A85D78">
        <w:rPr>
          <w:rFonts w:ascii="Arial" w:hAnsi="Arial" w:cs="Arial"/>
          <w:sz w:val="24"/>
          <w:szCs w:val="24"/>
        </w:rPr>
        <w:t xml:space="preserve"> se incrementaron el número de informes a presentar sobre el uso de recursos: </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“Artículo 83</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1. Los partidos políticos deberán presentar ante la Unidad los informes del origen y monto de los ingresos que reciban por cualquier modalidad de financiamiento, así como su empleo y aplicación, atendiendo a las siguientes reglas:</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a) Informes trimestrales de avance del ejercicio:</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b) Informes anuales:</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c) Informes de precampaña:</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d) Informes de campaña:</w:t>
      </w:r>
    </w:p>
    <w:p w:rsidR="00F64152" w:rsidRPr="00B706D9" w:rsidRDefault="00A256AB" w:rsidP="00B706D9">
      <w:pPr>
        <w:spacing w:line="360" w:lineRule="auto"/>
        <w:ind w:left="284" w:right="284"/>
        <w:jc w:val="both"/>
        <w:rPr>
          <w:rFonts w:ascii="Arial" w:hAnsi="Arial" w:cs="Arial"/>
          <w:i/>
        </w:rPr>
      </w:pPr>
      <w:r w:rsidRPr="00A85D78">
        <w:rPr>
          <w:rFonts w:ascii="Arial" w:hAnsi="Arial" w:cs="Arial"/>
          <w:i/>
        </w:rPr>
        <w:t>……”</w:t>
      </w: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lastRenderedPageBreak/>
        <w:t xml:space="preserve">Lo anterior implica </w:t>
      </w:r>
      <w:proofErr w:type="gramStart"/>
      <w:r w:rsidRPr="00A85D78">
        <w:rPr>
          <w:rFonts w:ascii="Arial" w:hAnsi="Arial" w:cs="Arial"/>
          <w:sz w:val="24"/>
          <w:szCs w:val="24"/>
        </w:rPr>
        <w:t>que</w:t>
      </w:r>
      <w:proofErr w:type="gramEnd"/>
      <w:r w:rsidRPr="00A85D78">
        <w:rPr>
          <w:rFonts w:ascii="Arial" w:hAnsi="Arial" w:cs="Arial"/>
          <w:sz w:val="24"/>
          <w:szCs w:val="24"/>
        </w:rPr>
        <w:t xml:space="preserve"> como parte del proceso de auditoría, además del informe anual que los partidos están obligados a entregar al órgano fiscalizador, ahora tendrían que hacerlo además de forma trimestral, y dentro del marco de los procesos electorales, adicionalmente al informe de gastos de campaña, ahora previamente deberían entregar un informe de precampaña. Es importante resaltar que por vez primera se habla de una coordinación en materia de fiscalización con los organismos electorales de las entidades federativas (art 81). Otro avance relevante es el fortalecimiento de las capacidades de investigación de la UFRPP con la eliminación de las limitaciones de los secretos bancario, fiduciario y fiscal. </w:t>
      </w: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Finalmente se establecieron obligaciones a los partidos políticos en materia de transparencia:</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“Artículo 41</w:t>
      </w:r>
    </w:p>
    <w:p w:rsidR="00A256AB" w:rsidRPr="00A85D78" w:rsidRDefault="00A256AB" w:rsidP="00707439">
      <w:pPr>
        <w:spacing w:line="360" w:lineRule="auto"/>
        <w:ind w:left="284" w:right="284"/>
        <w:jc w:val="both"/>
        <w:rPr>
          <w:rFonts w:ascii="Arial" w:hAnsi="Arial" w:cs="Arial"/>
          <w:i/>
        </w:rPr>
      </w:pPr>
      <w:r w:rsidRPr="00A85D78">
        <w:rPr>
          <w:rFonts w:ascii="Arial" w:hAnsi="Arial" w:cs="Arial"/>
          <w:i/>
        </w:rPr>
        <w:t>1. Toda persona tiene derecho a acceder a la información de los partidos políticos de conformidad con las reglas previstas en este Código y las que, en lo conducente, resulten aplicables conforme al reglamento del Instituto Federal Electoral en la materia.”</w:t>
      </w:r>
    </w:p>
    <w:p w:rsidR="00F64152" w:rsidRDefault="00F64152"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En relación con el ejercicio de recursos destaca la obligación de los partidos para poder a disposición información referente a:</w:t>
      </w:r>
    </w:p>
    <w:p w:rsidR="00A256AB" w:rsidRPr="00A85D78" w:rsidRDefault="00A256AB" w:rsidP="00707439">
      <w:pPr>
        <w:pStyle w:val="Prrafodelista"/>
        <w:numPr>
          <w:ilvl w:val="0"/>
          <w:numId w:val="9"/>
        </w:numPr>
        <w:spacing w:line="360" w:lineRule="auto"/>
        <w:jc w:val="both"/>
        <w:rPr>
          <w:rFonts w:ascii="Arial" w:hAnsi="Arial" w:cs="Arial"/>
          <w:sz w:val="24"/>
          <w:szCs w:val="24"/>
        </w:rPr>
      </w:pPr>
      <w:r w:rsidRPr="00A85D78">
        <w:rPr>
          <w:rFonts w:ascii="Arial" w:hAnsi="Arial" w:cs="Arial"/>
          <w:sz w:val="24"/>
          <w:szCs w:val="24"/>
        </w:rPr>
        <w:t>El tabulador de remuneraciones que perciben los integrantes de los órganos nacionales, estatales, municipales, del Distrito Federal, y en su caso, regionales, delegacionales y distritales;</w:t>
      </w:r>
    </w:p>
    <w:p w:rsidR="00A256AB" w:rsidRPr="00A85D78" w:rsidRDefault="00A256AB" w:rsidP="00707439">
      <w:pPr>
        <w:pStyle w:val="Prrafodelista"/>
        <w:numPr>
          <w:ilvl w:val="0"/>
          <w:numId w:val="9"/>
        </w:numPr>
        <w:spacing w:line="360" w:lineRule="auto"/>
        <w:jc w:val="both"/>
        <w:rPr>
          <w:rFonts w:ascii="Arial" w:hAnsi="Arial" w:cs="Arial"/>
          <w:sz w:val="24"/>
          <w:szCs w:val="24"/>
        </w:rPr>
      </w:pPr>
      <w:r w:rsidRPr="00A85D78">
        <w:rPr>
          <w:rFonts w:ascii="Arial" w:hAnsi="Arial" w:cs="Arial"/>
          <w:sz w:val="24"/>
          <w:szCs w:val="24"/>
        </w:rPr>
        <w:t>Los montos de financiamiento público otorgados mensualmente, en cualquier modalidad, a sus órganos nacionales, estatales, municipales y del Distrito Federal, durante los últimos cinco años y hasta el mes más reciente, así como los descuentos correspondientes a sanciones;</w:t>
      </w:r>
    </w:p>
    <w:p w:rsidR="00A256AB" w:rsidRPr="00A85D78" w:rsidRDefault="00A256AB" w:rsidP="00707439">
      <w:pPr>
        <w:pStyle w:val="Prrafodelista"/>
        <w:numPr>
          <w:ilvl w:val="0"/>
          <w:numId w:val="9"/>
        </w:numPr>
        <w:spacing w:line="360" w:lineRule="auto"/>
        <w:jc w:val="both"/>
        <w:rPr>
          <w:rFonts w:ascii="Arial" w:hAnsi="Arial" w:cs="Arial"/>
          <w:sz w:val="24"/>
          <w:szCs w:val="24"/>
        </w:rPr>
      </w:pPr>
      <w:r w:rsidRPr="00A85D78">
        <w:rPr>
          <w:rFonts w:ascii="Arial" w:hAnsi="Arial" w:cs="Arial"/>
          <w:sz w:val="24"/>
          <w:szCs w:val="24"/>
        </w:rPr>
        <w:t xml:space="preserve">Los informes, anuales o parciales, de ingresos y gastos, tanto ordinarios como de precampaña y campaña; el estado de situación patrimonial; el inventario de los bienes inmuebles de los que sean propietarios, así como los anexos que formen parte integrante de los documentos anteriores; la relación de donantes y los montos aportados por cada uno. Todo lo anterior, una vez concluidos los procedimientos de fiscalización. </w:t>
      </w:r>
    </w:p>
    <w:p w:rsidR="00A256AB" w:rsidRDefault="00A256AB" w:rsidP="00707439">
      <w:pPr>
        <w:pStyle w:val="Prrafodelista"/>
        <w:numPr>
          <w:ilvl w:val="0"/>
          <w:numId w:val="9"/>
        </w:numPr>
        <w:spacing w:line="360" w:lineRule="auto"/>
        <w:jc w:val="both"/>
        <w:rPr>
          <w:rFonts w:ascii="Arial" w:hAnsi="Arial" w:cs="Arial"/>
          <w:sz w:val="24"/>
          <w:szCs w:val="24"/>
        </w:rPr>
      </w:pPr>
      <w:r w:rsidRPr="00A85D78">
        <w:rPr>
          <w:rFonts w:ascii="Arial" w:hAnsi="Arial" w:cs="Arial"/>
          <w:sz w:val="24"/>
          <w:szCs w:val="24"/>
        </w:rPr>
        <w:lastRenderedPageBreak/>
        <w:t>El dictamen y resolución que el Consejo General del Instituto haya aprobado respecto de los informes anuales o parciales, de ingresos y gastos, tanto ordinarios como de precampaña y campaña</w:t>
      </w:r>
      <w:r w:rsidR="00B706D9">
        <w:rPr>
          <w:rFonts w:ascii="Arial" w:hAnsi="Arial" w:cs="Arial"/>
          <w:sz w:val="24"/>
          <w:szCs w:val="24"/>
        </w:rPr>
        <w:t>.</w:t>
      </w:r>
    </w:p>
    <w:p w:rsidR="00B706D9" w:rsidRPr="00A85D78" w:rsidRDefault="00B706D9" w:rsidP="00B706D9">
      <w:pPr>
        <w:pStyle w:val="Prrafodelista"/>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Con la segunda generación de reformas en materia de fiscalización se dio continuidad a los pequeños avances logrados por las reformas previas, se fortaleció el marco jurídico y sobretodo se buscó la creación de un órgano institucional fiscalizador sólido acorde a la nueva era de total autonomía del Instituto Federal Electoral, así como a los avances democráticos conseguidos en esa coyuntura. Bajo este contexto estuvieron vigentes dichas reglas </w:t>
      </w:r>
      <w:r w:rsidR="00B706D9" w:rsidRPr="00A85D78">
        <w:rPr>
          <w:rFonts w:ascii="Arial" w:hAnsi="Arial" w:cs="Arial"/>
          <w:sz w:val="24"/>
          <w:szCs w:val="24"/>
        </w:rPr>
        <w:t>hasta los</w:t>
      </w:r>
      <w:r w:rsidRPr="00A85D78">
        <w:rPr>
          <w:rFonts w:ascii="Arial" w:hAnsi="Arial" w:cs="Arial"/>
          <w:sz w:val="24"/>
          <w:szCs w:val="24"/>
        </w:rPr>
        <w:t xml:space="preserve"> procesos electorales federales de 2012, donde el controversial caso “Monex”</w:t>
      </w:r>
      <w:r w:rsidRPr="00A85D78">
        <w:rPr>
          <w:rStyle w:val="Refdenotaalpie"/>
          <w:rFonts w:ascii="Arial" w:hAnsi="Arial" w:cs="Arial"/>
          <w:sz w:val="24"/>
          <w:szCs w:val="24"/>
        </w:rPr>
        <w:footnoteReference w:id="10"/>
      </w:r>
      <w:r w:rsidRPr="00A85D78">
        <w:rPr>
          <w:rFonts w:ascii="Arial" w:hAnsi="Arial" w:cs="Arial"/>
          <w:sz w:val="24"/>
          <w:szCs w:val="24"/>
        </w:rPr>
        <w:t xml:space="preserve"> y el presunto rebase de tope de gastos de campaña en la elección presidencial fue factor determinante durante la elaboración de la última reforma electoral. </w:t>
      </w:r>
    </w:p>
    <w:p w:rsidR="00B706D9" w:rsidRDefault="00B706D9" w:rsidP="00707439">
      <w:pPr>
        <w:spacing w:line="360" w:lineRule="auto"/>
        <w:jc w:val="both"/>
        <w:rPr>
          <w:rFonts w:ascii="Arial" w:hAnsi="Arial" w:cs="Arial"/>
          <w:sz w:val="24"/>
          <w:szCs w:val="24"/>
        </w:rPr>
      </w:pP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b/>
          <w:sz w:val="24"/>
          <w:szCs w:val="24"/>
        </w:rPr>
      </w:pPr>
      <w:r w:rsidRPr="00A85D78">
        <w:rPr>
          <w:rFonts w:ascii="Arial" w:hAnsi="Arial" w:cs="Arial"/>
          <w:b/>
          <w:sz w:val="24"/>
          <w:szCs w:val="24"/>
        </w:rPr>
        <w:t xml:space="preserve">1.4.3 La </w:t>
      </w:r>
      <w:r w:rsidR="009A117B">
        <w:rPr>
          <w:rFonts w:ascii="Arial" w:hAnsi="Arial" w:cs="Arial"/>
          <w:b/>
          <w:sz w:val="24"/>
          <w:szCs w:val="24"/>
        </w:rPr>
        <w:t>c</w:t>
      </w:r>
      <w:r w:rsidRPr="00A85D78">
        <w:rPr>
          <w:rFonts w:ascii="Arial" w:hAnsi="Arial" w:cs="Arial"/>
          <w:b/>
          <w:sz w:val="24"/>
          <w:szCs w:val="24"/>
        </w:rPr>
        <w:t xml:space="preserve">onsolidación de la </w:t>
      </w:r>
      <w:r w:rsidR="009A117B">
        <w:rPr>
          <w:rFonts w:ascii="Arial" w:hAnsi="Arial" w:cs="Arial"/>
          <w:b/>
          <w:sz w:val="24"/>
          <w:szCs w:val="24"/>
        </w:rPr>
        <w:t>f</w:t>
      </w:r>
      <w:r w:rsidRPr="00A85D78">
        <w:rPr>
          <w:rFonts w:ascii="Arial" w:hAnsi="Arial" w:cs="Arial"/>
          <w:b/>
          <w:sz w:val="24"/>
          <w:szCs w:val="24"/>
        </w:rPr>
        <w:t xml:space="preserve">iscalización </w:t>
      </w:r>
      <w:r w:rsidR="009A117B">
        <w:rPr>
          <w:rFonts w:ascii="Arial" w:hAnsi="Arial" w:cs="Arial"/>
          <w:b/>
          <w:sz w:val="24"/>
          <w:szCs w:val="24"/>
        </w:rPr>
        <w:t>e</w:t>
      </w:r>
      <w:r w:rsidRPr="00A85D78">
        <w:rPr>
          <w:rFonts w:ascii="Arial" w:hAnsi="Arial" w:cs="Arial"/>
          <w:b/>
          <w:sz w:val="24"/>
          <w:szCs w:val="24"/>
        </w:rPr>
        <w:t xml:space="preserve">lectoral, 2014 </w:t>
      </w:r>
      <w:r w:rsidR="003D1A3D">
        <w:rPr>
          <w:rFonts w:ascii="Arial" w:hAnsi="Arial" w:cs="Arial"/>
          <w:b/>
          <w:sz w:val="24"/>
          <w:szCs w:val="24"/>
        </w:rPr>
        <w:t>–</w:t>
      </w:r>
      <w:r w:rsidRPr="00A85D78">
        <w:rPr>
          <w:rFonts w:ascii="Arial" w:hAnsi="Arial" w:cs="Arial"/>
          <w:b/>
          <w:sz w:val="24"/>
          <w:szCs w:val="24"/>
        </w:rPr>
        <w:t xml:space="preserve"> </w:t>
      </w:r>
      <w:r w:rsidR="009A117B">
        <w:rPr>
          <w:rFonts w:ascii="Arial" w:hAnsi="Arial" w:cs="Arial"/>
          <w:b/>
          <w:sz w:val="24"/>
          <w:szCs w:val="24"/>
        </w:rPr>
        <w:t>a</w:t>
      </w:r>
      <w:r w:rsidRPr="00A85D78">
        <w:rPr>
          <w:rFonts w:ascii="Arial" w:hAnsi="Arial" w:cs="Arial"/>
          <w:b/>
          <w:sz w:val="24"/>
          <w:szCs w:val="24"/>
        </w:rPr>
        <w:t>ctualidad</w:t>
      </w:r>
      <w:r w:rsidR="003D1A3D">
        <w:rPr>
          <w:rFonts w:ascii="Arial" w:hAnsi="Arial" w:cs="Arial"/>
          <w:b/>
          <w:sz w:val="24"/>
          <w:szCs w:val="24"/>
        </w:rPr>
        <w:t>.</w:t>
      </w: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Después de un par de procesos electorales presidenciales sumamente competidos en los que la diferencia entre el primero y segundo lugar resultó mínima; un sin</w:t>
      </w:r>
      <w:r w:rsidR="00136605" w:rsidRPr="00A85D78">
        <w:rPr>
          <w:rFonts w:ascii="Arial" w:hAnsi="Arial" w:cs="Arial"/>
          <w:sz w:val="24"/>
          <w:szCs w:val="24"/>
        </w:rPr>
        <w:t xml:space="preserve"> </w:t>
      </w:r>
      <w:r w:rsidRPr="00A85D78">
        <w:rPr>
          <w:rFonts w:ascii="Arial" w:hAnsi="Arial" w:cs="Arial"/>
          <w:sz w:val="24"/>
          <w:szCs w:val="24"/>
        </w:rPr>
        <w:t>número de temas se posicionaron en la agenda del “Pacto por México”</w:t>
      </w:r>
      <w:r w:rsidRPr="00A85D78">
        <w:rPr>
          <w:rStyle w:val="Refdenotaalpie"/>
          <w:rFonts w:ascii="Arial" w:hAnsi="Arial" w:cs="Arial"/>
          <w:sz w:val="24"/>
          <w:szCs w:val="24"/>
        </w:rPr>
        <w:footnoteReference w:id="11"/>
      </w:r>
      <w:r w:rsidRPr="00A85D78">
        <w:rPr>
          <w:rFonts w:ascii="Arial" w:hAnsi="Arial" w:cs="Arial"/>
          <w:sz w:val="24"/>
          <w:szCs w:val="24"/>
        </w:rPr>
        <w:t xml:space="preserve"> para la reforma electoral del gobierno peñista (compromiso 90), en la que los principales objetivos serían los siguientes: </w:t>
      </w:r>
    </w:p>
    <w:p w:rsidR="00A256AB" w:rsidRPr="00A85D78" w:rsidRDefault="00A93BC1"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I</w:t>
      </w:r>
      <w:r w:rsidR="00A256AB" w:rsidRPr="00A85D78">
        <w:rPr>
          <w:rFonts w:ascii="Arial" w:hAnsi="Arial" w:cs="Arial"/>
          <w:sz w:val="24"/>
          <w:szCs w:val="24"/>
        </w:rPr>
        <w:t>mpulsar una Reforma Electoral que atienda</w:t>
      </w:r>
      <w:r w:rsidRPr="00A85D78">
        <w:rPr>
          <w:rFonts w:ascii="Arial" w:hAnsi="Arial" w:cs="Arial"/>
          <w:sz w:val="24"/>
          <w:szCs w:val="24"/>
        </w:rPr>
        <w:t>:</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Reducción y mayor transparencia del gasto de los partidos.</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lastRenderedPageBreak/>
        <w:t xml:space="preserve">Disminución en el monto de los topes de campaña. </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Incorporación a las causales de nulidad de una elección lo siguiente: 1) el rebase de los topes de campaña; 2) la utilización de recursos al margen de las normas que establezca el órgano electoral; y 3) la compra de cobertura informativa en cualquiera de sus modalidades periodísticas, con la correspondiente sanción al medio de que se trate</w:t>
      </w:r>
      <w:r w:rsidR="00A93BC1" w:rsidRPr="00A85D78">
        <w:rPr>
          <w:rFonts w:ascii="Arial" w:hAnsi="Arial" w:cs="Arial"/>
          <w:sz w:val="24"/>
          <w:szCs w:val="24"/>
        </w:rPr>
        <w:t>.</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Revisión de los tiempos oficiales de radio y televisión para impulsar una cultura de debate político y una racionalización del uso de los anuncios publicitarios.</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 xml:space="preserve">Prohibir el uso y la entrega de utilitarios de promoción electoral, tales como materiales plásticos, materiales textiles, despensas y materiales de construcción. </w:t>
      </w:r>
    </w:p>
    <w:p w:rsidR="00A256AB" w:rsidRPr="00A85D78"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 xml:space="preserve">Fortalecer la legislación para evitar el uso de esquemas financieros y/o recursos de origen ilícito con el propósito de inducir y coaccionar el voto. </w:t>
      </w:r>
    </w:p>
    <w:p w:rsidR="00A256AB" w:rsidRDefault="00A256AB" w:rsidP="00707439">
      <w:pPr>
        <w:pStyle w:val="Prrafodelista"/>
        <w:numPr>
          <w:ilvl w:val="0"/>
          <w:numId w:val="10"/>
        </w:numPr>
        <w:spacing w:line="360" w:lineRule="auto"/>
        <w:jc w:val="both"/>
        <w:rPr>
          <w:rFonts w:ascii="Arial" w:hAnsi="Arial" w:cs="Arial"/>
          <w:sz w:val="24"/>
          <w:szCs w:val="24"/>
        </w:rPr>
      </w:pPr>
      <w:r w:rsidRPr="00A85D78">
        <w:rPr>
          <w:rFonts w:ascii="Arial" w:hAnsi="Arial" w:cs="Arial"/>
          <w:sz w:val="24"/>
          <w:szCs w:val="24"/>
        </w:rPr>
        <w:t>Crear una autoridad electoral de carácter nacional y una legislación única, que se encargue tanto de las elecciones federales, como de las estatales y municipales. (Presidencia de la República; 2012:18)</w:t>
      </w:r>
      <w:r w:rsidR="00B706D9">
        <w:rPr>
          <w:rFonts w:ascii="Arial" w:hAnsi="Arial" w:cs="Arial"/>
          <w:sz w:val="24"/>
          <w:szCs w:val="24"/>
        </w:rPr>
        <w:t>.</w:t>
      </w:r>
    </w:p>
    <w:p w:rsidR="00B706D9" w:rsidRPr="00A85D78" w:rsidRDefault="00B706D9" w:rsidP="00B706D9">
      <w:pPr>
        <w:pStyle w:val="Prrafodelista"/>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La Reforma Electoral logró consolidarse y trajo una serie de importantes cambios que sacudieron el sistema político mexicano. El primer gran cambio fue la desaparición del Instituto Federal Electoral (IFE) y la creación del Instituto Nacional Electoral (INE), la posibilidad de candidaturas independientes, </w:t>
      </w:r>
      <w:r w:rsidR="00A93BC1" w:rsidRPr="00A85D78">
        <w:rPr>
          <w:rFonts w:ascii="Arial" w:hAnsi="Arial" w:cs="Arial"/>
          <w:sz w:val="24"/>
          <w:szCs w:val="24"/>
        </w:rPr>
        <w:t xml:space="preserve">y </w:t>
      </w:r>
      <w:r w:rsidRPr="00A85D78">
        <w:rPr>
          <w:rFonts w:ascii="Arial" w:hAnsi="Arial" w:cs="Arial"/>
          <w:sz w:val="24"/>
          <w:szCs w:val="24"/>
        </w:rPr>
        <w:t>reelección por mencionar los más relevantes.</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Como puede observarse en los objetivos del compromiso 90 del Pacto por México, la reforma electoral estuvo enfocada en un gran eje rector: la fiscalización. Para tener un mayor control de los ingresos y egresos de los partidos políticos en todo el país, la nueva autoridad electoral INE a partir de 2015 es la única con facultades de fiscalizar los recursos de los partidos en los procesos electorales federales, estatales y municipales</w:t>
      </w:r>
      <w:r w:rsidRPr="00A85D78">
        <w:rPr>
          <w:rStyle w:val="Refdenotaalpie"/>
          <w:rFonts w:ascii="Arial" w:hAnsi="Arial" w:cs="Arial"/>
          <w:sz w:val="24"/>
          <w:szCs w:val="24"/>
        </w:rPr>
        <w:footnoteReference w:id="12"/>
      </w:r>
      <w:r w:rsidRPr="00A85D78">
        <w:rPr>
          <w:rFonts w:ascii="Arial" w:hAnsi="Arial" w:cs="Arial"/>
          <w:sz w:val="24"/>
          <w:szCs w:val="24"/>
        </w:rPr>
        <w:t xml:space="preserve">; así como de los </w:t>
      </w:r>
      <w:r w:rsidRPr="00A85D78">
        <w:rPr>
          <w:rFonts w:ascii="Arial" w:hAnsi="Arial" w:cs="Arial"/>
          <w:sz w:val="24"/>
          <w:szCs w:val="24"/>
        </w:rPr>
        <w:lastRenderedPageBreak/>
        <w:t>recursos ordinarios de los partidos políticos nacionales y locales (Artículo 41 de la Constitución Política de los Estados Unidos Mexicanos).</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Para lograr este objetivo se fortaleció el marco jurídico con la creación de la Ley General de Instituciones y Procedimientos Electorales (LGIPE) que sustituyó a COFIPE; además de la creación de la Ley General de Partidos Políticos (LGPP), Ley General en Materia de Delitos Electorales (LGMDE) y la Ley General del Sistema de Medios de Impugnación en Materia Electoral (LGSMIE). En </w:t>
      </w:r>
      <w:r w:rsidR="00A93BC1" w:rsidRPr="00A85D78">
        <w:rPr>
          <w:rFonts w:ascii="Arial" w:hAnsi="Arial" w:cs="Arial"/>
          <w:sz w:val="24"/>
          <w:szCs w:val="24"/>
        </w:rPr>
        <w:t>cuanto a</w:t>
      </w:r>
      <w:r w:rsidRPr="00A85D78">
        <w:rPr>
          <w:rFonts w:ascii="Arial" w:hAnsi="Arial" w:cs="Arial"/>
          <w:sz w:val="24"/>
          <w:szCs w:val="24"/>
        </w:rPr>
        <w:t xml:space="preserve"> Fiscalización, el INE creo el Reglamento de Fiscalización aplicable para partidos políticos, candidatos independientes y agrupaciones políticas nacionales en todos los ámbitos.</w:t>
      </w:r>
    </w:p>
    <w:p w:rsidR="00B706D9" w:rsidRPr="00A85D78" w:rsidRDefault="00B706D9" w:rsidP="00707439">
      <w:pPr>
        <w:spacing w:line="360" w:lineRule="auto"/>
        <w:jc w:val="both"/>
        <w:rPr>
          <w:rFonts w:ascii="Arial" w:hAnsi="Arial" w:cs="Arial"/>
          <w:sz w:val="24"/>
          <w:szCs w:val="24"/>
        </w:rPr>
      </w:pPr>
    </w:p>
    <w:p w:rsidR="00A256AB" w:rsidRDefault="00A93BC1" w:rsidP="00707439">
      <w:pPr>
        <w:spacing w:line="360" w:lineRule="auto"/>
        <w:jc w:val="both"/>
        <w:rPr>
          <w:rFonts w:ascii="Arial" w:hAnsi="Arial" w:cs="Arial"/>
          <w:sz w:val="24"/>
          <w:szCs w:val="24"/>
        </w:rPr>
      </w:pPr>
      <w:r w:rsidRPr="00A85D78">
        <w:rPr>
          <w:rFonts w:ascii="Arial" w:hAnsi="Arial" w:cs="Arial"/>
          <w:sz w:val="24"/>
          <w:szCs w:val="24"/>
        </w:rPr>
        <w:t>La labor de la fiscalización recae</w:t>
      </w:r>
      <w:r w:rsidR="00A256AB" w:rsidRPr="00A85D78">
        <w:rPr>
          <w:rFonts w:ascii="Arial" w:hAnsi="Arial" w:cs="Arial"/>
          <w:sz w:val="24"/>
          <w:szCs w:val="24"/>
        </w:rPr>
        <w:t xml:space="preserve"> en el Consejo General del INE; a través de la Comisión de Fiscalización (artículo 190, numeral 2, LGIPE) quien se auxilia de la Unidad Técnica de Fiscalización para llevar a cabo su labor (artículos 192, numeral 2, y 196 LGIPE)</w:t>
      </w:r>
      <w:r w:rsidRPr="00A85D78">
        <w:rPr>
          <w:rFonts w:ascii="Arial" w:hAnsi="Arial" w:cs="Arial"/>
          <w:sz w:val="24"/>
          <w:szCs w:val="24"/>
        </w:rPr>
        <w:t>.</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La más grande innovación para el control de los recursos de los partidos políticos es la creación de un Sistema de Contabilidad en Línea, (artículo 191, LGIPE) administrado por el INE; en el que los partidos registran en tiempo real sus ingresos y gastos (artículo 59, LGPP).</w:t>
      </w:r>
    </w:p>
    <w:p w:rsidR="00B706D9" w:rsidRPr="00A85D78" w:rsidRDefault="00B706D9" w:rsidP="00707439">
      <w:pPr>
        <w:spacing w:line="360" w:lineRule="auto"/>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También se crea el Registro Nacional de Proveedores (RNP) en el que deben estar inscritos todos los proveedores que deseen realizar operaciones comerciales con los partidos, de no estar registrados incurren en un delito electoral (Artículo 7, fracción XXI, LGMDE)</w:t>
      </w:r>
      <w:r w:rsidR="00A93BC1" w:rsidRPr="00A85D78">
        <w:rPr>
          <w:rFonts w:ascii="Arial" w:hAnsi="Arial" w:cs="Arial"/>
          <w:sz w:val="24"/>
          <w:szCs w:val="24"/>
        </w:rPr>
        <w:t>.</w:t>
      </w:r>
    </w:p>
    <w:p w:rsidR="00B706D9" w:rsidRPr="00A85D78" w:rsidRDefault="00B706D9" w:rsidP="00707439">
      <w:pPr>
        <w:spacing w:line="360" w:lineRule="auto"/>
        <w:jc w:val="both"/>
        <w:rPr>
          <w:rFonts w:ascii="Arial" w:hAnsi="Arial" w:cs="Arial"/>
          <w:sz w:val="24"/>
          <w:szCs w:val="24"/>
        </w:rPr>
      </w:pPr>
    </w:p>
    <w:p w:rsidR="00A256AB" w:rsidRPr="00A85D78"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En </w:t>
      </w:r>
      <w:proofErr w:type="gramStart"/>
      <w:r w:rsidRPr="00A85D78">
        <w:rPr>
          <w:rFonts w:ascii="Arial" w:hAnsi="Arial" w:cs="Arial"/>
          <w:sz w:val="24"/>
          <w:szCs w:val="24"/>
        </w:rPr>
        <w:t>conclusión</w:t>
      </w:r>
      <w:proofErr w:type="gramEnd"/>
      <w:r w:rsidRPr="00A85D78">
        <w:rPr>
          <w:rFonts w:ascii="Arial" w:hAnsi="Arial" w:cs="Arial"/>
          <w:sz w:val="24"/>
          <w:szCs w:val="24"/>
        </w:rPr>
        <w:t xml:space="preserve"> podemos decir que con la Reforma Electoral de 2014, se inició una nueva era en materia de fiscalización, en la que las bases están sentadas para ejercer una rendición de cuentas con mayores elementos de control y transparencia. Según Lebrero (2014)</w:t>
      </w:r>
    </w:p>
    <w:p w:rsidR="00A256AB" w:rsidRDefault="00A256AB" w:rsidP="00707439">
      <w:pPr>
        <w:spacing w:line="360" w:lineRule="auto"/>
        <w:ind w:left="709"/>
        <w:jc w:val="both"/>
        <w:rPr>
          <w:rFonts w:ascii="Arial" w:hAnsi="Arial" w:cs="Arial"/>
          <w:sz w:val="24"/>
          <w:szCs w:val="24"/>
        </w:rPr>
      </w:pPr>
      <w:r w:rsidRPr="00A85D78">
        <w:rPr>
          <w:rFonts w:ascii="Arial" w:hAnsi="Arial" w:cs="Arial"/>
          <w:sz w:val="24"/>
          <w:szCs w:val="24"/>
        </w:rPr>
        <w:t xml:space="preserve"> “La rendición de cuentas y el acceso a la información sobre el destino de los fondos que componen los gastos de campaña son una herramienta determinante para la legitimación de los procesos electorales. La </w:t>
      </w:r>
      <w:r w:rsidRPr="00A85D78">
        <w:rPr>
          <w:rFonts w:ascii="Arial" w:hAnsi="Arial" w:cs="Arial"/>
          <w:sz w:val="24"/>
          <w:szCs w:val="24"/>
        </w:rPr>
        <w:lastRenderedPageBreak/>
        <w:t>sistematización del control gubernamental y social sobre este tipo de gastos y la publicidad de los informes, hacen al ejercicio mismo del derecho a la información de la ciudadanía y contribuyen a garantizar el ejercicio efectivo del derecho a voto en base al conocimiento de la elección y la posibilidad de poder ser elegido en igualdad de condiciones”. (pág. 01)</w:t>
      </w:r>
      <w:r w:rsidR="00B706D9">
        <w:rPr>
          <w:rFonts w:ascii="Arial" w:hAnsi="Arial" w:cs="Arial"/>
          <w:sz w:val="24"/>
          <w:szCs w:val="24"/>
        </w:rPr>
        <w:t>.</w:t>
      </w:r>
    </w:p>
    <w:p w:rsidR="00B706D9" w:rsidRPr="00A85D78" w:rsidRDefault="00B706D9" w:rsidP="00707439">
      <w:pPr>
        <w:spacing w:line="360" w:lineRule="auto"/>
        <w:ind w:left="709"/>
        <w:jc w:val="both"/>
        <w:rPr>
          <w:rFonts w:ascii="Arial" w:hAnsi="Arial" w:cs="Arial"/>
          <w:sz w:val="24"/>
          <w:szCs w:val="24"/>
        </w:rPr>
      </w:pPr>
    </w:p>
    <w:p w:rsidR="00A256AB" w:rsidRDefault="00A256AB" w:rsidP="00707439">
      <w:pPr>
        <w:spacing w:line="360" w:lineRule="auto"/>
        <w:jc w:val="both"/>
        <w:rPr>
          <w:rFonts w:ascii="Arial" w:hAnsi="Arial" w:cs="Arial"/>
          <w:sz w:val="24"/>
          <w:szCs w:val="24"/>
        </w:rPr>
      </w:pPr>
      <w:r w:rsidRPr="00A85D78">
        <w:rPr>
          <w:rFonts w:ascii="Arial" w:hAnsi="Arial" w:cs="Arial"/>
          <w:sz w:val="24"/>
          <w:szCs w:val="24"/>
        </w:rPr>
        <w:t xml:space="preserve">Con las innovaciones legales y tecnológicas ya mencionadas, se revolucionó la forma de rendir cuentas de los partidos políticos principalmente en el ámbito local, de alguna manera en el ámbito federal, los partidos políticos nacionales habían sido auditados con un procedimiento muy similar por el extinto IFE; en las Entidades Federativas los Institutos Electorales Locales venían realizando la labor de fiscalización con procedimientos mucho menos minuciosos y exhaustivos, así como con marcos legales flexibles y sanciones que difícilmente abonaban a inhibir las conductas de desacato a la ley por parte de los partidos; sumado a la influencia de los propios partidos en el seno de los Consejos Generales de los Institutos Electorales de las Entidades Federativas, donde preservan pequeños cotos de poder al ser ellos mismos quienes </w:t>
      </w:r>
      <w:r w:rsidR="006E3DFF" w:rsidRPr="00A85D78">
        <w:rPr>
          <w:rFonts w:ascii="Arial" w:hAnsi="Arial" w:cs="Arial"/>
          <w:sz w:val="24"/>
          <w:szCs w:val="24"/>
        </w:rPr>
        <w:t>con</w:t>
      </w:r>
      <w:r w:rsidRPr="00A85D78">
        <w:rPr>
          <w:rFonts w:ascii="Arial" w:hAnsi="Arial" w:cs="Arial"/>
          <w:sz w:val="24"/>
          <w:szCs w:val="24"/>
        </w:rPr>
        <w:t xml:space="preserve"> base </w:t>
      </w:r>
      <w:r w:rsidR="006E3DFF" w:rsidRPr="00A85D78">
        <w:rPr>
          <w:rFonts w:ascii="Arial" w:hAnsi="Arial" w:cs="Arial"/>
          <w:sz w:val="24"/>
          <w:szCs w:val="24"/>
        </w:rPr>
        <w:t>en</w:t>
      </w:r>
      <w:r w:rsidRPr="00A85D78">
        <w:rPr>
          <w:rFonts w:ascii="Arial" w:hAnsi="Arial" w:cs="Arial"/>
          <w:sz w:val="24"/>
          <w:szCs w:val="24"/>
        </w:rPr>
        <w:t xml:space="preserve"> acuerdos designan a los Consejeros Electorales. A </w:t>
      </w:r>
      <w:proofErr w:type="gramStart"/>
      <w:r w:rsidRPr="00A85D78">
        <w:rPr>
          <w:rFonts w:ascii="Arial" w:hAnsi="Arial" w:cs="Arial"/>
          <w:sz w:val="24"/>
          <w:szCs w:val="24"/>
        </w:rPr>
        <w:t>continuación</w:t>
      </w:r>
      <w:proofErr w:type="gramEnd"/>
      <w:r w:rsidRPr="00A85D78">
        <w:rPr>
          <w:rFonts w:ascii="Arial" w:hAnsi="Arial" w:cs="Arial"/>
          <w:sz w:val="24"/>
          <w:szCs w:val="24"/>
        </w:rPr>
        <w:t xml:space="preserve"> revisaremos el panorama de la evolución de la fiscalización en nuestro objeto de estudio: el Estado de México. </w:t>
      </w:r>
    </w:p>
    <w:p w:rsidR="00B706D9" w:rsidRDefault="00B706D9" w:rsidP="00707439">
      <w:pPr>
        <w:spacing w:line="360" w:lineRule="auto"/>
        <w:jc w:val="both"/>
        <w:rPr>
          <w:rFonts w:ascii="Arial" w:hAnsi="Arial" w:cs="Arial"/>
          <w:sz w:val="24"/>
          <w:szCs w:val="24"/>
        </w:rPr>
      </w:pPr>
    </w:p>
    <w:p w:rsidR="00B706D9" w:rsidRPr="00A85D78" w:rsidRDefault="00B706D9" w:rsidP="00707439">
      <w:pPr>
        <w:spacing w:line="360" w:lineRule="auto"/>
        <w:jc w:val="both"/>
        <w:rPr>
          <w:rFonts w:ascii="Arial" w:hAnsi="Arial" w:cs="Arial"/>
          <w:sz w:val="24"/>
          <w:szCs w:val="24"/>
        </w:rPr>
      </w:pPr>
    </w:p>
    <w:p w:rsidR="00A256AB" w:rsidRPr="00A85D78" w:rsidRDefault="00A256AB" w:rsidP="00B706D9">
      <w:pPr>
        <w:spacing w:line="360" w:lineRule="auto"/>
        <w:rPr>
          <w:rFonts w:ascii="Arial" w:hAnsi="Arial" w:cs="Arial"/>
          <w:b/>
          <w:sz w:val="24"/>
          <w:szCs w:val="24"/>
        </w:rPr>
      </w:pPr>
      <w:r w:rsidRPr="00A85D78">
        <w:rPr>
          <w:rFonts w:ascii="Arial" w:hAnsi="Arial" w:cs="Arial"/>
          <w:b/>
          <w:sz w:val="24"/>
          <w:szCs w:val="24"/>
        </w:rPr>
        <w:t>1.5 Fiscalización en el Estado de México.</w:t>
      </w:r>
    </w:p>
    <w:p w:rsidR="00A256AB" w:rsidRPr="00A85D78" w:rsidRDefault="00A256AB" w:rsidP="00B706D9">
      <w:pPr>
        <w:spacing w:line="360" w:lineRule="auto"/>
        <w:jc w:val="both"/>
        <w:rPr>
          <w:rFonts w:ascii="Arial" w:hAnsi="Arial" w:cs="Arial"/>
          <w:sz w:val="24"/>
          <w:szCs w:val="24"/>
        </w:rPr>
      </w:pPr>
      <w:r w:rsidRPr="00A85D78">
        <w:rPr>
          <w:rFonts w:ascii="Arial" w:hAnsi="Arial" w:cs="Arial"/>
          <w:sz w:val="24"/>
          <w:szCs w:val="24"/>
        </w:rPr>
        <w:t>El Estado de México cuenta con un amplio legado en materia de legislación en materia electoral; sus orígenes datan desde 1824, con los decretos expedidos por su primer Congreso Constitucional</w:t>
      </w:r>
      <w:r w:rsidRPr="00A85D78">
        <w:rPr>
          <w:rStyle w:val="Refdenotaalpie"/>
          <w:rFonts w:ascii="Arial" w:hAnsi="Arial" w:cs="Arial"/>
          <w:sz w:val="24"/>
          <w:szCs w:val="24"/>
        </w:rPr>
        <w:footnoteReference w:id="13"/>
      </w:r>
      <w:r w:rsidRPr="00A85D78">
        <w:rPr>
          <w:rFonts w:ascii="Arial" w:hAnsi="Arial" w:cs="Arial"/>
          <w:sz w:val="24"/>
          <w:szCs w:val="24"/>
        </w:rPr>
        <w:t xml:space="preserve">;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una vez que se ha dado una amplia panorámica del financiamiento y fiscalización en el ámbito federal, es menester continuar el análisis de estos temas aplicados al ámbito local. </w:t>
      </w:r>
    </w:p>
    <w:p w:rsidR="00A256AB" w:rsidRDefault="00A256AB" w:rsidP="00B706D9">
      <w:pPr>
        <w:spacing w:line="360" w:lineRule="auto"/>
        <w:jc w:val="both"/>
        <w:rPr>
          <w:rFonts w:ascii="Arial" w:hAnsi="Arial" w:cs="Arial"/>
          <w:sz w:val="24"/>
          <w:szCs w:val="24"/>
        </w:rPr>
      </w:pPr>
      <w:r w:rsidRPr="00A85D78">
        <w:rPr>
          <w:rFonts w:ascii="Arial" w:hAnsi="Arial" w:cs="Arial"/>
          <w:sz w:val="24"/>
          <w:szCs w:val="24"/>
        </w:rPr>
        <w:lastRenderedPageBreak/>
        <w:t xml:space="preserve">Para hacer más ágil el estudio en la tabla 1.5 se muestra la evolución del financiamiento de los partidos y la fiscalización a través del tiempo en los diferentes ordenamientos legales electorales en la Entidad: </w:t>
      </w:r>
    </w:p>
    <w:p w:rsidR="00B706D9" w:rsidRPr="00A85D78" w:rsidRDefault="00B706D9" w:rsidP="00B706D9">
      <w:pPr>
        <w:spacing w:line="360" w:lineRule="auto"/>
        <w:jc w:val="both"/>
        <w:rPr>
          <w:rFonts w:ascii="Arial" w:hAnsi="Arial" w:cs="Arial"/>
          <w:sz w:val="24"/>
          <w:szCs w:val="24"/>
        </w:rPr>
      </w:pPr>
    </w:p>
    <w:p w:rsidR="00A256AB" w:rsidRPr="00B706D9" w:rsidRDefault="00A256AB" w:rsidP="009F1C04">
      <w:pPr>
        <w:pStyle w:val="Sinespaciado"/>
        <w:contextualSpacing/>
        <w:jc w:val="both"/>
        <w:rPr>
          <w:rStyle w:val="Ttulodellibro"/>
          <w:rFonts w:ascii="Arial" w:hAnsi="Arial" w:cs="Arial"/>
          <w:b/>
          <w:i/>
          <w:color w:val="auto"/>
          <w:sz w:val="20"/>
          <w:szCs w:val="20"/>
        </w:rPr>
      </w:pPr>
      <w:r w:rsidRPr="00B706D9">
        <w:rPr>
          <w:rStyle w:val="Ttulodellibro"/>
          <w:rFonts w:ascii="Arial" w:hAnsi="Arial" w:cs="Arial"/>
          <w:b/>
          <w:i/>
          <w:color w:val="auto"/>
          <w:sz w:val="20"/>
          <w:szCs w:val="20"/>
        </w:rPr>
        <w:t>Tabla 1.5 Transformación del Financiamiento a Partidos Políticos y Fiscalización 1978-2014.</w:t>
      </w:r>
    </w:p>
    <w:p w:rsidR="00B706D9" w:rsidRPr="00B706D9" w:rsidRDefault="00B706D9" w:rsidP="00B706D9">
      <w:pPr>
        <w:jc w:val="both"/>
        <w:rPr>
          <w:rStyle w:val="Ttulodellibro"/>
          <w:rFonts w:ascii="Arial" w:hAnsi="Arial" w:cs="Arial"/>
          <w:b/>
          <w:i/>
          <w:color w:val="auto"/>
          <w:sz w:val="18"/>
          <w:szCs w:val="18"/>
        </w:rPr>
      </w:pPr>
    </w:p>
    <w:tbl>
      <w:tblPr>
        <w:tblStyle w:val="Tablaconcuadrcula"/>
        <w:tblW w:w="5000" w:type="pct"/>
        <w:jc w:val="center"/>
        <w:tblLook w:val="04A0" w:firstRow="1" w:lastRow="0" w:firstColumn="1" w:lastColumn="0" w:noHBand="0" w:noVBand="1"/>
      </w:tblPr>
      <w:tblGrid>
        <w:gridCol w:w="1271"/>
        <w:gridCol w:w="1559"/>
        <w:gridCol w:w="2835"/>
        <w:gridCol w:w="2829"/>
      </w:tblGrid>
      <w:tr w:rsidR="00A256AB" w:rsidRPr="00760F78" w:rsidTr="00C234C9">
        <w:trPr>
          <w:trHeight w:val="410"/>
          <w:jc w:val="center"/>
        </w:trPr>
        <w:tc>
          <w:tcPr>
            <w:tcW w:w="748" w:type="pct"/>
            <w:shd w:val="clear" w:color="auto" w:fill="FBE4D5" w:themeFill="accent2" w:themeFillTint="33"/>
            <w:vAlign w:val="center"/>
          </w:tcPr>
          <w:p w:rsidR="00A256AB" w:rsidRPr="00760F78" w:rsidRDefault="00A256AB" w:rsidP="00A31A35">
            <w:pPr>
              <w:jc w:val="center"/>
              <w:rPr>
                <w:rFonts w:ascii="Arial" w:hAnsi="Arial" w:cs="Arial"/>
                <w:b/>
                <w:caps/>
                <w:sz w:val="16"/>
                <w:szCs w:val="16"/>
                <w:lang w:val="es-ES_tradnl"/>
              </w:rPr>
            </w:pPr>
            <w:r w:rsidRPr="00760F78">
              <w:rPr>
                <w:rFonts w:ascii="Arial" w:hAnsi="Arial" w:cs="Arial"/>
                <w:b/>
                <w:caps/>
                <w:sz w:val="16"/>
                <w:szCs w:val="16"/>
                <w:lang w:val="es-ES_tradnl"/>
              </w:rPr>
              <w:t>Reforma</w:t>
            </w:r>
          </w:p>
        </w:tc>
        <w:tc>
          <w:tcPr>
            <w:tcW w:w="918" w:type="pct"/>
            <w:shd w:val="clear" w:color="auto" w:fill="FBE4D5" w:themeFill="accent2" w:themeFillTint="33"/>
            <w:vAlign w:val="center"/>
          </w:tcPr>
          <w:p w:rsidR="00A256AB" w:rsidRPr="00760F78" w:rsidRDefault="00A256AB" w:rsidP="00A31A35">
            <w:pPr>
              <w:jc w:val="center"/>
              <w:rPr>
                <w:rFonts w:ascii="Arial" w:hAnsi="Arial" w:cs="Arial"/>
                <w:b/>
                <w:caps/>
                <w:sz w:val="16"/>
                <w:szCs w:val="16"/>
                <w:lang w:val="es-ES_tradnl"/>
              </w:rPr>
            </w:pPr>
            <w:r w:rsidRPr="00760F78">
              <w:rPr>
                <w:rFonts w:ascii="Arial" w:hAnsi="Arial" w:cs="Arial"/>
                <w:b/>
                <w:caps/>
                <w:sz w:val="16"/>
                <w:szCs w:val="16"/>
                <w:lang w:val="es-ES_tradnl"/>
              </w:rPr>
              <w:t>Legislación</w:t>
            </w:r>
          </w:p>
        </w:tc>
        <w:tc>
          <w:tcPr>
            <w:tcW w:w="1669" w:type="pct"/>
            <w:shd w:val="clear" w:color="auto" w:fill="FBE4D5" w:themeFill="accent2" w:themeFillTint="33"/>
            <w:vAlign w:val="center"/>
          </w:tcPr>
          <w:p w:rsidR="00A256AB" w:rsidRPr="00760F78" w:rsidRDefault="00A256AB" w:rsidP="00A31A35">
            <w:pPr>
              <w:jc w:val="center"/>
              <w:rPr>
                <w:rFonts w:ascii="Arial" w:hAnsi="Arial" w:cs="Arial"/>
                <w:b/>
                <w:caps/>
                <w:sz w:val="16"/>
                <w:szCs w:val="16"/>
                <w:lang w:val="es-ES_tradnl"/>
              </w:rPr>
            </w:pPr>
            <w:r w:rsidRPr="00760F78">
              <w:rPr>
                <w:rFonts w:ascii="Arial" w:hAnsi="Arial" w:cs="Arial"/>
                <w:b/>
                <w:caps/>
                <w:sz w:val="16"/>
                <w:szCs w:val="16"/>
                <w:lang w:val="es-ES_tradnl"/>
              </w:rPr>
              <w:t>Provisiones de Financiamiento</w:t>
            </w:r>
          </w:p>
        </w:tc>
        <w:tc>
          <w:tcPr>
            <w:tcW w:w="1665" w:type="pct"/>
            <w:shd w:val="clear" w:color="auto" w:fill="FBE4D5" w:themeFill="accent2" w:themeFillTint="33"/>
            <w:vAlign w:val="center"/>
          </w:tcPr>
          <w:p w:rsidR="00A256AB" w:rsidRPr="00760F78" w:rsidRDefault="00A256AB" w:rsidP="00A31A35">
            <w:pPr>
              <w:jc w:val="center"/>
              <w:rPr>
                <w:rFonts w:ascii="Arial" w:hAnsi="Arial" w:cs="Arial"/>
                <w:b/>
                <w:caps/>
                <w:sz w:val="16"/>
                <w:szCs w:val="16"/>
                <w:lang w:val="es-ES_tradnl"/>
              </w:rPr>
            </w:pPr>
            <w:r w:rsidRPr="00760F78">
              <w:rPr>
                <w:rFonts w:ascii="Arial" w:hAnsi="Arial" w:cs="Arial"/>
                <w:b/>
                <w:caps/>
                <w:sz w:val="16"/>
                <w:szCs w:val="16"/>
                <w:lang w:val="es-ES_tradnl"/>
              </w:rPr>
              <w:t>Provisiones de Fiscalización</w:t>
            </w:r>
          </w:p>
        </w:tc>
      </w:tr>
      <w:tr w:rsidR="00A256AB" w:rsidRPr="00760F78" w:rsidTr="00760F78">
        <w:trPr>
          <w:trHeight w:val="1356"/>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1978</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Ley de Organizaciones Políticas y Procesos Electorales del Estado de México (LOPPEEM)</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Los partidos disponen de medios adecuados para sus tareas editoriales y contar con elementos mínimos para sus actividades encaminadas a la obtención del sufragio popular (</w:t>
            </w:r>
            <w:r w:rsidR="006E3DFF" w:rsidRPr="00760F78">
              <w:rPr>
                <w:rFonts w:ascii="Arial" w:hAnsi="Arial" w:cs="Arial"/>
                <w:sz w:val="16"/>
                <w:szCs w:val="16"/>
                <w:lang w:val="es-ES_tradnl"/>
              </w:rPr>
              <w:t>a</w:t>
            </w:r>
            <w:r w:rsidRPr="00760F78">
              <w:rPr>
                <w:rFonts w:ascii="Arial" w:hAnsi="Arial" w:cs="Arial"/>
                <w:sz w:val="16"/>
                <w:szCs w:val="16"/>
                <w:lang w:val="es-ES_tradnl"/>
              </w:rPr>
              <w:t>rtículo 45)</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No hay previsiones</w:t>
            </w:r>
          </w:p>
        </w:tc>
      </w:tr>
      <w:tr w:rsidR="00A256AB" w:rsidRPr="00760F78" w:rsidTr="00760F78">
        <w:trPr>
          <w:trHeight w:val="1548"/>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1990 (Decreto 126, 28 de </w:t>
            </w:r>
            <w:proofErr w:type="gramStart"/>
            <w:r w:rsidRPr="00760F78">
              <w:rPr>
                <w:rFonts w:ascii="Arial" w:hAnsi="Arial" w:cs="Arial"/>
                <w:sz w:val="16"/>
                <w:szCs w:val="16"/>
                <w:lang w:val="es-ES_tradnl"/>
              </w:rPr>
              <w:t>Junio</w:t>
            </w:r>
            <w:proofErr w:type="gramEnd"/>
            <w:r w:rsidRPr="00760F78">
              <w:rPr>
                <w:rFonts w:ascii="Arial" w:hAnsi="Arial" w:cs="Arial"/>
                <w:sz w:val="16"/>
                <w:szCs w:val="16"/>
                <w:lang w:val="es-ES_tradnl"/>
              </w:rPr>
              <w:t xml:space="preserve"> de 1990)</w:t>
            </w:r>
          </w:p>
        </w:tc>
        <w:tc>
          <w:tcPr>
            <w:tcW w:w="918" w:type="pct"/>
            <w:vAlign w:val="center"/>
          </w:tcPr>
          <w:p w:rsidR="00A256AB" w:rsidRPr="00760F78" w:rsidRDefault="00A256AB" w:rsidP="00A31A35">
            <w:pPr>
              <w:jc w:val="center"/>
              <w:rPr>
                <w:rFonts w:ascii="Arial" w:hAnsi="Arial" w:cs="Arial"/>
                <w:sz w:val="16"/>
                <w:szCs w:val="16"/>
                <w:lang w:val="es-ES_tradnl"/>
              </w:rPr>
            </w:pP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 xml:space="preserve">Otorga financiamiento público a los partidos políticos para el ejercicio de sus actividades ordinarias y para su participación en campañas electorales de </w:t>
            </w:r>
            <w:r w:rsidR="006E3DFF" w:rsidRPr="00760F78">
              <w:rPr>
                <w:rFonts w:ascii="Arial" w:hAnsi="Arial" w:cs="Arial"/>
                <w:sz w:val="16"/>
                <w:szCs w:val="16"/>
                <w:lang w:val="es-ES_tradnl"/>
              </w:rPr>
              <w:t>G</w:t>
            </w:r>
            <w:r w:rsidRPr="00760F78">
              <w:rPr>
                <w:rFonts w:ascii="Arial" w:hAnsi="Arial" w:cs="Arial"/>
                <w:sz w:val="16"/>
                <w:szCs w:val="16"/>
                <w:lang w:val="es-ES_tradnl"/>
              </w:rPr>
              <w:t xml:space="preserve">obernador, </w:t>
            </w:r>
            <w:r w:rsidR="006E3DFF" w:rsidRPr="00760F78">
              <w:rPr>
                <w:rFonts w:ascii="Arial" w:hAnsi="Arial" w:cs="Arial"/>
                <w:sz w:val="16"/>
                <w:szCs w:val="16"/>
                <w:lang w:val="es-ES_tradnl"/>
              </w:rPr>
              <w:t>D</w:t>
            </w:r>
            <w:r w:rsidRPr="00760F78">
              <w:rPr>
                <w:rFonts w:ascii="Arial" w:hAnsi="Arial" w:cs="Arial"/>
                <w:sz w:val="16"/>
                <w:szCs w:val="16"/>
                <w:lang w:val="es-ES_tradnl"/>
              </w:rPr>
              <w:t xml:space="preserve">iputados y </w:t>
            </w:r>
            <w:r w:rsidR="006E3DFF" w:rsidRPr="00760F78">
              <w:rPr>
                <w:rFonts w:ascii="Arial" w:hAnsi="Arial" w:cs="Arial"/>
                <w:sz w:val="16"/>
                <w:szCs w:val="16"/>
                <w:lang w:val="es-ES_tradnl"/>
              </w:rPr>
              <w:t>A</w:t>
            </w:r>
            <w:r w:rsidRPr="00760F78">
              <w:rPr>
                <w:rFonts w:ascii="Arial" w:hAnsi="Arial" w:cs="Arial"/>
                <w:sz w:val="16"/>
                <w:szCs w:val="16"/>
                <w:lang w:val="es-ES_tradnl"/>
              </w:rPr>
              <w:t>yuntamientos del estado (artículo 45, fracción II)</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Los partidos políticos tenían la obligación de informar semestralmente (junio y diciembre) de cada año a la Comisión Estatal Electoral, la aplicación de los recursos públicos recibidos (artículo 45-G)</w:t>
            </w:r>
          </w:p>
        </w:tc>
      </w:tr>
      <w:tr w:rsidR="00A256AB" w:rsidRPr="00760F78" w:rsidTr="00760F78">
        <w:trPr>
          <w:trHeight w:val="1841"/>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1993 (Decreto 160, 04 de </w:t>
            </w:r>
            <w:proofErr w:type="gramStart"/>
            <w:r w:rsidRPr="00760F78">
              <w:rPr>
                <w:rFonts w:ascii="Arial" w:hAnsi="Arial" w:cs="Arial"/>
                <w:sz w:val="16"/>
                <w:szCs w:val="16"/>
                <w:lang w:val="es-ES_tradnl"/>
              </w:rPr>
              <w:t>Febrero</w:t>
            </w:r>
            <w:proofErr w:type="gramEnd"/>
            <w:r w:rsidRPr="00760F78">
              <w:rPr>
                <w:rFonts w:ascii="Arial" w:hAnsi="Arial" w:cs="Arial"/>
                <w:sz w:val="16"/>
                <w:szCs w:val="16"/>
                <w:lang w:val="es-ES_tradnl"/>
              </w:rPr>
              <w:t xml:space="preserve"> de 1993)</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Ley de Organizaciones Políticas y Procesos Electorales del Estado de México (LOPPEEM)</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Se otorga financiamiento para tareas editoriales (artículo 45, fracción I)</w:t>
            </w:r>
          </w:p>
          <w:p w:rsidR="00A256AB" w:rsidRPr="00760F78" w:rsidRDefault="00A256AB" w:rsidP="00A31A35">
            <w:pPr>
              <w:jc w:val="both"/>
              <w:rPr>
                <w:rFonts w:ascii="Arial" w:hAnsi="Arial" w:cs="Arial"/>
                <w:sz w:val="16"/>
                <w:szCs w:val="16"/>
                <w:lang w:val="es-ES_tradnl"/>
              </w:rPr>
            </w:pPr>
          </w:p>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El financiamiento ordinario mensual mínimo para partidos políticos, se incrementa de 1000 a 2500 DSM (artículo 45-B)</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Los partidos políticos informar</w:t>
            </w:r>
            <w:r w:rsidR="006E3DFF" w:rsidRPr="00760F78">
              <w:rPr>
                <w:rFonts w:ascii="Arial" w:hAnsi="Arial" w:cs="Arial"/>
                <w:sz w:val="16"/>
                <w:szCs w:val="16"/>
                <w:lang w:val="es-ES_tradnl"/>
              </w:rPr>
              <w:t>á</w:t>
            </w:r>
            <w:r w:rsidRPr="00760F78">
              <w:rPr>
                <w:rFonts w:ascii="Arial" w:hAnsi="Arial" w:cs="Arial"/>
                <w:sz w:val="16"/>
                <w:szCs w:val="16"/>
                <w:lang w:val="es-ES_tradnl"/>
              </w:rPr>
              <w:t>n a la Comisión Estatal Electoral, durante los primeros 3 meses del año el ejercicio de los recursos públicos recibidos. Adicionalmente el informe será publicado en el Órgano Oficial de la Comisión Estatal Electoral y en un diario de la capital del Estado. (</w:t>
            </w:r>
            <w:r w:rsidR="0045260C" w:rsidRPr="00760F78">
              <w:rPr>
                <w:rFonts w:ascii="Arial" w:hAnsi="Arial" w:cs="Arial"/>
                <w:sz w:val="16"/>
                <w:szCs w:val="16"/>
                <w:lang w:val="es-ES_tradnl"/>
              </w:rPr>
              <w:t>a</w:t>
            </w:r>
            <w:r w:rsidRPr="00760F78">
              <w:rPr>
                <w:rFonts w:ascii="Arial" w:hAnsi="Arial" w:cs="Arial"/>
                <w:sz w:val="16"/>
                <w:szCs w:val="16"/>
                <w:lang w:val="es-ES_tradnl"/>
              </w:rPr>
              <w:t>rtículo 45-G)</w:t>
            </w:r>
          </w:p>
        </w:tc>
      </w:tr>
      <w:tr w:rsidR="00A256AB" w:rsidRPr="00760F78" w:rsidTr="00760F78">
        <w:trPr>
          <w:trHeight w:val="2396"/>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1995 – 1996</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El Financiamiento público es calculado de forma trianual (50% del salario mínimo vigente x número total de ciudadanos inscritos en lista nominal. (artículo 58</w:t>
            </w:r>
            <w:r w:rsidR="000C05DC" w:rsidRPr="00760F78">
              <w:rPr>
                <w:rFonts w:ascii="Arial" w:hAnsi="Arial" w:cs="Arial"/>
                <w:sz w:val="16"/>
                <w:szCs w:val="16"/>
                <w:lang w:val="es-ES_tradnl"/>
              </w:rPr>
              <w:t>) El</w:t>
            </w:r>
            <w:r w:rsidRPr="00760F78">
              <w:rPr>
                <w:rFonts w:ascii="Arial" w:hAnsi="Arial" w:cs="Arial"/>
                <w:sz w:val="16"/>
                <w:szCs w:val="16"/>
                <w:lang w:val="es-ES_tradnl"/>
              </w:rPr>
              <w:t xml:space="preserve"> monto trianual se </w:t>
            </w:r>
            <w:r w:rsidR="000C05DC" w:rsidRPr="00760F78">
              <w:rPr>
                <w:rFonts w:ascii="Arial" w:hAnsi="Arial" w:cs="Arial"/>
                <w:sz w:val="16"/>
                <w:szCs w:val="16"/>
                <w:lang w:val="es-ES_tradnl"/>
              </w:rPr>
              <w:t>entregará</w:t>
            </w:r>
            <w:r w:rsidRPr="00760F78">
              <w:rPr>
                <w:rFonts w:ascii="Arial" w:hAnsi="Arial" w:cs="Arial"/>
                <w:sz w:val="16"/>
                <w:szCs w:val="16"/>
                <w:lang w:val="es-ES_tradnl"/>
              </w:rPr>
              <w:t xml:space="preserve"> en años electorales 60% en el año de elección de Ayuntamientos y DL y 20% en cada uno de los otros dos. En años de elección de gobernador, DL y Ay, 40% en cada año electoral y 20% en el otro</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 xml:space="preserve">Los partidos tienen la obligación de presentar anualmente informes que den cuenta del origen y monto de los ingresos que reciban por cualquier fuente de </w:t>
            </w:r>
            <w:proofErr w:type="gramStart"/>
            <w:r w:rsidRPr="00760F78">
              <w:rPr>
                <w:rFonts w:ascii="Arial" w:hAnsi="Arial" w:cs="Arial"/>
                <w:sz w:val="16"/>
                <w:szCs w:val="16"/>
                <w:lang w:val="es-ES_tradnl"/>
              </w:rPr>
              <w:t>financiamiento</w:t>
            </w:r>
            <w:proofErr w:type="gramEnd"/>
            <w:r w:rsidRPr="00760F78">
              <w:rPr>
                <w:rFonts w:ascii="Arial" w:hAnsi="Arial" w:cs="Arial"/>
                <w:sz w:val="16"/>
                <w:szCs w:val="16"/>
                <w:lang w:val="es-ES_tradnl"/>
              </w:rPr>
              <w:t xml:space="preserve"> así como su aplicación (</w:t>
            </w:r>
            <w:r w:rsidR="006E3DFF" w:rsidRPr="00760F78">
              <w:rPr>
                <w:rFonts w:ascii="Arial" w:hAnsi="Arial" w:cs="Arial"/>
                <w:sz w:val="16"/>
                <w:szCs w:val="16"/>
                <w:lang w:val="es-ES_tradnl"/>
              </w:rPr>
              <w:t>a</w:t>
            </w:r>
            <w:r w:rsidRPr="00760F78">
              <w:rPr>
                <w:rFonts w:ascii="Arial" w:hAnsi="Arial" w:cs="Arial"/>
                <w:sz w:val="16"/>
                <w:szCs w:val="16"/>
                <w:lang w:val="es-ES_tradnl"/>
              </w:rPr>
              <w:t>rtículo 60)</w:t>
            </w:r>
          </w:p>
          <w:p w:rsidR="00A256AB" w:rsidRPr="00760F78" w:rsidRDefault="00A256AB" w:rsidP="00A31A35">
            <w:pPr>
              <w:jc w:val="both"/>
              <w:rPr>
                <w:rFonts w:ascii="Arial" w:hAnsi="Arial" w:cs="Arial"/>
                <w:sz w:val="16"/>
                <w:szCs w:val="16"/>
                <w:lang w:val="es-ES_tradnl"/>
              </w:rPr>
            </w:pPr>
          </w:p>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El CG, constituye una comisión para revisar el informe y si se desprenden conductas sancionables se turnan al Tribunal Electoral</w:t>
            </w:r>
          </w:p>
        </w:tc>
      </w:tr>
      <w:tr w:rsidR="00A256AB" w:rsidRPr="00760F78" w:rsidTr="00760F78">
        <w:trPr>
          <w:trHeight w:val="694"/>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1998 (Decreto </w:t>
            </w:r>
            <w:r w:rsidR="000C05DC" w:rsidRPr="00760F78">
              <w:rPr>
                <w:rFonts w:ascii="Arial" w:hAnsi="Arial" w:cs="Arial"/>
                <w:sz w:val="16"/>
                <w:szCs w:val="16"/>
                <w:lang w:val="es-ES_tradnl"/>
              </w:rPr>
              <w:t>65,</w:t>
            </w:r>
            <w:r w:rsidRPr="00760F78">
              <w:rPr>
                <w:rFonts w:ascii="Arial" w:hAnsi="Arial" w:cs="Arial"/>
                <w:sz w:val="16"/>
                <w:szCs w:val="16"/>
                <w:lang w:val="es-ES_tradnl"/>
              </w:rPr>
              <w:t xml:space="preserve"> 15 de </w:t>
            </w:r>
            <w:r w:rsidR="000C05DC" w:rsidRPr="00760F78">
              <w:rPr>
                <w:rFonts w:ascii="Arial" w:hAnsi="Arial" w:cs="Arial"/>
                <w:sz w:val="16"/>
                <w:szCs w:val="16"/>
                <w:lang w:val="es-ES_tradnl"/>
              </w:rPr>
              <w:t>octubre</w:t>
            </w:r>
            <w:r w:rsidRPr="00760F78">
              <w:rPr>
                <w:rFonts w:ascii="Arial" w:hAnsi="Arial" w:cs="Arial"/>
                <w:sz w:val="16"/>
                <w:szCs w:val="16"/>
                <w:lang w:val="es-ES_tradnl"/>
              </w:rPr>
              <w:t xml:space="preserve"> de 1998)</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Se reconoce el financiamiento público para actividades ordinarias y para campañas electorales (artículo 57). El financiamiento ordinario se fijar</w:t>
            </w:r>
            <w:r w:rsidR="006E3DFF" w:rsidRPr="00760F78">
              <w:rPr>
                <w:rFonts w:ascii="Arial" w:hAnsi="Arial" w:cs="Arial"/>
                <w:sz w:val="16"/>
                <w:szCs w:val="16"/>
                <w:lang w:val="es-ES_tradnl"/>
              </w:rPr>
              <w:t>á</w:t>
            </w:r>
            <w:r w:rsidRPr="00760F78">
              <w:rPr>
                <w:rFonts w:ascii="Arial" w:hAnsi="Arial" w:cs="Arial"/>
                <w:sz w:val="16"/>
                <w:szCs w:val="16"/>
                <w:lang w:val="es-ES_tradnl"/>
              </w:rPr>
              <w:t xml:space="preserve"> anualmente -35% del salario mínimo vigente x número total de ciudadanos inscritos en el padrón electoral- El financiamiento público para la obtención del voto se establece con el equivalente al doble del financiamiento para actividades ordinarias</w:t>
            </w:r>
            <w:r w:rsidR="0045260C" w:rsidRPr="00760F78">
              <w:rPr>
                <w:rFonts w:ascii="Arial" w:hAnsi="Arial" w:cs="Arial"/>
                <w:sz w:val="16"/>
                <w:szCs w:val="16"/>
                <w:lang w:val="es-ES_tradnl"/>
              </w:rPr>
              <w:t xml:space="preserve"> (</w:t>
            </w:r>
            <w:r w:rsidR="006E3DFF" w:rsidRPr="00760F78">
              <w:rPr>
                <w:rFonts w:ascii="Arial" w:hAnsi="Arial" w:cs="Arial"/>
                <w:sz w:val="16"/>
                <w:szCs w:val="16"/>
                <w:lang w:val="es-ES_tradnl"/>
              </w:rPr>
              <w:t>a</w:t>
            </w:r>
            <w:r w:rsidRPr="00760F78">
              <w:rPr>
                <w:rFonts w:ascii="Arial" w:hAnsi="Arial" w:cs="Arial"/>
                <w:sz w:val="16"/>
                <w:szCs w:val="16"/>
                <w:lang w:val="es-ES_tradnl"/>
              </w:rPr>
              <w:t>rtículo 58)</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Los partidos políticos tienen la obligación de presentar informes anuales y de campaña ante la Comisión de Fiscalización. En caso de conductas sancionables se sigue notificando al Tribunal Electoral. Los resultados de los informes serán publicados en la Gaceta de Gobierno</w:t>
            </w:r>
            <w:r w:rsidR="0045260C" w:rsidRPr="00760F78">
              <w:rPr>
                <w:rFonts w:ascii="Arial" w:hAnsi="Arial" w:cs="Arial"/>
                <w:sz w:val="16"/>
                <w:szCs w:val="16"/>
                <w:lang w:val="es-ES_tradnl"/>
              </w:rPr>
              <w:t xml:space="preserve"> </w:t>
            </w:r>
            <w:r w:rsidRPr="00760F78">
              <w:rPr>
                <w:rFonts w:ascii="Arial" w:hAnsi="Arial" w:cs="Arial"/>
                <w:sz w:val="16"/>
                <w:szCs w:val="16"/>
                <w:lang w:val="es-ES_tradnl"/>
              </w:rPr>
              <w:t>(</w:t>
            </w:r>
            <w:r w:rsidR="006E3DFF" w:rsidRPr="00760F78">
              <w:rPr>
                <w:rFonts w:ascii="Arial" w:hAnsi="Arial" w:cs="Arial"/>
                <w:sz w:val="16"/>
                <w:szCs w:val="16"/>
                <w:lang w:val="es-ES_tradnl"/>
              </w:rPr>
              <w:t>a</w:t>
            </w:r>
            <w:r w:rsidRPr="00760F78">
              <w:rPr>
                <w:rFonts w:ascii="Arial" w:hAnsi="Arial" w:cs="Arial"/>
                <w:sz w:val="16"/>
                <w:szCs w:val="16"/>
                <w:lang w:val="es-ES_tradnl"/>
              </w:rPr>
              <w:t>rtículo 61)</w:t>
            </w:r>
          </w:p>
        </w:tc>
      </w:tr>
      <w:tr w:rsidR="00A256AB" w:rsidRPr="00760F78" w:rsidTr="00760F78">
        <w:trPr>
          <w:trHeight w:val="1828"/>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1999 (Decreto </w:t>
            </w:r>
            <w:r w:rsidR="00D17CDB" w:rsidRPr="00760F78">
              <w:rPr>
                <w:rFonts w:ascii="Arial" w:hAnsi="Arial" w:cs="Arial"/>
                <w:sz w:val="16"/>
                <w:szCs w:val="16"/>
                <w:lang w:val="es-ES_tradnl"/>
              </w:rPr>
              <w:t>125,</w:t>
            </w:r>
            <w:r w:rsidRPr="00760F78">
              <w:rPr>
                <w:rFonts w:ascii="Arial" w:hAnsi="Arial" w:cs="Arial"/>
                <w:sz w:val="16"/>
                <w:szCs w:val="16"/>
                <w:lang w:val="es-ES_tradnl"/>
              </w:rPr>
              <w:t xml:space="preserve"> 09 de </w:t>
            </w:r>
            <w:r w:rsidR="00D17CDB" w:rsidRPr="00760F78">
              <w:rPr>
                <w:rFonts w:ascii="Arial" w:hAnsi="Arial" w:cs="Arial"/>
                <w:sz w:val="16"/>
                <w:szCs w:val="16"/>
                <w:lang w:val="es-ES_tradnl"/>
              </w:rPr>
              <w:t>octubre</w:t>
            </w:r>
            <w:r w:rsidRPr="00760F78">
              <w:rPr>
                <w:rFonts w:ascii="Arial" w:hAnsi="Arial" w:cs="Arial"/>
                <w:sz w:val="16"/>
                <w:szCs w:val="16"/>
                <w:lang w:val="es-ES_tradnl"/>
              </w:rPr>
              <w:t xml:space="preserve"> de 1999)</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La base para determinar el financiamiento público disminuy</w:t>
            </w:r>
            <w:r w:rsidR="006E3DFF" w:rsidRPr="00760F78">
              <w:rPr>
                <w:rFonts w:ascii="Arial" w:hAnsi="Arial" w:cs="Arial"/>
                <w:sz w:val="16"/>
                <w:szCs w:val="16"/>
                <w:lang w:val="es-ES_tradnl"/>
              </w:rPr>
              <w:t>ó</w:t>
            </w:r>
            <w:r w:rsidRPr="00760F78">
              <w:rPr>
                <w:rFonts w:ascii="Arial" w:hAnsi="Arial" w:cs="Arial"/>
                <w:sz w:val="16"/>
                <w:szCs w:val="16"/>
                <w:lang w:val="es-ES_tradnl"/>
              </w:rPr>
              <w:t xml:space="preserve"> de 50% a 40% del salario mínimo vigente x número total de ciudadanos inscritos en el padrón electoral. Se reglamentan las aportaciones en efectivo mayores a 33DSM, y se permite el autofinanciamiento</w:t>
            </w:r>
            <w:r w:rsidR="0045260C" w:rsidRPr="00760F78">
              <w:rPr>
                <w:rFonts w:ascii="Arial" w:hAnsi="Arial" w:cs="Arial"/>
                <w:sz w:val="16"/>
                <w:szCs w:val="16"/>
                <w:lang w:val="es-ES_tradnl"/>
              </w:rPr>
              <w:t xml:space="preserve"> </w:t>
            </w:r>
            <w:r w:rsidR="005B4EEE" w:rsidRPr="00760F78">
              <w:rPr>
                <w:rFonts w:ascii="Arial" w:hAnsi="Arial" w:cs="Arial"/>
                <w:sz w:val="16"/>
                <w:szCs w:val="16"/>
                <w:lang w:val="es-ES_tradnl"/>
              </w:rPr>
              <w:t>(</w:t>
            </w:r>
            <w:r w:rsidR="006E3DFF" w:rsidRPr="00760F78">
              <w:rPr>
                <w:rFonts w:ascii="Arial" w:hAnsi="Arial" w:cs="Arial"/>
                <w:sz w:val="16"/>
                <w:szCs w:val="16"/>
                <w:lang w:val="es-ES_tradnl"/>
              </w:rPr>
              <w:t>a</w:t>
            </w:r>
            <w:r w:rsidRPr="00760F78">
              <w:rPr>
                <w:rFonts w:ascii="Arial" w:hAnsi="Arial" w:cs="Arial"/>
                <w:sz w:val="16"/>
                <w:szCs w:val="16"/>
                <w:lang w:val="es-ES_tradnl"/>
              </w:rPr>
              <w:t>rtículo 58)</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 xml:space="preserve">Los informes de campaña se presentan a más tardar 3 meses después de la jornada electoral y se pueden realizar revisiones precautorias sobre el cumplimiento de los topes de campaña </w:t>
            </w:r>
            <w:r w:rsidR="005B4EEE" w:rsidRPr="00760F78">
              <w:rPr>
                <w:rFonts w:ascii="Arial" w:hAnsi="Arial" w:cs="Arial"/>
                <w:sz w:val="16"/>
                <w:szCs w:val="16"/>
                <w:lang w:val="es-ES_tradnl"/>
              </w:rPr>
              <w:t>(</w:t>
            </w:r>
            <w:r w:rsidR="006E3DFF" w:rsidRPr="00760F78">
              <w:rPr>
                <w:rFonts w:ascii="Arial" w:hAnsi="Arial" w:cs="Arial"/>
                <w:sz w:val="16"/>
                <w:szCs w:val="16"/>
                <w:lang w:val="es-ES_tradnl"/>
              </w:rPr>
              <w:t>a</w:t>
            </w:r>
            <w:r w:rsidRPr="00760F78">
              <w:rPr>
                <w:rFonts w:ascii="Arial" w:hAnsi="Arial" w:cs="Arial"/>
                <w:sz w:val="16"/>
                <w:szCs w:val="16"/>
                <w:lang w:val="es-ES_tradnl"/>
              </w:rPr>
              <w:t>rtículo 61)</w:t>
            </w:r>
          </w:p>
        </w:tc>
      </w:tr>
      <w:tr w:rsidR="00A256AB" w:rsidRPr="00760F78" w:rsidTr="00760F78">
        <w:trPr>
          <w:trHeight w:val="1261"/>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lastRenderedPageBreak/>
              <w:t xml:space="preserve">2005 (Decreto 128, 11 de </w:t>
            </w:r>
            <w:r w:rsidR="00D17CDB" w:rsidRPr="00760F78">
              <w:rPr>
                <w:rFonts w:ascii="Arial" w:hAnsi="Arial" w:cs="Arial"/>
                <w:sz w:val="16"/>
                <w:szCs w:val="16"/>
                <w:lang w:val="es-ES_tradnl"/>
              </w:rPr>
              <w:t>marzo</w:t>
            </w:r>
            <w:r w:rsidRPr="00760F78">
              <w:rPr>
                <w:rFonts w:ascii="Arial" w:hAnsi="Arial" w:cs="Arial"/>
                <w:sz w:val="16"/>
                <w:szCs w:val="16"/>
                <w:lang w:val="es-ES_tradnl"/>
              </w:rPr>
              <w:t xml:space="preserve"> de 2005)</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Se crea el financiamiento público para precampañas (artículo 57)</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Se establece la obligación de presentar informes de precampaña y campaña a más tardar 15 días después de la selección de candidatos</w:t>
            </w:r>
            <w:r w:rsidR="0045260C" w:rsidRPr="00760F78">
              <w:rPr>
                <w:rFonts w:ascii="Arial" w:hAnsi="Arial" w:cs="Arial"/>
                <w:sz w:val="16"/>
                <w:szCs w:val="16"/>
                <w:lang w:val="es-ES_tradnl"/>
              </w:rPr>
              <w:t xml:space="preserve"> </w:t>
            </w:r>
            <w:r w:rsidRPr="00760F78">
              <w:rPr>
                <w:rFonts w:ascii="Arial" w:hAnsi="Arial" w:cs="Arial"/>
                <w:sz w:val="16"/>
                <w:szCs w:val="16"/>
                <w:lang w:val="es-ES_tradnl"/>
              </w:rPr>
              <w:t>(</w:t>
            </w:r>
            <w:r w:rsidR="0045260C" w:rsidRPr="00760F78">
              <w:rPr>
                <w:rFonts w:ascii="Arial" w:hAnsi="Arial" w:cs="Arial"/>
                <w:sz w:val="16"/>
                <w:szCs w:val="16"/>
                <w:lang w:val="es-ES_tradnl"/>
              </w:rPr>
              <w:t>a</w:t>
            </w:r>
            <w:r w:rsidRPr="00760F78">
              <w:rPr>
                <w:rFonts w:ascii="Arial" w:hAnsi="Arial" w:cs="Arial"/>
                <w:sz w:val="16"/>
                <w:szCs w:val="16"/>
                <w:lang w:val="es-ES_tradnl"/>
              </w:rPr>
              <w:t>rtículo 61, numeral 1)</w:t>
            </w:r>
          </w:p>
        </w:tc>
      </w:tr>
      <w:tr w:rsidR="00A256AB" w:rsidRPr="00760F78" w:rsidTr="00760F78">
        <w:trPr>
          <w:trHeight w:val="1549"/>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2008 (Decreto 196, 10 de </w:t>
            </w:r>
            <w:r w:rsidR="00D17CDB" w:rsidRPr="00760F78">
              <w:rPr>
                <w:rFonts w:ascii="Arial" w:hAnsi="Arial" w:cs="Arial"/>
                <w:sz w:val="16"/>
                <w:szCs w:val="16"/>
                <w:lang w:val="es-ES_tradnl"/>
              </w:rPr>
              <w:t>septiembre</w:t>
            </w:r>
            <w:r w:rsidRPr="00760F78">
              <w:rPr>
                <w:rFonts w:ascii="Arial" w:hAnsi="Arial" w:cs="Arial"/>
                <w:sz w:val="16"/>
                <w:szCs w:val="16"/>
                <w:lang w:val="es-ES_tradnl"/>
              </w:rPr>
              <w:t xml:space="preserve"> de 2008)</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 xml:space="preserve">El financiamiento público para precampaña se establece con el equivalente al 5% del financiamiento para la obtención del voto </w:t>
            </w:r>
            <w:r w:rsidR="00D17CDB" w:rsidRPr="00760F78">
              <w:rPr>
                <w:rFonts w:ascii="Arial" w:hAnsi="Arial" w:cs="Arial"/>
                <w:sz w:val="16"/>
                <w:szCs w:val="16"/>
                <w:lang w:val="es-ES_tradnl"/>
              </w:rPr>
              <w:t>y las</w:t>
            </w:r>
            <w:r w:rsidRPr="00760F78">
              <w:rPr>
                <w:rFonts w:ascii="Arial" w:hAnsi="Arial" w:cs="Arial"/>
                <w:sz w:val="16"/>
                <w:szCs w:val="16"/>
                <w:lang w:val="es-ES_tradnl"/>
              </w:rPr>
              <w:t xml:space="preserve"> actividades específicas se </w:t>
            </w:r>
            <w:r w:rsidR="00D17CDB" w:rsidRPr="00760F78">
              <w:rPr>
                <w:rFonts w:ascii="Arial" w:hAnsi="Arial" w:cs="Arial"/>
                <w:sz w:val="16"/>
                <w:szCs w:val="16"/>
                <w:lang w:val="es-ES_tradnl"/>
              </w:rPr>
              <w:t>apoyarán</w:t>
            </w:r>
            <w:r w:rsidRPr="00760F78">
              <w:rPr>
                <w:rFonts w:ascii="Arial" w:hAnsi="Arial" w:cs="Arial"/>
                <w:sz w:val="16"/>
                <w:szCs w:val="16"/>
                <w:lang w:val="es-ES_tradnl"/>
              </w:rPr>
              <w:t xml:space="preserve"> con el 2% del monto correspondiente a ordinario</w:t>
            </w:r>
            <w:r w:rsidR="004710DD" w:rsidRPr="00760F78">
              <w:rPr>
                <w:rFonts w:ascii="Arial" w:hAnsi="Arial" w:cs="Arial"/>
                <w:sz w:val="16"/>
                <w:szCs w:val="16"/>
                <w:lang w:val="es-ES_tradnl"/>
              </w:rPr>
              <w:t xml:space="preserve"> </w:t>
            </w:r>
            <w:r w:rsidRPr="00760F78">
              <w:rPr>
                <w:rFonts w:ascii="Arial" w:hAnsi="Arial" w:cs="Arial"/>
                <w:sz w:val="16"/>
                <w:szCs w:val="16"/>
                <w:lang w:val="es-ES_tradnl"/>
              </w:rPr>
              <w:t>(artículo 58)</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Se crea el Órgano Técnico de Fiscalización</w:t>
            </w:r>
            <w:r w:rsidRPr="00760F78">
              <w:rPr>
                <w:rStyle w:val="Refdenotaalpie"/>
                <w:rFonts w:ascii="Arial" w:hAnsi="Arial" w:cs="Arial"/>
                <w:sz w:val="16"/>
                <w:szCs w:val="16"/>
                <w:lang w:val="es-ES_tradnl"/>
              </w:rPr>
              <w:footnoteReference w:id="14"/>
            </w:r>
            <w:r w:rsidRPr="00760F78">
              <w:rPr>
                <w:rFonts w:ascii="Arial" w:hAnsi="Arial" w:cs="Arial"/>
                <w:sz w:val="16"/>
                <w:szCs w:val="16"/>
                <w:lang w:val="es-ES_tradnl"/>
              </w:rPr>
              <w:t xml:space="preserve"> del IEEM, quien será el encargado de llevar a cabo la fiscalización de las finanzas de los partidos políticos (</w:t>
            </w:r>
            <w:r w:rsidR="0045260C" w:rsidRPr="00760F78">
              <w:rPr>
                <w:rFonts w:ascii="Arial" w:hAnsi="Arial" w:cs="Arial"/>
                <w:sz w:val="16"/>
                <w:szCs w:val="16"/>
                <w:lang w:val="es-ES_tradnl"/>
              </w:rPr>
              <w:t>a</w:t>
            </w:r>
            <w:r w:rsidRPr="00760F78">
              <w:rPr>
                <w:rFonts w:ascii="Arial" w:hAnsi="Arial" w:cs="Arial"/>
                <w:sz w:val="16"/>
                <w:szCs w:val="16"/>
                <w:lang w:val="es-ES_tradnl"/>
              </w:rPr>
              <w:t>rtículo 62)</w:t>
            </w:r>
          </w:p>
        </w:tc>
      </w:tr>
      <w:tr w:rsidR="00A256AB" w:rsidRPr="00760F78" w:rsidTr="00C234C9">
        <w:trPr>
          <w:trHeight w:val="1562"/>
          <w:jc w:val="center"/>
        </w:trPr>
        <w:tc>
          <w:tcPr>
            <w:tcW w:w="74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 xml:space="preserve">2010 (Decreto 175 25 de </w:t>
            </w:r>
            <w:r w:rsidR="00D17CDB" w:rsidRPr="00760F78">
              <w:rPr>
                <w:rFonts w:ascii="Arial" w:hAnsi="Arial" w:cs="Arial"/>
                <w:sz w:val="16"/>
                <w:szCs w:val="16"/>
                <w:lang w:val="es-ES_tradnl"/>
              </w:rPr>
              <w:t>septiembre</w:t>
            </w:r>
            <w:r w:rsidRPr="00760F78">
              <w:rPr>
                <w:rFonts w:ascii="Arial" w:hAnsi="Arial" w:cs="Arial"/>
                <w:sz w:val="16"/>
                <w:szCs w:val="16"/>
                <w:lang w:val="es-ES_tradnl"/>
              </w:rPr>
              <w:t xml:space="preserve"> de 2010)</w:t>
            </w:r>
          </w:p>
        </w:tc>
        <w:tc>
          <w:tcPr>
            <w:tcW w:w="918" w:type="pct"/>
            <w:vAlign w:val="center"/>
          </w:tcPr>
          <w:p w:rsidR="00A256AB" w:rsidRPr="00760F78" w:rsidRDefault="00A256AB" w:rsidP="00A31A35">
            <w:pPr>
              <w:jc w:val="center"/>
              <w:rPr>
                <w:rFonts w:ascii="Arial" w:hAnsi="Arial" w:cs="Arial"/>
                <w:sz w:val="16"/>
                <w:szCs w:val="16"/>
                <w:lang w:val="es-ES_tradnl"/>
              </w:rPr>
            </w:pPr>
            <w:r w:rsidRPr="00760F78">
              <w:rPr>
                <w:rFonts w:ascii="Arial" w:hAnsi="Arial" w:cs="Arial"/>
                <w:sz w:val="16"/>
                <w:szCs w:val="16"/>
                <w:lang w:val="es-ES_tradnl"/>
              </w:rPr>
              <w:t>Código Electoral del Estado de México</w:t>
            </w:r>
          </w:p>
        </w:tc>
        <w:tc>
          <w:tcPr>
            <w:tcW w:w="1669"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El financiamiento público para la obtención del voto disminuye al equivalente al 180</w:t>
            </w:r>
            <w:r w:rsidR="00D17CDB" w:rsidRPr="00760F78">
              <w:rPr>
                <w:rFonts w:ascii="Arial" w:hAnsi="Arial" w:cs="Arial"/>
                <w:sz w:val="16"/>
                <w:szCs w:val="16"/>
                <w:lang w:val="es-ES_tradnl"/>
              </w:rPr>
              <w:t>% del</w:t>
            </w:r>
            <w:r w:rsidRPr="00760F78">
              <w:rPr>
                <w:rFonts w:ascii="Arial" w:hAnsi="Arial" w:cs="Arial"/>
                <w:sz w:val="16"/>
                <w:szCs w:val="16"/>
                <w:lang w:val="es-ES_tradnl"/>
              </w:rPr>
              <w:t xml:space="preserve"> financiamiento para actividades ordinarias durante el año del proceso</w:t>
            </w:r>
            <w:r w:rsidR="0045260C" w:rsidRPr="00760F78">
              <w:rPr>
                <w:rFonts w:ascii="Arial" w:hAnsi="Arial" w:cs="Arial"/>
                <w:sz w:val="16"/>
                <w:szCs w:val="16"/>
                <w:lang w:val="es-ES_tradnl"/>
              </w:rPr>
              <w:t xml:space="preserve"> (</w:t>
            </w:r>
            <w:r w:rsidRPr="00760F78">
              <w:rPr>
                <w:rFonts w:ascii="Arial" w:hAnsi="Arial" w:cs="Arial"/>
                <w:sz w:val="16"/>
                <w:szCs w:val="16"/>
                <w:lang w:val="es-ES_tradnl"/>
              </w:rPr>
              <w:t>artículo 58)</w:t>
            </w:r>
          </w:p>
        </w:tc>
        <w:tc>
          <w:tcPr>
            <w:tcW w:w="1665" w:type="pct"/>
            <w:vAlign w:val="center"/>
          </w:tcPr>
          <w:p w:rsidR="00A256AB" w:rsidRPr="00760F78" w:rsidRDefault="00A256AB" w:rsidP="00A31A35">
            <w:pPr>
              <w:jc w:val="both"/>
              <w:rPr>
                <w:rFonts w:ascii="Arial" w:hAnsi="Arial" w:cs="Arial"/>
                <w:sz w:val="16"/>
                <w:szCs w:val="16"/>
                <w:lang w:val="es-ES_tradnl"/>
              </w:rPr>
            </w:pPr>
            <w:r w:rsidRPr="00760F78">
              <w:rPr>
                <w:rFonts w:ascii="Arial" w:hAnsi="Arial" w:cs="Arial"/>
                <w:sz w:val="16"/>
                <w:szCs w:val="16"/>
                <w:lang w:val="es-ES_tradnl"/>
              </w:rPr>
              <w:t>Sin previsiones</w:t>
            </w:r>
          </w:p>
        </w:tc>
      </w:tr>
    </w:tbl>
    <w:p w:rsidR="00A256AB" w:rsidRPr="00B706D9" w:rsidRDefault="00A256AB" w:rsidP="00B706D9">
      <w:pPr>
        <w:jc w:val="both"/>
        <w:rPr>
          <w:rFonts w:ascii="Arial" w:hAnsi="Arial" w:cs="Arial"/>
          <w:i/>
          <w:sz w:val="16"/>
          <w:szCs w:val="16"/>
        </w:rPr>
      </w:pPr>
      <w:r w:rsidRPr="00B706D9">
        <w:rPr>
          <w:rFonts w:ascii="Arial" w:hAnsi="Arial" w:cs="Arial"/>
          <w:b/>
          <w:i/>
          <w:sz w:val="16"/>
          <w:szCs w:val="16"/>
        </w:rPr>
        <w:t>Fuente:</w:t>
      </w:r>
      <w:r w:rsidRPr="00B706D9">
        <w:rPr>
          <w:rFonts w:ascii="Arial" w:hAnsi="Arial" w:cs="Arial"/>
          <w:i/>
          <w:sz w:val="16"/>
          <w:szCs w:val="16"/>
        </w:rPr>
        <w:t xml:space="preserve"> Elaboración propia con información de las diferentes gacetas de gobierno en las que se publicaron las reformas</w:t>
      </w:r>
    </w:p>
    <w:p w:rsidR="00B706D9" w:rsidRPr="00A85D78" w:rsidRDefault="00B706D9" w:rsidP="00A256AB">
      <w:pPr>
        <w:jc w:val="center"/>
        <w:rPr>
          <w:rFonts w:ascii="Arial" w:hAnsi="Arial" w:cs="Arial"/>
          <w:sz w:val="20"/>
          <w:szCs w:val="20"/>
        </w:rPr>
      </w:pPr>
    </w:p>
    <w:p w:rsidR="003D3FE2" w:rsidRDefault="003D3FE2" w:rsidP="00A256AB">
      <w:pPr>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El Estado de México, es una entidad que se ha caracterizado por estar a la vanguardia en cuanto a aspectos de la vida política y gubernamental; el ámbito electoral y su respectivo marco legal no son la excepción, como podemos observar en la Tabla 5, la legislación en materia de financiamiento público y fiscalización fue adaptándose a la par de los grandes cambios producidos por la reformas en el ámbito federal; cabe destacar la creación del Órgano Técnico de Fiscalización del IEEM,  pionero en las Entidades Federativas y funcional hasta el año 2014, dado que a partir del ejercicio 2015, el INE hizo uso de sus facultades de fiscalización a raíz de la última reforma electoral.</w:t>
      </w:r>
    </w:p>
    <w:p w:rsidR="003D3FE2" w:rsidRDefault="003D3FE2" w:rsidP="003D3FE2">
      <w:pPr>
        <w:spacing w:line="360" w:lineRule="auto"/>
        <w:jc w:val="both"/>
        <w:rPr>
          <w:rFonts w:ascii="Arial" w:hAnsi="Arial" w:cs="Arial"/>
          <w:sz w:val="24"/>
          <w:szCs w:val="24"/>
        </w:rPr>
      </w:pPr>
    </w:p>
    <w:p w:rsidR="003D3FE2" w:rsidRPr="00A85D78" w:rsidRDefault="003D3FE2" w:rsidP="003D3FE2">
      <w:pPr>
        <w:spacing w:line="360" w:lineRule="auto"/>
        <w:jc w:val="both"/>
        <w:rPr>
          <w:rFonts w:ascii="Arial" w:hAnsi="Arial" w:cs="Arial"/>
          <w:sz w:val="24"/>
          <w:szCs w:val="24"/>
        </w:rPr>
      </w:pPr>
    </w:p>
    <w:p w:rsidR="00A256AB" w:rsidRPr="003D3FE2" w:rsidRDefault="00A256AB" w:rsidP="003D3FE2">
      <w:pPr>
        <w:spacing w:line="360" w:lineRule="auto"/>
        <w:rPr>
          <w:rFonts w:ascii="Arial" w:hAnsi="Arial" w:cs="Arial"/>
          <w:b/>
          <w:sz w:val="24"/>
          <w:szCs w:val="24"/>
        </w:rPr>
      </w:pPr>
      <w:r w:rsidRPr="003D3FE2">
        <w:rPr>
          <w:rFonts w:ascii="Arial" w:hAnsi="Arial" w:cs="Arial"/>
          <w:b/>
          <w:sz w:val="24"/>
          <w:szCs w:val="24"/>
        </w:rPr>
        <w:t xml:space="preserve">1.6 Problema de </w:t>
      </w:r>
      <w:r w:rsidR="003D1A3D">
        <w:rPr>
          <w:rFonts w:ascii="Arial" w:hAnsi="Arial" w:cs="Arial"/>
          <w:b/>
          <w:sz w:val="24"/>
          <w:szCs w:val="24"/>
        </w:rPr>
        <w:t>i</w:t>
      </w:r>
      <w:r w:rsidRPr="003D3FE2">
        <w:rPr>
          <w:rFonts w:ascii="Arial" w:hAnsi="Arial" w:cs="Arial"/>
          <w:b/>
          <w:sz w:val="24"/>
          <w:szCs w:val="24"/>
        </w:rPr>
        <w:t>nvestigación.</w:t>
      </w: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La fiscalización es un proceso que se inició a principios de la década de los noventas tanto en el ámbito federal como en el local; el Estado de México al ser una Entidad cercana a la capital del país y una de la más pobladas siempre ha estado a la vanguardia institucional y jurídica de la vida política y democrática.</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 xml:space="preserve">En este contexto el Estado de México ha buscado adaptar su legislación lo más pronto posible a los cambios que se susciten en el ámbito federal; en el caso de </w:t>
      </w:r>
      <w:r w:rsidRPr="00A85D78">
        <w:rPr>
          <w:rFonts w:ascii="Arial" w:hAnsi="Arial" w:cs="Arial"/>
          <w:sz w:val="24"/>
          <w:szCs w:val="24"/>
        </w:rPr>
        <w:lastRenderedPageBreak/>
        <w:t>la fiscalización no es la excepción y la entidad inicio a desarrollar mecanismos de fiscalización a la par que en el ámbito federal en 1990.</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El parteaguas en la manera de fiscalizar los recursos de los partidos políticos se dio a partir de 1996, cuando el IFE se desprendió de la tutela del Secretario de Gobernación y este hecho repercutió en el Estado de México, donde se extingue la Comisión Estatal Electoral y se crea el Instituto Electoral del Estado de México (IEEM) como organismo público y autónomo. Es a partir de este momento que el IEEM es el encargado de la fiscalización de los recursos de los partidos políticos en la Entidad.</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 xml:space="preserve">Desde 1996 a 2008, el IEEM realizó esta tarea a través de una Comisión integrada por Consejeros </w:t>
      </w:r>
      <w:r w:rsidR="00136605" w:rsidRPr="00A85D78">
        <w:rPr>
          <w:rFonts w:ascii="Arial" w:hAnsi="Arial" w:cs="Arial"/>
          <w:sz w:val="24"/>
          <w:szCs w:val="24"/>
        </w:rPr>
        <w:t>E</w:t>
      </w:r>
      <w:r w:rsidRPr="00A85D78">
        <w:rPr>
          <w:rFonts w:ascii="Arial" w:hAnsi="Arial" w:cs="Arial"/>
          <w:sz w:val="24"/>
          <w:szCs w:val="24"/>
        </w:rPr>
        <w:t>lectorales; a partir de 2008 se crea la Unidad Técnica de Fiscalización del IEEM, organismo encargado de la fiscalización de los recursos de los partidos políticos hasta 2014. Durante el periodo que la Unidad Técnica de Fiscalización del IEEM, revis</w:t>
      </w:r>
      <w:r w:rsidR="0045260C" w:rsidRPr="00A85D78">
        <w:rPr>
          <w:rFonts w:ascii="Arial" w:hAnsi="Arial" w:cs="Arial"/>
          <w:sz w:val="24"/>
          <w:szCs w:val="24"/>
        </w:rPr>
        <w:t>ó</w:t>
      </w:r>
      <w:r w:rsidRPr="00A85D78">
        <w:rPr>
          <w:rFonts w:ascii="Arial" w:hAnsi="Arial" w:cs="Arial"/>
          <w:sz w:val="24"/>
          <w:szCs w:val="24"/>
        </w:rPr>
        <w:t xml:space="preserve"> los ingresos y gastos de campaña en el ámbito local, los procesos de revisión y auditoría se profesionalizaron obteniendo incluso este órgano la certificación FS 570482 en Sistema de Gestión de la Calidad bajo los parámetros de la norma ISO 9001:2008, expedido por la casa certificadora BSI </w:t>
      </w:r>
      <w:proofErr w:type="spellStart"/>
      <w:r w:rsidRPr="00A85D78">
        <w:rPr>
          <w:rFonts w:ascii="Arial" w:hAnsi="Arial" w:cs="Arial"/>
          <w:sz w:val="24"/>
          <w:szCs w:val="24"/>
        </w:rPr>
        <w:t>Group</w:t>
      </w:r>
      <w:proofErr w:type="spellEnd"/>
      <w:r w:rsidRPr="00A85D78">
        <w:rPr>
          <w:rFonts w:ascii="Arial" w:hAnsi="Arial" w:cs="Arial"/>
          <w:sz w:val="24"/>
          <w:szCs w:val="24"/>
        </w:rPr>
        <w:t xml:space="preserve"> México, S. de R.L. de C.V., en el año de 2011.</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 xml:space="preserve">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el trabajo realizado por el órgano fiscalizador local, no tuvo un impacto en la disminución de las conductas sancionadas por parte de los partidos políticos, debido a las sanciones económicas impuestas a lo largo de tres procesos electorales locales 2009, 2011 y 2012, no impactaron de forma significativa en las finanzas de los partidos políticos.</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El extinto Instituto Federal Electoral (IFE), juzgaba con mayor dureza las faltas cometidas por los partidos políticos desde su ámbito de acción en elecciones de Presidente de la República, Senadores y Diputados Federales, por lo que el trasfondo de la reforma electoral de 2014, fue ampliar las facultades del recién creado Instituto Nacional Electoral (INE) para fiscalizar los procesos electorales locales y juzgar con la misma rigidez las conductas fuera de la ley de los partidos en cuanto al uso de recursos.</w:t>
      </w: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lastRenderedPageBreak/>
        <w:t>El cambio de autoridad fiscalizadora en el Estado de México, tuvo un impacto inmediato que sacudió las finanzas de los partidos políticos locales, mientras que durante la última intervención de la Unidad Técnica de Fiscalización del IEEM en el proceso electoral de 2012 las multas económicas impuestas en precampaña y campaña ascendieron a $583,140.00 en conjunto por todos los partidos; para el año de 2015, durante la primera revisión a cargo de la Unidad Técnica de Fiscalización del INE, únicamente en precampaña se aplicaron $18,697,701.478 en sanciones.</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Los trabajos de auditor</w:t>
      </w:r>
      <w:r w:rsidR="0045260C" w:rsidRPr="00A85D78">
        <w:rPr>
          <w:rFonts w:ascii="Arial" w:hAnsi="Arial" w:cs="Arial"/>
          <w:sz w:val="24"/>
          <w:szCs w:val="24"/>
        </w:rPr>
        <w:t>í</w:t>
      </w:r>
      <w:r w:rsidRPr="00A85D78">
        <w:rPr>
          <w:rFonts w:ascii="Arial" w:hAnsi="Arial" w:cs="Arial"/>
          <w:sz w:val="24"/>
          <w:szCs w:val="24"/>
        </w:rPr>
        <w:t xml:space="preserve">a realizados por los órganos fiscalizadores del IEEM y del INE son muy parecidos,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diferencia en los montos de las sanciones impuestas a los partidos políticos parte de la discrecionalidad en la graduación de las conductas infractoras de los partidos políticos, facultad de las Comisiones dependientes del Consejo General de los órganos electorales ejercida a través de los órganos fiscalizadores.</w:t>
      </w:r>
    </w:p>
    <w:p w:rsidR="003D3FE2" w:rsidRPr="00A85D78" w:rsidRDefault="003D3FE2" w:rsidP="003D3FE2">
      <w:pPr>
        <w:spacing w:line="360" w:lineRule="auto"/>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 xml:space="preserve">Si tomamos en consideración que los partidos políticos en el ámbito local tienen sus cotos de poder en el seno del Consejo General del órgano electoral, </w:t>
      </w:r>
      <w:proofErr w:type="gramStart"/>
      <w:r w:rsidRPr="00A85D78">
        <w:rPr>
          <w:rFonts w:ascii="Arial" w:hAnsi="Arial" w:cs="Arial"/>
          <w:sz w:val="24"/>
          <w:szCs w:val="24"/>
        </w:rPr>
        <w:t>ya que</w:t>
      </w:r>
      <w:proofErr w:type="gramEnd"/>
      <w:r w:rsidRPr="00A85D78">
        <w:rPr>
          <w:rFonts w:ascii="Arial" w:hAnsi="Arial" w:cs="Arial"/>
          <w:sz w:val="24"/>
          <w:szCs w:val="24"/>
        </w:rPr>
        <w:t xml:space="preserve"> con anterioridad a la reforma electoral de 2014, los Consejeros eran nombrados en muchas ocasiones por acuerdos </w:t>
      </w:r>
      <w:r w:rsidR="00136605" w:rsidRPr="00A85D78">
        <w:rPr>
          <w:rFonts w:ascii="Arial" w:hAnsi="Arial" w:cs="Arial"/>
          <w:sz w:val="24"/>
          <w:szCs w:val="24"/>
        </w:rPr>
        <w:t>entre los</w:t>
      </w:r>
      <w:r w:rsidRPr="00A85D78">
        <w:rPr>
          <w:rFonts w:ascii="Arial" w:hAnsi="Arial" w:cs="Arial"/>
          <w:sz w:val="24"/>
          <w:szCs w:val="24"/>
        </w:rPr>
        <w:t xml:space="preserve"> partidos políticos a través del Congreso Estatal, con la finalidad de tener salvaguardados sus intereses en el seno del Consejo General del órgano electoral. Una clara muestra de ello es el Mtro. Isael Teodomiro Montoya Arce quien fue </w:t>
      </w:r>
      <w:r w:rsidR="0045260C" w:rsidRPr="00A85D78">
        <w:rPr>
          <w:rFonts w:ascii="Arial" w:hAnsi="Arial" w:cs="Arial"/>
          <w:sz w:val="24"/>
          <w:szCs w:val="24"/>
        </w:rPr>
        <w:t>C</w:t>
      </w:r>
      <w:r w:rsidRPr="00A85D78">
        <w:rPr>
          <w:rFonts w:ascii="Arial" w:hAnsi="Arial" w:cs="Arial"/>
          <w:sz w:val="24"/>
          <w:szCs w:val="24"/>
        </w:rPr>
        <w:t xml:space="preserve">onsejero </w:t>
      </w:r>
      <w:r w:rsidR="0045260C" w:rsidRPr="00A85D78">
        <w:rPr>
          <w:rFonts w:ascii="Arial" w:hAnsi="Arial" w:cs="Arial"/>
          <w:sz w:val="24"/>
          <w:szCs w:val="24"/>
        </w:rPr>
        <w:t>E</w:t>
      </w:r>
      <w:r w:rsidRPr="00A85D78">
        <w:rPr>
          <w:rFonts w:ascii="Arial" w:hAnsi="Arial" w:cs="Arial"/>
          <w:sz w:val="24"/>
          <w:szCs w:val="24"/>
        </w:rPr>
        <w:t>lectoral del IEEM entre 2004 y 2005 y quien actualmente funge como Representante del Partido Revolucionario Institucional ante el Consejo General del IEEM.</w:t>
      </w:r>
    </w:p>
    <w:p w:rsidR="003D3FE2" w:rsidRPr="00A85D78" w:rsidRDefault="003D3FE2" w:rsidP="003D3FE2">
      <w:pPr>
        <w:spacing w:line="360" w:lineRule="auto"/>
        <w:jc w:val="both"/>
        <w:rPr>
          <w:rFonts w:ascii="Arial" w:hAnsi="Arial" w:cs="Arial"/>
          <w:sz w:val="24"/>
          <w:szCs w:val="24"/>
        </w:rPr>
      </w:pPr>
    </w:p>
    <w:p w:rsidR="00A256AB" w:rsidRPr="00A85D78" w:rsidRDefault="00A256AB" w:rsidP="003D3FE2">
      <w:pPr>
        <w:spacing w:line="360" w:lineRule="auto"/>
        <w:jc w:val="both"/>
        <w:rPr>
          <w:rFonts w:ascii="Arial" w:hAnsi="Arial" w:cs="Arial"/>
          <w:sz w:val="24"/>
          <w:szCs w:val="24"/>
        </w:rPr>
      </w:pPr>
      <w:r w:rsidRPr="00A85D78">
        <w:rPr>
          <w:rFonts w:ascii="Arial" w:hAnsi="Arial" w:cs="Arial"/>
          <w:sz w:val="24"/>
          <w:szCs w:val="24"/>
        </w:rPr>
        <w:t>En este sentido Corona (2012), afirma:</w:t>
      </w:r>
    </w:p>
    <w:p w:rsidR="00A256AB" w:rsidRDefault="00A256AB" w:rsidP="003D3FE2">
      <w:pPr>
        <w:spacing w:line="360" w:lineRule="auto"/>
        <w:ind w:left="709"/>
        <w:jc w:val="both"/>
        <w:rPr>
          <w:rFonts w:ascii="Arial" w:hAnsi="Arial" w:cs="Arial"/>
          <w:sz w:val="24"/>
          <w:szCs w:val="24"/>
        </w:rPr>
      </w:pPr>
      <w:r w:rsidRPr="00A85D78">
        <w:rPr>
          <w:rFonts w:ascii="Arial" w:hAnsi="Arial" w:cs="Arial"/>
          <w:sz w:val="24"/>
          <w:szCs w:val="24"/>
        </w:rPr>
        <w:t xml:space="preserve">“El IEEM está muy impregnado por los intereses partidistas. Desde su fundación se ha integrado, en todos sus niveles, por gente identificada con los partidos políticos, salvo excepciones, aunque a partir de 2009 este hecho se recrudeció. A pesar de que la parcialidad está prohibida legalmente en los órganos superiores del instituto, lo cierto es que casi todos sus integrantes tuvieron vínculos estrechos con los partidos que los </w:t>
      </w:r>
      <w:r w:rsidRPr="00A85D78">
        <w:rPr>
          <w:rFonts w:ascii="Arial" w:hAnsi="Arial" w:cs="Arial"/>
          <w:sz w:val="24"/>
          <w:szCs w:val="24"/>
        </w:rPr>
        <w:lastRenderedPageBreak/>
        <w:t>propusieron y de los cuales no han querido o no han podido desligarse, por razones políticas, económicas e incluso familiares” (pág. 32)</w:t>
      </w:r>
      <w:r w:rsidR="003D3FE2">
        <w:rPr>
          <w:rFonts w:ascii="Arial" w:hAnsi="Arial" w:cs="Arial"/>
          <w:sz w:val="24"/>
          <w:szCs w:val="24"/>
        </w:rPr>
        <w:t>.</w:t>
      </w:r>
    </w:p>
    <w:p w:rsidR="003D3FE2" w:rsidRPr="00A85D78" w:rsidRDefault="003D3FE2" w:rsidP="003D3FE2">
      <w:pPr>
        <w:spacing w:line="360" w:lineRule="auto"/>
        <w:ind w:left="709"/>
        <w:jc w:val="both"/>
        <w:rPr>
          <w:rFonts w:ascii="Arial" w:hAnsi="Arial" w:cs="Arial"/>
          <w:sz w:val="24"/>
          <w:szCs w:val="24"/>
        </w:rPr>
      </w:pPr>
    </w:p>
    <w:p w:rsidR="00A256AB" w:rsidRDefault="00A256AB" w:rsidP="003D3FE2">
      <w:pPr>
        <w:spacing w:line="360" w:lineRule="auto"/>
        <w:jc w:val="both"/>
        <w:rPr>
          <w:rFonts w:ascii="Arial" w:hAnsi="Arial" w:cs="Arial"/>
          <w:sz w:val="24"/>
          <w:szCs w:val="24"/>
        </w:rPr>
      </w:pPr>
      <w:r w:rsidRPr="00A85D78">
        <w:rPr>
          <w:rFonts w:ascii="Arial" w:hAnsi="Arial" w:cs="Arial"/>
          <w:sz w:val="24"/>
          <w:szCs w:val="24"/>
        </w:rPr>
        <w:t>Basta con revisar la integración del Consejo General del IEEM durante 2008 y 2009, para ver que partidos propusieron a los Consejeros Electorales, mismos que se presentan en las tablas 1.6 y 1.7</w:t>
      </w:r>
      <w:r w:rsidR="003D3FE2">
        <w:rPr>
          <w:rFonts w:ascii="Arial" w:hAnsi="Arial" w:cs="Arial"/>
          <w:sz w:val="24"/>
          <w:szCs w:val="24"/>
        </w:rPr>
        <w:t>.</w:t>
      </w:r>
    </w:p>
    <w:p w:rsidR="003D3FE2" w:rsidRPr="00A85D78" w:rsidRDefault="003D3FE2" w:rsidP="003D3FE2">
      <w:pPr>
        <w:spacing w:line="360" w:lineRule="auto"/>
        <w:jc w:val="both"/>
        <w:rPr>
          <w:rFonts w:ascii="Arial" w:hAnsi="Arial" w:cs="Arial"/>
          <w:sz w:val="24"/>
          <w:szCs w:val="24"/>
        </w:rPr>
      </w:pPr>
    </w:p>
    <w:p w:rsidR="00A256AB" w:rsidRPr="004757D8" w:rsidRDefault="00A256AB" w:rsidP="009F1C04">
      <w:pPr>
        <w:pStyle w:val="Sinespaciado"/>
        <w:contextualSpacing/>
        <w:jc w:val="both"/>
        <w:rPr>
          <w:rStyle w:val="Ttulodellibro"/>
          <w:rFonts w:ascii="Arial" w:hAnsi="Arial" w:cs="Arial"/>
          <w:b/>
          <w:i/>
          <w:color w:val="auto"/>
          <w:sz w:val="20"/>
          <w:szCs w:val="20"/>
        </w:rPr>
      </w:pPr>
      <w:r w:rsidRPr="004757D8">
        <w:rPr>
          <w:rStyle w:val="Ttulodellibro"/>
          <w:rFonts w:ascii="Arial" w:hAnsi="Arial" w:cs="Arial"/>
          <w:b/>
          <w:i/>
          <w:color w:val="auto"/>
          <w:sz w:val="20"/>
          <w:szCs w:val="20"/>
        </w:rPr>
        <w:t>Tabla 1.6. Integración del Consejo General del IEEM agosto 2008 – septiembre 2009</w:t>
      </w:r>
    </w:p>
    <w:p w:rsidR="004757D8" w:rsidRPr="00A85D78" w:rsidRDefault="004757D8"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3153"/>
        <w:gridCol w:w="3153"/>
        <w:gridCol w:w="2188"/>
      </w:tblGrid>
      <w:tr w:rsidR="00A256AB" w:rsidRPr="004757D8" w:rsidTr="00C234C9">
        <w:trPr>
          <w:jc w:val="center"/>
        </w:trPr>
        <w:tc>
          <w:tcPr>
            <w:tcW w:w="1856" w:type="pct"/>
            <w:shd w:val="clear" w:color="auto" w:fill="FBE4D5" w:themeFill="accent2" w:themeFillTint="33"/>
            <w:vAlign w:val="center"/>
          </w:tcPr>
          <w:p w:rsidR="00A256AB" w:rsidRPr="004757D8" w:rsidRDefault="00A256AB" w:rsidP="00A256AB">
            <w:pPr>
              <w:jc w:val="center"/>
              <w:rPr>
                <w:rFonts w:ascii="Arial" w:hAnsi="Arial" w:cs="Arial"/>
                <w:b/>
                <w:bCs/>
                <w:caps/>
                <w:sz w:val="18"/>
                <w:szCs w:val="18"/>
                <w:lang w:val="es-ES_tradnl"/>
              </w:rPr>
            </w:pPr>
            <w:r w:rsidRPr="004757D8">
              <w:rPr>
                <w:rFonts w:ascii="Arial" w:hAnsi="Arial" w:cs="Arial"/>
                <w:b/>
                <w:bCs/>
                <w:caps/>
                <w:sz w:val="18"/>
                <w:szCs w:val="18"/>
                <w:lang w:val="es-ES_tradnl"/>
              </w:rPr>
              <w:t>Nombre</w:t>
            </w:r>
          </w:p>
        </w:tc>
        <w:tc>
          <w:tcPr>
            <w:tcW w:w="1856" w:type="pct"/>
            <w:shd w:val="clear" w:color="auto" w:fill="FBE4D5" w:themeFill="accent2" w:themeFillTint="33"/>
            <w:vAlign w:val="center"/>
          </w:tcPr>
          <w:p w:rsidR="00A256AB" w:rsidRPr="004757D8" w:rsidRDefault="00A256AB" w:rsidP="00A256AB">
            <w:pPr>
              <w:jc w:val="center"/>
              <w:rPr>
                <w:rFonts w:ascii="Arial" w:hAnsi="Arial" w:cs="Arial"/>
                <w:b/>
                <w:bCs/>
                <w:caps/>
                <w:sz w:val="18"/>
                <w:szCs w:val="18"/>
                <w:lang w:val="es-ES_tradnl"/>
              </w:rPr>
            </w:pPr>
            <w:r w:rsidRPr="004757D8">
              <w:rPr>
                <w:rFonts w:ascii="Arial" w:hAnsi="Arial" w:cs="Arial"/>
                <w:b/>
                <w:bCs/>
                <w:caps/>
                <w:sz w:val="18"/>
                <w:szCs w:val="18"/>
                <w:lang w:val="es-ES_tradnl"/>
              </w:rPr>
              <w:t>Cargo</w:t>
            </w:r>
          </w:p>
        </w:tc>
        <w:tc>
          <w:tcPr>
            <w:tcW w:w="1288" w:type="pct"/>
            <w:shd w:val="clear" w:color="auto" w:fill="FBE4D5" w:themeFill="accent2" w:themeFillTint="33"/>
            <w:vAlign w:val="center"/>
          </w:tcPr>
          <w:p w:rsidR="00A256AB" w:rsidRPr="004757D8" w:rsidRDefault="00A256AB" w:rsidP="00A256AB">
            <w:pPr>
              <w:jc w:val="center"/>
              <w:rPr>
                <w:rFonts w:ascii="Arial" w:hAnsi="Arial" w:cs="Arial"/>
                <w:b/>
                <w:bCs/>
                <w:caps/>
                <w:sz w:val="18"/>
                <w:szCs w:val="18"/>
                <w:lang w:val="es-ES_tradnl"/>
              </w:rPr>
            </w:pPr>
            <w:r w:rsidRPr="004757D8">
              <w:rPr>
                <w:rFonts w:ascii="Arial" w:hAnsi="Arial" w:cs="Arial"/>
                <w:b/>
                <w:bCs/>
                <w:caps/>
                <w:sz w:val="18"/>
                <w:szCs w:val="18"/>
                <w:lang w:val="es-ES_tradnl"/>
              </w:rPr>
              <w:t>Partido Proponente</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Norberto Hernández Bautista</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 xml:space="preserve">Consejero </w:t>
            </w:r>
            <w:proofErr w:type="gramStart"/>
            <w:r w:rsidRPr="004757D8">
              <w:rPr>
                <w:rFonts w:ascii="Arial" w:hAnsi="Arial" w:cs="Arial"/>
                <w:sz w:val="18"/>
                <w:szCs w:val="18"/>
                <w:lang w:val="es-ES_tradnl"/>
              </w:rPr>
              <w:t>Presidente</w:t>
            </w:r>
            <w:proofErr w:type="gramEnd"/>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PAN</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Bernardo Barranco Villafán</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PAN</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Jesús Castillo Sandoval</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PRD</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Sayonara Flores Palacios</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PRD</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Jorge E. Muciño Escalona</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Juan Flores Becerril</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Marco Antonio Morales Gómez</w:t>
            </w:r>
          </w:p>
        </w:tc>
        <w:tc>
          <w:tcPr>
            <w:tcW w:w="1856" w:type="pct"/>
            <w:vAlign w:val="center"/>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vAlign w:val="center"/>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Francisco Javier López Corral</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Secretario Ejecutivo</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bl>
    <w:p w:rsidR="00A256AB" w:rsidRPr="004757D8" w:rsidRDefault="00A256AB" w:rsidP="00A256AB">
      <w:pPr>
        <w:jc w:val="both"/>
        <w:rPr>
          <w:rFonts w:ascii="Arial" w:hAnsi="Arial" w:cs="Arial"/>
          <w:i/>
          <w:sz w:val="16"/>
          <w:szCs w:val="16"/>
        </w:rPr>
      </w:pPr>
      <w:r w:rsidRPr="004757D8">
        <w:rPr>
          <w:rFonts w:ascii="Arial" w:hAnsi="Arial" w:cs="Arial"/>
          <w:i/>
          <w:sz w:val="16"/>
          <w:szCs w:val="16"/>
        </w:rPr>
        <w:t xml:space="preserve">        </w:t>
      </w:r>
      <w:r w:rsidRPr="004757D8">
        <w:rPr>
          <w:rFonts w:ascii="Arial" w:hAnsi="Arial" w:cs="Arial"/>
          <w:b/>
          <w:i/>
          <w:sz w:val="16"/>
          <w:szCs w:val="16"/>
        </w:rPr>
        <w:t xml:space="preserve"> Fuente:</w:t>
      </w:r>
      <w:r w:rsidRPr="004757D8">
        <w:rPr>
          <w:rFonts w:ascii="Arial" w:hAnsi="Arial" w:cs="Arial"/>
          <w:i/>
          <w:sz w:val="16"/>
          <w:szCs w:val="16"/>
        </w:rPr>
        <w:t xml:space="preserve"> Corona, </w:t>
      </w:r>
      <w:r w:rsidR="000C05DC" w:rsidRPr="004757D8">
        <w:rPr>
          <w:rFonts w:ascii="Arial" w:hAnsi="Arial" w:cs="Arial"/>
          <w:i/>
          <w:sz w:val="16"/>
          <w:szCs w:val="16"/>
        </w:rPr>
        <w:t>2012:</w:t>
      </w:r>
      <w:r w:rsidRPr="004757D8">
        <w:rPr>
          <w:rFonts w:ascii="Arial" w:hAnsi="Arial" w:cs="Arial"/>
          <w:i/>
          <w:sz w:val="16"/>
          <w:szCs w:val="16"/>
        </w:rPr>
        <w:t xml:space="preserve">  31</w:t>
      </w:r>
    </w:p>
    <w:p w:rsidR="00F64152" w:rsidRPr="00A85D78" w:rsidRDefault="00F64152" w:rsidP="00A256AB">
      <w:pPr>
        <w:jc w:val="both"/>
        <w:rPr>
          <w:rFonts w:ascii="Arial" w:hAnsi="Arial" w:cs="Arial"/>
          <w:sz w:val="16"/>
          <w:szCs w:val="16"/>
        </w:rPr>
      </w:pPr>
    </w:p>
    <w:p w:rsidR="004757D8" w:rsidRDefault="004757D8" w:rsidP="00A256AB">
      <w:pPr>
        <w:jc w:val="both"/>
        <w:rPr>
          <w:rStyle w:val="Ttulodellibro"/>
          <w:rFonts w:ascii="Arial" w:hAnsi="Arial" w:cs="Arial"/>
          <w:b/>
          <w:i/>
          <w:color w:val="auto"/>
          <w:sz w:val="20"/>
          <w:szCs w:val="20"/>
        </w:rPr>
      </w:pPr>
    </w:p>
    <w:p w:rsidR="00A256AB" w:rsidRDefault="00A256AB" w:rsidP="009F1C04">
      <w:pPr>
        <w:pStyle w:val="Sinespaciado"/>
        <w:contextualSpacing/>
        <w:jc w:val="both"/>
        <w:rPr>
          <w:rStyle w:val="Ttulodellibro"/>
          <w:rFonts w:ascii="Arial" w:hAnsi="Arial" w:cs="Arial"/>
          <w:b/>
          <w:i/>
          <w:color w:val="auto"/>
          <w:sz w:val="20"/>
          <w:szCs w:val="20"/>
        </w:rPr>
      </w:pPr>
      <w:r w:rsidRPr="004757D8">
        <w:rPr>
          <w:rStyle w:val="Ttulodellibro"/>
          <w:rFonts w:ascii="Arial" w:hAnsi="Arial" w:cs="Arial"/>
          <w:b/>
          <w:i/>
          <w:color w:val="auto"/>
          <w:sz w:val="20"/>
          <w:szCs w:val="20"/>
        </w:rPr>
        <w:t>Tabla 1.7. Integración del Consejo General del IEEM septiembre 2009 – septiembre 2013</w:t>
      </w:r>
    </w:p>
    <w:p w:rsidR="004757D8" w:rsidRPr="004757D8" w:rsidRDefault="004757D8" w:rsidP="00A256AB">
      <w:pPr>
        <w:jc w:val="both"/>
        <w:rPr>
          <w:rStyle w:val="Ttulodellibro"/>
          <w:rFonts w:ascii="Arial" w:hAnsi="Arial" w:cs="Arial"/>
          <w:b/>
          <w:i/>
          <w:color w:val="auto"/>
          <w:sz w:val="20"/>
          <w:szCs w:val="20"/>
        </w:rPr>
      </w:pPr>
    </w:p>
    <w:tbl>
      <w:tblPr>
        <w:tblStyle w:val="Tablaconcuadrcula"/>
        <w:tblW w:w="5000" w:type="pct"/>
        <w:jc w:val="center"/>
        <w:tblLook w:val="04A0" w:firstRow="1" w:lastRow="0" w:firstColumn="1" w:lastColumn="0" w:noHBand="0" w:noVBand="1"/>
      </w:tblPr>
      <w:tblGrid>
        <w:gridCol w:w="3153"/>
        <w:gridCol w:w="3153"/>
        <w:gridCol w:w="2188"/>
      </w:tblGrid>
      <w:tr w:rsidR="00A256AB" w:rsidRPr="004757D8" w:rsidTr="00C234C9">
        <w:trPr>
          <w:trHeight w:val="454"/>
          <w:jc w:val="center"/>
        </w:trPr>
        <w:tc>
          <w:tcPr>
            <w:tcW w:w="1856" w:type="pct"/>
            <w:shd w:val="clear" w:color="auto" w:fill="FBE4D5" w:themeFill="accent2" w:themeFillTint="33"/>
            <w:vAlign w:val="center"/>
          </w:tcPr>
          <w:p w:rsidR="00A256AB" w:rsidRPr="004757D8" w:rsidRDefault="00A256AB" w:rsidP="00136605">
            <w:pPr>
              <w:jc w:val="center"/>
              <w:rPr>
                <w:rFonts w:ascii="Arial" w:hAnsi="Arial" w:cs="Arial"/>
                <w:b/>
                <w:bCs/>
                <w:caps/>
                <w:sz w:val="18"/>
                <w:szCs w:val="18"/>
                <w:lang w:val="es-ES_tradnl"/>
              </w:rPr>
            </w:pPr>
            <w:r w:rsidRPr="004757D8">
              <w:rPr>
                <w:rFonts w:ascii="Arial" w:hAnsi="Arial" w:cs="Arial"/>
                <w:b/>
                <w:bCs/>
                <w:caps/>
                <w:sz w:val="18"/>
                <w:szCs w:val="18"/>
                <w:lang w:val="es-ES_tradnl"/>
              </w:rPr>
              <w:t>Nombre</w:t>
            </w:r>
          </w:p>
        </w:tc>
        <w:tc>
          <w:tcPr>
            <w:tcW w:w="1856" w:type="pct"/>
            <w:shd w:val="clear" w:color="auto" w:fill="FBE4D5" w:themeFill="accent2" w:themeFillTint="33"/>
            <w:vAlign w:val="center"/>
          </w:tcPr>
          <w:p w:rsidR="00A256AB" w:rsidRPr="004757D8" w:rsidRDefault="00A256AB" w:rsidP="00136605">
            <w:pPr>
              <w:jc w:val="center"/>
              <w:rPr>
                <w:rFonts w:ascii="Arial" w:hAnsi="Arial" w:cs="Arial"/>
                <w:b/>
                <w:bCs/>
                <w:caps/>
                <w:sz w:val="18"/>
                <w:szCs w:val="18"/>
                <w:lang w:val="es-ES_tradnl"/>
              </w:rPr>
            </w:pPr>
            <w:r w:rsidRPr="004757D8">
              <w:rPr>
                <w:rFonts w:ascii="Arial" w:hAnsi="Arial" w:cs="Arial"/>
                <w:b/>
                <w:bCs/>
                <w:caps/>
                <w:sz w:val="18"/>
                <w:szCs w:val="18"/>
                <w:lang w:val="es-ES_tradnl"/>
              </w:rPr>
              <w:t>Cargo</w:t>
            </w:r>
          </w:p>
        </w:tc>
        <w:tc>
          <w:tcPr>
            <w:tcW w:w="1288" w:type="pct"/>
            <w:shd w:val="clear" w:color="auto" w:fill="FBE4D5" w:themeFill="accent2" w:themeFillTint="33"/>
            <w:vAlign w:val="center"/>
          </w:tcPr>
          <w:p w:rsidR="00A256AB" w:rsidRPr="004757D8" w:rsidRDefault="00A256AB" w:rsidP="00136605">
            <w:pPr>
              <w:jc w:val="center"/>
              <w:rPr>
                <w:rFonts w:ascii="Arial" w:hAnsi="Arial" w:cs="Arial"/>
                <w:b/>
                <w:bCs/>
                <w:caps/>
                <w:sz w:val="18"/>
                <w:szCs w:val="18"/>
                <w:lang w:val="es-ES_tradnl"/>
              </w:rPr>
            </w:pPr>
            <w:r w:rsidRPr="004757D8">
              <w:rPr>
                <w:rFonts w:ascii="Arial" w:hAnsi="Arial" w:cs="Arial"/>
                <w:b/>
                <w:bCs/>
                <w:caps/>
                <w:sz w:val="18"/>
                <w:szCs w:val="18"/>
                <w:lang w:val="es-ES_tradnl"/>
              </w:rPr>
              <w:t>Partido Proponente</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Jesús Castillo Sandoval</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 xml:space="preserve">Consejero </w:t>
            </w:r>
            <w:proofErr w:type="gramStart"/>
            <w:r w:rsidRPr="004757D8">
              <w:rPr>
                <w:rFonts w:ascii="Arial" w:hAnsi="Arial" w:cs="Arial"/>
                <w:sz w:val="18"/>
                <w:szCs w:val="18"/>
                <w:lang w:val="es-ES_tradnl"/>
              </w:rPr>
              <w:t>Presidente</w:t>
            </w:r>
            <w:proofErr w:type="gramEnd"/>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PRD</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Arturo Bolio Cerdán</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PAN</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Abel Aguilar Sánchez</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PAN</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José Martínez Vilchis</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Jesús G. Jardón Nava</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 Policarpo Montes de Oca Vázquez</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Juan Carlos Villareal Martínez</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Consejero Electoral</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r w:rsidR="00A256AB" w:rsidRPr="004757D8" w:rsidTr="00C234C9">
        <w:trPr>
          <w:jc w:val="center"/>
        </w:trPr>
        <w:tc>
          <w:tcPr>
            <w:tcW w:w="1856" w:type="pct"/>
          </w:tcPr>
          <w:p w:rsidR="00A256AB" w:rsidRPr="004757D8" w:rsidRDefault="00A256AB" w:rsidP="00A256AB">
            <w:pPr>
              <w:jc w:val="both"/>
              <w:rPr>
                <w:rFonts w:ascii="Arial" w:hAnsi="Arial" w:cs="Arial"/>
                <w:sz w:val="18"/>
                <w:szCs w:val="18"/>
                <w:lang w:val="es-ES_tradnl"/>
              </w:rPr>
            </w:pPr>
            <w:r w:rsidRPr="004757D8">
              <w:rPr>
                <w:rFonts w:ascii="Arial" w:hAnsi="Arial" w:cs="Arial"/>
                <w:sz w:val="18"/>
                <w:szCs w:val="18"/>
                <w:lang w:val="es-ES_tradnl"/>
              </w:rPr>
              <w:t>Francisco Javier López Corral</w:t>
            </w:r>
          </w:p>
        </w:tc>
        <w:tc>
          <w:tcPr>
            <w:tcW w:w="1856"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Secretario Ejecutivo</w:t>
            </w:r>
          </w:p>
        </w:tc>
        <w:tc>
          <w:tcPr>
            <w:tcW w:w="1288" w:type="pct"/>
          </w:tcPr>
          <w:p w:rsidR="00A256AB" w:rsidRPr="004757D8" w:rsidRDefault="00A256AB" w:rsidP="00A256AB">
            <w:pPr>
              <w:jc w:val="center"/>
              <w:rPr>
                <w:rFonts w:ascii="Arial" w:hAnsi="Arial" w:cs="Arial"/>
                <w:sz w:val="18"/>
                <w:szCs w:val="18"/>
                <w:lang w:val="es-ES_tradnl"/>
              </w:rPr>
            </w:pPr>
            <w:r w:rsidRPr="004757D8">
              <w:rPr>
                <w:rFonts w:ascii="Arial" w:hAnsi="Arial" w:cs="Arial"/>
                <w:sz w:val="18"/>
                <w:szCs w:val="18"/>
                <w:lang w:val="es-ES_tradnl"/>
              </w:rPr>
              <w:t>PRI</w:t>
            </w:r>
          </w:p>
        </w:tc>
      </w:tr>
    </w:tbl>
    <w:p w:rsidR="00A256AB" w:rsidRPr="004757D8" w:rsidRDefault="00A256AB" w:rsidP="00A256AB">
      <w:pPr>
        <w:jc w:val="both"/>
        <w:rPr>
          <w:rFonts w:ascii="Arial" w:hAnsi="Arial" w:cs="Arial"/>
          <w:i/>
          <w:sz w:val="16"/>
          <w:szCs w:val="16"/>
        </w:rPr>
      </w:pPr>
      <w:r w:rsidRPr="004757D8">
        <w:rPr>
          <w:rFonts w:ascii="Arial" w:hAnsi="Arial" w:cs="Arial"/>
          <w:i/>
          <w:sz w:val="16"/>
          <w:szCs w:val="16"/>
        </w:rPr>
        <w:t xml:space="preserve">         </w:t>
      </w:r>
      <w:r w:rsidRPr="004757D8">
        <w:rPr>
          <w:rFonts w:ascii="Arial" w:hAnsi="Arial" w:cs="Arial"/>
          <w:b/>
          <w:i/>
          <w:sz w:val="16"/>
          <w:szCs w:val="16"/>
        </w:rPr>
        <w:t>Fuente:</w:t>
      </w:r>
      <w:r w:rsidRPr="004757D8">
        <w:rPr>
          <w:rFonts w:ascii="Arial" w:hAnsi="Arial" w:cs="Arial"/>
          <w:i/>
          <w:sz w:val="16"/>
          <w:szCs w:val="16"/>
        </w:rPr>
        <w:t xml:space="preserve"> Corona, </w:t>
      </w:r>
      <w:r w:rsidR="000C05DC" w:rsidRPr="004757D8">
        <w:rPr>
          <w:rFonts w:ascii="Arial" w:hAnsi="Arial" w:cs="Arial"/>
          <w:i/>
          <w:sz w:val="16"/>
          <w:szCs w:val="16"/>
        </w:rPr>
        <w:t>2012:</w:t>
      </w:r>
      <w:r w:rsidRPr="004757D8">
        <w:rPr>
          <w:rFonts w:ascii="Arial" w:hAnsi="Arial" w:cs="Arial"/>
          <w:i/>
          <w:sz w:val="16"/>
          <w:szCs w:val="16"/>
        </w:rPr>
        <w:t xml:space="preserve">  33</w:t>
      </w:r>
    </w:p>
    <w:p w:rsidR="00F64152" w:rsidRPr="00A85D78" w:rsidRDefault="00F64152" w:rsidP="00A256AB">
      <w:pPr>
        <w:jc w:val="both"/>
        <w:rPr>
          <w:rFonts w:ascii="Arial" w:hAnsi="Arial" w:cs="Arial"/>
          <w:sz w:val="16"/>
          <w:szCs w:val="16"/>
        </w:rPr>
      </w:pPr>
    </w:p>
    <w:p w:rsidR="004757D8" w:rsidRDefault="004757D8" w:rsidP="00A256AB">
      <w:pPr>
        <w:jc w:val="both"/>
        <w:rPr>
          <w:rFonts w:ascii="Arial" w:hAnsi="Arial" w:cs="Arial"/>
          <w:sz w:val="24"/>
          <w:szCs w:val="24"/>
        </w:rPr>
      </w:pPr>
    </w:p>
    <w:p w:rsidR="00A256AB" w:rsidRDefault="00A256AB" w:rsidP="004757D8">
      <w:pPr>
        <w:spacing w:line="360" w:lineRule="auto"/>
        <w:jc w:val="both"/>
        <w:rPr>
          <w:rFonts w:ascii="Arial" w:hAnsi="Arial" w:cs="Arial"/>
          <w:sz w:val="24"/>
          <w:szCs w:val="24"/>
        </w:rPr>
      </w:pPr>
      <w:r w:rsidRPr="00A85D78">
        <w:rPr>
          <w:rFonts w:ascii="Arial" w:hAnsi="Arial" w:cs="Arial"/>
          <w:sz w:val="24"/>
          <w:szCs w:val="24"/>
        </w:rPr>
        <w:t xml:space="preserve">Como puede observarse al ser los partidos quienes “proponen” a los Consejeros Electorales, </w:t>
      </w:r>
      <w:r w:rsidR="00564BAE" w:rsidRPr="00A85D78">
        <w:rPr>
          <w:rFonts w:ascii="Arial" w:hAnsi="Arial" w:cs="Arial"/>
          <w:sz w:val="24"/>
          <w:szCs w:val="24"/>
        </w:rPr>
        <w:t>la imparcialidad de las decisiones tomadas por el Consejo General con justificadas razones pone</w:t>
      </w:r>
      <w:r w:rsidRPr="00A85D78">
        <w:rPr>
          <w:rFonts w:ascii="Arial" w:hAnsi="Arial" w:cs="Arial"/>
          <w:sz w:val="24"/>
          <w:szCs w:val="24"/>
        </w:rPr>
        <w:t xml:space="preserve"> en entredicho la imparcialidad de estas. Es por esta causa que la razón principal para que las multas derivadas de los procesos de fiscalización de los procesos electorales 2009, 2011 y 2012, a cargo de la Unidad Técnica de Fiscalización del IEEM, hayan resultado con sanciones económicas casi “simbólicas” en comparación con las sanciones impuestas por el órgano fiscalizador del INE, quien al encontrarse libre de ataduras de tipo político ha podido sancionar con mayor rigidez las conductas infractoras de los partidos en la materia.</w:t>
      </w:r>
    </w:p>
    <w:p w:rsidR="004757D8" w:rsidRPr="00A85D78" w:rsidRDefault="004757D8" w:rsidP="004757D8">
      <w:pPr>
        <w:spacing w:line="360" w:lineRule="auto"/>
        <w:jc w:val="both"/>
        <w:rPr>
          <w:rFonts w:ascii="Arial" w:hAnsi="Arial" w:cs="Arial"/>
          <w:sz w:val="24"/>
          <w:szCs w:val="24"/>
        </w:rPr>
      </w:pPr>
    </w:p>
    <w:p w:rsidR="00A256AB" w:rsidRPr="00A85D78" w:rsidRDefault="00A256AB" w:rsidP="004757D8">
      <w:pPr>
        <w:spacing w:line="360" w:lineRule="auto"/>
        <w:jc w:val="both"/>
        <w:rPr>
          <w:rFonts w:ascii="Arial" w:hAnsi="Arial" w:cs="Arial"/>
          <w:sz w:val="24"/>
          <w:szCs w:val="24"/>
        </w:rPr>
      </w:pPr>
      <w:r w:rsidRPr="00A85D78">
        <w:rPr>
          <w:rFonts w:ascii="Arial" w:hAnsi="Arial" w:cs="Arial"/>
          <w:sz w:val="24"/>
          <w:szCs w:val="24"/>
        </w:rPr>
        <w:t>Hasta el momento tenemos claro el régimen de financiamiento de los partidos políticos en México y su contexto en los últimos años; así como su relevancia para el proceso de rendición de cuentas y por ende en la fiscalización electoral tema central de la presente investigación; el siguiente paso será analizar el impacto que ha tenido la reforma electoral en la práctica principalmente en el ámbito local. Para lograrlo es preciso entender previamente los procesos de fiscalización empleados por el Instituto Electoral del Estado de México IEEM previo a la reforma y el utilizado en la actualidad por el Instituto Nacional Electoral INE, temas a abordar en el siguiente capítulo.</w:t>
      </w:r>
    </w:p>
    <w:p w:rsidR="004757D8" w:rsidRDefault="004757D8">
      <w:pPr>
        <w:rPr>
          <w:rFonts w:ascii="Arial" w:hAnsi="Arial" w:cs="Arial"/>
          <w:sz w:val="24"/>
          <w:szCs w:val="24"/>
        </w:rPr>
      </w:pPr>
      <w:r>
        <w:rPr>
          <w:rFonts w:ascii="Arial" w:hAnsi="Arial" w:cs="Arial"/>
          <w:sz w:val="24"/>
          <w:szCs w:val="24"/>
        </w:rPr>
        <w:br w:type="page"/>
      </w:r>
    </w:p>
    <w:p w:rsidR="00A256AB" w:rsidRPr="003705B5" w:rsidRDefault="00A256AB" w:rsidP="009F1C04">
      <w:pPr>
        <w:pStyle w:val="Prrafodelista"/>
        <w:jc w:val="center"/>
        <w:rPr>
          <w:rFonts w:ascii="Arial" w:hAnsi="Arial" w:cs="Arial"/>
          <w:b/>
          <w:sz w:val="24"/>
          <w:szCs w:val="24"/>
        </w:rPr>
      </w:pPr>
      <w:r w:rsidRPr="003705B5">
        <w:rPr>
          <w:rFonts w:ascii="Arial" w:hAnsi="Arial" w:cs="Arial"/>
          <w:b/>
          <w:sz w:val="24"/>
          <w:szCs w:val="24"/>
        </w:rPr>
        <w:lastRenderedPageBreak/>
        <w:t>BIBLIOGRAFIA</w:t>
      </w:r>
    </w:p>
    <w:p w:rsidR="00A256AB" w:rsidRPr="003B246C" w:rsidRDefault="00A256AB" w:rsidP="009F1C04">
      <w:pPr>
        <w:contextualSpacing/>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Altamirano, Gonzalo y Figueroa, Adriana. (2007). Regulación del Financiamiento de los Partidos Políticos en México y otros Países. México: Senado de la República LX Legislatura.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Bernal, Jorge. (2006). “El financiamiento de los partidos políticos en el derecho comparado Alternativas para México”, en González, Nuria (coord.) Estudios jurídicos en homenaje a Marta Morineau. México: UNAM.</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Código Federal de Instituciones y Procedimientos Electorales, publicado en el Diario Oficial de la Federación el miércoles 15 de agosto de 1990.</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Código Federal de Instituciones y Procedimientos Electorales, publicado en el Diario Oficial de la Federación el viernes 24 de septiembre de 1993.</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Código Federal de Instituciones y Procedimientos Electorales, publicado en el Diario Oficial de la Federación el viernes 22 de noviembre de 1996.</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Código Federal de Instituciones y Procedimientos Electorales, publicado en el Diario Oficial de la Federación el 14 de </w:t>
      </w:r>
      <w:r w:rsidR="00617F4F" w:rsidRPr="003B246C">
        <w:rPr>
          <w:rFonts w:ascii="Arial" w:hAnsi="Arial" w:cs="Arial"/>
          <w:sz w:val="20"/>
          <w:szCs w:val="20"/>
        </w:rPr>
        <w:t>enero</w:t>
      </w:r>
      <w:r w:rsidRPr="003B246C">
        <w:rPr>
          <w:rFonts w:ascii="Arial" w:hAnsi="Arial" w:cs="Arial"/>
          <w:sz w:val="20"/>
          <w:szCs w:val="20"/>
        </w:rPr>
        <w:t xml:space="preserve"> de 2008.</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Código Federal Electoral, publicado en el Diario Oficial de la Federación, el 12 de </w:t>
      </w:r>
      <w:r w:rsidR="00617F4F" w:rsidRPr="003B246C">
        <w:rPr>
          <w:rFonts w:ascii="Arial" w:hAnsi="Arial" w:cs="Arial"/>
          <w:sz w:val="20"/>
          <w:szCs w:val="20"/>
        </w:rPr>
        <w:t>febrero</w:t>
      </w:r>
      <w:r w:rsidRPr="003B246C">
        <w:rPr>
          <w:rFonts w:ascii="Arial" w:hAnsi="Arial" w:cs="Arial"/>
          <w:sz w:val="20"/>
          <w:szCs w:val="20"/>
        </w:rPr>
        <w:t xml:space="preserve"> de 1987.</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Compendio Legislación Nacional Electoral (2015). Tomo I: Constitución Política de los Estados Unidos Mexicanos. México: Instituto Nacional Electoral, Fiscalía Especializada para la Atención de Delitos Electorales, Tribunal Electoral del Poder Judicial de la Federación, Instituto de Investigaciones Jurídicas de la Universidad Nacional Autónoma de México.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Compendio Legislación Nacional Electoral (2015). Tomo II: Ley General de Instituciones y Procedimientos Electorales, Ley General del Sistema de Medios de Impugnación en Materia Electoral, Ley General en Materia de Delitos Electorales, Ley General de Partidos Políticos y Ley Federal de Consulta Popular. México: Instituto Nacional Electoral, Fiscalía Especializada para la Atención de Delitos Electorales, Tribunal Electoral del Poder Judicial de la Federación, Instituto de Investigaciones Jurídicas de la Universidad Nacional Autónoma de México.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Corona Armenta, Gabriel (2012). “Las elecciones locales en el Estado de México: la plataforma política de Enrique Peña Nieto a nivel nacional (2009-2011)” El Cotidiano, núm. 171, enero-febrero, 2012, pp. 29-39 Universidad Autónoma Metropolitana Unidad Azcapotzalco Distrito Federal, México.</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Gaceta de Gobierno, Tomo CLXXIX, Número 49, </w:t>
      </w:r>
      <w:proofErr w:type="spellStart"/>
      <w:r w:rsidRPr="003B246C">
        <w:rPr>
          <w:rFonts w:ascii="Arial" w:hAnsi="Arial" w:cs="Arial"/>
          <w:sz w:val="20"/>
          <w:szCs w:val="20"/>
        </w:rPr>
        <w:t>Vi</w:t>
      </w:r>
      <w:r w:rsidR="000C05DC">
        <w:rPr>
          <w:rFonts w:ascii="Arial" w:hAnsi="Arial" w:cs="Arial"/>
          <w:sz w:val="20"/>
          <w:szCs w:val="20"/>
        </w:rPr>
        <w:t>é</w:t>
      </w:r>
      <w:r w:rsidRPr="003B246C">
        <w:rPr>
          <w:rFonts w:ascii="Arial" w:hAnsi="Arial" w:cs="Arial"/>
          <w:sz w:val="20"/>
          <w:szCs w:val="20"/>
        </w:rPr>
        <w:t>rnes</w:t>
      </w:r>
      <w:proofErr w:type="spellEnd"/>
      <w:r w:rsidRPr="003B246C">
        <w:rPr>
          <w:rFonts w:ascii="Arial" w:hAnsi="Arial" w:cs="Arial"/>
          <w:sz w:val="20"/>
          <w:szCs w:val="20"/>
        </w:rPr>
        <w:t xml:space="preserve"> 11 de </w:t>
      </w:r>
      <w:proofErr w:type="gramStart"/>
      <w:r w:rsidRPr="003B246C">
        <w:rPr>
          <w:rFonts w:ascii="Arial" w:hAnsi="Arial" w:cs="Arial"/>
          <w:sz w:val="20"/>
          <w:szCs w:val="20"/>
        </w:rPr>
        <w:t>Marzo</w:t>
      </w:r>
      <w:proofErr w:type="gramEnd"/>
      <w:r w:rsidRPr="003B246C">
        <w:rPr>
          <w:rFonts w:ascii="Arial" w:hAnsi="Arial" w:cs="Arial"/>
          <w:sz w:val="20"/>
          <w:szCs w:val="20"/>
        </w:rPr>
        <w:t xml:space="preserve"> de 2005 (Código Electoral del Estado de México 2005)</w:t>
      </w: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Gaceta de Gobierno, Tomo CLXXXVI, Número 50, </w:t>
      </w:r>
      <w:proofErr w:type="gramStart"/>
      <w:r w:rsidRPr="003B246C">
        <w:rPr>
          <w:rFonts w:ascii="Arial" w:hAnsi="Arial" w:cs="Arial"/>
          <w:sz w:val="20"/>
          <w:szCs w:val="20"/>
        </w:rPr>
        <w:t>Miércoles</w:t>
      </w:r>
      <w:proofErr w:type="gramEnd"/>
      <w:r w:rsidRPr="003B246C">
        <w:rPr>
          <w:rFonts w:ascii="Arial" w:hAnsi="Arial" w:cs="Arial"/>
          <w:sz w:val="20"/>
          <w:szCs w:val="20"/>
        </w:rPr>
        <w:t xml:space="preserve"> 10 de Septiembre de 2008 (Código Electoral del Estado de México 2008)</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Gaceta de Gobierno, Tomo CXC, Número 56, </w:t>
      </w:r>
      <w:proofErr w:type="gramStart"/>
      <w:r w:rsidRPr="003B246C">
        <w:rPr>
          <w:rFonts w:ascii="Arial" w:hAnsi="Arial" w:cs="Arial"/>
          <w:sz w:val="20"/>
          <w:szCs w:val="20"/>
        </w:rPr>
        <w:t>Sábado</w:t>
      </w:r>
      <w:proofErr w:type="gramEnd"/>
      <w:r w:rsidRPr="003B246C">
        <w:rPr>
          <w:rFonts w:ascii="Arial" w:hAnsi="Arial" w:cs="Arial"/>
          <w:sz w:val="20"/>
          <w:szCs w:val="20"/>
        </w:rPr>
        <w:t xml:space="preserve"> 25 de Septiembre de 2010 (Código Electoral del Estado de México 2010)</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proofErr w:type="spellStart"/>
      <w:r w:rsidRPr="003B246C">
        <w:rPr>
          <w:rFonts w:ascii="Arial" w:hAnsi="Arial" w:cs="Arial"/>
          <w:sz w:val="20"/>
          <w:szCs w:val="20"/>
        </w:rPr>
        <w:t>Griner</w:t>
      </w:r>
      <w:proofErr w:type="spellEnd"/>
      <w:r w:rsidRPr="003B246C">
        <w:rPr>
          <w:rFonts w:ascii="Arial" w:hAnsi="Arial" w:cs="Arial"/>
          <w:sz w:val="20"/>
          <w:szCs w:val="20"/>
        </w:rPr>
        <w:t xml:space="preserve">, Steven; </w:t>
      </w:r>
      <w:proofErr w:type="spellStart"/>
      <w:r w:rsidRPr="003B246C">
        <w:rPr>
          <w:rFonts w:ascii="Arial" w:hAnsi="Arial" w:cs="Arial"/>
          <w:sz w:val="20"/>
          <w:szCs w:val="20"/>
        </w:rPr>
        <w:t>Zovatto</w:t>
      </w:r>
      <w:proofErr w:type="spellEnd"/>
      <w:r w:rsidRPr="003B246C">
        <w:rPr>
          <w:rFonts w:ascii="Arial" w:hAnsi="Arial" w:cs="Arial"/>
          <w:sz w:val="20"/>
          <w:szCs w:val="20"/>
        </w:rPr>
        <w:t xml:space="preserve">, Daniel. (2004) “De las normas a las buenas practicas. Una lectura regional comparada del financiamiento de los partidos políticos y las campañas electorales en América Latina”. En </w:t>
      </w:r>
      <w:proofErr w:type="spellStart"/>
      <w:r w:rsidRPr="003B246C">
        <w:rPr>
          <w:rFonts w:ascii="Arial" w:hAnsi="Arial" w:cs="Arial"/>
          <w:sz w:val="20"/>
          <w:szCs w:val="20"/>
        </w:rPr>
        <w:t>Griner</w:t>
      </w:r>
      <w:proofErr w:type="spellEnd"/>
      <w:r w:rsidRPr="003B246C">
        <w:rPr>
          <w:rFonts w:ascii="Arial" w:hAnsi="Arial" w:cs="Arial"/>
          <w:sz w:val="20"/>
          <w:szCs w:val="20"/>
        </w:rPr>
        <w:t xml:space="preserve">, Steven; </w:t>
      </w:r>
      <w:proofErr w:type="spellStart"/>
      <w:r w:rsidRPr="003B246C">
        <w:rPr>
          <w:rFonts w:ascii="Arial" w:hAnsi="Arial" w:cs="Arial"/>
          <w:sz w:val="20"/>
          <w:szCs w:val="20"/>
        </w:rPr>
        <w:t>Zovatto</w:t>
      </w:r>
      <w:proofErr w:type="spellEnd"/>
      <w:r w:rsidRPr="003B246C">
        <w:rPr>
          <w:rFonts w:ascii="Arial" w:hAnsi="Arial" w:cs="Arial"/>
          <w:sz w:val="20"/>
          <w:szCs w:val="20"/>
        </w:rPr>
        <w:t xml:space="preserve">, Daniel (editores). De las normas a las buenas prácticas: el desafío del financiamiento político en América Latina. San José, Costa Rica: OEA.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lastRenderedPageBreak/>
        <w:t>Guerrero, Eduardo. (2003). Fiscalización y Transparencia del Financiamiento a Partidos Políticos y Campañas Electorales: Dinero y Democracia. Serie Cultura de la Rendición de cuentas 6. México: Auditoria Superior de la Federación.</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proofErr w:type="spellStart"/>
      <w:r w:rsidRPr="003B246C">
        <w:rPr>
          <w:rFonts w:ascii="Arial" w:hAnsi="Arial" w:cs="Arial"/>
          <w:sz w:val="20"/>
          <w:szCs w:val="20"/>
        </w:rPr>
        <w:t>Latinobaarometro</w:t>
      </w:r>
      <w:proofErr w:type="spellEnd"/>
      <w:r w:rsidRPr="003B246C">
        <w:rPr>
          <w:rFonts w:ascii="Arial" w:hAnsi="Arial" w:cs="Arial"/>
          <w:sz w:val="20"/>
          <w:szCs w:val="20"/>
        </w:rPr>
        <w:t xml:space="preserve"> Informe 2017 </w:t>
      </w:r>
      <w:hyperlink r:id="rId12" w:history="1">
        <w:r w:rsidRPr="003B246C">
          <w:rPr>
            <w:rFonts w:ascii="Arial" w:hAnsi="Arial" w:cs="Arial"/>
            <w:sz w:val="20"/>
            <w:szCs w:val="20"/>
          </w:rPr>
          <w:t>file:///C:/Users/63075/Downloads/F00006433-InfLatinobarometro2017.pdf</w:t>
        </w:r>
      </w:hyperlink>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Ley Federal de Organizaciones Políticas y Procesos Electorales, publicada en el Diario Oficial de la Federación, el viernes 30 de diciembre de 1977.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CXLIX, Número 123, </w:t>
      </w:r>
      <w:proofErr w:type="gramStart"/>
      <w:r w:rsidRPr="003B246C">
        <w:rPr>
          <w:rFonts w:ascii="Arial" w:hAnsi="Arial" w:cs="Arial"/>
          <w:sz w:val="20"/>
          <w:szCs w:val="20"/>
        </w:rPr>
        <w:t>Jueves</w:t>
      </w:r>
      <w:proofErr w:type="gramEnd"/>
      <w:r w:rsidRPr="003B246C">
        <w:rPr>
          <w:rFonts w:ascii="Arial" w:hAnsi="Arial" w:cs="Arial"/>
          <w:sz w:val="20"/>
          <w:szCs w:val="20"/>
        </w:rPr>
        <w:t xml:space="preserve"> 28 de Junio de 1990.</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CLX, Número 24, </w:t>
      </w:r>
      <w:proofErr w:type="gramStart"/>
      <w:r w:rsidRPr="003B246C">
        <w:rPr>
          <w:rFonts w:ascii="Arial" w:hAnsi="Arial" w:cs="Arial"/>
          <w:sz w:val="20"/>
          <w:szCs w:val="20"/>
        </w:rPr>
        <w:t>Jueves</w:t>
      </w:r>
      <w:proofErr w:type="gramEnd"/>
      <w:r w:rsidRPr="003B246C">
        <w:rPr>
          <w:rFonts w:ascii="Arial" w:hAnsi="Arial" w:cs="Arial"/>
          <w:sz w:val="20"/>
          <w:szCs w:val="20"/>
        </w:rPr>
        <w:t xml:space="preserve"> 04 de Febrero de 1993.</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CLXI, Número 43, </w:t>
      </w:r>
      <w:proofErr w:type="gramStart"/>
      <w:r w:rsidRPr="003B246C">
        <w:rPr>
          <w:rFonts w:ascii="Arial" w:hAnsi="Arial" w:cs="Arial"/>
          <w:sz w:val="20"/>
          <w:szCs w:val="20"/>
        </w:rPr>
        <w:t>Sábado</w:t>
      </w:r>
      <w:proofErr w:type="gramEnd"/>
      <w:r w:rsidRPr="003B246C">
        <w:rPr>
          <w:rFonts w:ascii="Arial" w:hAnsi="Arial" w:cs="Arial"/>
          <w:sz w:val="20"/>
          <w:szCs w:val="20"/>
        </w:rPr>
        <w:t xml:space="preserve"> 02 de Marzo de 1996. (Código Electoral del Estado de México 1996)</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15 de </w:t>
      </w:r>
      <w:proofErr w:type="gramStart"/>
      <w:r w:rsidRPr="003B246C">
        <w:rPr>
          <w:rFonts w:ascii="Arial" w:hAnsi="Arial" w:cs="Arial"/>
          <w:sz w:val="20"/>
          <w:szCs w:val="20"/>
        </w:rPr>
        <w:t>Octubre</w:t>
      </w:r>
      <w:proofErr w:type="gramEnd"/>
      <w:r w:rsidRPr="003B246C">
        <w:rPr>
          <w:rFonts w:ascii="Arial" w:hAnsi="Arial" w:cs="Arial"/>
          <w:sz w:val="20"/>
          <w:szCs w:val="20"/>
        </w:rPr>
        <w:t xml:space="preserve"> de 1998. (Código Electoral del Estado de México 1998)</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CLXI, Número 43, </w:t>
      </w:r>
      <w:proofErr w:type="gramStart"/>
      <w:r w:rsidRPr="003B246C">
        <w:rPr>
          <w:rFonts w:ascii="Arial" w:hAnsi="Arial" w:cs="Arial"/>
          <w:sz w:val="20"/>
          <w:szCs w:val="20"/>
        </w:rPr>
        <w:t>Sábado</w:t>
      </w:r>
      <w:proofErr w:type="gramEnd"/>
      <w:r w:rsidRPr="003B246C">
        <w:rPr>
          <w:rFonts w:ascii="Arial" w:hAnsi="Arial" w:cs="Arial"/>
          <w:sz w:val="20"/>
          <w:szCs w:val="20"/>
        </w:rPr>
        <w:t xml:space="preserve"> 02 de Marzo de 1996. (Código Electoral del Estado de México 1996)</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CLXVIII, Número 71, </w:t>
      </w:r>
      <w:proofErr w:type="gramStart"/>
      <w:r w:rsidRPr="003B246C">
        <w:rPr>
          <w:rFonts w:ascii="Arial" w:hAnsi="Arial" w:cs="Arial"/>
          <w:sz w:val="20"/>
          <w:szCs w:val="20"/>
        </w:rPr>
        <w:t>Sábado</w:t>
      </w:r>
      <w:proofErr w:type="gramEnd"/>
      <w:r w:rsidRPr="003B246C">
        <w:rPr>
          <w:rFonts w:ascii="Arial" w:hAnsi="Arial" w:cs="Arial"/>
          <w:sz w:val="20"/>
          <w:szCs w:val="20"/>
        </w:rPr>
        <w:t xml:space="preserve"> 09 de Octubre de 1999 (Código Electoral del Estado de México 1999)</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Periódico Oficial del Gobierno Constitucional del Estado de México. Gaceta de Gobierno, Tomo CLXXIX, Número 49, </w:t>
      </w:r>
      <w:proofErr w:type="gramStart"/>
      <w:r w:rsidRPr="003B246C">
        <w:rPr>
          <w:rFonts w:ascii="Arial" w:hAnsi="Arial" w:cs="Arial"/>
          <w:sz w:val="20"/>
          <w:szCs w:val="20"/>
        </w:rPr>
        <w:t>Viernes</w:t>
      </w:r>
      <w:proofErr w:type="gramEnd"/>
      <w:r w:rsidRPr="003B246C">
        <w:rPr>
          <w:rFonts w:ascii="Arial" w:hAnsi="Arial" w:cs="Arial"/>
          <w:sz w:val="20"/>
          <w:szCs w:val="20"/>
        </w:rPr>
        <w:t xml:space="preserve"> 11 de Marzo de 2005 (Código Electoral del Estado de México 2005)</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Reglamento de Fiscalización. (2015) México: Instituto Nacional Electoral.</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Rosales, Carlos y Estrada, Erik. (2012). La fiscalización de los recursos económicos en materia electoral. Revista Quid Iuris, Año 7, Volumen 19, </w:t>
      </w:r>
      <w:proofErr w:type="gramStart"/>
      <w:r w:rsidRPr="003B246C">
        <w:rPr>
          <w:rFonts w:ascii="Arial" w:hAnsi="Arial" w:cs="Arial"/>
          <w:sz w:val="20"/>
          <w:szCs w:val="20"/>
        </w:rPr>
        <w:t>Diciembre</w:t>
      </w:r>
      <w:proofErr w:type="gramEnd"/>
      <w:r w:rsidRPr="003B246C">
        <w:rPr>
          <w:rFonts w:ascii="Arial" w:hAnsi="Arial" w:cs="Arial"/>
          <w:sz w:val="20"/>
          <w:szCs w:val="20"/>
        </w:rPr>
        <w:t xml:space="preserve"> 2012- Febrero 2013.</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proofErr w:type="spellStart"/>
      <w:r w:rsidRPr="003B246C">
        <w:rPr>
          <w:rFonts w:ascii="Arial" w:hAnsi="Arial" w:cs="Arial"/>
          <w:sz w:val="20"/>
          <w:szCs w:val="20"/>
        </w:rPr>
        <w:t>Schumpter</w:t>
      </w:r>
      <w:proofErr w:type="spellEnd"/>
      <w:r w:rsidRPr="003B246C">
        <w:rPr>
          <w:rFonts w:ascii="Arial" w:hAnsi="Arial" w:cs="Arial"/>
          <w:sz w:val="20"/>
          <w:szCs w:val="20"/>
        </w:rPr>
        <w:t xml:space="preserve">, Joseph. (1942). Capitalismo, Socialismo y Democracia. Nueva York: </w:t>
      </w:r>
      <w:proofErr w:type="spellStart"/>
      <w:r w:rsidRPr="003B246C">
        <w:rPr>
          <w:rFonts w:ascii="Arial" w:hAnsi="Arial" w:cs="Arial"/>
          <w:sz w:val="20"/>
          <w:szCs w:val="20"/>
        </w:rPr>
        <w:t>Harper</w:t>
      </w:r>
      <w:proofErr w:type="spellEnd"/>
      <w:r w:rsidRPr="003B246C">
        <w:rPr>
          <w:rFonts w:ascii="Arial" w:hAnsi="Arial" w:cs="Arial"/>
          <w:sz w:val="20"/>
          <w:szCs w:val="20"/>
        </w:rPr>
        <w:t xml:space="preserve"> and </w:t>
      </w:r>
      <w:proofErr w:type="spellStart"/>
      <w:r w:rsidRPr="003B246C">
        <w:rPr>
          <w:rFonts w:ascii="Arial" w:hAnsi="Arial" w:cs="Arial"/>
          <w:sz w:val="20"/>
          <w:szCs w:val="20"/>
        </w:rPr>
        <w:t>Row</w:t>
      </w:r>
      <w:proofErr w:type="spellEnd"/>
      <w:r w:rsidRPr="003B246C">
        <w:rPr>
          <w:rFonts w:ascii="Arial" w:hAnsi="Arial" w:cs="Arial"/>
          <w:sz w:val="20"/>
          <w:szCs w:val="20"/>
        </w:rPr>
        <w:t>.</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 xml:space="preserve">Serrato, Luz (2014). La transformación del financiamiento y fiscalización de recursos de los partidos políticos de 1996 a la reforma de 2008. Tesis de Licenciatura. México: UNAM. </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Wolde</w:t>
      </w:r>
      <w:r w:rsidR="00617F4F" w:rsidRPr="003B246C">
        <w:rPr>
          <w:rFonts w:ascii="Arial" w:hAnsi="Arial" w:cs="Arial"/>
          <w:sz w:val="20"/>
          <w:szCs w:val="20"/>
        </w:rPr>
        <w:t>n</w:t>
      </w:r>
      <w:r w:rsidRPr="003B246C">
        <w:rPr>
          <w:rFonts w:ascii="Arial" w:hAnsi="Arial" w:cs="Arial"/>
          <w:sz w:val="20"/>
          <w:szCs w:val="20"/>
        </w:rPr>
        <w:t>berg, José. (2002). La construcción de la democracia. México: Plaza y Janes.</w:t>
      </w:r>
    </w:p>
    <w:p w:rsidR="00A256AB" w:rsidRPr="003B246C" w:rsidRDefault="00A256AB" w:rsidP="009F1C04">
      <w:pPr>
        <w:pStyle w:val="Prrafodelista"/>
        <w:jc w:val="both"/>
        <w:rPr>
          <w:rFonts w:ascii="Arial" w:hAnsi="Arial" w:cs="Arial"/>
          <w:sz w:val="20"/>
          <w:szCs w:val="20"/>
        </w:rPr>
      </w:pPr>
    </w:p>
    <w:p w:rsidR="00A256AB" w:rsidRPr="003B246C" w:rsidRDefault="00A256AB" w:rsidP="009F1C04">
      <w:pPr>
        <w:pStyle w:val="Prrafodelista"/>
        <w:numPr>
          <w:ilvl w:val="0"/>
          <w:numId w:val="11"/>
        </w:numPr>
        <w:jc w:val="both"/>
        <w:rPr>
          <w:rFonts w:ascii="Arial" w:hAnsi="Arial" w:cs="Arial"/>
          <w:sz w:val="20"/>
          <w:szCs w:val="20"/>
        </w:rPr>
      </w:pPr>
      <w:r w:rsidRPr="003B246C">
        <w:rPr>
          <w:rFonts w:ascii="Arial" w:hAnsi="Arial" w:cs="Arial"/>
          <w:sz w:val="20"/>
          <w:szCs w:val="20"/>
        </w:rPr>
        <w:t>Wolde</w:t>
      </w:r>
      <w:r w:rsidR="00617F4F" w:rsidRPr="003B246C">
        <w:rPr>
          <w:rFonts w:ascii="Arial" w:hAnsi="Arial" w:cs="Arial"/>
          <w:sz w:val="20"/>
          <w:szCs w:val="20"/>
        </w:rPr>
        <w:t>n</w:t>
      </w:r>
      <w:r w:rsidRPr="003B246C">
        <w:rPr>
          <w:rFonts w:ascii="Arial" w:hAnsi="Arial" w:cs="Arial"/>
          <w:sz w:val="20"/>
          <w:szCs w:val="20"/>
        </w:rPr>
        <w:t xml:space="preserve">berg, José. (2003). “Relevancia y actualidad de la contienda”. </w:t>
      </w:r>
      <w:proofErr w:type="gramStart"/>
      <w:r w:rsidRPr="003B246C">
        <w:rPr>
          <w:rFonts w:ascii="Arial" w:hAnsi="Arial" w:cs="Arial"/>
          <w:sz w:val="20"/>
          <w:szCs w:val="20"/>
        </w:rPr>
        <w:t>En  Dinero</w:t>
      </w:r>
      <w:proofErr w:type="gramEnd"/>
      <w:r w:rsidRPr="003B246C">
        <w:rPr>
          <w:rFonts w:ascii="Arial" w:hAnsi="Arial" w:cs="Arial"/>
          <w:sz w:val="20"/>
          <w:szCs w:val="20"/>
        </w:rPr>
        <w:t xml:space="preserve"> y contienda político-electoral. Reto de la democracia. Carrillo, Manuel; Lujambio, Alonso; Navarro, Carlos, </w:t>
      </w:r>
      <w:proofErr w:type="spellStart"/>
      <w:r w:rsidRPr="003B246C">
        <w:rPr>
          <w:rFonts w:ascii="Arial" w:hAnsi="Arial" w:cs="Arial"/>
          <w:sz w:val="20"/>
          <w:szCs w:val="20"/>
        </w:rPr>
        <w:t>Zovatto</w:t>
      </w:r>
      <w:proofErr w:type="spellEnd"/>
      <w:r w:rsidRPr="003B246C">
        <w:rPr>
          <w:rFonts w:ascii="Arial" w:hAnsi="Arial" w:cs="Arial"/>
          <w:sz w:val="20"/>
          <w:szCs w:val="20"/>
        </w:rPr>
        <w:t>, Daniel (</w:t>
      </w:r>
      <w:proofErr w:type="spellStart"/>
      <w:r w:rsidR="000C05DC">
        <w:rPr>
          <w:rFonts w:ascii="Arial" w:hAnsi="Arial" w:cs="Arial"/>
          <w:sz w:val="20"/>
          <w:szCs w:val="20"/>
        </w:rPr>
        <w:t>C</w:t>
      </w:r>
      <w:r w:rsidRPr="003B246C">
        <w:rPr>
          <w:rFonts w:ascii="Arial" w:hAnsi="Arial" w:cs="Arial"/>
          <w:sz w:val="20"/>
          <w:szCs w:val="20"/>
        </w:rPr>
        <w:t>oords</w:t>
      </w:r>
      <w:proofErr w:type="spellEnd"/>
      <w:r w:rsidRPr="003B246C">
        <w:rPr>
          <w:rFonts w:ascii="Arial" w:hAnsi="Arial" w:cs="Arial"/>
          <w:sz w:val="20"/>
          <w:szCs w:val="20"/>
        </w:rPr>
        <w:t xml:space="preserve">.). México: Fondo de Cultura Económica. </w:t>
      </w:r>
    </w:p>
    <w:p w:rsidR="00A256AB" w:rsidRPr="003B246C" w:rsidRDefault="00A256AB" w:rsidP="009F1C04">
      <w:pPr>
        <w:contextualSpacing/>
        <w:jc w:val="both"/>
        <w:rPr>
          <w:rFonts w:ascii="Arial" w:hAnsi="Arial" w:cs="Arial"/>
          <w:sz w:val="20"/>
          <w:szCs w:val="20"/>
        </w:rPr>
      </w:pPr>
    </w:p>
    <w:p w:rsidR="00A256AB" w:rsidRPr="00A85D78" w:rsidRDefault="00A256AB" w:rsidP="00A256AB">
      <w:pPr>
        <w:jc w:val="both"/>
        <w:rPr>
          <w:rFonts w:ascii="Arial" w:hAnsi="Arial" w:cs="Arial"/>
          <w:sz w:val="24"/>
          <w:szCs w:val="24"/>
        </w:rPr>
      </w:pPr>
    </w:p>
    <w:p w:rsidR="00432501" w:rsidRDefault="00432501">
      <w:pPr>
        <w:rPr>
          <w:rFonts w:ascii="Arial" w:hAnsi="Arial" w:cs="Arial"/>
          <w:b/>
          <w:sz w:val="24"/>
          <w:szCs w:val="24"/>
        </w:rPr>
      </w:pPr>
      <w:r>
        <w:rPr>
          <w:rFonts w:ascii="Arial" w:hAnsi="Arial" w:cs="Arial"/>
          <w:b/>
          <w:sz w:val="24"/>
          <w:szCs w:val="24"/>
        </w:rPr>
        <w:br w:type="page"/>
      </w:r>
    </w:p>
    <w:p w:rsidR="00A256AB" w:rsidRPr="00A85D78" w:rsidRDefault="00A256AB" w:rsidP="0056152D">
      <w:pPr>
        <w:spacing w:line="360" w:lineRule="auto"/>
        <w:jc w:val="center"/>
        <w:rPr>
          <w:rFonts w:ascii="Arial" w:hAnsi="Arial" w:cs="Arial"/>
          <w:b/>
          <w:sz w:val="24"/>
          <w:szCs w:val="24"/>
        </w:rPr>
      </w:pPr>
      <w:r w:rsidRPr="00A85D78">
        <w:rPr>
          <w:rFonts w:ascii="Arial" w:hAnsi="Arial" w:cs="Arial"/>
          <w:b/>
          <w:sz w:val="24"/>
          <w:szCs w:val="24"/>
        </w:rPr>
        <w:lastRenderedPageBreak/>
        <w:t>CAPÍTULO 2. PROCESOS DE FISCALIZACIÓN ELECTORAL</w:t>
      </w:r>
    </w:p>
    <w:p w:rsidR="00A256AB" w:rsidRPr="00A85D78" w:rsidRDefault="00A256AB" w:rsidP="0056152D">
      <w:pPr>
        <w:spacing w:line="360" w:lineRule="auto"/>
        <w:rPr>
          <w:rFonts w:ascii="Arial" w:hAnsi="Arial" w:cs="Arial"/>
          <w:b/>
          <w:sz w:val="24"/>
          <w:szCs w:val="24"/>
        </w:rPr>
      </w:pPr>
    </w:p>
    <w:p w:rsidR="00A256AB" w:rsidRDefault="00A256AB" w:rsidP="00DF4909">
      <w:pPr>
        <w:spacing w:line="360" w:lineRule="auto"/>
        <w:jc w:val="both"/>
        <w:rPr>
          <w:rFonts w:ascii="Arial" w:hAnsi="Arial" w:cs="Arial"/>
          <w:sz w:val="24"/>
          <w:szCs w:val="24"/>
        </w:rPr>
      </w:pPr>
      <w:r w:rsidRPr="00A85D78">
        <w:rPr>
          <w:rFonts w:ascii="Arial" w:hAnsi="Arial" w:cs="Arial"/>
          <w:sz w:val="24"/>
          <w:szCs w:val="24"/>
        </w:rPr>
        <w:t xml:space="preserve">A lo largo del </w:t>
      </w:r>
      <w:r w:rsidR="008D6503">
        <w:rPr>
          <w:rFonts w:ascii="Arial" w:hAnsi="Arial" w:cs="Arial"/>
          <w:sz w:val="24"/>
          <w:szCs w:val="24"/>
        </w:rPr>
        <w:t>primer</w:t>
      </w:r>
      <w:r w:rsidRPr="00A85D78">
        <w:rPr>
          <w:rFonts w:ascii="Arial" w:hAnsi="Arial" w:cs="Arial"/>
          <w:sz w:val="24"/>
          <w:szCs w:val="24"/>
        </w:rPr>
        <w:t xml:space="preserve"> se contextualiz</w:t>
      </w:r>
      <w:r w:rsidR="00921D20" w:rsidRPr="00A85D78">
        <w:rPr>
          <w:rFonts w:ascii="Arial" w:hAnsi="Arial" w:cs="Arial"/>
          <w:sz w:val="24"/>
          <w:szCs w:val="24"/>
        </w:rPr>
        <w:t>ó</w:t>
      </w:r>
      <w:r w:rsidRPr="00A85D78">
        <w:rPr>
          <w:rFonts w:ascii="Arial" w:hAnsi="Arial" w:cs="Arial"/>
          <w:sz w:val="24"/>
          <w:szCs w:val="24"/>
        </w:rPr>
        <w:t xml:space="preserve"> el modelo de financiamiento y fiscalización en nuestro país </w:t>
      </w:r>
      <w:r w:rsidR="001E3912">
        <w:rPr>
          <w:rFonts w:ascii="Arial" w:hAnsi="Arial" w:cs="Arial"/>
          <w:sz w:val="24"/>
          <w:szCs w:val="24"/>
        </w:rPr>
        <w:t>en</w:t>
      </w:r>
      <w:r w:rsidRPr="00A85D78">
        <w:rPr>
          <w:rFonts w:ascii="Arial" w:hAnsi="Arial" w:cs="Arial"/>
          <w:sz w:val="24"/>
          <w:szCs w:val="24"/>
        </w:rPr>
        <w:t xml:space="preserve"> las últimas décadas, hasta este momento hemos comprendido los cambios institucionales en las atribuciones de los organismos facultados para ejercer la fiscalización; en </w:t>
      </w:r>
      <w:r w:rsidR="008D6503">
        <w:rPr>
          <w:rFonts w:ascii="Arial" w:hAnsi="Arial" w:cs="Arial"/>
          <w:sz w:val="24"/>
          <w:szCs w:val="24"/>
        </w:rPr>
        <w:t>el segundo</w:t>
      </w:r>
      <w:r w:rsidRPr="00A85D78">
        <w:rPr>
          <w:rFonts w:ascii="Arial" w:hAnsi="Arial" w:cs="Arial"/>
          <w:sz w:val="24"/>
          <w:szCs w:val="24"/>
        </w:rPr>
        <w:t xml:space="preserve"> capítulo profundizaremos sobre la metodología implementada por los órganos encargados de la fiscalización para el caso del Instituto Electoral del Estado de México </w:t>
      </w:r>
      <w:r w:rsidR="00737733">
        <w:rPr>
          <w:rFonts w:ascii="Arial" w:hAnsi="Arial" w:cs="Arial"/>
          <w:sz w:val="24"/>
          <w:szCs w:val="24"/>
        </w:rPr>
        <w:t>(</w:t>
      </w:r>
      <w:r w:rsidRPr="00A85D78">
        <w:rPr>
          <w:rFonts w:ascii="Arial" w:hAnsi="Arial" w:cs="Arial"/>
          <w:sz w:val="24"/>
          <w:szCs w:val="24"/>
        </w:rPr>
        <w:t>IEEM</w:t>
      </w:r>
      <w:r w:rsidR="00737733">
        <w:rPr>
          <w:rFonts w:ascii="Arial" w:hAnsi="Arial" w:cs="Arial"/>
          <w:sz w:val="24"/>
          <w:szCs w:val="24"/>
        </w:rPr>
        <w:t>)</w:t>
      </w:r>
      <w:r w:rsidRPr="00A85D78">
        <w:rPr>
          <w:rFonts w:ascii="Arial" w:hAnsi="Arial" w:cs="Arial"/>
          <w:sz w:val="24"/>
          <w:szCs w:val="24"/>
        </w:rPr>
        <w:t xml:space="preserve"> y el Instituto Nacional Electoral </w:t>
      </w:r>
      <w:r w:rsidR="00737733">
        <w:rPr>
          <w:rFonts w:ascii="Arial" w:hAnsi="Arial" w:cs="Arial"/>
          <w:sz w:val="24"/>
          <w:szCs w:val="24"/>
        </w:rPr>
        <w:t>(</w:t>
      </w:r>
      <w:r w:rsidRPr="00A85D78">
        <w:rPr>
          <w:rFonts w:ascii="Arial" w:hAnsi="Arial" w:cs="Arial"/>
          <w:sz w:val="24"/>
          <w:szCs w:val="24"/>
        </w:rPr>
        <w:t>INE</w:t>
      </w:r>
      <w:r w:rsidR="00737733">
        <w:rPr>
          <w:rFonts w:ascii="Arial" w:hAnsi="Arial" w:cs="Arial"/>
          <w:sz w:val="24"/>
          <w:szCs w:val="24"/>
        </w:rPr>
        <w:t>)</w:t>
      </w:r>
      <w:r w:rsidRPr="00A85D78">
        <w:rPr>
          <w:rFonts w:ascii="Arial" w:hAnsi="Arial" w:cs="Arial"/>
          <w:sz w:val="24"/>
          <w:szCs w:val="24"/>
        </w:rPr>
        <w:t>. En la primera sección nos ocuparemos de exponer el proceso de fiscalización empleado por el IEEM en los procesos electorales 2009, 2011 y 2012; mientras que en el segundo apartado se detallar</w:t>
      </w:r>
      <w:r w:rsidR="00C61F66" w:rsidRPr="00A85D78">
        <w:rPr>
          <w:rFonts w:ascii="Arial" w:hAnsi="Arial" w:cs="Arial"/>
          <w:sz w:val="24"/>
          <w:szCs w:val="24"/>
        </w:rPr>
        <w:t>á</w:t>
      </w:r>
      <w:r w:rsidRPr="00A85D78">
        <w:rPr>
          <w:rFonts w:ascii="Arial" w:hAnsi="Arial" w:cs="Arial"/>
          <w:sz w:val="24"/>
          <w:szCs w:val="24"/>
        </w:rPr>
        <w:t>n los pormenores de la fiscalización realizada bajo el nuevo modelo implementado por el INE a partir de los procesos electorales del 2015.</w:t>
      </w:r>
    </w:p>
    <w:p w:rsidR="0056152D" w:rsidRDefault="0056152D" w:rsidP="00DF4909">
      <w:pPr>
        <w:spacing w:line="360" w:lineRule="auto"/>
        <w:jc w:val="both"/>
        <w:rPr>
          <w:rFonts w:ascii="Arial" w:hAnsi="Arial" w:cs="Arial"/>
          <w:sz w:val="24"/>
          <w:szCs w:val="24"/>
        </w:rPr>
      </w:pPr>
    </w:p>
    <w:p w:rsidR="00DF4909" w:rsidRPr="00A85D78" w:rsidRDefault="00DF4909" w:rsidP="00DF4909">
      <w:pPr>
        <w:spacing w:line="360" w:lineRule="auto"/>
        <w:jc w:val="both"/>
        <w:rPr>
          <w:rFonts w:ascii="Arial" w:hAnsi="Arial" w:cs="Arial"/>
          <w:sz w:val="24"/>
          <w:szCs w:val="24"/>
        </w:rPr>
      </w:pPr>
    </w:p>
    <w:p w:rsidR="00A256AB" w:rsidRPr="00A85D78" w:rsidRDefault="00A256AB" w:rsidP="00DF4909">
      <w:pPr>
        <w:spacing w:line="360" w:lineRule="auto"/>
        <w:jc w:val="both"/>
        <w:rPr>
          <w:rFonts w:ascii="Arial" w:hAnsi="Arial" w:cs="Arial"/>
          <w:b/>
          <w:sz w:val="24"/>
          <w:szCs w:val="24"/>
        </w:rPr>
      </w:pPr>
      <w:r w:rsidRPr="00A85D78">
        <w:rPr>
          <w:rFonts w:ascii="Arial" w:hAnsi="Arial" w:cs="Arial"/>
          <w:b/>
          <w:sz w:val="24"/>
          <w:szCs w:val="24"/>
        </w:rPr>
        <w:t xml:space="preserve">2.1 Proceso de </w:t>
      </w:r>
      <w:r w:rsidR="003D1A3D">
        <w:rPr>
          <w:rFonts w:ascii="Arial" w:hAnsi="Arial" w:cs="Arial"/>
          <w:b/>
          <w:sz w:val="24"/>
          <w:szCs w:val="24"/>
        </w:rPr>
        <w:t>f</w:t>
      </w:r>
      <w:r w:rsidRPr="00A85D78">
        <w:rPr>
          <w:rFonts w:ascii="Arial" w:hAnsi="Arial" w:cs="Arial"/>
          <w:b/>
          <w:sz w:val="24"/>
          <w:szCs w:val="24"/>
        </w:rPr>
        <w:t>iscalización del Instituto Electoral del Estado de México.</w:t>
      </w:r>
    </w:p>
    <w:p w:rsidR="00A256AB" w:rsidRDefault="00A256AB" w:rsidP="00DF4909">
      <w:pPr>
        <w:tabs>
          <w:tab w:val="left" w:pos="6240"/>
        </w:tabs>
        <w:spacing w:line="360" w:lineRule="auto"/>
        <w:jc w:val="both"/>
        <w:rPr>
          <w:rFonts w:ascii="Arial" w:hAnsi="Arial" w:cs="Arial"/>
          <w:sz w:val="24"/>
          <w:szCs w:val="24"/>
        </w:rPr>
      </w:pPr>
      <w:r w:rsidRPr="00A85D78">
        <w:rPr>
          <w:rFonts w:ascii="Arial" w:hAnsi="Arial" w:cs="Arial"/>
          <w:sz w:val="24"/>
          <w:szCs w:val="24"/>
        </w:rPr>
        <w:t>Hasta el año 2007, la tarea de fiscalizar los recursos ejercidos por los partidos políticos, correspondía de conformidad con el artículo 95 fracción XVII del Código Electoral del Estado de México, al Consejo General del IEEM; para cumplir de mejor forma con esta atribución el 26 de agosto de 2005, mediante el acuerdo IEEM/CG115/2005 se constituyó la Comisión de Fiscalización; no obstante no se contaba con el personal necesario para poder realizar la labor de revisión y dictaminación de los informes anuales de los partidos políticos; por lo que se recurría a contratación de un Despacho Contable externo, que fungiera como auxiliar de dicha Comisión.</w:t>
      </w:r>
    </w:p>
    <w:p w:rsidR="0056152D" w:rsidRPr="00A85D78" w:rsidRDefault="0056152D" w:rsidP="0056152D">
      <w:pPr>
        <w:tabs>
          <w:tab w:val="left" w:pos="6240"/>
        </w:tabs>
        <w:spacing w:line="360" w:lineRule="auto"/>
        <w:jc w:val="both"/>
        <w:rPr>
          <w:rFonts w:ascii="Arial" w:hAnsi="Arial" w:cs="Arial"/>
          <w:sz w:val="24"/>
          <w:szCs w:val="24"/>
        </w:rPr>
      </w:pPr>
    </w:p>
    <w:p w:rsidR="00A256AB" w:rsidRDefault="00A256AB" w:rsidP="0056152D">
      <w:pPr>
        <w:tabs>
          <w:tab w:val="left" w:pos="6240"/>
        </w:tabs>
        <w:spacing w:line="360" w:lineRule="auto"/>
        <w:jc w:val="both"/>
        <w:rPr>
          <w:rFonts w:ascii="Arial" w:hAnsi="Arial" w:cs="Arial"/>
          <w:sz w:val="24"/>
          <w:szCs w:val="24"/>
        </w:rPr>
      </w:pPr>
      <w:r w:rsidRPr="00A85D78">
        <w:rPr>
          <w:rFonts w:ascii="Arial" w:hAnsi="Arial" w:cs="Arial"/>
          <w:sz w:val="24"/>
          <w:szCs w:val="24"/>
        </w:rPr>
        <w:t xml:space="preserve">Con la finalidad de profesionalizar la revisión de los recursos de los partidos políticos, en el mes de agosto de 2008, la LVI Legislatura del Estado de México, emitió el Decreto 196, mediante el cual realizó reformas, adiciones y derogaciones al Código Electoral del Estado de México, entre las que destaca la incorporación del Órgano Técnico de Fiscalización, en la estructura del Instituto Electoral del Estado de México, quedando sustentada en los artículos 11 párrafo octavo de la Constitución Política del Estado Libre y Soberano de México; así </w:t>
      </w:r>
      <w:r w:rsidRPr="00A85D78">
        <w:rPr>
          <w:rFonts w:ascii="Arial" w:hAnsi="Arial" w:cs="Arial"/>
          <w:sz w:val="24"/>
          <w:szCs w:val="24"/>
        </w:rPr>
        <w:lastRenderedPageBreak/>
        <w:t>como en el 62 párrafo primero del Código Electoral del Estado de México. (Gaceta de Gobierno, 2008)</w:t>
      </w:r>
      <w:r w:rsidR="00C61F66" w:rsidRPr="00A85D78">
        <w:rPr>
          <w:rFonts w:ascii="Arial" w:hAnsi="Arial" w:cs="Arial"/>
          <w:sz w:val="24"/>
          <w:szCs w:val="24"/>
        </w:rPr>
        <w:t>.</w:t>
      </w:r>
    </w:p>
    <w:p w:rsidR="0056152D" w:rsidRPr="00A85D78" w:rsidRDefault="0056152D" w:rsidP="0056152D">
      <w:pPr>
        <w:tabs>
          <w:tab w:val="left" w:pos="6240"/>
        </w:tabs>
        <w:spacing w:line="360" w:lineRule="auto"/>
        <w:jc w:val="both"/>
        <w:rPr>
          <w:rFonts w:ascii="Arial" w:hAnsi="Arial" w:cs="Arial"/>
          <w:sz w:val="24"/>
          <w:szCs w:val="24"/>
        </w:rPr>
      </w:pPr>
    </w:p>
    <w:p w:rsidR="00A256AB" w:rsidRDefault="00A256AB" w:rsidP="0056152D">
      <w:pPr>
        <w:tabs>
          <w:tab w:val="left" w:pos="6240"/>
        </w:tabs>
        <w:spacing w:line="360" w:lineRule="auto"/>
        <w:jc w:val="both"/>
        <w:rPr>
          <w:rFonts w:ascii="Arial" w:hAnsi="Arial" w:cs="Arial"/>
          <w:sz w:val="24"/>
          <w:szCs w:val="24"/>
        </w:rPr>
      </w:pPr>
      <w:r w:rsidRPr="00A85D78">
        <w:rPr>
          <w:rFonts w:ascii="Arial" w:hAnsi="Arial" w:cs="Arial"/>
          <w:sz w:val="24"/>
          <w:szCs w:val="24"/>
        </w:rPr>
        <w:t xml:space="preserve">Es de esta manera que el Órgano Técnico de Fiscalización del IEEM, inicia funciones a través de la revisión del gasto ordinario del ejercicio fiscal 2008 Para el año 2009 además del gasto ordinario, el órgano técnico de fiscalización realizaría además la revisión de los informes de precampaña y campaña correspondientes al proceso electoral en el que se renovarían los Ayuntamientos y Diputados Locales de la </w:t>
      </w:r>
      <w:r w:rsidR="0056152D">
        <w:rPr>
          <w:rFonts w:ascii="Arial" w:hAnsi="Arial" w:cs="Arial"/>
          <w:sz w:val="24"/>
          <w:szCs w:val="24"/>
        </w:rPr>
        <w:t>e</w:t>
      </w:r>
      <w:r w:rsidRPr="00A85D78">
        <w:rPr>
          <w:rFonts w:ascii="Arial" w:hAnsi="Arial" w:cs="Arial"/>
          <w:sz w:val="24"/>
          <w:szCs w:val="24"/>
        </w:rPr>
        <w:t>ntidad.</w:t>
      </w:r>
    </w:p>
    <w:p w:rsidR="0056152D" w:rsidRDefault="0056152D" w:rsidP="0056152D">
      <w:pPr>
        <w:tabs>
          <w:tab w:val="left" w:pos="6240"/>
        </w:tabs>
        <w:spacing w:line="360" w:lineRule="auto"/>
        <w:jc w:val="both"/>
        <w:rPr>
          <w:rFonts w:ascii="Arial" w:hAnsi="Arial" w:cs="Arial"/>
          <w:sz w:val="24"/>
          <w:szCs w:val="24"/>
        </w:rPr>
      </w:pPr>
    </w:p>
    <w:p w:rsidR="00DF4909" w:rsidRPr="00A85D78" w:rsidRDefault="00DF4909" w:rsidP="00DF4909">
      <w:pPr>
        <w:tabs>
          <w:tab w:val="left" w:pos="6240"/>
        </w:tabs>
        <w:spacing w:line="360" w:lineRule="auto"/>
        <w:jc w:val="both"/>
        <w:rPr>
          <w:rFonts w:ascii="Arial" w:hAnsi="Arial" w:cs="Arial"/>
          <w:sz w:val="24"/>
          <w:szCs w:val="24"/>
        </w:rPr>
      </w:pPr>
    </w:p>
    <w:p w:rsidR="00A256AB" w:rsidRPr="00A85D78" w:rsidRDefault="00A256AB" w:rsidP="00DF4909">
      <w:pPr>
        <w:tabs>
          <w:tab w:val="left" w:pos="6240"/>
        </w:tabs>
        <w:spacing w:line="360" w:lineRule="auto"/>
        <w:jc w:val="both"/>
        <w:rPr>
          <w:rFonts w:ascii="Arial" w:hAnsi="Arial" w:cs="Arial"/>
          <w:b/>
          <w:sz w:val="24"/>
          <w:szCs w:val="24"/>
        </w:rPr>
      </w:pPr>
      <w:r w:rsidRPr="00A85D78">
        <w:rPr>
          <w:rFonts w:ascii="Arial" w:hAnsi="Arial" w:cs="Arial"/>
          <w:b/>
          <w:sz w:val="24"/>
          <w:szCs w:val="24"/>
        </w:rPr>
        <w:t xml:space="preserve">2.1.1 Proceso de </w:t>
      </w:r>
      <w:r w:rsidR="003D1A3D">
        <w:rPr>
          <w:rFonts w:ascii="Arial" w:hAnsi="Arial" w:cs="Arial"/>
          <w:b/>
          <w:sz w:val="24"/>
          <w:szCs w:val="24"/>
        </w:rPr>
        <w:t>f</w:t>
      </w:r>
      <w:r w:rsidRPr="00A85D78">
        <w:rPr>
          <w:rFonts w:ascii="Arial" w:hAnsi="Arial" w:cs="Arial"/>
          <w:b/>
          <w:sz w:val="24"/>
          <w:szCs w:val="24"/>
        </w:rPr>
        <w:t>iscalización de precampaña.</w:t>
      </w:r>
    </w:p>
    <w:p w:rsidR="00A256AB" w:rsidRDefault="00A256AB" w:rsidP="00DF4909">
      <w:pPr>
        <w:tabs>
          <w:tab w:val="left" w:pos="6240"/>
        </w:tabs>
        <w:spacing w:line="360" w:lineRule="auto"/>
        <w:jc w:val="both"/>
        <w:rPr>
          <w:rFonts w:ascii="Arial" w:hAnsi="Arial" w:cs="Arial"/>
          <w:sz w:val="24"/>
          <w:szCs w:val="24"/>
        </w:rPr>
      </w:pPr>
      <w:r w:rsidRPr="00A85D78">
        <w:rPr>
          <w:rFonts w:ascii="Arial" w:hAnsi="Arial" w:cs="Arial"/>
          <w:sz w:val="24"/>
          <w:szCs w:val="24"/>
        </w:rPr>
        <w:t>El Órgano Técnico de Fiscalización del IEEM puso en práctica un proceso para la recepción, revisión y dictaminación de los informes de precampaña en los procesos internos de selección de candidatos de los partidos políticos, mismo que a continuación se describe en la figura 1</w:t>
      </w:r>
      <w:r w:rsidR="006B7ED5">
        <w:rPr>
          <w:rFonts w:ascii="Arial" w:hAnsi="Arial" w:cs="Arial"/>
          <w:sz w:val="24"/>
          <w:szCs w:val="24"/>
        </w:rPr>
        <w:t>.</w:t>
      </w:r>
    </w:p>
    <w:p w:rsidR="00DE57AC" w:rsidRDefault="00DE57AC">
      <w:pPr>
        <w:rPr>
          <w:rFonts w:ascii="Arial" w:hAnsi="Arial" w:cs="Arial"/>
          <w:sz w:val="24"/>
          <w:szCs w:val="24"/>
        </w:rPr>
      </w:pPr>
      <w:r>
        <w:rPr>
          <w:rFonts w:ascii="Arial" w:hAnsi="Arial" w:cs="Arial"/>
          <w:sz w:val="24"/>
          <w:szCs w:val="24"/>
        </w:rPr>
        <w:br w:type="page"/>
      </w:r>
    </w:p>
    <w:p w:rsidR="006C578C" w:rsidRPr="00A85D78" w:rsidRDefault="00DE57AC" w:rsidP="00DE57AC">
      <w:pPr>
        <w:tabs>
          <w:tab w:val="left" w:pos="6240"/>
        </w:tabs>
        <w:spacing w:line="360" w:lineRule="auto"/>
        <w:jc w:val="center"/>
        <w:rPr>
          <w:rFonts w:ascii="Arial" w:hAnsi="Arial" w:cs="Arial"/>
          <w:sz w:val="24"/>
          <w:szCs w:val="24"/>
        </w:rPr>
      </w:pPr>
      <w:r>
        <w:rPr>
          <w:noProof/>
        </w:rPr>
        <w:lastRenderedPageBreak/>
        <w:drawing>
          <wp:anchor distT="0" distB="0" distL="114300" distR="114300" simplePos="0" relativeHeight="251735040" behindDoc="1" locked="0" layoutInCell="1" allowOverlap="1" wp14:anchorId="2796C1DF">
            <wp:simplePos x="0" y="0"/>
            <wp:positionH relativeFrom="margin">
              <wp:align>center</wp:align>
            </wp:positionH>
            <wp:positionV relativeFrom="paragraph">
              <wp:posOffset>5080</wp:posOffset>
            </wp:positionV>
            <wp:extent cx="6442075" cy="7362825"/>
            <wp:effectExtent l="0" t="0" r="0" b="952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12171" t="21008" r="51317" b="7504"/>
                    <a:stretch/>
                  </pic:blipFill>
                  <pic:spPr bwMode="auto">
                    <a:xfrm>
                      <a:off x="0" y="0"/>
                      <a:ext cx="6442075" cy="7362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933C1" w:rsidRDefault="006933C1" w:rsidP="00DE57AC">
      <w:pPr>
        <w:jc w:val="center"/>
        <w:rPr>
          <w:rStyle w:val="Ttulodellibro"/>
          <w:b/>
          <w:i/>
          <w:color w:val="auto"/>
        </w:rPr>
      </w:pPr>
    </w:p>
    <w:p w:rsidR="00DE57AC" w:rsidRDefault="00DE57AC">
      <w:pPr>
        <w:rPr>
          <w:rStyle w:val="Ttulodellibro"/>
          <w:b/>
          <w:i/>
          <w:color w:val="auto"/>
        </w:rPr>
      </w:pPr>
      <w:r>
        <w:rPr>
          <w:rStyle w:val="Ttulodellibro"/>
          <w:b/>
          <w:i/>
          <w:color w:val="auto"/>
        </w:rPr>
        <w:br w:type="page"/>
      </w:r>
    </w:p>
    <w:p w:rsidR="00DE57AC" w:rsidRDefault="00DE57AC">
      <w:pPr>
        <w:rPr>
          <w:rStyle w:val="Ttulodellibro"/>
          <w:b/>
          <w:i/>
          <w:color w:val="auto"/>
        </w:rPr>
      </w:pPr>
    </w:p>
    <w:p w:rsidR="00A256AB" w:rsidRDefault="00A256AB" w:rsidP="00DE57AC">
      <w:pPr>
        <w:rPr>
          <w:rFonts w:ascii="Arial" w:hAnsi="Arial" w:cs="Arial"/>
          <w:sz w:val="24"/>
          <w:szCs w:val="24"/>
        </w:rPr>
      </w:pPr>
      <w:r w:rsidRPr="00A85D78">
        <w:rPr>
          <w:rFonts w:ascii="Arial" w:hAnsi="Arial" w:cs="Arial"/>
          <w:sz w:val="24"/>
          <w:szCs w:val="24"/>
        </w:rPr>
        <w:t>El proceso de fiscalización utilizado por el Órgano Técnico de Fiscalización del Instituto Electoral del Estado de México para el caso de las precampañas consiste en:</w:t>
      </w:r>
    </w:p>
    <w:p w:rsidR="00386942" w:rsidRPr="00A85D78" w:rsidRDefault="00386942" w:rsidP="00A256AB">
      <w:pPr>
        <w:tabs>
          <w:tab w:val="left" w:pos="5070"/>
        </w:tabs>
        <w:jc w:val="both"/>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 xml:space="preserve"> Notificar a los partidos políticos del procedimiento de recepción, revisión y dictaminación del informe de precampaña esto lo hace a través de mediante oficio firmado por el Titular del Órgano Técnico de Fiscalización, se revisarían entre otros, los ingresos y egresos reportados por los partidos políticos en sus </w:t>
      </w:r>
      <w:r w:rsidR="00C61F66" w:rsidRPr="00A85D78">
        <w:rPr>
          <w:rFonts w:ascii="Arial" w:hAnsi="Arial" w:cs="Arial"/>
          <w:sz w:val="24"/>
          <w:szCs w:val="24"/>
        </w:rPr>
        <w:t>i</w:t>
      </w:r>
      <w:r w:rsidRPr="00A85D78">
        <w:rPr>
          <w:rFonts w:ascii="Arial" w:hAnsi="Arial" w:cs="Arial"/>
          <w:sz w:val="24"/>
          <w:szCs w:val="24"/>
        </w:rPr>
        <w:t>nformes de ingresos y gastos de precampaña 2009.</w:t>
      </w:r>
    </w:p>
    <w:p w:rsidR="00A256AB" w:rsidRPr="00A85D78" w:rsidRDefault="00A256AB" w:rsidP="00A256AB">
      <w:pPr>
        <w:pStyle w:val="Prrafodelista"/>
        <w:tabs>
          <w:tab w:val="left" w:pos="5070"/>
        </w:tabs>
        <w:jc w:val="both"/>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Los partidos políticos presentan los informes de precampaña de sus candidatos ante el Órgano Técnico de Fiscalización del IEEM, en un plazo de hasta 15 días después de la culminación de las precampañas.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El Órgano Técnico de Fiscalización tiene un periodo de 5 días para revisar los informes presentados por los partidos políticos en una revisión denominada preliminar.</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jc w:val="both"/>
        <w:rPr>
          <w:rFonts w:ascii="Arial" w:hAnsi="Arial" w:cs="Arial"/>
          <w:sz w:val="24"/>
          <w:szCs w:val="24"/>
        </w:rPr>
      </w:pPr>
      <w:r w:rsidRPr="00A85D78">
        <w:rPr>
          <w:rFonts w:ascii="Arial" w:hAnsi="Arial" w:cs="Arial"/>
          <w:sz w:val="24"/>
          <w:szCs w:val="24"/>
        </w:rPr>
        <w:t>El Órgano Técnico de Fiscalización notifica a los partidos mediante oficio firmado por el Titular del Órgano Técnico de Fiscalización a los servidores electorales que acudirán a las instalaciones del partido a solicitar información complementaria a los informes presentados, señalando fecha, lugar, objeto de la visita y la obligación del partido político de nombrar testigos de asistencia en la diligencia.</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Los servidores electorales comisionados por el Órgano Técnico de Fiscalización, realizan una revisión de gabinete de la documentación soporte a los informes presentados en las instalaciones del partido político durante dos días.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 xml:space="preserve">Paralelamente la </w:t>
      </w:r>
      <w:r w:rsidR="00C61F66" w:rsidRPr="00A85D78">
        <w:rPr>
          <w:rFonts w:ascii="Arial" w:hAnsi="Arial" w:cs="Arial"/>
          <w:sz w:val="24"/>
          <w:szCs w:val="24"/>
        </w:rPr>
        <w:t>S</w:t>
      </w:r>
      <w:r w:rsidRPr="00A85D78">
        <w:rPr>
          <w:rFonts w:ascii="Arial" w:hAnsi="Arial" w:cs="Arial"/>
          <w:sz w:val="24"/>
          <w:szCs w:val="24"/>
        </w:rPr>
        <w:t>ecretar</w:t>
      </w:r>
      <w:r w:rsidR="00C61F66" w:rsidRPr="00A85D78">
        <w:rPr>
          <w:rFonts w:ascii="Arial" w:hAnsi="Arial" w:cs="Arial"/>
          <w:sz w:val="24"/>
          <w:szCs w:val="24"/>
        </w:rPr>
        <w:t>í</w:t>
      </w:r>
      <w:r w:rsidRPr="00A85D78">
        <w:rPr>
          <w:rFonts w:ascii="Arial" w:hAnsi="Arial" w:cs="Arial"/>
          <w:sz w:val="24"/>
          <w:szCs w:val="24"/>
        </w:rPr>
        <w:t xml:space="preserve">a </w:t>
      </w:r>
      <w:r w:rsidR="00C61F66" w:rsidRPr="00A85D78">
        <w:rPr>
          <w:rFonts w:ascii="Arial" w:hAnsi="Arial" w:cs="Arial"/>
          <w:sz w:val="24"/>
          <w:szCs w:val="24"/>
        </w:rPr>
        <w:t>E</w:t>
      </w:r>
      <w:r w:rsidRPr="00A85D78">
        <w:rPr>
          <w:rFonts w:ascii="Arial" w:hAnsi="Arial" w:cs="Arial"/>
          <w:sz w:val="24"/>
          <w:szCs w:val="24"/>
        </w:rPr>
        <w:t xml:space="preserve">jecutiva </w:t>
      </w:r>
      <w:r w:rsidR="00C61F66" w:rsidRPr="00A85D78">
        <w:rPr>
          <w:rFonts w:ascii="Arial" w:hAnsi="Arial" w:cs="Arial"/>
          <w:sz w:val="24"/>
          <w:szCs w:val="24"/>
        </w:rPr>
        <w:t>G</w:t>
      </w:r>
      <w:r w:rsidRPr="00A85D78">
        <w:rPr>
          <w:rFonts w:ascii="Arial" w:hAnsi="Arial" w:cs="Arial"/>
          <w:sz w:val="24"/>
          <w:szCs w:val="24"/>
        </w:rPr>
        <w:t xml:space="preserve">eneral elabora oficios de circularización de personas físicas o morales con las que el partido político realizó transacciones, en las que pregunta a los proveedores los montos a los que ascendieron las operaciones celebradas con los partidos políticos durante el periodo de precampaña con el fin de corroborar la veracidad de </w:t>
      </w:r>
      <w:r w:rsidR="00386942" w:rsidRPr="00A85D78">
        <w:rPr>
          <w:rFonts w:ascii="Arial" w:hAnsi="Arial" w:cs="Arial"/>
          <w:sz w:val="24"/>
          <w:szCs w:val="24"/>
        </w:rPr>
        <w:t>la información presentada</w:t>
      </w:r>
      <w:r w:rsidRPr="00A85D78">
        <w:rPr>
          <w:rFonts w:ascii="Arial" w:hAnsi="Arial" w:cs="Arial"/>
          <w:sz w:val="24"/>
          <w:szCs w:val="24"/>
        </w:rPr>
        <w:t xml:space="preserve"> por los partidos.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El Órgano Técnico de Fiscalización, al culminar la revisión de gabinete, tiene un día para elaborar un oficio en donde plasme los errores y omisiones en los que los partidos incurrieron en la presentación de sus informes de precampaña y los notifica al partido político.</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El Partido Político cuenta con un plazo de cuatro días para solventar los errores y omisiones detectados por la autoridad electoral. Dentro de este plazo de 4 días, el Órgano Técnico de Fiscalización brinda el derecho de audiencia a los partidos para realizar aclaraciones que consideren pertinentes.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lastRenderedPageBreak/>
        <w:t>El Órgano Técnico de Fiscalización cuenta con cinco días para revisar las aclaraciones y rectificaciones de los partidos políticos y elabora el dictamen correspondiente en el que deja en claro las irregularidades que el partido pudo solventar y las conductas infractoras que no fueron corregidas, así como la sanción correspondiente y lo turna a la Comisión de Fiscalización para su análisis.</w:t>
      </w:r>
    </w:p>
    <w:p w:rsidR="00A256AB" w:rsidRPr="00A85D78" w:rsidRDefault="00A256AB" w:rsidP="00A256AB">
      <w:pPr>
        <w:pStyle w:val="Prrafodelista"/>
        <w:rPr>
          <w:rFonts w:ascii="Arial" w:hAnsi="Arial" w:cs="Arial"/>
          <w:sz w:val="24"/>
          <w:szCs w:val="24"/>
        </w:rPr>
      </w:pPr>
    </w:p>
    <w:p w:rsidR="00A256AB" w:rsidRDefault="00A256AB" w:rsidP="00A256AB">
      <w:pPr>
        <w:pStyle w:val="Prrafodelista"/>
        <w:numPr>
          <w:ilvl w:val="0"/>
          <w:numId w:val="12"/>
        </w:numPr>
        <w:tabs>
          <w:tab w:val="left" w:pos="5070"/>
        </w:tabs>
        <w:jc w:val="both"/>
        <w:rPr>
          <w:rFonts w:ascii="Arial" w:hAnsi="Arial" w:cs="Arial"/>
          <w:sz w:val="24"/>
          <w:szCs w:val="24"/>
        </w:rPr>
      </w:pPr>
      <w:r w:rsidRPr="00A85D78">
        <w:rPr>
          <w:rFonts w:ascii="Arial" w:hAnsi="Arial" w:cs="Arial"/>
          <w:sz w:val="24"/>
          <w:szCs w:val="24"/>
        </w:rPr>
        <w:t xml:space="preserve"> Una vez que la Comisión de Fiscalización del IEEM, aprueba el proyecto de dictamen emitido por el Órgano de Fiscalización lo turna al Consejo General para su aprobación.</w:t>
      </w:r>
    </w:p>
    <w:p w:rsidR="00386942" w:rsidRPr="00386942" w:rsidRDefault="00386942" w:rsidP="00386942">
      <w:pPr>
        <w:pStyle w:val="Prrafodelista"/>
        <w:rPr>
          <w:rFonts w:ascii="Arial" w:hAnsi="Arial" w:cs="Arial"/>
          <w:sz w:val="24"/>
          <w:szCs w:val="24"/>
        </w:rPr>
      </w:pPr>
    </w:p>
    <w:p w:rsidR="00A256AB" w:rsidRDefault="00A256AB" w:rsidP="00A256AB">
      <w:pPr>
        <w:jc w:val="both"/>
        <w:rPr>
          <w:rFonts w:ascii="Arial" w:hAnsi="Arial" w:cs="Arial"/>
          <w:sz w:val="24"/>
          <w:szCs w:val="24"/>
        </w:rPr>
      </w:pPr>
      <w:r w:rsidRPr="00A85D78">
        <w:rPr>
          <w:rFonts w:ascii="Arial" w:hAnsi="Arial" w:cs="Arial"/>
          <w:sz w:val="24"/>
          <w:szCs w:val="24"/>
        </w:rPr>
        <w:t>Las fechas del proceso de fiscalización de precampaña en un cronograma quedan descritos en la tabla 2.1</w:t>
      </w:r>
      <w:r w:rsidR="00386942">
        <w:rPr>
          <w:rFonts w:ascii="Arial" w:hAnsi="Arial" w:cs="Arial"/>
          <w:sz w:val="24"/>
          <w:szCs w:val="24"/>
        </w:rPr>
        <w:t>.</w:t>
      </w:r>
    </w:p>
    <w:p w:rsidR="00386942" w:rsidRPr="00A85D78" w:rsidRDefault="00386942" w:rsidP="00A256AB">
      <w:pPr>
        <w:jc w:val="both"/>
        <w:rPr>
          <w:rFonts w:ascii="Arial" w:hAnsi="Arial" w:cs="Arial"/>
          <w:sz w:val="24"/>
          <w:szCs w:val="24"/>
        </w:rPr>
      </w:pPr>
    </w:p>
    <w:p w:rsidR="00A256AB" w:rsidRPr="0046261E" w:rsidRDefault="00A256AB" w:rsidP="00A256AB">
      <w:pPr>
        <w:jc w:val="both"/>
        <w:rPr>
          <w:rStyle w:val="Ttulodellibro"/>
          <w:b/>
          <w:i/>
          <w:color w:val="auto"/>
        </w:rPr>
      </w:pPr>
      <w:r w:rsidRPr="009F1C04">
        <w:rPr>
          <w:rStyle w:val="Ttulodellibro"/>
          <w:rFonts w:ascii="Arial" w:hAnsi="Arial" w:cs="Arial"/>
          <w:b/>
          <w:i/>
          <w:color w:val="auto"/>
          <w:sz w:val="20"/>
          <w:szCs w:val="20"/>
        </w:rPr>
        <w:t xml:space="preserve">Tabla 2.1. Cronograma de Fiscalización </w:t>
      </w:r>
      <w:r w:rsidR="00C61F66" w:rsidRPr="009F1C04">
        <w:rPr>
          <w:rStyle w:val="Ttulodellibro"/>
          <w:rFonts w:ascii="Arial" w:hAnsi="Arial" w:cs="Arial"/>
          <w:b/>
          <w:i/>
          <w:color w:val="auto"/>
          <w:sz w:val="20"/>
          <w:szCs w:val="20"/>
        </w:rPr>
        <w:t>P</w:t>
      </w:r>
      <w:r w:rsidRPr="009F1C04">
        <w:rPr>
          <w:rStyle w:val="Ttulodellibro"/>
          <w:rFonts w:ascii="Arial" w:hAnsi="Arial" w:cs="Arial"/>
          <w:b/>
          <w:i/>
          <w:color w:val="auto"/>
          <w:sz w:val="20"/>
          <w:szCs w:val="20"/>
        </w:rPr>
        <w:t>recampaña IEEM</w:t>
      </w:r>
      <w:r w:rsidR="0046261E">
        <w:rPr>
          <w:rStyle w:val="Ttulodellibro"/>
          <w:b/>
          <w:i/>
          <w:color w:val="auto"/>
        </w:rPr>
        <w:t>.</w:t>
      </w:r>
    </w:p>
    <w:p w:rsidR="00552741" w:rsidRPr="00552741" w:rsidRDefault="00552741" w:rsidP="00A256AB">
      <w:pPr>
        <w:jc w:val="both"/>
        <w:rPr>
          <w:rFonts w:ascii="Arial" w:hAnsi="Arial" w:cs="Arial"/>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22"/>
        <w:gridCol w:w="1248"/>
        <w:gridCol w:w="999"/>
        <w:gridCol w:w="875"/>
        <w:gridCol w:w="999"/>
        <w:gridCol w:w="1001"/>
        <w:gridCol w:w="1125"/>
        <w:gridCol w:w="1125"/>
      </w:tblGrid>
      <w:tr w:rsidR="001D32D4" w:rsidRPr="00552741" w:rsidTr="001D32D4">
        <w:trPr>
          <w:trHeight w:val="753"/>
          <w:tblHeader/>
          <w:jc w:val="center"/>
        </w:trPr>
        <w:tc>
          <w:tcPr>
            <w:tcW w:w="661"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1D32D4">
            <w:pPr>
              <w:ind w:right="21"/>
              <w:jc w:val="center"/>
              <w:rPr>
                <w:rFonts w:ascii="Arial" w:hAnsi="Arial" w:cs="Arial"/>
                <w:b/>
                <w:bCs/>
                <w:caps/>
                <w:sz w:val="12"/>
                <w:szCs w:val="12"/>
              </w:rPr>
            </w:pPr>
            <w:r w:rsidRPr="001D32D4">
              <w:rPr>
                <w:rFonts w:ascii="Arial" w:hAnsi="Arial" w:cs="Arial"/>
                <w:b/>
                <w:bCs/>
                <w:caps/>
                <w:sz w:val="12"/>
                <w:szCs w:val="12"/>
              </w:rPr>
              <w:t>Periodo de precampaña</w:t>
            </w:r>
          </w:p>
        </w:tc>
        <w:tc>
          <w:tcPr>
            <w:tcW w:w="735"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Presentación Informe</w:t>
            </w:r>
          </w:p>
        </w:tc>
        <w:tc>
          <w:tcPr>
            <w:tcW w:w="588"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Revisión preliminar</w:t>
            </w:r>
          </w:p>
        </w:tc>
        <w:tc>
          <w:tcPr>
            <w:tcW w:w="515" w:type="pct"/>
            <w:shd w:val="clear" w:color="auto" w:fill="FBE4D5" w:themeFill="accent2" w:themeFillTint="33"/>
            <w:tcMar>
              <w:top w:w="120" w:type="dxa"/>
              <w:left w:w="120" w:type="dxa"/>
              <w:bottom w:w="120" w:type="dxa"/>
              <w:right w:w="120" w:type="dxa"/>
            </w:tcMar>
            <w:vAlign w:val="center"/>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Revisión en gabinete</w:t>
            </w:r>
          </w:p>
        </w:tc>
        <w:tc>
          <w:tcPr>
            <w:tcW w:w="588"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Errores y omisiones</w:t>
            </w:r>
          </w:p>
        </w:tc>
        <w:tc>
          <w:tcPr>
            <w:tcW w:w="589"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Respuesta a errores y omisiones</w:t>
            </w:r>
          </w:p>
        </w:tc>
        <w:tc>
          <w:tcPr>
            <w:tcW w:w="662"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Dictamen y Resolución</w:t>
            </w:r>
          </w:p>
        </w:tc>
        <w:tc>
          <w:tcPr>
            <w:tcW w:w="662" w:type="pct"/>
            <w:shd w:val="clear" w:color="auto" w:fill="FBE4D5" w:themeFill="accent2" w:themeFillTint="33"/>
            <w:tcMar>
              <w:top w:w="120" w:type="dxa"/>
              <w:left w:w="120" w:type="dxa"/>
              <w:bottom w:w="120" w:type="dxa"/>
              <w:right w:w="120" w:type="dxa"/>
            </w:tcMar>
            <w:vAlign w:val="center"/>
            <w:hideMark/>
          </w:tcPr>
          <w:p w:rsidR="00A256AB" w:rsidRPr="001D32D4" w:rsidRDefault="00A256AB" w:rsidP="003F25EA">
            <w:pPr>
              <w:jc w:val="center"/>
              <w:rPr>
                <w:rFonts w:ascii="Arial" w:hAnsi="Arial" w:cs="Arial"/>
                <w:b/>
                <w:bCs/>
                <w:caps/>
                <w:sz w:val="12"/>
                <w:szCs w:val="12"/>
              </w:rPr>
            </w:pPr>
            <w:r w:rsidRPr="001D32D4">
              <w:rPr>
                <w:rFonts w:ascii="Arial" w:hAnsi="Arial" w:cs="Arial"/>
                <w:b/>
                <w:bCs/>
                <w:caps/>
                <w:sz w:val="12"/>
                <w:szCs w:val="12"/>
              </w:rPr>
              <w:t>CG aprueba proyectos de UTF</w:t>
            </w:r>
          </w:p>
        </w:tc>
      </w:tr>
      <w:tr w:rsidR="001D32D4" w:rsidRPr="00552741" w:rsidTr="001D32D4">
        <w:trPr>
          <w:jc w:val="center"/>
        </w:trPr>
        <w:tc>
          <w:tcPr>
            <w:tcW w:w="661" w:type="pct"/>
            <w:shd w:val="clear" w:color="auto" w:fill="auto"/>
            <w:tcMar>
              <w:top w:w="120" w:type="dxa"/>
              <w:left w:w="120" w:type="dxa"/>
              <w:bottom w:w="120" w:type="dxa"/>
              <w:right w:w="120" w:type="dxa"/>
            </w:tcMar>
            <w:vAlign w:val="center"/>
            <w:hideMark/>
          </w:tcPr>
          <w:p w:rsidR="00A256AB" w:rsidRPr="00552741" w:rsidRDefault="00A256AB" w:rsidP="00A256AB">
            <w:pPr>
              <w:jc w:val="center"/>
              <w:rPr>
                <w:rFonts w:ascii="Arial" w:hAnsi="Arial" w:cs="Arial"/>
                <w:sz w:val="18"/>
                <w:szCs w:val="18"/>
              </w:rPr>
            </w:pPr>
            <w:r w:rsidRPr="00552741">
              <w:rPr>
                <w:rFonts w:ascii="Arial" w:hAnsi="Arial" w:cs="Arial"/>
                <w:sz w:val="18"/>
                <w:szCs w:val="18"/>
              </w:rPr>
              <w:t>30 días</w:t>
            </w:r>
          </w:p>
        </w:tc>
        <w:tc>
          <w:tcPr>
            <w:tcW w:w="735" w:type="pct"/>
            <w:shd w:val="clear" w:color="auto" w:fill="auto"/>
            <w:tcMar>
              <w:top w:w="120" w:type="dxa"/>
              <w:left w:w="120" w:type="dxa"/>
              <w:bottom w:w="120" w:type="dxa"/>
              <w:right w:w="120" w:type="dxa"/>
            </w:tcMar>
            <w:vAlign w:val="center"/>
            <w:hideMark/>
          </w:tcPr>
          <w:p w:rsidR="00A256AB" w:rsidRPr="00552741" w:rsidRDefault="00A256AB" w:rsidP="00A256AB">
            <w:pPr>
              <w:jc w:val="center"/>
              <w:rPr>
                <w:rFonts w:ascii="Arial" w:hAnsi="Arial" w:cs="Arial"/>
                <w:sz w:val="18"/>
                <w:szCs w:val="18"/>
              </w:rPr>
            </w:pPr>
            <w:r w:rsidRPr="00552741">
              <w:rPr>
                <w:rFonts w:ascii="Arial" w:hAnsi="Arial" w:cs="Arial"/>
                <w:sz w:val="18"/>
                <w:szCs w:val="18"/>
              </w:rPr>
              <w:t>15 días</w:t>
            </w:r>
          </w:p>
        </w:tc>
        <w:tc>
          <w:tcPr>
            <w:tcW w:w="588" w:type="pct"/>
            <w:shd w:val="clear" w:color="auto" w:fill="auto"/>
            <w:tcMar>
              <w:top w:w="120" w:type="dxa"/>
              <w:left w:w="120" w:type="dxa"/>
              <w:bottom w:w="120" w:type="dxa"/>
              <w:right w:w="120" w:type="dxa"/>
            </w:tcMar>
            <w:vAlign w:val="center"/>
            <w:hideMark/>
          </w:tcPr>
          <w:p w:rsidR="00A256AB" w:rsidRPr="00552741" w:rsidRDefault="00A256AB" w:rsidP="00A256AB">
            <w:pPr>
              <w:jc w:val="center"/>
              <w:rPr>
                <w:rFonts w:ascii="Arial" w:hAnsi="Arial" w:cs="Arial"/>
                <w:sz w:val="18"/>
                <w:szCs w:val="18"/>
              </w:rPr>
            </w:pPr>
            <w:r w:rsidRPr="00552741">
              <w:rPr>
                <w:rFonts w:ascii="Arial" w:hAnsi="Arial" w:cs="Arial"/>
                <w:sz w:val="18"/>
                <w:szCs w:val="18"/>
              </w:rPr>
              <w:t>5 días</w:t>
            </w:r>
          </w:p>
        </w:tc>
        <w:tc>
          <w:tcPr>
            <w:tcW w:w="515" w:type="pct"/>
            <w:shd w:val="clear" w:color="auto" w:fill="auto"/>
            <w:tcMar>
              <w:top w:w="120" w:type="dxa"/>
              <w:left w:w="120" w:type="dxa"/>
              <w:bottom w:w="120" w:type="dxa"/>
              <w:right w:w="120" w:type="dxa"/>
            </w:tcMar>
            <w:vAlign w:val="center"/>
          </w:tcPr>
          <w:p w:rsidR="00A256AB" w:rsidRPr="00552741" w:rsidRDefault="00A256AB" w:rsidP="00A256AB">
            <w:pPr>
              <w:jc w:val="center"/>
              <w:rPr>
                <w:rFonts w:ascii="Arial" w:hAnsi="Arial" w:cs="Arial"/>
                <w:sz w:val="18"/>
                <w:szCs w:val="18"/>
              </w:rPr>
            </w:pPr>
            <w:r w:rsidRPr="00552741">
              <w:rPr>
                <w:rFonts w:ascii="Arial" w:hAnsi="Arial" w:cs="Arial"/>
                <w:sz w:val="18"/>
                <w:szCs w:val="18"/>
              </w:rPr>
              <w:t>2 días</w:t>
            </w:r>
          </w:p>
        </w:tc>
        <w:tc>
          <w:tcPr>
            <w:tcW w:w="588" w:type="pct"/>
            <w:shd w:val="clear" w:color="auto" w:fill="auto"/>
            <w:tcMar>
              <w:top w:w="120" w:type="dxa"/>
              <w:left w:w="120" w:type="dxa"/>
              <w:bottom w:w="120" w:type="dxa"/>
              <w:right w:w="120" w:type="dxa"/>
            </w:tcMar>
            <w:vAlign w:val="center"/>
            <w:hideMark/>
          </w:tcPr>
          <w:p w:rsidR="00A256AB" w:rsidRPr="00552741" w:rsidRDefault="00A256AB" w:rsidP="00A256AB">
            <w:pPr>
              <w:jc w:val="center"/>
              <w:rPr>
                <w:rFonts w:ascii="Arial" w:hAnsi="Arial" w:cs="Arial"/>
                <w:sz w:val="18"/>
                <w:szCs w:val="18"/>
              </w:rPr>
            </w:pPr>
            <w:r w:rsidRPr="00552741">
              <w:rPr>
                <w:rFonts w:ascii="Arial" w:hAnsi="Arial" w:cs="Arial"/>
                <w:sz w:val="18"/>
                <w:szCs w:val="18"/>
              </w:rPr>
              <w:t>1 día</w:t>
            </w:r>
          </w:p>
        </w:tc>
        <w:tc>
          <w:tcPr>
            <w:tcW w:w="589" w:type="pct"/>
            <w:shd w:val="clear" w:color="auto" w:fill="auto"/>
            <w:tcMar>
              <w:top w:w="120" w:type="dxa"/>
              <w:left w:w="120" w:type="dxa"/>
              <w:bottom w:w="120" w:type="dxa"/>
              <w:right w:w="120" w:type="dxa"/>
            </w:tcMar>
            <w:vAlign w:val="center"/>
            <w:hideMark/>
          </w:tcPr>
          <w:p w:rsidR="00A256AB" w:rsidRPr="00552741" w:rsidRDefault="00A256AB" w:rsidP="00A256AB">
            <w:pPr>
              <w:jc w:val="center"/>
              <w:rPr>
                <w:rFonts w:ascii="Arial" w:hAnsi="Arial" w:cs="Arial"/>
                <w:sz w:val="18"/>
                <w:szCs w:val="18"/>
              </w:rPr>
            </w:pPr>
            <w:r w:rsidRPr="00552741">
              <w:rPr>
                <w:rFonts w:ascii="Arial" w:hAnsi="Arial" w:cs="Arial"/>
                <w:sz w:val="18"/>
                <w:szCs w:val="18"/>
              </w:rPr>
              <w:t>4 días</w:t>
            </w:r>
          </w:p>
        </w:tc>
        <w:tc>
          <w:tcPr>
            <w:tcW w:w="662" w:type="pct"/>
            <w:shd w:val="clear" w:color="auto" w:fill="auto"/>
            <w:tcMar>
              <w:top w:w="120" w:type="dxa"/>
              <w:left w:w="120" w:type="dxa"/>
              <w:bottom w:w="120" w:type="dxa"/>
              <w:right w:w="120" w:type="dxa"/>
            </w:tcMar>
            <w:vAlign w:val="center"/>
          </w:tcPr>
          <w:p w:rsidR="00A256AB" w:rsidRPr="00552741" w:rsidRDefault="00A256AB" w:rsidP="00A256AB">
            <w:pPr>
              <w:jc w:val="center"/>
              <w:rPr>
                <w:rFonts w:ascii="Arial" w:hAnsi="Arial" w:cs="Arial"/>
                <w:sz w:val="18"/>
                <w:szCs w:val="18"/>
              </w:rPr>
            </w:pPr>
            <w:r w:rsidRPr="00552741">
              <w:rPr>
                <w:rFonts w:ascii="Arial" w:hAnsi="Arial" w:cs="Arial"/>
                <w:sz w:val="18"/>
                <w:szCs w:val="18"/>
              </w:rPr>
              <w:t>5 días</w:t>
            </w:r>
          </w:p>
        </w:tc>
        <w:tc>
          <w:tcPr>
            <w:tcW w:w="662" w:type="pct"/>
            <w:shd w:val="clear" w:color="auto" w:fill="auto"/>
            <w:tcMar>
              <w:top w:w="120" w:type="dxa"/>
              <w:left w:w="120" w:type="dxa"/>
              <w:bottom w:w="120" w:type="dxa"/>
              <w:right w:w="120" w:type="dxa"/>
            </w:tcMar>
            <w:vAlign w:val="center"/>
          </w:tcPr>
          <w:p w:rsidR="00A256AB" w:rsidRPr="00552741" w:rsidRDefault="00A256AB" w:rsidP="00A256AB">
            <w:pPr>
              <w:jc w:val="center"/>
              <w:rPr>
                <w:rFonts w:ascii="Arial" w:hAnsi="Arial" w:cs="Arial"/>
                <w:sz w:val="18"/>
                <w:szCs w:val="18"/>
              </w:rPr>
            </w:pPr>
            <w:r w:rsidRPr="00552741">
              <w:rPr>
                <w:rFonts w:ascii="Arial" w:hAnsi="Arial" w:cs="Arial"/>
                <w:sz w:val="18"/>
                <w:szCs w:val="18"/>
              </w:rPr>
              <w:t>2 días</w:t>
            </w:r>
          </w:p>
        </w:tc>
      </w:tr>
    </w:tbl>
    <w:p w:rsidR="00A256AB" w:rsidRPr="00386942" w:rsidRDefault="00A256AB" w:rsidP="00A256AB">
      <w:pPr>
        <w:jc w:val="both"/>
        <w:rPr>
          <w:rFonts w:ascii="Arial" w:hAnsi="Arial" w:cs="Arial"/>
          <w:i/>
          <w:sz w:val="16"/>
          <w:szCs w:val="16"/>
        </w:rPr>
      </w:pPr>
      <w:r w:rsidRPr="00386942">
        <w:rPr>
          <w:rFonts w:ascii="Arial" w:hAnsi="Arial" w:cs="Arial"/>
          <w:b/>
          <w:i/>
          <w:sz w:val="16"/>
          <w:szCs w:val="16"/>
        </w:rPr>
        <w:t>Fuente</w:t>
      </w:r>
      <w:r w:rsidRPr="00386942">
        <w:rPr>
          <w:rFonts w:ascii="Arial" w:hAnsi="Arial" w:cs="Arial"/>
          <w:i/>
          <w:sz w:val="16"/>
          <w:szCs w:val="16"/>
        </w:rPr>
        <w:t>: elaboración propia en base a los tiempos estipulados en el Acuerdo IEEM/CG/58/2009.</w:t>
      </w:r>
    </w:p>
    <w:p w:rsidR="00386942" w:rsidRDefault="00386942" w:rsidP="00A256AB">
      <w:pPr>
        <w:tabs>
          <w:tab w:val="left" w:pos="5070"/>
        </w:tabs>
        <w:jc w:val="both"/>
        <w:rPr>
          <w:rFonts w:ascii="Arial" w:hAnsi="Arial" w:cs="Arial"/>
          <w:b/>
          <w:sz w:val="24"/>
          <w:szCs w:val="24"/>
        </w:rPr>
      </w:pPr>
    </w:p>
    <w:p w:rsidR="00386942" w:rsidRDefault="00386942" w:rsidP="00A256AB">
      <w:pPr>
        <w:tabs>
          <w:tab w:val="left" w:pos="5070"/>
        </w:tabs>
        <w:jc w:val="both"/>
        <w:rPr>
          <w:rFonts w:ascii="Arial" w:hAnsi="Arial" w:cs="Arial"/>
          <w:b/>
          <w:sz w:val="24"/>
          <w:szCs w:val="24"/>
        </w:rPr>
      </w:pPr>
    </w:p>
    <w:p w:rsidR="006B7ED5" w:rsidRDefault="006B7ED5" w:rsidP="00A256AB">
      <w:pPr>
        <w:tabs>
          <w:tab w:val="left" w:pos="5070"/>
        </w:tabs>
        <w:jc w:val="both"/>
        <w:rPr>
          <w:rFonts w:ascii="Arial" w:hAnsi="Arial" w:cs="Arial"/>
          <w:b/>
          <w:sz w:val="24"/>
          <w:szCs w:val="24"/>
        </w:rPr>
      </w:pPr>
    </w:p>
    <w:p w:rsidR="00A256AB" w:rsidRPr="00CF0F18" w:rsidRDefault="00A256AB" w:rsidP="0046261E">
      <w:pPr>
        <w:jc w:val="both"/>
        <w:rPr>
          <w:rFonts w:ascii="Arial" w:hAnsi="Arial" w:cs="Arial"/>
          <w:b/>
          <w:caps/>
          <w:sz w:val="24"/>
          <w:szCs w:val="24"/>
        </w:rPr>
      </w:pPr>
      <w:r w:rsidRPr="00CF0F18">
        <w:rPr>
          <w:rStyle w:val="Ttulodellibro"/>
          <w:rFonts w:ascii="Arial" w:hAnsi="Arial" w:cs="Arial"/>
          <w:b/>
          <w:caps w:val="0"/>
          <w:color w:val="auto"/>
        </w:rPr>
        <w:t xml:space="preserve">2.1.2 </w:t>
      </w:r>
      <w:r w:rsidR="00CF0F18">
        <w:rPr>
          <w:rStyle w:val="Ttulodellibro"/>
          <w:rFonts w:ascii="Arial" w:hAnsi="Arial" w:cs="Arial"/>
          <w:b/>
          <w:caps w:val="0"/>
          <w:color w:val="auto"/>
        </w:rPr>
        <w:t>Proceso de fiscalización de campaña.</w:t>
      </w:r>
    </w:p>
    <w:p w:rsidR="00A256AB" w:rsidRDefault="00A256AB" w:rsidP="00A256AB">
      <w:pPr>
        <w:tabs>
          <w:tab w:val="left" w:pos="5070"/>
        </w:tabs>
        <w:jc w:val="both"/>
        <w:rPr>
          <w:rFonts w:ascii="Arial" w:hAnsi="Arial" w:cs="Arial"/>
          <w:sz w:val="24"/>
          <w:szCs w:val="24"/>
        </w:rPr>
      </w:pPr>
      <w:r w:rsidRPr="00A85D78">
        <w:rPr>
          <w:rFonts w:ascii="Arial" w:hAnsi="Arial" w:cs="Arial"/>
          <w:sz w:val="24"/>
          <w:szCs w:val="24"/>
        </w:rPr>
        <w:t xml:space="preserve">El proceso de fiscalización utilizado por el Órgano Técnico del IEEM, es muy similar al proceso de precampaña,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incorpora la figura de las revisiones precautorias de rebase de topes de gastos de campaña. El cronograma de actividades para el proceso de campaña se ajusta a los tiempos descritos en la tabla 2.2 y se pueden observar en la figura 2, de la página siguiente:</w:t>
      </w:r>
    </w:p>
    <w:p w:rsidR="0046261E" w:rsidRPr="00A85D78" w:rsidRDefault="0046261E" w:rsidP="00A256AB">
      <w:pPr>
        <w:tabs>
          <w:tab w:val="left" w:pos="5070"/>
        </w:tabs>
        <w:jc w:val="both"/>
        <w:rPr>
          <w:rFonts w:ascii="Arial" w:hAnsi="Arial" w:cs="Arial"/>
          <w:sz w:val="24"/>
          <w:szCs w:val="24"/>
        </w:rPr>
      </w:pPr>
    </w:p>
    <w:p w:rsidR="00A256AB" w:rsidRPr="009F1C04" w:rsidRDefault="00A256AB" w:rsidP="00A256AB">
      <w:pPr>
        <w:tabs>
          <w:tab w:val="left" w:pos="5070"/>
        </w:tabs>
        <w:jc w:val="both"/>
        <w:rPr>
          <w:rStyle w:val="Ttulodellibro"/>
          <w:rFonts w:ascii="Arial" w:hAnsi="Arial" w:cs="Arial"/>
          <w:b/>
          <w:i/>
          <w:color w:val="auto"/>
          <w:sz w:val="20"/>
          <w:szCs w:val="20"/>
        </w:rPr>
      </w:pPr>
      <w:r w:rsidRPr="009F1C04">
        <w:rPr>
          <w:rStyle w:val="Ttulodellibro"/>
          <w:rFonts w:ascii="Arial" w:hAnsi="Arial" w:cs="Arial"/>
          <w:b/>
          <w:i/>
          <w:color w:val="auto"/>
          <w:sz w:val="20"/>
          <w:szCs w:val="20"/>
        </w:rPr>
        <w:t>Tabla 2.2 Cronograma de Fiscalización campaña IEEM.</w:t>
      </w:r>
    </w:p>
    <w:p w:rsidR="0046261E" w:rsidRPr="00A85D78" w:rsidRDefault="0046261E" w:rsidP="00A256AB">
      <w:pPr>
        <w:tabs>
          <w:tab w:val="left" w:pos="5070"/>
        </w:tabs>
        <w:jc w:val="both"/>
        <w:rPr>
          <w:rFonts w:ascii="Arial" w:hAnsi="Arial" w:cs="Arial"/>
          <w:sz w:val="24"/>
          <w:szCs w:val="24"/>
        </w:rPr>
      </w:pPr>
    </w:p>
    <w:tbl>
      <w:tblPr>
        <w:tblW w:w="50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58"/>
        <w:gridCol w:w="1512"/>
        <w:gridCol w:w="1236"/>
        <w:gridCol w:w="1147"/>
        <w:gridCol w:w="1218"/>
        <w:gridCol w:w="1307"/>
        <w:gridCol w:w="1245"/>
      </w:tblGrid>
      <w:tr w:rsidR="00A256AB" w:rsidRPr="0046261E" w:rsidTr="00E85F3A">
        <w:trPr>
          <w:tblHeader/>
        </w:trPr>
        <w:tc>
          <w:tcPr>
            <w:tcW w:w="633"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Periodo de campaña</w:t>
            </w:r>
          </w:p>
        </w:tc>
        <w:tc>
          <w:tcPr>
            <w:tcW w:w="861"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Presentación Informe</w:t>
            </w:r>
          </w:p>
        </w:tc>
        <w:tc>
          <w:tcPr>
            <w:tcW w:w="705"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Revisión preliminar y en gabinete</w:t>
            </w:r>
          </w:p>
        </w:tc>
        <w:tc>
          <w:tcPr>
            <w:tcW w:w="654"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Errores y omisiones</w:t>
            </w:r>
          </w:p>
        </w:tc>
        <w:tc>
          <w:tcPr>
            <w:tcW w:w="694"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Respuesta a errores y omisiones</w:t>
            </w:r>
          </w:p>
        </w:tc>
        <w:tc>
          <w:tcPr>
            <w:tcW w:w="744"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Dictamen y Resolución</w:t>
            </w:r>
          </w:p>
        </w:tc>
        <w:tc>
          <w:tcPr>
            <w:tcW w:w="709" w:type="pct"/>
            <w:shd w:val="clear" w:color="auto" w:fill="FBE4D5" w:themeFill="accent2" w:themeFillTint="33"/>
            <w:tcMar>
              <w:top w:w="120" w:type="dxa"/>
              <w:left w:w="120" w:type="dxa"/>
              <w:bottom w:w="120" w:type="dxa"/>
              <w:right w:w="120" w:type="dxa"/>
            </w:tcMar>
            <w:vAlign w:val="center"/>
            <w:hideMark/>
          </w:tcPr>
          <w:p w:rsidR="00A256AB" w:rsidRPr="00E85F3A" w:rsidRDefault="00A256AB" w:rsidP="003F25EA">
            <w:pPr>
              <w:jc w:val="center"/>
              <w:rPr>
                <w:rFonts w:ascii="Arial" w:hAnsi="Arial" w:cs="Arial"/>
                <w:b/>
                <w:bCs/>
                <w:caps/>
                <w:sz w:val="16"/>
                <w:szCs w:val="16"/>
              </w:rPr>
            </w:pPr>
            <w:r w:rsidRPr="00E85F3A">
              <w:rPr>
                <w:rFonts w:ascii="Arial" w:hAnsi="Arial" w:cs="Arial"/>
                <w:b/>
                <w:bCs/>
                <w:caps/>
                <w:sz w:val="16"/>
                <w:szCs w:val="16"/>
              </w:rPr>
              <w:t>CG aprueba proyectos de UTF</w:t>
            </w:r>
          </w:p>
        </w:tc>
      </w:tr>
      <w:tr w:rsidR="00A256AB" w:rsidRPr="0046261E" w:rsidTr="00E85F3A">
        <w:tc>
          <w:tcPr>
            <w:tcW w:w="633" w:type="pct"/>
            <w:shd w:val="clear" w:color="auto" w:fill="auto"/>
            <w:tcMar>
              <w:top w:w="120" w:type="dxa"/>
              <w:left w:w="120" w:type="dxa"/>
              <w:bottom w:w="120" w:type="dxa"/>
              <w:right w:w="120" w:type="dxa"/>
            </w:tcMar>
            <w:vAlign w:val="center"/>
            <w:hideMark/>
          </w:tcPr>
          <w:p w:rsidR="00A256AB" w:rsidRPr="0046261E" w:rsidRDefault="00A256AB" w:rsidP="00A256AB">
            <w:pPr>
              <w:jc w:val="center"/>
              <w:rPr>
                <w:rFonts w:ascii="Arial" w:hAnsi="Arial" w:cs="Arial"/>
                <w:sz w:val="18"/>
                <w:szCs w:val="18"/>
              </w:rPr>
            </w:pPr>
            <w:r w:rsidRPr="0046261E">
              <w:rPr>
                <w:rFonts w:ascii="Arial" w:hAnsi="Arial" w:cs="Arial"/>
                <w:sz w:val="18"/>
                <w:szCs w:val="18"/>
              </w:rPr>
              <w:t>56 días</w:t>
            </w:r>
          </w:p>
        </w:tc>
        <w:tc>
          <w:tcPr>
            <w:tcW w:w="861" w:type="pct"/>
            <w:shd w:val="clear" w:color="auto" w:fill="auto"/>
            <w:tcMar>
              <w:top w:w="120" w:type="dxa"/>
              <w:left w:w="120" w:type="dxa"/>
              <w:bottom w:w="120" w:type="dxa"/>
              <w:right w:w="120" w:type="dxa"/>
            </w:tcMar>
            <w:vAlign w:val="center"/>
            <w:hideMark/>
          </w:tcPr>
          <w:p w:rsidR="00A256AB" w:rsidRPr="0046261E" w:rsidRDefault="00A256AB" w:rsidP="00A256AB">
            <w:pPr>
              <w:jc w:val="center"/>
              <w:rPr>
                <w:rFonts w:ascii="Arial" w:hAnsi="Arial" w:cs="Arial"/>
                <w:sz w:val="18"/>
                <w:szCs w:val="18"/>
              </w:rPr>
            </w:pPr>
            <w:r w:rsidRPr="0046261E">
              <w:rPr>
                <w:rFonts w:ascii="Arial" w:hAnsi="Arial" w:cs="Arial"/>
                <w:sz w:val="18"/>
                <w:szCs w:val="18"/>
              </w:rPr>
              <w:t>98 días</w:t>
            </w:r>
          </w:p>
        </w:tc>
        <w:tc>
          <w:tcPr>
            <w:tcW w:w="705" w:type="pct"/>
            <w:shd w:val="clear" w:color="auto" w:fill="auto"/>
            <w:tcMar>
              <w:top w:w="120" w:type="dxa"/>
              <w:left w:w="120" w:type="dxa"/>
              <w:bottom w:w="120" w:type="dxa"/>
              <w:right w:w="120" w:type="dxa"/>
            </w:tcMar>
            <w:vAlign w:val="center"/>
            <w:hideMark/>
          </w:tcPr>
          <w:p w:rsidR="00A256AB" w:rsidRPr="0046261E" w:rsidRDefault="00A256AB" w:rsidP="00A256AB">
            <w:pPr>
              <w:jc w:val="center"/>
              <w:rPr>
                <w:rFonts w:ascii="Arial" w:hAnsi="Arial" w:cs="Arial"/>
                <w:sz w:val="18"/>
                <w:szCs w:val="18"/>
              </w:rPr>
            </w:pPr>
            <w:r w:rsidRPr="0046261E">
              <w:rPr>
                <w:rFonts w:ascii="Arial" w:hAnsi="Arial" w:cs="Arial"/>
                <w:sz w:val="18"/>
                <w:szCs w:val="18"/>
              </w:rPr>
              <w:t>56 días</w:t>
            </w:r>
          </w:p>
        </w:tc>
        <w:tc>
          <w:tcPr>
            <w:tcW w:w="654" w:type="pct"/>
            <w:shd w:val="clear" w:color="auto" w:fill="auto"/>
            <w:tcMar>
              <w:top w:w="120" w:type="dxa"/>
              <w:left w:w="120" w:type="dxa"/>
              <w:bottom w:w="120" w:type="dxa"/>
              <w:right w:w="120" w:type="dxa"/>
            </w:tcMar>
            <w:vAlign w:val="center"/>
            <w:hideMark/>
          </w:tcPr>
          <w:p w:rsidR="00A256AB" w:rsidRPr="0046261E" w:rsidRDefault="00A256AB" w:rsidP="00A256AB">
            <w:pPr>
              <w:jc w:val="center"/>
              <w:rPr>
                <w:rFonts w:ascii="Arial" w:hAnsi="Arial" w:cs="Arial"/>
                <w:sz w:val="18"/>
                <w:szCs w:val="18"/>
              </w:rPr>
            </w:pPr>
            <w:r w:rsidRPr="0046261E">
              <w:rPr>
                <w:rFonts w:ascii="Arial" w:hAnsi="Arial" w:cs="Arial"/>
                <w:sz w:val="18"/>
                <w:szCs w:val="18"/>
              </w:rPr>
              <w:t>1 día</w:t>
            </w:r>
          </w:p>
        </w:tc>
        <w:tc>
          <w:tcPr>
            <w:tcW w:w="694" w:type="pct"/>
            <w:shd w:val="clear" w:color="auto" w:fill="auto"/>
            <w:tcMar>
              <w:top w:w="120" w:type="dxa"/>
              <w:left w:w="120" w:type="dxa"/>
              <w:bottom w:w="120" w:type="dxa"/>
              <w:right w:w="120" w:type="dxa"/>
            </w:tcMar>
            <w:vAlign w:val="center"/>
            <w:hideMark/>
          </w:tcPr>
          <w:p w:rsidR="00A256AB" w:rsidRPr="0046261E" w:rsidRDefault="00A256AB" w:rsidP="00A256AB">
            <w:pPr>
              <w:jc w:val="center"/>
              <w:rPr>
                <w:rFonts w:ascii="Arial" w:hAnsi="Arial" w:cs="Arial"/>
                <w:sz w:val="18"/>
                <w:szCs w:val="18"/>
              </w:rPr>
            </w:pPr>
            <w:r w:rsidRPr="0046261E">
              <w:rPr>
                <w:rFonts w:ascii="Arial" w:hAnsi="Arial" w:cs="Arial"/>
                <w:sz w:val="18"/>
                <w:szCs w:val="18"/>
              </w:rPr>
              <w:t>43 días</w:t>
            </w:r>
          </w:p>
        </w:tc>
        <w:tc>
          <w:tcPr>
            <w:tcW w:w="744" w:type="pct"/>
            <w:shd w:val="clear" w:color="auto" w:fill="auto"/>
            <w:tcMar>
              <w:top w:w="120" w:type="dxa"/>
              <w:left w:w="120" w:type="dxa"/>
              <w:bottom w:w="120" w:type="dxa"/>
              <w:right w:w="120" w:type="dxa"/>
            </w:tcMar>
            <w:vAlign w:val="center"/>
          </w:tcPr>
          <w:p w:rsidR="00A256AB" w:rsidRPr="0046261E" w:rsidRDefault="00A256AB" w:rsidP="00A256AB">
            <w:pPr>
              <w:rPr>
                <w:rFonts w:ascii="Arial" w:hAnsi="Arial" w:cs="Arial"/>
                <w:sz w:val="18"/>
                <w:szCs w:val="18"/>
              </w:rPr>
            </w:pPr>
            <w:r w:rsidRPr="0046261E">
              <w:rPr>
                <w:rFonts w:ascii="Arial" w:hAnsi="Arial" w:cs="Arial"/>
                <w:sz w:val="18"/>
                <w:szCs w:val="18"/>
              </w:rPr>
              <w:t xml:space="preserve">     42 días</w:t>
            </w:r>
          </w:p>
        </w:tc>
        <w:tc>
          <w:tcPr>
            <w:tcW w:w="709" w:type="pct"/>
            <w:shd w:val="clear" w:color="auto" w:fill="auto"/>
            <w:tcMar>
              <w:top w:w="120" w:type="dxa"/>
              <w:left w:w="120" w:type="dxa"/>
              <w:bottom w:w="120" w:type="dxa"/>
              <w:right w:w="120" w:type="dxa"/>
            </w:tcMar>
            <w:vAlign w:val="center"/>
          </w:tcPr>
          <w:p w:rsidR="00A256AB" w:rsidRPr="0046261E" w:rsidRDefault="00A256AB" w:rsidP="00A256AB">
            <w:pPr>
              <w:jc w:val="center"/>
              <w:rPr>
                <w:rFonts w:ascii="Arial" w:hAnsi="Arial" w:cs="Arial"/>
                <w:sz w:val="18"/>
                <w:szCs w:val="18"/>
              </w:rPr>
            </w:pPr>
            <w:r w:rsidRPr="0046261E">
              <w:rPr>
                <w:rFonts w:ascii="Arial" w:hAnsi="Arial" w:cs="Arial"/>
                <w:sz w:val="18"/>
                <w:szCs w:val="18"/>
              </w:rPr>
              <w:t>63 días</w:t>
            </w:r>
          </w:p>
        </w:tc>
      </w:tr>
    </w:tbl>
    <w:p w:rsidR="00A256AB" w:rsidRPr="00ED1899" w:rsidRDefault="00A256AB" w:rsidP="00A256AB">
      <w:pPr>
        <w:jc w:val="both"/>
        <w:rPr>
          <w:rFonts w:ascii="Arial" w:hAnsi="Arial" w:cs="Arial"/>
          <w:i/>
          <w:iCs/>
          <w:sz w:val="16"/>
          <w:szCs w:val="16"/>
        </w:rPr>
      </w:pPr>
      <w:r w:rsidRPr="00ED1899">
        <w:rPr>
          <w:rFonts w:ascii="Arial" w:hAnsi="Arial" w:cs="Arial"/>
          <w:b/>
          <w:bCs/>
          <w:i/>
          <w:iCs/>
          <w:sz w:val="16"/>
          <w:szCs w:val="16"/>
        </w:rPr>
        <w:t>Fuente:</w:t>
      </w:r>
      <w:r w:rsidRPr="00ED1899">
        <w:rPr>
          <w:rFonts w:ascii="Arial" w:hAnsi="Arial" w:cs="Arial"/>
          <w:i/>
          <w:iCs/>
          <w:sz w:val="16"/>
          <w:szCs w:val="16"/>
        </w:rPr>
        <w:t xml:space="preserve"> Elaboración propia con base en el Acuerdo CG/18/2010</w:t>
      </w:r>
      <w:r w:rsidR="00ED1899">
        <w:rPr>
          <w:rFonts w:ascii="Arial" w:hAnsi="Arial" w:cs="Arial"/>
          <w:i/>
          <w:iCs/>
          <w:sz w:val="16"/>
          <w:szCs w:val="16"/>
        </w:rPr>
        <w:t>.</w:t>
      </w:r>
    </w:p>
    <w:p w:rsidR="0046261E" w:rsidRDefault="0046261E" w:rsidP="00A256AB">
      <w:pPr>
        <w:tabs>
          <w:tab w:val="left" w:pos="6240"/>
        </w:tabs>
        <w:jc w:val="both"/>
        <w:rPr>
          <w:rFonts w:ascii="Arial" w:hAnsi="Arial" w:cs="Arial"/>
          <w:sz w:val="24"/>
          <w:szCs w:val="24"/>
        </w:rPr>
      </w:pPr>
    </w:p>
    <w:p w:rsidR="0046261E" w:rsidRDefault="0046261E">
      <w:pPr>
        <w:rPr>
          <w:rFonts w:ascii="Arial" w:hAnsi="Arial" w:cs="Arial"/>
          <w:sz w:val="24"/>
          <w:szCs w:val="24"/>
        </w:rPr>
      </w:pPr>
      <w:r>
        <w:rPr>
          <w:rFonts w:ascii="Arial" w:hAnsi="Arial" w:cs="Arial"/>
          <w:sz w:val="24"/>
          <w:szCs w:val="24"/>
        </w:rPr>
        <w:br w:type="page"/>
      </w:r>
    </w:p>
    <w:p w:rsidR="0046261E" w:rsidRPr="00ED1899" w:rsidRDefault="00A256AB" w:rsidP="00C234C9">
      <w:pPr>
        <w:tabs>
          <w:tab w:val="left" w:pos="6240"/>
        </w:tabs>
        <w:jc w:val="both"/>
        <w:rPr>
          <w:rStyle w:val="Ttulodellibro"/>
          <w:b/>
          <w:i/>
          <w:color w:val="auto"/>
        </w:rPr>
      </w:pPr>
      <w:r w:rsidRPr="00ED1899">
        <w:rPr>
          <w:rStyle w:val="Ttulodellibro"/>
          <w:b/>
          <w:i/>
          <w:color w:val="auto"/>
        </w:rPr>
        <w:lastRenderedPageBreak/>
        <w:t>Figura 2. Proceso de fiscalización IEEM campaña.</w:t>
      </w:r>
    </w:p>
    <w:p w:rsidR="00A256AB" w:rsidRPr="00A85D78" w:rsidRDefault="00A256AB" w:rsidP="00D771DF">
      <w:pPr>
        <w:tabs>
          <w:tab w:val="left" w:pos="5070"/>
        </w:tabs>
        <w:jc w:val="both"/>
        <w:rPr>
          <w:rFonts w:ascii="Arial" w:hAnsi="Arial" w:cs="Arial"/>
          <w:sz w:val="24"/>
          <w:szCs w:val="24"/>
        </w:rPr>
      </w:pPr>
      <w:r w:rsidRPr="00A85D78">
        <w:rPr>
          <w:rFonts w:ascii="Arial" w:hAnsi="Arial" w:cs="Arial"/>
          <w:noProof/>
          <w:sz w:val="24"/>
          <w:szCs w:val="24"/>
          <w:lang w:eastAsia="es-ES"/>
        </w:rPr>
        <mc:AlternateContent>
          <mc:Choice Requires="wps">
            <w:drawing>
              <wp:anchor distT="0" distB="0" distL="114300" distR="114300" simplePos="0" relativeHeight="251722752" behindDoc="0" locked="0" layoutInCell="1" allowOverlap="1" wp14:anchorId="66EF12C3" wp14:editId="7CAFC31D">
                <wp:simplePos x="0" y="0"/>
                <wp:positionH relativeFrom="column">
                  <wp:posOffset>-384810</wp:posOffset>
                </wp:positionH>
                <wp:positionV relativeFrom="paragraph">
                  <wp:posOffset>7148830</wp:posOffset>
                </wp:positionV>
                <wp:extent cx="2493645" cy="542925"/>
                <wp:effectExtent l="0" t="0" r="20955" b="28575"/>
                <wp:wrapNone/>
                <wp:docPr id="70" name="70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Órgano Técnico de Fiscalización presentará al Consejo General el proyecto de dictamen para su análisis discusión y en su caso aprobación.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EF12C3" id="70 Rectángulo redondeado" o:spid="_x0000_s1026" style="position:absolute;left:0;text-align:left;margin-left:-30.3pt;margin-top:562.9pt;width:196.35pt;height:42.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Órgano Técnico de Fiscalización presentará al Consejo General el proyecto de dictamen para su análisis discusión y en su caso aprobación.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32992" behindDoc="0" locked="0" layoutInCell="1" allowOverlap="1" wp14:anchorId="7DDD2E89" wp14:editId="294F397A">
                <wp:simplePos x="0" y="0"/>
                <wp:positionH relativeFrom="column">
                  <wp:posOffset>5588000</wp:posOffset>
                </wp:positionH>
                <wp:positionV relativeFrom="paragraph">
                  <wp:posOffset>6691630</wp:posOffset>
                </wp:positionV>
                <wp:extent cx="276225" cy="238125"/>
                <wp:effectExtent l="38100" t="76200" r="28575" b="85725"/>
                <wp:wrapNone/>
                <wp:docPr id="82" name="82 Flecha doblada"/>
                <wp:cNvGraphicFramePr/>
                <a:graphic xmlns:a="http://schemas.openxmlformats.org/drawingml/2006/main">
                  <a:graphicData uri="http://schemas.microsoft.com/office/word/2010/wordprocessingShape">
                    <wps:wsp>
                      <wps:cNvSpPr/>
                      <wps:spPr>
                        <a:xfrm>
                          <a:off x="0" y="0"/>
                          <a:ext cx="276225" cy="238125"/>
                        </a:xfrm>
                        <a:prstGeom prst="bentArrow">
                          <a:avLst/>
                        </a:prstGeom>
                        <a:scene3d>
                          <a:camera prst="orthographicFront">
                            <a:rot lat="0" lon="0" rev="16200000"/>
                          </a:camera>
                          <a:lightRig rig="threePt" dir="t"/>
                        </a:scene3d>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6BD194" id="82 Flecha doblada" o:spid="_x0000_s1026" style="position:absolute;margin-left:440pt;margin-top:526.9pt;width:21.75pt;height:18.75pt;z-index:251732992;visibility:visible;mso-wrap-style:square;mso-wrap-distance-left:9pt;mso-wrap-distance-top:0;mso-wrap-distance-right:9pt;mso-wrap-distance-bottom:0;mso-position-horizontal:absolute;mso-position-horizontal-relative:text;mso-position-vertical:absolute;mso-position-vertical-relative:text;v-text-anchor:middle" coordsize="276225,238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" path="m,238125l,133945c,76408,46643,29765,104180,29765r112514,1l216694,r59531,59531l216694,119063r,-29766l104180,89297v-24658,,-44648,19990,-44648,44648c59532,168672,59531,203398,59531,238125l,238125xe" fillcolor="black [3200]" strokecolor="black [1600]" strokeweight="1pt">
                <v:stroke joinstyle="miter"/>
                <v:path arrowok="t" o:connecttype="custom" o:connectlocs="0,238125;0,133945;104180,29765;216694,29766;216694,0;276225,59531;216694,119063;216694,89297;104180,89297;59532,133945;59531,238125;0,238125" o:connectangles="0,0,0,0,0,0,0,0,0,0,0,0"/>
              </v:shape>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31968" behindDoc="0" locked="0" layoutInCell="1" allowOverlap="1" wp14:anchorId="5F5CD2F6" wp14:editId="071618D0">
                <wp:simplePos x="0" y="0"/>
                <wp:positionH relativeFrom="column">
                  <wp:posOffset>5104130</wp:posOffset>
                </wp:positionH>
                <wp:positionV relativeFrom="paragraph">
                  <wp:posOffset>5986780</wp:posOffset>
                </wp:positionV>
                <wp:extent cx="276225" cy="238125"/>
                <wp:effectExtent l="38100" t="76200" r="28575" b="85725"/>
                <wp:wrapNone/>
                <wp:docPr id="80" name="80 Flecha doblada"/>
                <wp:cNvGraphicFramePr/>
                <a:graphic xmlns:a="http://schemas.openxmlformats.org/drawingml/2006/main">
                  <a:graphicData uri="http://schemas.microsoft.com/office/word/2010/wordprocessingShape">
                    <wps:wsp>
                      <wps:cNvSpPr/>
                      <wps:spPr>
                        <a:xfrm>
                          <a:off x="0" y="0"/>
                          <a:ext cx="276225" cy="238125"/>
                        </a:xfrm>
                        <a:prstGeom prst="bentArrow">
                          <a:avLst/>
                        </a:prstGeom>
                        <a:scene3d>
                          <a:camera prst="orthographicFront">
                            <a:rot lat="0" lon="0" rev="16200000"/>
                          </a:camera>
                          <a:lightRig rig="threePt" dir="t"/>
                        </a:scene3d>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FB738B" id="80 Flecha doblada" o:spid="_x0000_s1026" style="position:absolute;margin-left:401.9pt;margin-top:471.4pt;width:21.75pt;height:18.75pt;z-index:251731968;visibility:visible;mso-wrap-style:square;mso-wrap-distance-left:9pt;mso-wrap-distance-top:0;mso-wrap-distance-right:9pt;mso-wrap-distance-bottom:0;mso-position-horizontal:absolute;mso-position-horizontal-relative:text;mso-position-vertical:absolute;mso-position-vertical-relative:text;v-text-anchor:middle" coordsize="276225,238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" path="m,238125l,133945c,76408,46643,29765,104180,29765r112514,1l216694,r59531,59531l216694,119063r,-29766l104180,89297v-24658,,-44648,19990,-44648,44648c59532,168672,59531,203398,59531,238125l,238125xe" fillcolor="black [3200]" strokecolor="black [1600]" strokeweight="1pt">
                <v:stroke joinstyle="miter"/>
                <v:path arrowok="t" o:connecttype="custom" o:connectlocs="0,238125;0,133945;104180,29765;216694,29766;216694,0;276225,59531;216694,119063;216694,89297;104180,89297;59532,133945;59531,238125;0,238125" o:connectangles="0,0,0,0,0,0,0,0,0,0,0,0"/>
              </v:shape>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30944" behindDoc="0" locked="0" layoutInCell="1" allowOverlap="1" wp14:anchorId="75C2972F" wp14:editId="452EEC0C">
                <wp:simplePos x="0" y="0"/>
                <wp:positionH relativeFrom="column">
                  <wp:posOffset>4437380</wp:posOffset>
                </wp:positionH>
                <wp:positionV relativeFrom="paragraph">
                  <wp:posOffset>5291455</wp:posOffset>
                </wp:positionV>
                <wp:extent cx="276225" cy="238125"/>
                <wp:effectExtent l="38100" t="76200" r="28575" b="85725"/>
                <wp:wrapNone/>
                <wp:docPr id="79" name="79 Flecha doblada"/>
                <wp:cNvGraphicFramePr/>
                <a:graphic xmlns:a="http://schemas.openxmlformats.org/drawingml/2006/main">
                  <a:graphicData uri="http://schemas.microsoft.com/office/word/2010/wordprocessingShape">
                    <wps:wsp>
                      <wps:cNvSpPr/>
                      <wps:spPr>
                        <a:xfrm>
                          <a:off x="0" y="0"/>
                          <a:ext cx="276225" cy="238125"/>
                        </a:xfrm>
                        <a:prstGeom prst="bentArrow">
                          <a:avLst/>
                        </a:prstGeom>
                        <a:scene3d>
                          <a:camera prst="orthographicFront">
                            <a:rot lat="0" lon="0" rev="16200000"/>
                          </a:camera>
                          <a:lightRig rig="threePt" dir="t"/>
                        </a:scene3d>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722FF4" id="79 Flecha doblada" o:spid="_x0000_s1026" style="position:absolute;margin-left:349.4pt;margin-top:416.65pt;width:21.75pt;height:18.75pt;z-index:251730944;visibility:visible;mso-wrap-style:square;mso-wrap-distance-left:9pt;mso-wrap-distance-top:0;mso-wrap-distance-right:9pt;mso-wrap-distance-bottom:0;mso-position-horizontal:absolute;mso-position-horizontal-relative:text;mso-position-vertical:absolute;mso-position-vertical-relative:text;v-text-anchor:middle" coordsize="276225,238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" path="m,238125l,133945c,76408,46643,29765,104180,29765r112514,1l216694,r59531,59531l216694,119063r,-29766l104180,89297v-24658,,-44648,19990,-44648,44648c59532,168672,59531,203398,59531,238125l,238125xe" fillcolor="black [3200]" strokecolor="black [1600]" strokeweight="1pt">
                <v:stroke joinstyle="miter"/>
                <v:path arrowok="t" o:connecttype="custom" o:connectlocs="0,238125;0,133945;104180,29765;216694,29766;216694,0;276225,59531;216694,119063;216694,89297;104180,89297;59532,133945;59531,238125;0,238125" o:connectangles="0,0,0,0,0,0,0,0,0,0,0,0"/>
              </v:shape>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9920" behindDoc="0" locked="0" layoutInCell="1" allowOverlap="1" wp14:anchorId="34225982" wp14:editId="24D09F34">
                <wp:simplePos x="0" y="0"/>
                <wp:positionH relativeFrom="column">
                  <wp:posOffset>2767966</wp:posOffset>
                </wp:positionH>
                <wp:positionV relativeFrom="paragraph">
                  <wp:posOffset>4243705</wp:posOffset>
                </wp:positionV>
                <wp:extent cx="1333500" cy="542925"/>
                <wp:effectExtent l="0" t="0" r="19050" b="28575"/>
                <wp:wrapNone/>
                <wp:docPr id="78" name="78 Rectángulo redondeado"/>
                <wp:cNvGraphicFramePr/>
                <a:graphic xmlns:a="http://schemas.openxmlformats.org/drawingml/2006/main">
                  <a:graphicData uri="http://schemas.microsoft.com/office/word/2010/wordprocessingShape">
                    <wps:wsp>
                      <wps:cNvSpPr/>
                      <wps:spPr>
                        <a:xfrm>
                          <a:off x="0" y="0"/>
                          <a:ext cx="1333500"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otorga el periodo de garantía de audiencia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225982" id="78 Rectángulo redondeado" o:spid="_x0000_s1027" style="position:absolute;left:0;text-align:left;margin-left:217.95pt;margin-top:334.15pt;width:105pt;height:42.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otorga el periodo de garantía de audiencia</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8416" behindDoc="0" locked="0" layoutInCell="1" allowOverlap="1" wp14:anchorId="72785299" wp14:editId="0D05A714">
                <wp:simplePos x="0" y="0"/>
                <wp:positionH relativeFrom="column">
                  <wp:posOffset>705485</wp:posOffset>
                </wp:positionH>
                <wp:positionV relativeFrom="paragraph">
                  <wp:posOffset>3625215</wp:posOffset>
                </wp:positionV>
                <wp:extent cx="202565" cy="180975"/>
                <wp:effectExtent l="19050" t="0" r="26035" b="47625"/>
                <wp:wrapNone/>
                <wp:docPr id="55" name="55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93FCD9F" id="55 Flecha abajo" o:spid="_x0000_s1026" type="#_x0000_t67" style="position:absolute;margin-left:55.55pt;margin-top:285.45pt;width:15.95pt;height:14.2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1728" behindDoc="0" locked="0" layoutInCell="1" allowOverlap="1" wp14:anchorId="2CE76888" wp14:editId="44A20113">
                <wp:simplePos x="0" y="0"/>
                <wp:positionH relativeFrom="column">
                  <wp:posOffset>657860</wp:posOffset>
                </wp:positionH>
                <wp:positionV relativeFrom="paragraph">
                  <wp:posOffset>6806565</wp:posOffset>
                </wp:positionV>
                <wp:extent cx="202565" cy="180975"/>
                <wp:effectExtent l="19050" t="0" r="26035" b="47625"/>
                <wp:wrapNone/>
                <wp:docPr id="69" name="69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F295C56" id="69 Flecha abajo" o:spid="_x0000_s1026" type="#_x0000_t67" style="position:absolute;margin-left:51.8pt;margin-top:535.95pt;width:15.95pt;height:14.25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8896" behindDoc="0" locked="0" layoutInCell="1" allowOverlap="1" wp14:anchorId="160FFD50" wp14:editId="7E759D82">
                <wp:simplePos x="0" y="0"/>
                <wp:positionH relativeFrom="column">
                  <wp:posOffset>2672715</wp:posOffset>
                </wp:positionH>
                <wp:positionV relativeFrom="paragraph">
                  <wp:posOffset>7358380</wp:posOffset>
                </wp:positionV>
                <wp:extent cx="190500" cy="161925"/>
                <wp:effectExtent l="0" t="19050" r="38100" b="47625"/>
                <wp:wrapNone/>
                <wp:docPr id="76" name="76 Flecha derecha"/>
                <wp:cNvGraphicFramePr/>
                <a:graphic xmlns:a="http://schemas.openxmlformats.org/drawingml/2006/main">
                  <a:graphicData uri="http://schemas.microsoft.com/office/word/2010/wordprocessingShape">
                    <wps:wsp>
                      <wps:cNvSpPr/>
                      <wps:spPr>
                        <a:xfrm>
                          <a:off x="0" y="0"/>
                          <a:ext cx="190500" cy="1619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51687" id="76 Flecha derecha" o:spid="_x0000_s1026" type="#_x0000_t13" style="position:absolute;margin-left:210.45pt;margin-top:579.4pt;width:15pt;height:12.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" adj="1242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7872" behindDoc="0" locked="0" layoutInCell="1" allowOverlap="1" wp14:anchorId="01286DF4" wp14:editId="070EE882">
                <wp:simplePos x="0" y="0"/>
                <wp:positionH relativeFrom="column">
                  <wp:posOffset>3415665</wp:posOffset>
                </wp:positionH>
                <wp:positionV relativeFrom="paragraph">
                  <wp:posOffset>7082155</wp:posOffset>
                </wp:positionV>
                <wp:extent cx="2493645" cy="542925"/>
                <wp:effectExtent l="0" t="0" r="20955" b="28575"/>
                <wp:wrapNone/>
                <wp:docPr id="75" name="75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elabora el proyecto de dictamen.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286DF4" id="75 Rectángulo redondeado" o:spid="_x0000_s1028" style="position:absolute;left:0;text-align:left;margin-left:268.95pt;margin-top:557.65pt;width:196.35pt;height:42.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elabora el proyecto de dictamen.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6848" behindDoc="0" locked="0" layoutInCell="1" allowOverlap="1" wp14:anchorId="61FA85EA" wp14:editId="62F03A4F">
                <wp:simplePos x="0" y="0"/>
                <wp:positionH relativeFrom="column">
                  <wp:posOffset>3015615</wp:posOffset>
                </wp:positionH>
                <wp:positionV relativeFrom="paragraph">
                  <wp:posOffset>6434455</wp:posOffset>
                </wp:positionV>
                <wp:extent cx="2493645" cy="542925"/>
                <wp:effectExtent l="0" t="0" r="20955" b="28575"/>
                <wp:wrapNone/>
                <wp:docPr id="74" name="74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elaborarán los informes definitivos como resultado de la revisión.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FA85EA" id="74 Rectángulo redondeado" o:spid="_x0000_s1029" style="position:absolute;left:0;text-align:left;margin-left:237.45pt;margin-top:506.65pt;width:196.35pt;height:42.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elaborarán los informes definitivos como resultado de la revisión.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5824" behindDoc="0" locked="0" layoutInCell="1" allowOverlap="1" wp14:anchorId="34F9D832" wp14:editId="6FE7B46D">
                <wp:simplePos x="0" y="0"/>
                <wp:positionH relativeFrom="column">
                  <wp:posOffset>2482215</wp:posOffset>
                </wp:positionH>
                <wp:positionV relativeFrom="paragraph">
                  <wp:posOffset>5758180</wp:posOffset>
                </wp:positionV>
                <wp:extent cx="2493645" cy="542925"/>
                <wp:effectExtent l="0" t="0" r="20955" b="28575"/>
                <wp:wrapNone/>
                <wp:docPr id="73" name="73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llevará a cabo la validación de aclaraciones y rectificaciones.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F9D832" id="73 Rectángulo redondeado" o:spid="_x0000_s1030" style="position:absolute;left:0;text-align:left;margin-left:195.45pt;margin-top:453.4pt;width:196.35pt;height:42.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llevará a cabo la validación de aclaraciones y rectificaciones.</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4800" behindDoc="0" locked="0" layoutInCell="1" allowOverlap="1" wp14:anchorId="2701B7A1" wp14:editId="07EE630C">
                <wp:simplePos x="0" y="0"/>
                <wp:positionH relativeFrom="column">
                  <wp:posOffset>1743075</wp:posOffset>
                </wp:positionH>
                <wp:positionV relativeFrom="paragraph">
                  <wp:posOffset>5091430</wp:posOffset>
                </wp:positionV>
                <wp:extent cx="2493645" cy="542925"/>
                <wp:effectExtent l="0" t="0" r="20955" b="28575"/>
                <wp:wrapNone/>
                <wp:docPr id="72" name="72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El termino de garantía para que el Órgano Técnico de Fiscalización reciba las aclaraciones sobre errores y omisiones e irregularidades será de 20 días contados a partir de la notificación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01B7A1" id="72 Rectángulo redondeado" o:spid="_x0000_s1031" style="position:absolute;left:0;text-align:left;margin-left:137.25pt;margin-top:400.9pt;width:196.35pt;height:42.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El termino de garantía para que el Órgano Técnico de Fiscalización reciba las aclaraciones sobre errores y omisiones e irregularidades será de 20 días contados a partir de la notificación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3776" behindDoc="0" locked="0" layoutInCell="1" allowOverlap="1" wp14:anchorId="5F5A88BE" wp14:editId="2F3CC282">
                <wp:simplePos x="0" y="0"/>
                <wp:positionH relativeFrom="column">
                  <wp:posOffset>641350</wp:posOffset>
                </wp:positionH>
                <wp:positionV relativeFrom="paragraph">
                  <wp:posOffset>5758815</wp:posOffset>
                </wp:positionV>
                <wp:extent cx="202565" cy="180975"/>
                <wp:effectExtent l="19050" t="0" r="26035" b="47625"/>
                <wp:wrapNone/>
                <wp:docPr id="71" name="71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CA69547" id="71 Flecha abajo" o:spid="_x0000_s1026" type="#_x0000_t67" style="position:absolute;margin-left:50.5pt;margin-top:453.45pt;width:15.95pt;height:14.2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20704" behindDoc="0" locked="0" layoutInCell="1" allowOverlap="1" wp14:anchorId="48FEB4C4" wp14:editId="6E699E3D">
                <wp:simplePos x="0" y="0"/>
                <wp:positionH relativeFrom="column">
                  <wp:posOffset>-384810</wp:posOffset>
                </wp:positionH>
                <wp:positionV relativeFrom="paragraph">
                  <wp:posOffset>6062980</wp:posOffset>
                </wp:positionV>
                <wp:extent cx="2493645" cy="542925"/>
                <wp:effectExtent l="0" t="0" r="20955" b="28575"/>
                <wp:wrapNone/>
                <wp:docPr id="68" name="68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notificara a los partidos políticos sobre errores, omisiones e irregularidades.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FEB4C4" id="68 Rectángulo redondeado" o:spid="_x0000_s1032" style="position:absolute;left:0;text-align:left;margin-left:-30.3pt;margin-top:477.4pt;width:196.35pt;height:42.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notificara a los partidos políticos sobre errores, omisiones e irregularidades.</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9680" behindDoc="0" locked="0" layoutInCell="1" allowOverlap="1" wp14:anchorId="64E87E99" wp14:editId="464D97E9">
                <wp:simplePos x="0" y="0"/>
                <wp:positionH relativeFrom="column">
                  <wp:posOffset>2010410</wp:posOffset>
                </wp:positionH>
                <wp:positionV relativeFrom="paragraph">
                  <wp:posOffset>4787265</wp:posOffset>
                </wp:positionV>
                <wp:extent cx="202565" cy="180975"/>
                <wp:effectExtent l="19050" t="0" r="26035" b="47625"/>
                <wp:wrapNone/>
                <wp:docPr id="67" name="67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6267EF6" id="67 Flecha abajo" o:spid="_x0000_s1026" type="#_x0000_t67" style="position:absolute;margin-left:158.3pt;margin-top:376.95pt;width:15.95pt;height:14.2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8656" behindDoc="0" locked="0" layoutInCell="1" allowOverlap="1" wp14:anchorId="29C9A7CD" wp14:editId="38373B5D">
                <wp:simplePos x="0" y="0"/>
                <wp:positionH relativeFrom="column">
                  <wp:posOffset>2386965</wp:posOffset>
                </wp:positionH>
                <wp:positionV relativeFrom="paragraph">
                  <wp:posOffset>4415155</wp:posOffset>
                </wp:positionV>
                <wp:extent cx="190500" cy="161925"/>
                <wp:effectExtent l="0" t="19050" r="38100" b="47625"/>
                <wp:wrapNone/>
                <wp:docPr id="66" name="66 Flecha derecha"/>
                <wp:cNvGraphicFramePr/>
                <a:graphic xmlns:a="http://schemas.openxmlformats.org/drawingml/2006/main">
                  <a:graphicData uri="http://schemas.microsoft.com/office/word/2010/wordprocessingShape">
                    <wps:wsp>
                      <wps:cNvSpPr/>
                      <wps:spPr>
                        <a:xfrm>
                          <a:off x="0" y="0"/>
                          <a:ext cx="190500" cy="1619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076733" id="66 Flecha derecha" o:spid="_x0000_s1026" type="#_x0000_t13" style="position:absolute;margin-left:187.95pt;margin-top:347.65pt;width:15pt;height:12.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" adj="1242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4560" behindDoc="0" locked="0" layoutInCell="1" allowOverlap="1" wp14:anchorId="39ED3B19" wp14:editId="5D00FF87">
                <wp:simplePos x="0" y="0"/>
                <wp:positionH relativeFrom="column">
                  <wp:posOffset>1895475</wp:posOffset>
                </wp:positionH>
                <wp:positionV relativeFrom="paragraph">
                  <wp:posOffset>4343400</wp:posOffset>
                </wp:positionV>
                <wp:extent cx="400050" cy="352425"/>
                <wp:effectExtent l="0" t="0" r="19050" b="28575"/>
                <wp:wrapNone/>
                <wp:docPr id="62" name="62 Rectángulo"/>
                <wp:cNvGraphicFramePr/>
                <a:graphic xmlns:a="http://schemas.openxmlformats.org/drawingml/2006/main">
                  <a:graphicData uri="http://schemas.microsoft.com/office/word/2010/wordprocessingShape">
                    <wps:wsp>
                      <wps:cNvSpPr/>
                      <wps:spPr>
                        <a:xfrm>
                          <a:off x="0" y="0"/>
                          <a:ext cx="400050" cy="352425"/>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0F71DB" w:rsidRPr="00386284" w:rsidRDefault="000F71DB" w:rsidP="00A256AB">
                            <w:pPr>
                              <w:jc w:val="center"/>
                              <w:rPr>
                                <w:b/>
                              </w:rPr>
                            </w:pPr>
                            <w:r w:rsidRPr="00386284">
                              <w:rPr>
                                <w:b/>
                              </w:rPr>
                              <w:t>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ED3B19" id="62 Rectángulo" o:spid="_x0000_s1033" style="position:absolute;left:0;text-align:left;margin-left:149.25pt;margin-top:342pt;width:31.5pt;height:27.7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" fillcolor="black [3200]" strokecolor="black [1600]" strokeweight="1pt">
                <v:textbox>
                  <w:txbxContent>
                    <w:p w:rsidR="000F71DB" w:rsidRPr="00386284" w:rsidRDefault="000F71DB" w:rsidP="00A256AB">
                      <w:pPr>
                        <w:jc w:val="center"/>
                        <w:rPr>
                          <w:b/>
                        </w:rPr>
                      </w:pPr>
                      <w:r w:rsidRPr="00386284">
                        <w:rPr>
                          <w:b/>
                        </w:rPr>
                        <w:t>SI</w:t>
                      </w:r>
                    </w:p>
                  </w:txbxContent>
                </v:textbox>
              </v: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7632" behindDoc="0" locked="0" layoutInCell="1" allowOverlap="1" wp14:anchorId="0A57C8E5" wp14:editId="64C2AD6A">
                <wp:simplePos x="0" y="0"/>
                <wp:positionH relativeFrom="column">
                  <wp:posOffset>1624965</wp:posOffset>
                </wp:positionH>
                <wp:positionV relativeFrom="paragraph">
                  <wp:posOffset>4424680</wp:posOffset>
                </wp:positionV>
                <wp:extent cx="190500" cy="161925"/>
                <wp:effectExtent l="0" t="19050" r="38100" b="47625"/>
                <wp:wrapNone/>
                <wp:docPr id="65" name="65 Flecha derecha"/>
                <wp:cNvGraphicFramePr/>
                <a:graphic xmlns:a="http://schemas.openxmlformats.org/drawingml/2006/main">
                  <a:graphicData uri="http://schemas.microsoft.com/office/word/2010/wordprocessingShape">
                    <wps:wsp>
                      <wps:cNvSpPr/>
                      <wps:spPr>
                        <a:xfrm>
                          <a:off x="0" y="0"/>
                          <a:ext cx="190500" cy="1619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A34E96" id="65 Flecha derecha" o:spid="_x0000_s1026" type="#_x0000_t13" style="position:absolute;margin-left:127.95pt;margin-top:348.4pt;width:15pt;height:12.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" adj="1242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6608" behindDoc="0" locked="0" layoutInCell="1" allowOverlap="1" wp14:anchorId="1B83AC81" wp14:editId="257D810B">
                <wp:simplePos x="0" y="0"/>
                <wp:positionH relativeFrom="column">
                  <wp:posOffset>657860</wp:posOffset>
                </wp:positionH>
                <wp:positionV relativeFrom="paragraph">
                  <wp:posOffset>5015865</wp:posOffset>
                </wp:positionV>
                <wp:extent cx="202565" cy="180975"/>
                <wp:effectExtent l="19050" t="0" r="26035" b="47625"/>
                <wp:wrapNone/>
                <wp:docPr id="64" name="64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C75759C" id="64 Flecha abajo" o:spid="_x0000_s1026" type="#_x0000_t67" style="position:absolute;margin-left:51.8pt;margin-top:394.95pt;width:15.95pt;height:14.2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5584" behindDoc="0" locked="0" layoutInCell="1" allowOverlap="1" wp14:anchorId="5ACC54F7" wp14:editId="6BE47CFE">
                <wp:simplePos x="0" y="0"/>
                <wp:positionH relativeFrom="column">
                  <wp:posOffset>539115</wp:posOffset>
                </wp:positionH>
                <wp:positionV relativeFrom="paragraph">
                  <wp:posOffset>5286375</wp:posOffset>
                </wp:positionV>
                <wp:extent cx="400050" cy="352425"/>
                <wp:effectExtent l="0" t="0" r="19050" b="28575"/>
                <wp:wrapNone/>
                <wp:docPr id="63" name="63 Rectángulo"/>
                <wp:cNvGraphicFramePr/>
                <a:graphic xmlns:a="http://schemas.openxmlformats.org/drawingml/2006/main">
                  <a:graphicData uri="http://schemas.microsoft.com/office/word/2010/wordprocessingShape">
                    <wps:wsp>
                      <wps:cNvSpPr/>
                      <wps:spPr>
                        <a:xfrm>
                          <a:off x="0" y="0"/>
                          <a:ext cx="400050" cy="352425"/>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0F71DB" w:rsidRPr="00386284" w:rsidRDefault="000F71DB" w:rsidP="00A256AB">
                            <w:pPr>
                              <w:jc w:val="center"/>
                              <w:rPr>
                                <w:b/>
                              </w:rPr>
                            </w:pPr>
                            <w:r>
                              <w:rPr>
                                <w:b/>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CC54F7" id="63 Rectángulo" o:spid="_x0000_s1034" style="position:absolute;left:0;text-align:left;margin-left:42.45pt;margin-top:416.25pt;width:31.5pt;height:27.7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" fillcolor="black [3200]" strokecolor="black [1600]" strokeweight="1pt">
                <v:textbox>
                  <w:txbxContent>
                    <w:p w:rsidR="000F71DB" w:rsidRPr="00386284" w:rsidRDefault="000F71DB" w:rsidP="00A256AB">
                      <w:pPr>
                        <w:jc w:val="center"/>
                        <w:rPr>
                          <w:b/>
                        </w:rPr>
                      </w:pPr>
                      <w:r>
                        <w:rPr>
                          <w:b/>
                        </w:rPr>
                        <w:t>NO</w:t>
                      </w:r>
                    </w:p>
                  </w:txbxContent>
                </v:textbox>
              </v: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3536" behindDoc="0" locked="0" layoutInCell="1" allowOverlap="1" wp14:anchorId="379C0061" wp14:editId="76C7567D">
                <wp:simplePos x="0" y="0"/>
                <wp:positionH relativeFrom="column">
                  <wp:posOffset>-22860</wp:posOffset>
                </wp:positionH>
                <wp:positionV relativeFrom="paragraph">
                  <wp:posOffset>4072255</wp:posOffset>
                </wp:positionV>
                <wp:extent cx="1524000" cy="857250"/>
                <wp:effectExtent l="0" t="0" r="19050" b="19050"/>
                <wp:wrapNone/>
                <wp:docPr id="61" name="61 Rombo"/>
                <wp:cNvGraphicFramePr/>
                <a:graphic xmlns:a="http://schemas.openxmlformats.org/drawingml/2006/main">
                  <a:graphicData uri="http://schemas.microsoft.com/office/word/2010/wordprocessingShape">
                    <wps:wsp>
                      <wps:cNvSpPr/>
                      <wps:spPr>
                        <a:xfrm>
                          <a:off x="0" y="0"/>
                          <a:ext cx="1524000" cy="857250"/>
                        </a:xfrm>
                        <a:prstGeom prst="diamond">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center"/>
                              <w:rPr>
                                <w:rFonts w:ascii="Arial" w:hAnsi="Arial" w:cs="Arial"/>
                                <w:sz w:val="13"/>
                                <w:szCs w:val="13"/>
                              </w:rPr>
                            </w:pPr>
                            <w:r w:rsidRPr="00385B51">
                              <w:rPr>
                                <w:rFonts w:ascii="Arial" w:hAnsi="Arial" w:cs="Arial"/>
                                <w:sz w:val="13"/>
                                <w:szCs w:val="13"/>
                              </w:rPr>
                              <w:t>¿Existen errores y omisiones?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9C0061" id="_x0000_t4" coordsize="21600,21600" o:spt="4" path="m10800,l,10800,10800,21600,21600,10800xe">
                <v:stroke joinstyle="miter"/>
                <v:path gradientshapeok="t" o:connecttype="rect" textboxrect="5400,5400,16200,16200"/>
              </v:shapetype>
              <v:shape id="61 Rombo" o:spid="_x0000_s1035" type="#_x0000_t4" style="position:absolute;left:0;text-align:left;margin-left:-1.8pt;margin-top:320.65pt;width:120pt;height:6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" fillcolor="white [3201]" strokecolor="black [3200]" strokeweight="1pt">
                <v:textbox>
                  <w:txbxContent>
                    <w:p w:rsidR="000F71DB" w:rsidRPr="00385B51" w:rsidRDefault="000F71DB" w:rsidP="00A256AB">
                      <w:pPr>
                        <w:jc w:val="center"/>
                        <w:rPr>
                          <w:rFonts w:ascii="Arial" w:hAnsi="Arial" w:cs="Arial"/>
                          <w:sz w:val="13"/>
                          <w:szCs w:val="13"/>
                        </w:rPr>
                      </w:pPr>
                      <w:r w:rsidRPr="00385B51">
                        <w:rPr>
                          <w:rFonts w:ascii="Arial" w:hAnsi="Arial" w:cs="Arial"/>
                          <w:sz w:val="13"/>
                          <w:szCs w:val="13"/>
                        </w:rPr>
                        <w:t>¿Existen errores y omisiones?</w:t>
                      </w:r>
                    </w:p>
                  </w:txbxContent>
                </v:textbox>
              </v:shape>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2512" behindDoc="0" locked="0" layoutInCell="1" allowOverlap="1" wp14:anchorId="584DDDAA" wp14:editId="3E3D9E19">
                <wp:simplePos x="0" y="0"/>
                <wp:positionH relativeFrom="column">
                  <wp:posOffset>2577465</wp:posOffset>
                </wp:positionH>
                <wp:positionV relativeFrom="paragraph">
                  <wp:posOffset>3110230</wp:posOffset>
                </wp:positionV>
                <wp:extent cx="247650" cy="200025"/>
                <wp:effectExtent l="0" t="0" r="19050" b="28575"/>
                <wp:wrapNone/>
                <wp:docPr id="60" name="60 Flecha izquierda"/>
                <wp:cNvGraphicFramePr/>
                <a:graphic xmlns:a="http://schemas.openxmlformats.org/drawingml/2006/main">
                  <a:graphicData uri="http://schemas.microsoft.com/office/word/2010/wordprocessingShape">
                    <wps:wsp>
                      <wps:cNvSpPr/>
                      <wps:spPr>
                        <a:xfrm>
                          <a:off x="0" y="0"/>
                          <a:ext cx="247650" cy="20002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878431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60 Flecha izquierda" o:spid="_x0000_s1026" type="#_x0000_t66" style="position:absolute;margin-left:202.95pt;margin-top:244.9pt;width:19.5pt;height:15.7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" adj="8723"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1488" behindDoc="0" locked="0" layoutInCell="1" allowOverlap="1" wp14:anchorId="5CE6E8AA" wp14:editId="2178BBD1">
                <wp:simplePos x="0" y="0"/>
                <wp:positionH relativeFrom="column">
                  <wp:posOffset>2577465</wp:posOffset>
                </wp:positionH>
                <wp:positionV relativeFrom="paragraph">
                  <wp:posOffset>1338580</wp:posOffset>
                </wp:positionV>
                <wp:extent cx="247650" cy="200025"/>
                <wp:effectExtent l="0" t="0" r="19050" b="28575"/>
                <wp:wrapNone/>
                <wp:docPr id="59" name="59 Flecha izquierda"/>
                <wp:cNvGraphicFramePr/>
                <a:graphic xmlns:a="http://schemas.openxmlformats.org/drawingml/2006/main">
                  <a:graphicData uri="http://schemas.microsoft.com/office/word/2010/wordprocessingShape">
                    <wps:wsp>
                      <wps:cNvSpPr/>
                      <wps:spPr>
                        <a:xfrm>
                          <a:off x="0" y="0"/>
                          <a:ext cx="247650" cy="20002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E6774E" id="59 Flecha izquierda" o:spid="_x0000_s1026" type="#_x0000_t66" style="position:absolute;margin-left:202.95pt;margin-top:105.4pt;width:19.5pt;height:15.7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" adj="8723"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6368" behindDoc="0" locked="0" layoutInCell="1" allowOverlap="1" wp14:anchorId="2FCA16A5" wp14:editId="76D389FC">
                <wp:simplePos x="0" y="0"/>
                <wp:positionH relativeFrom="column">
                  <wp:posOffset>4209415</wp:posOffset>
                </wp:positionH>
                <wp:positionV relativeFrom="paragraph">
                  <wp:posOffset>2651125</wp:posOffset>
                </wp:positionV>
                <wp:extent cx="202565" cy="180975"/>
                <wp:effectExtent l="19050" t="0" r="26035" b="47625"/>
                <wp:wrapNone/>
                <wp:docPr id="53" name="53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56EA385" id="53 Flecha abajo" o:spid="_x0000_s1026" type="#_x0000_t67" style="position:absolute;margin-left:331.45pt;margin-top:208.75pt;width:15.95pt;height:14.2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2272" behindDoc="0" locked="0" layoutInCell="1" allowOverlap="1" wp14:anchorId="2C6184C8" wp14:editId="342FA66D">
                <wp:simplePos x="0" y="0"/>
                <wp:positionH relativeFrom="column">
                  <wp:posOffset>4235450</wp:posOffset>
                </wp:positionH>
                <wp:positionV relativeFrom="paragraph">
                  <wp:posOffset>1755775</wp:posOffset>
                </wp:positionV>
                <wp:extent cx="202565" cy="180975"/>
                <wp:effectExtent l="19050" t="0" r="26035" b="47625"/>
                <wp:wrapNone/>
                <wp:docPr id="49" name="49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FFD172D" id="49 Flecha abajo" o:spid="_x0000_s1026" type="#_x0000_t67" style="position:absolute;margin-left:333.5pt;margin-top:138.25pt;width:15.95pt;height:14.25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7152" behindDoc="0" locked="0" layoutInCell="1" allowOverlap="1" wp14:anchorId="23107F2A" wp14:editId="4AEB2062">
                <wp:simplePos x="0" y="0"/>
                <wp:positionH relativeFrom="column">
                  <wp:posOffset>4237990</wp:posOffset>
                </wp:positionH>
                <wp:positionV relativeFrom="paragraph">
                  <wp:posOffset>803275</wp:posOffset>
                </wp:positionV>
                <wp:extent cx="202565" cy="180975"/>
                <wp:effectExtent l="19050" t="0" r="26035" b="47625"/>
                <wp:wrapNone/>
                <wp:docPr id="44" name="44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CE0523C" id="44 Flecha abajo" o:spid="_x0000_s1026" type="#_x0000_t67" style="position:absolute;margin-left:333.7pt;margin-top:63.25pt;width:15.95pt;height:14.25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10464" behindDoc="0" locked="0" layoutInCell="1" allowOverlap="1" wp14:anchorId="39463D4C" wp14:editId="56AA6373">
                <wp:simplePos x="0" y="0"/>
                <wp:positionH relativeFrom="column">
                  <wp:posOffset>2577465</wp:posOffset>
                </wp:positionH>
                <wp:positionV relativeFrom="paragraph">
                  <wp:posOffset>2186305</wp:posOffset>
                </wp:positionV>
                <wp:extent cx="190500" cy="161925"/>
                <wp:effectExtent l="0" t="19050" r="38100" b="47625"/>
                <wp:wrapNone/>
                <wp:docPr id="58" name="58 Flecha derecha"/>
                <wp:cNvGraphicFramePr/>
                <a:graphic xmlns:a="http://schemas.openxmlformats.org/drawingml/2006/main">
                  <a:graphicData uri="http://schemas.microsoft.com/office/word/2010/wordprocessingShape">
                    <wps:wsp>
                      <wps:cNvSpPr/>
                      <wps:spPr>
                        <a:xfrm>
                          <a:off x="0" y="0"/>
                          <a:ext cx="190500" cy="1619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544E2" id="58 Flecha derecha" o:spid="_x0000_s1026" type="#_x0000_t13" style="position:absolute;margin-left:202.95pt;margin-top:172.15pt;width:15pt;height:12.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" adj="1242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9440" behindDoc="0" locked="0" layoutInCell="1" allowOverlap="1" wp14:anchorId="61B6209F" wp14:editId="230E588B">
                <wp:simplePos x="0" y="0"/>
                <wp:positionH relativeFrom="column">
                  <wp:posOffset>3073400</wp:posOffset>
                </wp:positionH>
                <wp:positionV relativeFrom="paragraph">
                  <wp:posOffset>2955290</wp:posOffset>
                </wp:positionV>
                <wp:extent cx="2493645" cy="476250"/>
                <wp:effectExtent l="0" t="0" r="20955" b="19050"/>
                <wp:wrapNone/>
                <wp:docPr id="56" name="56 Rectángulo redondeado"/>
                <wp:cNvGraphicFramePr/>
                <a:graphic xmlns:a="http://schemas.openxmlformats.org/drawingml/2006/main">
                  <a:graphicData uri="http://schemas.microsoft.com/office/word/2010/wordprocessingShape">
                    <wps:wsp>
                      <wps:cNvSpPr/>
                      <wps:spPr>
                        <a:xfrm>
                          <a:off x="0" y="0"/>
                          <a:ext cx="2493645" cy="476250"/>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solicita a través de la secretaria ejecutiva general la confirmación de personas físicas o morales con las que el partido político realizó transacciones.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B6209F" id="56 Rectángulo redondeado" o:spid="_x0000_s1036" style="position:absolute;left:0;text-align:left;margin-left:242pt;margin-top:232.7pt;width:196.35pt;height:3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solicita a través de la secretaria ejecutiva general la confirmación de personas físicas o morales con las que el partido político realizó transacciones.</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7392" behindDoc="0" locked="0" layoutInCell="1" allowOverlap="1" wp14:anchorId="78678BBC" wp14:editId="376890D3">
                <wp:simplePos x="0" y="0"/>
                <wp:positionH relativeFrom="column">
                  <wp:posOffset>-194310</wp:posOffset>
                </wp:positionH>
                <wp:positionV relativeFrom="paragraph">
                  <wp:posOffset>2938780</wp:posOffset>
                </wp:positionV>
                <wp:extent cx="2493645" cy="542925"/>
                <wp:effectExtent l="0" t="0" r="20955" b="28575"/>
                <wp:wrapNone/>
                <wp:docPr id="54" name="54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Órgano Técnico de Fiscalización elaborará el informe previo o definitivo como resultado de la revisión.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678BBC" id="54 Rectángulo redondeado" o:spid="_x0000_s1037" style="position:absolute;left:0;text-align:left;margin-left:-15.3pt;margin-top:231.4pt;width:196.35pt;height:42.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Órgano Técnico de Fiscalización elaborará el informe previo o definitivo como resultado de la revisión.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5344" behindDoc="0" locked="0" layoutInCell="1" allowOverlap="1" wp14:anchorId="4188CD49" wp14:editId="3838532B">
                <wp:simplePos x="0" y="0"/>
                <wp:positionH relativeFrom="column">
                  <wp:posOffset>3044825</wp:posOffset>
                </wp:positionH>
                <wp:positionV relativeFrom="paragraph">
                  <wp:posOffset>2069465</wp:posOffset>
                </wp:positionV>
                <wp:extent cx="2493645" cy="476250"/>
                <wp:effectExtent l="0" t="0" r="20955" b="19050"/>
                <wp:wrapNone/>
                <wp:docPr id="52" name="52 Rectángulo redondeado"/>
                <wp:cNvGraphicFramePr/>
                <a:graphic xmlns:a="http://schemas.openxmlformats.org/drawingml/2006/main">
                  <a:graphicData uri="http://schemas.microsoft.com/office/word/2010/wordprocessingShape">
                    <wps:wsp>
                      <wps:cNvSpPr/>
                      <wps:spPr>
                        <a:xfrm>
                          <a:off x="0" y="0"/>
                          <a:ext cx="2493645" cy="476250"/>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llevará a cabo la visita domiciliaria para la revisión a la documentación soporte de os informes de campaña, ya sea de gobernador o ayuntamientos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88CD49" id="52 Rectángulo redondeado" o:spid="_x0000_s1038" style="position:absolute;left:0;text-align:left;margin-left:239.75pt;margin-top:162.95pt;width:196.35pt;height:3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llevará a cabo la visita domiciliaria para la revisión a la documentación soporte de os informes de campaña, ya sea de gobernador o ayuntamientos</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4320" behindDoc="0" locked="0" layoutInCell="1" allowOverlap="1" wp14:anchorId="63DB76CE" wp14:editId="7569A309">
                <wp:simplePos x="0" y="0"/>
                <wp:positionH relativeFrom="column">
                  <wp:posOffset>915035</wp:posOffset>
                </wp:positionH>
                <wp:positionV relativeFrom="paragraph">
                  <wp:posOffset>2672715</wp:posOffset>
                </wp:positionV>
                <wp:extent cx="202565" cy="180975"/>
                <wp:effectExtent l="19050" t="0" r="26035" b="47625"/>
                <wp:wrapNone/>
                <wp:docPr id="51" name="51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E1620B7" id="51 Flecha abajo" o:spid="_x0000_s1026" type="#_x0000_t67" style="position:absolute;margin-left:72.05pt;margin-top:210.45pt;width:15.95pt;height:14.25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3296" behindDoc="0" locked="0" layoutInCell="1" allowOverlap="1" wp14:anchorId="70A0872E" wp14:editId="596ED3BD">
                <wp:simplePos x="0" y="0"/>
                <wp:positionH relativeFrom="column">
                  <wp:posOffset>-222885</wp:posOffset>
                </wp:positionH>
                <wp:positionV relativeFrom="paragraph">
                  <wp:posOffset>2052955</wp:posOffset>
                </wp:positionV>
                <wp:extent cx="2493645" cy="542925"/>
                <wp:effectExtent l="0" t="0" r="20955" b="28575"/>
                <wp:wrapNone/>
                <wp:docPr id="50" name="50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Se notificará a los partidos políticos sobre los servidores electorales comisionados para llevar a cabo la revisión.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A0872E" id="50 Rectángulo redondeado" o:spid="_x0000_s1039" style="position:absolute;left:0;text-align:left;margin-left:-17.55pt;margin-top:161.65pt;width:196.35pt;height:42.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Se notificará a los partidos políticos sobre los servidores electorales comisionados para llevar a cabo la revisión.</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1248" behindDoc="0" locked="0" layoutInCell="1" allowOverlap="1" wp14:anchorId="0BBDE662" wp14:editId="0F3C0696">
                <wp:simplePos x="0" y="0"/>
                <wp:positionH relativeFrom="column">
                  <wp:posOffset>3073400</wp:posOffset>
                </wp:positionH>
                <wp:positionV relativeFrom="paragraph">
                  <wp:posOffset>1164590</wp:posOffset>
                </wp:positionV>
                <wp:extent cx="2493645" cy="476250"/>
                <wp:effectExtent l="0" t="0" r="20955" b="19050"/>
                <wp:wrapNone/>
                <wp:docPr id="48" name="48 Rectángulo redondeado"/>
                <wp:cNvGraphicFramePr/>
                <a:graphic xmlns:a="http://schemas.openxmlformats.org/drawingml/2006/main">
                  <a:graphicData uri="http://schemas.microsoft.com/office/word/2010/wordprocessingShape">
                    <wps:wsp>
                      <wps:cNvSpPr/>
                      <wps:spPr>
                        <a:xfrm>
                          <a:off x="0" y="0"/>
                          <a:ext cx="2493645" cy="476250"/>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Pr>
                                <w:rFonts w:ascii="Arial" w:hAnsi="Arial" w:cs="Arial"/>
                                <w:sz w:val="12"/>
                                <w:szCs w:val="12"/>
                              </w:rPr>
                              <w:t>Los informes de campaña deberán ser presentados a más tardar dentro de los 3 meses siguientes contados a partir del día siguiente al de la jornada electoral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BDE662" id="48 Rectángulo redondeado" o:spid="_x0000_s1040" style="position:absolute;left:0;text-align:left;margin-left:242pt;margin-top:91.7pt;width:196.35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Pr>
                          <w:rFonts w:ascii="Arial" w:hAnsi="Arial" w:cs="Arial"/>
                          <w:sz w:val="12"/>
                          <w:szCs w:val="12"/>
                        </w:rPr>
                        <w:t>Los informes de campaña deberán ser presentados a más tardar dentro de los 3 meses siguientes contados a partir del día siguiente al de la jornada electoral</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700224" behindDoc="0" locked="0" layoutInCell="1" allowOverlap="1" wp14:anchorId="0CD558D3" wp14:editId="6FBD5032">
                <wp:simplePos x="0" y="0"/>
                <wp:positionH relativeFrom="column">
                  <wp:posOffset>943610</wp:posOffset>
                </wp:positionH>
                <wp:positionV relativeFrom="paragraph">
                  <wp:posOffset>1767840</wp:posOffset>
                </wp:positionV>
                <wp:extent cx="202565" cy="180975"/>
                <wp:effectExtent l="19050" t="0" r="26035" b="47625"/>
                <wp:wrapNone/>
                <wp:docPr id="47" name="47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5B5D91C" id="47 Flecha abajo" o:spid="_x0000_s1026" type="#_x0000_t67" style="position:absolute;margin-left:74.3pt;margin-top:139.2pt;width:15.95pt;height:14.2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9200" behindDoc="0" locked="0" layoutInCell="1" allowOverlap="1" wp14:anchorId="4CBA7B2F" wp14:editId="29149F01">
                <wp:simplePos x="0" y="0"/>
                <wp:positionH relativeFrom="column">
                  <wp:posOffset>-194310</wp:posOffset>
                </wp:positionH>
                <wp:positionV relativeFrom="paragraph">
                  <wp:posOffset>1148080</wp:posOffset>
                </wp:positionV>
                <wp:extent cx="2493645" cy="542925"/>
                <wp:effectExtent l="0" t="0" r="20955" b="28575"/>
                <wp:wrapNone/>
                <wp:docPr id="46" name="46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center"/>
                              <w:rPr>
                                <w:rFonts w:ascii="Arial" w:hAnsi="Arial" w:cs="Arial"/>
                                <w:sz w:val="12"/>
                                <w:szCs w:val="12"/>
                              </w:rPr>
                            </w:pPr>
                            <w:r>
                              <w:rPr>
                                <w:rFonts w:ascii="Arial" w:hAnsi="Arial" w:cs="Arial"/>
                                <w:sz w:val="12"/>
                                <w:szCs w:val="12"/>
                              </w:rPr>
                              <w:t>Se llevará a cabo la revisión preliminar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BA7B2F" id="46 Rectángulo redondeado" o:spid="_x0000_s1041" style="position:absolute;left:0;text-align:left;margin-left:-15.3pt;margin-top:90.4pt;width:196.35pt;height:42.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" fillcolor="white [3201]" strokecolor="black [3200]" strokeweight="1pt">
                <v:stroke joinstyle="miter"/>
                <v:textbox>
                  <w:txbxContent>
                    <w:p w:rsidR="000F71DB" w:rsidRPr="00385B51" w:rsidRDefault="000F71DB" w:rsidP="00A256AB">
                      <w:pPr>
                        <w:jc w:val="center"/>
                        <w:rPr>
                          <w:rFonts w:ascii="Arial" w:hAnsi="Arial" w:cs="Arial"/>
                          <w:sz w:val="12"/>
                          <w:szCs w:val="12"/>
                        </w:rPr>
                      </w:pPr>
                      <w:r>
                        <w:rPr>
                          <w:rFonts w:ascii="Arial" w:hAnsi="Arial" w:cs="Arial"/>
                          <w:sz w:val="12"/>
                          <w:szCs w:val="12"/>
                        </w:rPr>
                        <w:t>Se llevará a cabo la revisión preliminar</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8176" behindDoc="0" locked="0" layoutInCell="1" allowOverlap="1" wp14:anchorId="1724B68B" wp14:editId="767BA96A">
                <wp:simplePos x="0" y="0"/>
                <wp:positionH relativeFrom="column">
                  <wp:posOffset>2577465</wp:posOffset>
                </wp:positionH>
                <wp:positionV relativeFrom="paragraph">
                  <wp:posOffset>367030</wp:posOffset>
                </wp:positionV>
                <wp:extent cx="190500" cy="161925"/>
                <wp:effectExtent l="0" t="19050" r="38100" b="47625"/>
                <wp:wrapNone/>
                <wp:docPr id="45" name="45 Flecha derecha"/>
                <wp:cNvGraphicFramePr/>
                <a:graphic xmlns:a="http://schemas.openxmlformats.org/drawingml/2006/main">
                  <a:graphicData uri="http://schemas.microsoft.com/office/word/2010/wordprocessingShape">
                    <wps:wsp>
                      <wps:cNvSpPr/>
                      <wps:spPr>
                        <a:xfrm>
                          <a:off x="0" y="0"/>
                          <a:ext cx="190500" cy="1619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BA4C8E" id="45 Flecha derecha" o:spid="_x0000_s1026" type="#_x0000_t13" style="position:absolute;margin-left:202.95pt;margin-top:28.9pt;width:15pt;height:12.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" adj="1242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5104" behindDoc="0" locked="0" layoutInCell="1" allowOverlap="1" wp14:anchorId="011F4D2F" wp14:editId="28E0B95A">
                <wp:simplePos x="0" y="0"/>
                <wp:positionH relativeFrom="column">
                  <wp:posOffset>943610</wp:posOffset>
                </wp:positionH>
                <wp:positionV relativeFrom="paragraph">
                  <wp:posOffset>824865</wp:posOffset>
                </wp:positionV>
                <wp:extent cx="202565" cy="180975"/>
                <wp:effectExtent l="19050" t="0" r="26035" b="47625"/>
                <wp:wrapNone/>
                <wp:docPr id="42" name="42 Flecha abajo"/>
                <wp:cNvGraphicFramePr/>
                <a:graphic xmlns:a="http://schemas.openxmlformats.org/drawingml/2006/main">
                  <a:graphicData uri="http://schemas.microsoft.com/office/word/2010/wordprocessingShape">
                    <wps:wsp>
                      <wps:cNvSpPr/>
                      <wps:spPr>
                        <a:xfrm>
                          <a:off x="0" y="0"/>
                          <a:ext cx="202565" cy="180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27B1CAD" id="42 Flecha abajo" o:spid="_x0000_s1026" type="#_x0000_t67" style="position:absolute;margin-left:74.3pt;margin-top:64.95pt;width:15.95pt;height:14.2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" adj="10800" fillcolor="black [3200]" strokecolor="black [1600]" strokeweight="1p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4080" behindDoc="0" locked="0" layoutInCell="1" allowOverlap="1" wp14:anchorId="50336ACB" wp14:editId="5F94BC75">
                <wp:simplePos x="0" y="0"/>
                <wp:positionH relativeFrom="column">
                  <wp:posOffset>-194310</wp:posOffset>
                </wp:positionH>
                <wp:positionV relativeFrom="paragraph">
                  <wp:posOffset>205105</wp:posOffset>
                </wp:positionV>
                <wp:extent cx="2493645" cy="542925"/>
                <wp:effectExtent l="0" t="0" r="20955" b="28575"/>
                <wp:wrapNone/>
                <wp:docPr id="41" name="41 Rectángulo redondeado"/>
                <wp:cNvGraphicFramePr/>
                <a:graphic xmlns:a="http://schemas.openxmlformats.org/drawingml/2006/main">
                  <a:graphicData uri="http://schemas.microsoft.com/office/word/2010/wordprocessingShape">
                    <wps:wsp>
                      <wps:cNvSpPr/>
                      <wps:spPr>
                        <a:xfrm>
                          <a:off x="0" y="0"/>
                          <a:ext cx="249364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Consejo General podrá aprobar una revisión precautoria sobre el cumplimiento de los topes de gastos de campaña, la que podrá realizarse a partir de la mitad del tiempo de la duración de la campaña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336ACB" id="41 Rectángulo redondeado" o:spid="_x0000_s1042" style="position:absolute;left:0;text-align:left;margin-left:-15.3pt;margin-top:16.15pt;width:196.35pt;height:4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 xml:space="preserve">El </w:t>
                      </w:r>
                      <w:r>
                        <w:rPr>
                          <w:rFonts w:ascii="Arial" w:hAnsi="Arial" w:cs="Arial"/>
                          <w:sz w:val="12"/>
                          <w:szCs w:val="12"/>
                        </w:rPr>
                        <w:t>Consejo General podrá aprobar una revisión precautoria sobre el cumplimiento de los topes de gastos de campaña, la que podrá realizarse a partir de la mitad del tiempo de la duración de la campaña</w:t>
                      </w:r>
                    </w:p>
                  </w:txbxContent>
                </v:textbox>
              </v:roundrect>
            </w:pict>
          </mc:Fallback>
        </mc:AlternateContent>
      </w:r>
      <w:r w:rsidRPr="00A85D78">
        <w:rPr>
          <w:rFonts w:ascii="Arial" w:hAnsi="Arial" w:cs="Arial"/>
          <w:noProof/>
          <w:sz w:val="24"/>
          <w:szCs w:val="24"/>
          <w:lang w:eastAsia="es-ES"/>
        </w:rPr>
        <mc:AlternateContent>
          <mc:Choice Requires="wps">
            <w:drawing>
              <wp:anchor distT="0" distB="0" distL="114300" distR="114300" simplePos="0" relativeHeight="251696128" behindDoc="0" locked="0" layoutInCell="1" allowOverlap="1" wp14:anchorId="680EBA67" wp14:editId="181202D2">
                <wp:simplePos x="0" y="0"/>
                <wp:positionH relativeFrom="column">
                  <wp:posOffset>3073400</wp:posOffset>
                </wp:positionH>
                <wp:positionV relativeFrom="paragraph">
                  <wp:posOffset>221615</wp:posOffset>
                </wp:positionV>
                <wp:extent cx="2493645" cy="476250"/>
                <wp:effectExtent l="0" t="0" r="20955" b="19050"/>
                <wp:wrapNone/>
                <wp:docPr id="43" name="43 Rectángulo redondeado"/>
                <wp:cNvGraphicFramePr/>
                <a:graphic xmlns:a="http://schemas.openxmlformats.org/drawingml/2006/main">
                  <a:graphicData uri="http://schemas.microsoft.com/office/word/2010/wordprocessingShape">
                    <wps:wsp>
                      <wps:cNvSpPr/>
                      <wps:spPr>
                        <a:xfrm>
                          <a:off x="0" y="0"/>
                          <a:ext cx="2493645" cy="476250"/>
                        </a:xfrm>
                        <a:prstGeom prst="roundRect">
                          <a:avLst/>
                        </a:prstGeom>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El Órgano Técnico de Fiscalización notificará a</w:t>
                            </w:r>
                            <w:r w:rsidRPr="00385B51">
                              <w:rPr>
                                <w:rFonts w:ascii="Arial" w:hAnsi="Arial" w:cs="Arial"/>
                              </w:rPr>
                              <w:t xml:space="preserve"> </w:t>
                            </w:r>
                            <w:r w:rsidRPr="00385B51">
                              <w:rPr>
                                <w:rFonts w:ascii="Arial" w:hAnsi="Arial" w:cs="Arial"/>
                                <w:sz w:val="12"/>
                                <w:szCs w:val="12"/>
                              </w:rPr>
                              <w:t xml:space="preserve">los partidos políticos del procedimiento de recepción, revisión y dictaminación del informe </w:t>
                            </w:r>
                            <w:r>
                              <w:rPr>
                                <w:rFonts w:ascii="Arial" w:hAnsi="Arial" w:cs="Arial"/>
                                <w:sz w:val="12"/>
                                <w:szCs w:val="12"/>
                              </w:rPr>
                              <w:t xml:space="preserve">de </w:t>
                            </w:r>
                            <w:r w:rsidRPr="00385B51">
                              <w:rPr>
                                <w:rFonts w:ascii="Arial" w:hAnsi="Arial" w:cs="Arial"/>
                                <w:sz w:val="12"/>
                                <w:szCs w:val="12"/>
                              </w:rPr>
                              <w:t>campaña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0EBA67" id="43 Rectángulo redondeado" o:spid="_x0000_s1043" style="position:absolute;left:0;text-align:left;margin-left:242pt;margin-top:17.45pt;width:196.35pt;height:3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" fillcolor="white [3201]" strokecolor="black [3200]" strokeweight="1pt">
                <v:stroke joinstyle="miter"/>
                <v:textbox>
                  <w:txbxContent>
                    <w:p w:rsidR="000F71DB" w:rsidRPr="00385B51" w:rsidRDefault="000F71DB" w:rsidP="00A256AB">
                      <w:pPr>
                        <w:jc w:val="both"/>
                        <w:rPr>
                          <w:rFonts w:ascii="Arial" w:hAnsi="Arial" w:cs="Arial"/>
                          <w:sz w:val="12"/>
                          <w:szCs w:val="12"/>
                        </w:rPr>
                      </w:pPr>
                      <w:r w:rsidRPr="00385B51">
                        <w:rPr>
                          <w:rFonts w:ascii="Arial" w:hAnsi="Arial" w:cs="Arial"/>
                          <w:sz w:val="12"/>
                          <w:szCs w:val="12"/>
                        </w:rPr>
                        <w:t>El Órgano Técnico de Fiscalización notificará a</w:t>
                      </w:r>
                      <w:r w:rsidRPr="00385B51">
                        <w:rPr>
                          <w:rFonts w:ascii="Arial" w:hAnsi="Arial" w:cs="Arial"/>
                        </w:rPr>
                        <w:t xml:space="preserve"> </w:t>
                      </w:r>
                      <w:r w:rsidRPr="00385B51">
                        <w:rPr>
                          <w:rFonts w:ascii="Arial" w:hAnsi="Arial" w:cs="Arial"/>
                          <w:sz w:val="12"/>
                          <w:szCs w:val="12"/>
                        </w:rPr>
                        <w:t xml:space="preserve">los partidos políticos del procedimiento de recepción, revisión y dictaminación del informe </w:t>
                      </w:r>
                      <w:r>
                        <w:rPr>
                          <w:rFonts w:ascii="Arial" w:hAnsi="Arial" w:cs="Arial"/>
                          <w:sz w:val="12"/>
                          <w:szCs w:val="12"/>
                        </w:rPr>
                        <w:t xml:space="preserve">de </w:t>
                      </w:r>
                      <w:r w:rsidRPr="00385B51">
                        <w:rPr>
                          <w:rFonts w:ascii="Arial" w:hAnsi="Arial" w:cs="Arial"/>
                          <w:sz w:val="12"/>
                          <w:szCs w:val="12"/>
                        </w:rPr>
                        <w:t>campaña</w:t>
                      </w:r>
                    </w:p>
                  </w:txbxContent>
                </v:textbox>
              </v:roundrect>
            </w:pict>
          </mc:Fallback>
        </mc:AlternateContent>
      </w: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D771DF" w:rsidRPr="00A85D78" w:rsidRDefault="00D771DF" w:rsidP="00C234C9">
      <w:pPr>
        <w:ind w:right="284"/>
        <w:jc w:val="both"/>
        <w:rPr>
          <w:rFonts w:ascii="Arial" w:hAnsi="Arial" w:cs="Arial"/>
          <w:sz w:val="16"/>
          <w:szCs w:val="16"/>
        </w:rPr>
      </w:pPr>
      <w:r w:rsidRPr="00A85D78">
        <w:rPr>
          <w:rFonts w:ascii="Arial" w:hAnsi="Arial" w:cs="Arial"/>
          <w:noProof/>
          <w:sz w:val="24"/>
          <w:szCs w:val="24"/>
          <w:lang w:eastAsia="es-ES"/>
        </w:rPr>
        <mc:AlternateContent>
          <mc:Choice Requires="wps">
            <w:drawing>
              <wp:anchor distT="0" distB="0" distL="114300" distR="114300" simplePos="0" relativeHeight="251737088" behindDoc="0" locked="0" layoutInCell="1" allowOverlap="1" wp14:anchorId="310646C8" wp14:editId="58D636C1">
                <wp:simplePos x="0" y="0"/>
                <wp:positionH relativeFrom="margin">
                  <wp:posOffset>-375285</wp:posOffset>
                </wp:positionH>
                <wp:positionV relativeFrom="paragraph">
                  <wp:posOffset>4155440</wp:posOffset>
                </wp:positionV>
                <wp:extent cx="3743325" cy="542925"/>
                <wp:effectExtent l="0" t="0" r="0" b="0"/>
                <wp:wrapNone/>
                <wp:docPr id="28" name="70 Rectángulo redondeado"/>
                <wp:cNvGraphicFramePr/>
                <a:graphic xmlns:a="http://schemas.openxmlformats.org/drawingml/2006/main">
                  <a:graphicData uri="http://schemas.microsoft.com/office/word/2010/wordprocessingShape">
                    <wps:wsp>
                      <wps:cNvSpPr/>
                      <wps:spPr>
                        <a:xfrm>
                          <a:off x="0" y="0"/>
                          <a:ext cx="3743325" cy="542925"/>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rsidR="000F71DB" w:rsidRPr="00385B51" w:rsidRDefault="000F71DB" w:rsidP="00D771DF">
                            <w:pPr>
                              <w:jc w:val="both"/>
                              <w:rPr>
                                <w:rFonts w:ascii="Arial" w:hAnsi="Arial" w:cs="Arial"/>
                                <w:sz w:val="12"/>
                                <w:szCs w:val="12"/>
                              </w:rPr>
                            </w:pPr>
                            <w:r w:rsidRPr="00D771DF">
                              <w:rPr>
                                <w:rFonts w:ascii="Arial" w:hAnsi="Arial" w:cs="Arial"/>
                                <w:b/>
                                <w:bCs/>
                                <w:i/>
                                <w:iCs/>
                                <w:sz w:val="16"/>
                                <w:szCs w:val="16"/>
                              </w:rPr>
                              <w:t>Fuente:</w:t>
                            </w:r>
                            <w:r w:rsidRPr="00D771DF">
                              <w:rPr>
                                <w:rFonts w:ascii="Arial" w:hAnsi="Arial" w:cs="Arial"/>
                                <w:i/>
                                <w:iCs/>
                                <w:sz w:val="16"/>
                                <w:szCs w:val="16"/>
                              </w:rPr>
                              <w:t xml:space="preserve"> Recuperado de http://www.ieem.org.mx/OTF/pdf_s/campa.pdf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0646C8" id="_x0000_s1044" style="position:absolute;left:0;text-align:left;margin-left:-29.55pt;margin-top:327.2pt;width:294.75pt;height:42.7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" filled="f" stroked="f" strokeweight="1pt">
                <v:stroke joinstyle="miter"/>
                <v:textbox>
                  <w:txbxContent>
                    <w:p w:rsidR="000F71DB" w:rsidRPr="00385B51" w:rsidRDefault="000F71DB" w:rsidP="00D771DF">
                      <w:pPr>
                        <w:jc w:val="both"/>
                        <w:rPr>
                          <w:rFonts w:ascii="Arial" w:hAnsi="Arial" w:cs="Arial"/>
                          <w:sz w:val="12"/>
                          <w:szCs w:val="12"/>
                        </w:rPr>
                      </w:pPr>
                      <w:r w:rsidRPr="00D771DF">
                        <w:rPr>
                          <w:rFonts w:ascii="Arial" w:hAnsi="Arial" w:cs="Arial"/>
                          <w:b/>
                          <w:bCs/>
                          <w:i/>
                          <w:iCs/>
                          <w:sz w:val="16"/>
                          <w:szCs w:val="16"/>
                        </w:rPr>
                        <w:t>Fuente:</w:t>
                      </w:r>
                      <w:r w:rsidRPr="00D771DF">
                        <w:rPr>
                          <w:rFonts w:ascii="Arial" w:hAnsi="Arial" w:cs="Arial"/>
                          <w:i/>
                          <w:iCs/>
                          <w:sz w:val="16"/>
                          <w:szCs w:val="16"/>
                        </w:rPr>
                        <w:t xml:space="preserve"> Recuperado de http://www.ieem.org.mx/OTF/pdf_s/campa.pdf</w:t>
                      </w:r>
                    </w:p>
                  </w:txbxContent>
                </v:textbox>
                <w10:wrap anchorx="margin"/>
              </v:roundrect>
            </w:pict>
          </mc:Fallback>
        </mc:AlternateContent>
      </w:r>
      <w:r w:rsidR="00C234C9">
        <w:rPr>
          <w:rFonts w:ascii="Arial" w:hAnsi="Arial" w:cs="Arial"/>
          <w:sz w:val="24"/>
          <w:szCs w:val="24"/>
        </w:rPr>
        <w:br w:type="page"/>
      </w:r>
    </w:p>
    <w:p w:rsidR="00A256AB" w:rsidRPr="00A85D78" w:rsidRDefault="00A256AB" w:rsidP="00A256AB">
      <w:pPr>
        <w:tabs>
          <w:tab w:val="left" w:pos="5070"/>
        </w:tabs>
        <w:jc w:val="both"/>
        <w:rPr>
          <w:rFonts w:ascii="Arial" w:hAnsi="Arial" w:cs="Arial"/>
          <w:sz w:val="24"/>
          <w:szCs w:val="24"/>
        </w:rPr>
      </w:pPr>
      <w:r w:rsidRPr="00A85D78">
        <w:rPr>
          <w:rFonts w:ascii="Arial" w:hAnsi="Arial" w:cs="Arial"/>
          <w:sz w:val="24"/>
          <w:szCs w:val="24"/>
        </w:rPr>
        <w:lastRenderedPageBreak/>
        <w:t>El proceso de fiscalización utilizado por el Órgano Técnico de Fiscalización del Instituto Electoral del Estado de México para el caso de las precampañas consiste en:</w:t>
      </w: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 xml:space="preserve"> El Consejo General mediante acuerdo aprueba una revisión precautoria con la finalidad de determinar el cumplimiento de los Topes de Gastos de Campaña de los Partidos Políticos y Coaliciones, una vez que las campañas políticas se encuentren en pleno desarrollo y a 15 días de llegar a su fin. La revisión precautoria se realiza aleatoriamente al 20% de los cargos en disputa.</w:t>
      </w:r>
    </w:p>
    <w:p w:rsidR="00A256AB" w:rsidRPr="00A85D78" w:rsidRDefault="00A256AB" w:rsidP="00A256AB">
      <w:pPr>
        <w:pStyle w:val="Prrafodelista"/>
        <w:tabs>
          <w:tab w:val="left" w:pos="5070"/>
        </w:tabs>
        <w:jc w:val="both"/>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Notificar a los partidos políticos del procedimiento de recepción, revisión y dictaminación del informe de precampaña</w:t>
      </w:r>
      <w:r w:rsidR="001424EC" w:rsidRPr="00A85D78">
        <w:rPr>
          <w:rFonts w:ascii="Arial" w:hAnsi="Arial" w:cs="Arial"/>
          <w:sz w:val="24"/>
          <w:szCs w:val="24"/>
        </w:rPr>
        <w:t>,</w:t>
      </w:r>
      <w:r w:rsidRPr="00A85D78">
        <w:rPr>
          <w:rFonts w:ascii="Arial" w:hAnsi="Arial" w:cs="Arial"/>
          <w:sz w:val="24"/>
          <w:szCs w:val="24"/>
        </w:rPr>
        <w:t xml:space="preserve"> mediante oficio firmado por el Titular del Órgano Técnico de Fiscalización, se revisarían entre otros, los ingresos y egresos reportados por los partidos políticos en sus Informes de ingresos y gastos de campaña 2009. </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Los partidos políticos presentan los informes de campaña de sus candidatos ante el Órgano Técnico de Fiscalización del IEEM, en un plazo de hasta 3 meses después de la culminación de las campañas. El informe de cada una de las campañas para Gobernador, Diputados Locales y Ayuntamientos, contendrán los siguientes formatos: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Informe de campaña sobre el origen y destino de los recursos de los partidos políticos</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Control de folios de los recibos de los militantes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de montos aportados por los militantes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Control de folios de los recibos de simpatizantes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de montos aportados por los simpatizantes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de ingresos obtenidos por autofinanciamiento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Control de eventos de colectas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de ingresos obtenidos por rendimientos financieros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de las transferencias realizadas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Control de folios de recibos de reconocimientos por actividades políticas</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Detalle de montos otorgados a cada persona de reconocimientos por actividades políticas</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Relación detallada de promocionales en prensa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Detalle por proveedor de promocionales en prensa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Propaganda contratada en páginas de Internet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Altas de Activo Fijo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Bajas de Activo Fijo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 xml:space="preserve">Inventario de Activo Fijo </w:t>
      </w:r>
    </w:p>
    <w:p w:rsidR="00A256AB" w:rsidRPr="00A85D78" w:rsidRDefault="00A256AB" w:rsidP="00A256AB">
      <w:pPr>
        <w:pStyle w:val="Prrafodelista"/>
        <w:numPr>
          <w:ilvl w:val="0"/>
          <w:numId w:val="14"/>
        </w:numPr>
        <w:tabs>
          <w:tab w:val="left" w:pos="5070"/>
        </w:tabs>
        <w:jc w:val="both"/>
        <w:rPr>
          <w:rFonts w:ascii="Arial" w:hAnsi="Arial" w:cs="Arial"/>
          <w:sz w:val="24"/>
          <w:szCs w:val="24"/>
        </w:rPr>
      </w:pPr>
      <w:r w:rsidRPr="00A85D78">
        <w:rPr>
          <w:rFonts w:ascii="Arial" w:hAnsi="Arial" w:cs="Arial"/>
          <w:sz w:val="24"/>
          <w:szCs w:val="24"/>
        </w:rPr>
        <w:t>Carta en la que expresa no haber recibido financiamiento según lo establecen los artículos 58 fracción I último párrafo y 60 del Código.</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El Órgano Técnico de Fiscalización tiene un periodo de 56 días para revisar los informes presentados por los partidos políticos en una revisión denominada preliminar.</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jc w:val="both"/>
        <w:rPr>
          <w:rFonts w:ascii="Arial" w:hAnsi="Arial" w:cs="Arial"/>
          <w:sz w:val="24"/>
          <w:szCs w:val="24"/>
        </w:rPr>
      </w:pPr>
      <w:r w:rsidRPr="00A85D78">
        <w:rPr>
          <w:rFonts w:ascii="Arial" w:hAnsi="Arial" w:cs="Arial"/>
          <w:sz w:val="24"/>
          <w:szCs w:val="24"/>
        </w:rPr>
        <w:lastRenderedPageBreak/>
        <w:t>El Órgano Técnico de Fiscalización notifica a los partidos mediante oficio firmado por el Titular del Órgano Técnico de Fiscalización a los servidores electorales que acudirán a las instalaciones del partido a solicitar información complementaria a los informes presentados, señalando fecha, lugar, objeto de la visita y la obligación del partido político de nombrar testigos de asistencia en la diligencia.</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Los servidores electorales comisionados por el Órgano Técnico de Fiscalización, realizan una revisión de gabinete de la documentación soporte a los informes presentados en las instalaciones del partido político durante 30 días.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 xml:space="preserve">Paralelamente la </w:t>
      </w:r>
      <w:r w:rsidR="00CB7C13" w:rsidRPr="00A85D78">
        <w:rPr>
          <w:rFonts w:ascii="Arial" w:hAnsi="Arial" w:cs="Arial"/>
          <w:sz w:val="24"/>
          <w:szCs w:val="24"/>
        </w:rPr>
        <w:t>S</w:t>
      </w:r>
      <w:r w:rsidRPr="00A85D78">
        <w:rPr>
          <w:rFonts w:ascii="Arial" w:hAnsi="Arial" w:cs="Arial"/>
          <w:sz w:val="24"/>
          <w:szCs w:val="24"/>
        </w:rPr>
        <w:t>ecretar</w:t>
      </w:r>
      <w:r w:rsidR="00272B4A" w:rsidRPr="00A85D78">
        <w:rPr>
          <w:rFonts w:ascii="Arial" w:hAnsi="Arial" w:cs="Arial"/>
          <w:sz w:val="24"/>
          <w:szCs w:val="24"/>
        </w:rPr>
        <w:t>ía</w:t>
      </w:r>
      <w:r w:rsidR="00CB7C13" w:rsidRPr="00A85D78">
        <w:rPr>
          <w:rFonts w:ascii="Arial" w:hAnsi="Arial" w:cs="Arial"/>
          <w:sz w:val="24"/>
          <w:szCs w:val="24"/>
        </w:rPr>
        <w:t xml:space="preserve"> E</w:t>
      </w:r>
      <w:r w:rsidRPr="00A85D78">
        <w:rPr>
          <w:rFonts w:ascii="Arial" w:hAnsi="Arial" w:cs="Arial"/>
          <w:sz w:val="24"/>
          <w:szCs w:val="24"/>
        </w:rPr>
        <w:t xml:space="preserve">jecutiva </w:t>
      </w:r>
      <w:r w:rsidR="00CB7C13" w:rsidRPr="00A85D78">
        <w:rPr>
          <w:rFonts w:ascii="Arial" w:hAnsi="Arial" w:cs="Arial"/>
          <w:sz w:val="24"/>
          <w:szCs w:val="24"/>
        </w:rPr>
        <w:t>G</w:t>
      </w:r>
      <w:r w:rsidRPr="00A85D78">
        <w:rPr>
          <w:rFonts w:ascii="Arial" w:hAnsi="Arial" w:cs="Arial"/>
          <w:sz w:val="24"/>
          <w:szCs w:val="24"/>
        </w:rPr>
        <w:t>eneral elabora oficios de circularización de personas físicas o morales con las que el partido político realizó transacciones, en las que pregunta a los proveedores los montos a los que ascendieron las operaciones celebradas con los partidos políticos durante el periodo de precampaña con el fin de corroborar la veracidad de l</w:t>
      </w:r>
      <w:r w:rsidR="001D32D4">
        <w:rPr>
          <w:rFonts w:ascii="Arial" w:hAnsi="Arial" w:cs="Arial"/>
          <w:sz w:val="24"/>
          <w:szCs w:val="24"/>
        </w:rPr>
        <w:t>a</w:t>
      </w:r>
      <w:r w:rsidRPr="00A85D78">
        <w:rPr>
          <w:rFonts w:ascii="Arial" w:hAnsi="Arial" w:cs="Arial"/>
          <w:sz w:val="24"/>
          <w:szCs w:val="24"/>
        </w:rPr>
        <w:t xml:space="preserve"> información presentada por los partidos.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El Órgano Técnico de Fiscalización, al culminar la revisión de gabinete, tiene un día para elaborar un oficio en donde plasme los errores y omisiones en los que los partidos incurrieron en la presentación de sus informes de precampaña y los notifica al partido político.</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El Partido Político cuenta con un plazo de 43 días para solventar los errores y omisiones detectados por la autoridad electoral. Dentro de este plazo de 43 días, el Órgano Técnico de Fiscalización brinda el derecho de audiencia a los partidos para realizar aclaraciones que consideren pertinentes.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El Órgano Técnico de Fiscalización cuenta con 42 días para revisar las aclaraciones y rectificaciones de los partidos políticos y elabora el dictamen correspondiente en el que deja en claro las irregularidades que el partido pudo solventar y las conductas infractoras que no fueron corregidas, así como la sanción correspondiente y lo turna a la Comisión de Fiscalización para su análisis.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3"/>
        </w:numPr>
        <w:tabs>
          <w:tab w:val="left" w:pos="5070"/>
        </w:tabs>
        <w:jc w:val="both"/>
        <w:rPr>
          <w:rFonts w:ascii="Arial" w:hAnsi="Arial" w:cs="Arial"/>
          <w:sz w:val="24"/>
          <w:szCs w:val="24"/>
        </w:rPr>
      </w:pPr>
      <w:r w:rsidRPr="00A85D78">
        <w:rPr>
          <w:rFonts w:ascii="Arial" w:hAnsi="Arial" w:cs="Arial"/>
          <w:sz w:val="24"/>
          <w:szCs w:val="24"/>
        </w:rPr>
        <w:t xml:space="preserve"> Una vez que la Comisión de Fiscalización del IEEM, aprueba el proyecto de dictamen emitido por el Órgano de Fiscalización lo turna al Consejo General para su aprobación. </w:t>
      </w:r>
    </w:p>
    <w:p w:rsidR="00C234C9" w:rsidRDefault="00C234C9" w:rsidP="00A256AB">
      <w:pPr>
        <w:tabs>
          <w:tab w:val="left" w:pos="5070"/>
        </w:tabs>
        <w:jc w:val="both"/>
        <w:rPr>
          <w:rFonts w:ascii="Arial" w:hAnsi="Arial" w:cs="Arial"/>
          <w:b/>
          <w:sz w:val="24"/>
          <w:szCs w:val="24"/>
        </w:rPr>
      </w:pPr>
    </w:p>
    <w:p w:rsidR="00C234C9" w:rsidRDefault="00C234C9" w:rsidP="00A256AB">
      <w:pPr>
        <w:tabs>
          <w:tab w:val="left" w:pos="5070"/>
        </w:tabs>
        <w:jc w:val="both"/>
        <w:rPr>
          <w:rFonts w:ascii="Arial" w:hAnsi="Arial" w:cs="Arial"/>
          <w:b/>
          <w:sz w:val="24"/>
          <w:szCs w:val="24"/>
        </w:rPr>
      </w:pPr>
    </w:p>
    <w:p w:rsidR="00A256AB" w:rsidRPr="00A85D78" w:rsidRDefault="00A256AB" w:rsidP="00A256AB">
      <w:pPr>
        <w:tabs>
          <w:tab w:val="left" w:pos="5070"/>
        </w:tabs>
        <w:jc w:val="both"/>
        <w:rPr>
          <w:rFonts w:ascii="Arial" w:hAnsi="Arial" w:cs="Arial"/>
          <w:b/>
          <w:sz w:val="24"/>
          <w:szCs w:val="24"/>
        </w:rPr>
      </w:pPr>
      <w:r w:rsidRPr="00A85D78">
        <w:rPr>
          <w:rFonts w:ascii="Arial" w:hAnsi="Arial" w:cs="Arial"/>
          <w:b/>
          <w:sz w:val="24"/>
          <w:szCs w:val="24"/>
        </w:rPr>
        <w:t xml:space="preserve">2.2. Proceso de </w:t>
      </w:r>
      <w:r w:rsidR="003D1A3D">
        <w:rPr>
          <w:rFonts w:ascii="Arial" w:hAnsi="Arial" w:cs="Arial"/>
          <w:b/>
          <w:sz w:val="24"/>
          <w:szCs w:val="24"/>
        </w:rPr>
        <w:t>f</w:t>
      </w:r>
      <w:r w:rsidRPr="00A85D78">
        <w:rPr>
          <w:rFonts w:ascii="Arial" w:hAnsi="Arial" w:cs="Arial"/>
          <w:b/>
          <w:sz w:val="24"/>
          <w:szCs w:val="24"/>
        </w:rPr>
        <w:t>iscalización del Instituto Nacional Electoral.</w:t>
      </w:r>
    </w:p>
    <w:p w:rsidR="00A256AB" w:rsidRDefault="00A256AB" w:rsidP="00C234C9">
      <w:pPr>
        <w:spacing w:line="360" w:lineRule="auto"/>
        <w:jc w:val="both"/>
        <w:rPr>
          <w:rFonts w:ascii="Arial" w:hAnsi="Arial" w:cs="Arial"/>
          <w:sz w:val="24"/>
          <w:szCs w:val="24"/>
        </w:rPr>
      </w:pPr>
      <w:r w:rsidRPr="00A85D78">
        <w:rPr>
          <w:rFonts w:ascii="Arial" w:hAnsi="Arial" w:cs="Arial"/>
          <w:sz w:val="24"/>
          <w:szCs w:val="24"/>
        </w:rPr>
        <w:t xml:space="preserve">El artículo 41, Base V, Apartado B, penúltimo y último párrafos dispone que la fiscalización de las finanzas de los partidos políticos y de las campañas de los candidatos esté a cargo del Consejo General del Instituto Nacional Electoral, </w:t>
      </w:r>
      <w:r w:rsidRPr="00A85D78">
        <w:rPr>
          <w:rFonts w:ascii="Arial" w:hAnsi="Arial" w:cs="Arial"/>
          <w:sz w:val="24"/>
          <w:szCs w:val="24"/>
        </w:rPr>
        <w:lastRenderedPageBreak/>
        <w:t>excepcionalmente el INE podrá delegar la fiscalización en los Organismos Públicos Locales.</w:t>
      </w:r>
      <w:r w:rsidRPr="00A85D78">
        <w:rPr>
          <w:rStyle w:val="Refdenotaalpie"/>
          <w:rFonts w:ascii="Arial" w:hAnsi="Arial" w:cs="Arial"/>
          <w:sz w:val="24"/>
          <w:szCs w:val="24"/>
        </w:rPr>
        <w:footnoteReference w:id="15"/>
      </w:r>
    </w:p>
    <w:p w:rsidR="00ED1899" w:rsidRPr="00A85D78" w:rsidRDefault="00ED1899" w:rsidP="00C234C9">
      <w:pPr>
        <w:spacing w:line="360" w:lineRule="auto"/>
        <w:jc w:val="both"/>
        <w:rPr>
          <w:rFonts w:ascii="Arial" w:hAnsi="Arial" w:cs="Arial"/>
          <w:sz w:val="24"/>
          <w:szCs w:val="24"/>
        </w:rPr>
      </w:pPr>
    </w:p>
    <w:p w:rsidR="00A256AB" w:rsidRDefault="00A256AB" w:rsidP="00C234C9">
      <w:pPr>
        <w:spacing w:line="360" w:lineRule="auto"/>
        <w:jc w:val="both"/>
        <w:rPr>
          <w:rFonts w:ascii="Arial" w:hAnsi="Arial" w:cs="Arial"/>
          <w:sz w:val="24"/>
          <w:szCs w:val="24"/>
        </w:rPr>
      </w:pPr>
      <w:r w:rsidRPr="00A85D78">
        <w:rPr>
          <w:rFonts w:ascii="Arial" w:hAnsi="Arial" w:cs="Arial"/>
          <w:sz w:val="24"/>
          <w:szCs w:val="24"/>
        </w:rPr>
        <w:t>Para llevar a cabo esta nueva atribución el INE, lo hace a través de la Comisión de Fiscalización, la cual funcionará permanentemente y se integrará exclusivamente por Consejeros Electorales designados por el Consejo General, y contará con un Secretario Técnico que será el Titular de la Unidad Técnica de Fiscalización, órgano que fungirá como auxiliar para la revisión de los informes de precampaña y campaña.</w:t>
      </w:r>
      <w:r w:rsidRPr="00A85D78">
        <w:rPr>
          <w:rStyle w:val="Refdenotaalpie"/>
          <w:rFonts w:ascii="Arial" w:hAnsi="Arial" w:cs="Arial"/>
          <w:sz w:val="24"/>
          <w:szCs w:val="24"/>
        </w:rPr>
        <w:footnoteReference w:id="16"/>
      </w:r>
    </w:p>
    <w:p w:rsidR="00ED1899" w:rsidRPr="00A85D78" w:rsidRDefault="00ED1899" w:rsidP="00C234C9">
      <w:pPr>
        <w:spacing w:line="360" w:lineRule="auto"/>
        <w:jc w:val="both"/>
        <w:rPr>
          <w:rFonts w:ascii="Arial" w:hAnsi="Arial" w:cs="Arial"/>
          <w:sz w:val="24"/>
          <w:szCs w:val="24"/>
        </w:rPr>
      </w:pPr>
    </w:p>
    <w:p w:rsidR="00ED1899" w:rsidRPr="00A85D78" w:rsidRDefault="00A256AB" w:rsidP="00C234C9">
      <w:pPr>
        <w:spacing w:line="360" w:lineRule="auto"/>
        <w:jc w:val="both"/>
        <w:rPr>
          <w:rFonts w:ascii="Arial" w:hAnsi="Arial" w:cs="Arial"/>
          <w:sz w:val="24"/>
          <w:szCs w:val="24"/>
        </w:rPr>
      </w:pPr>
      <w:r w:rsidRPr="00A85D78">
        <w:rPr>
          <w:rFonts w:ascii="Arial" w:hAnsi="Arial" w:cs="Arial"/>
          <w:sz w:val="24"/>
          <w:szCs w:val="24"/>
        </w:rPr>
        <w:t>Para hacer oficial este hecho el Consejo General del INE, en sesión extraordinaria del 09 de julio de 2014; aprobó mediante el Punto SEGUNDO, inciso b), fracción IX correspondiente al Acuerdo INE/CG93/2014, que los Informes de Precampaña y Campaña atinentes a los comicios locales que se celebren en 2015, serán competencia de la Unidad Técnica de Fiscalización.</w:t>
      </w:r>
    </w:p>
    <w:p w:rsidR="00A256AB" w:rsidRDefault="00A256AB" w:rsidP="00C234C9">
      <w:pPr>
        <w:spacing w:line="360" w:lineRule="auto"/>
        <w:jc w:val="both"/>
        <w:rPr>
          <w:rFonts w:ascii="Arial" w:hAnsi="Arial" w:cs="Arial"/>
          <w:sz w:val="24"/>
          <w:szCs w:val="24"/>
        </w:rPr>
      </w:pPr>
      <w:r w:rsidRPr="00A85D78">
        <w:rPr>
          <w:rFonts w:ascii="Arial" w:hAnsi="Arial" w:cs="Arial"/>
          <w:sz w:val="24"/>
          <w:szCs w:val="24"/>
        </w:rPr>
        <w:t>De la misma forma el artículo 196, numeral 1 de la Ley General de Instituciones y Procedimientos Electorales, la Unidad Técnica de Fiscalización es el órgano que tiene a su cargo la recepción y revisión integral de los informes que presenten los partidos políticos respecto del origen, monto, destino y aplicación de los recursos que reciban por cualquier tipo de financiamiento, así como investigar lo relacionado con las quejas y procedimientos oficiosos en materia de rendición de cuentas de los entes fiscalizables.</w:t>
      </w:r>
    </w:p>
    <w:p w:rsidR="00ED1899" w:rsidRPr="00A85D78" w:rsidRDefault="00ED1899" w:rsidP="00C234C9">
      <w:pPr>
        <w:spacing w:line="360" w:lineRule="auto"/>
        <w:jc w:val="both"/>
        <w:rPr>
          <w:rFonts w:ascii="Arial" w:hAnsi="Arial" w:cs="Arial"/>
          <w:sz w:val="24"/>
          <w:szCs w:val="24"/>
        </w:rPr>
      </w:pPr>
    </w:p>
    <w:p w:rsidR="00A256AB" w:rsidRPr="00A85D78" w:rsidRDefault="00A256AB" w:rsidP="00C234C9">
      <w:pPr>
        <w:spacing w:line="360" w:lineRule="auto"/>
        <w:jc w:val="both"/>
        <w:rPr>
          <w:rFonts w:ascii="Arial" w:hAnsi="Arial" w:cs="Arial"/>
          <w:sz w:val="24"/>
          <w:szCs w:val="24"/>
        </w:rPr>
      </w:pPr>
      <w:r w:rsidRPr="00A85D78">
        <w:rPr>
          <w:rFonts w:ascii="Arial" w:hAnsi="Arial" w:cs="Arial"/>
          <w:sz w:val="24"/>
          <w:szCs w:val="24"/>
        </w:rPr>
        <w:t>La fiscalización de los recursos de precampaña y campaña del proceso electoral 2015 se realizarían bajo los preceptos de las nuevas leyes aprobadas en la materia tales como lo son La Ley General de Instituciones y Procedimientos Electorales; La Ley General de Partidos Políticos y del Reglamento de Fiscalización.</w:t>
      </w:r>
    </w:p>
    <w:p w:rsidR="00A256AB" w:rsidRDefault="00A256AB" w:rsidP="00C234C9">
      <w:pPr>
        <w:spacing w:line="360" w:lineRule="auto"/>
        <w:jc w:val="both"/>
        <w:rPr>
          <w:rFonts w:ascii="Arial" w:hAnsi="Arial" w:cs="Arial"/>
          <w:sz w:val="24"/>
          <w:szCs w:val="24"/>
        </w:rPr>
      </w:pPr>
      <w:r w:rsidRPr="00A85D78">
        <w:rPr>
          <w:rFonts w:ascii="Arial" w:hAnsi="Arial" w:cs="Arial"/>
          <w:sz w:val="24"/>
          <w:szCs w:val="24"/>
        </w:rPr>
        <w:lastRenderedPageBreak/>
        <w:t>Este último fue aprobado por el Consejo General del INE, el diecinueve de noviembre de dos mil catorce, mediante Acuerdo INE/CG263/2014; y posteriormente modificado en acatamiento a la sentencia de la Sala Superior del Tribunal Electoral del Poder Judicial de la Federación recaída al recurso de apelación identificado con el número de expediente SUP-RAP-207/2014 y acumulados.</w:t>
      </w:r>
      <w:r w:rsidRPr="00A85D78">
        <w:rPr>
          <w:rStyle w:val="Refdenotaalpie"/>
          <w:rFonts w:ascii="Arial" w:hAnsi="Arial" w:cs="Arial"/>
          <w:sz w:val="24"/>
          <w:szCs w:val="24"/>
        </w:rPr>
        <w:footnoteReference w:id="17"/>
      </w:r>
    </w:p>
    <w:p w:rsidR="00ED1899" w:rsidRPr="00A85D78" w:rsidRDefault="00ED1899" w:rsidP="00C234C9">
      <w:pPr>
        <w:spacing w:line="360" w:lineRule="auto"/>
        <w:jc w:val="both"/>
        <w:rPr>
          <w:rFonts w:ascii="Arial" w:hAnsi="Arial" w:cs="Arial"/>
          <w:sz w:val="24"/>
          <w:szCs w:val="24"/>
        </w:rPr>
      </w:pPr>
    </w:p>
    <w:p w:rsidR="00A256AB" w:rsidRPr="00A85D78" w:rsidRDefault="00A256AB" w:rsidP="00C234C9">
      <w:pPr>
        <w:spacing w:line="360" w:lineRule="auto"/>
        <w:jc w:val="both"/>
        <w:rPr>
          <w:rFonts w:ascii="Arial" w:hAnsi="Arial" w:cs="Arial"/>
          <w:sz w:val="24"/>
          <w:szCs w:val="24"/>
        </w:rPr>
      </w:pPr>
      <w:r w:rsidRPr="00A85D78">
        <w:rPr>
          <w:rFonts w:ascii="Arial" w:hAnsi="Arial" w:cs="Arial"/>
          <w:sz w:val="24"/>
          <w:szCs w:val="24"/>
        </w:rPr>
        <w:t xml:space="preserve">Parte de las novedades que presenta el INE, para la fiscalización de los recursos de precampaña y campaña en el ámbito local es la implementación de un Sistema de Contabilidad en Línea; el cual los partidos, coaliciones, precandidatos y candidatos y los aspirantes y candidatos independientes, estarán obligados a utilizar de conformidad con el artículo 37 del Reglamento de Fiscalización, para registrar sus operaciones como lo estipula el Artículo 39 numeral 3 del ordenamiento antes citado: </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“3. En todo caso, a través del Sistema de Contabilidad en Línea los partidos, coaliciones, aspirantes, precandidatos, candidatos y candidatos independientes deberán cumplir con lo siguiente:</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a) Los registros contables deberán identificar cada operación, relacionándola con la documentación comprobatoria, la cual deberá corresponder con los informes respectivos.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b) Identificar las adquisiciones de activo fijo realizadas, debiendo distinguir entre los adquiridos y los recibidos mediante aportación o donación de un tercero, relacionándolas con la documentación comprobatoria, que permita identificar la fecha de adquisición o alta del bien, sus características físicas, el costo de su adquisición, así como la depreciación o el demérito de su valor en cada año.</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c) Los estados financieros deberán coincidir con los saldos de las cuentas contables a la fecha de su elaboración, balanza de comprobación y auxiliares contables.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d) Deberá garantizar que se asienten correctamente los registros contables.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e) Para los bienes adquiridos por donación o aportación, además de cumplir con los requisitos a que se refieren las fracciones anteriores, deberán llevar un control de dichos bienes, que les permita identificar a los donantes o aportantes.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lastRenderedPageBreak/>
        <w:t>f) Los que establecen las NIF y en particular la NIF B-16.</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g) Reportar la situación presupuestal del gasto devengado o documento equivalente que permita comparar el presupuesto autorizado contra el devengado registrado contablemente respecto del gasto programado, que incluye el gasto de actividades específicas y el relativo a la promoción, capacitación y desarrollo del liderazgo político de las mujeres.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h) Permitir generar, en tiempo real, estados financieros, de ejecución presupuestaria y otra información que coadyuve a la toma de decisiones, a la transparencia, a la programación con base en resultados, a la evaluación y a la rendición de cuentas.</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i) En el libro diario deberán registrar en forma descriptiva todas sus operaciones, siguiendo el orden cronológico en que éstas se efectúen, indicando el movimiento de cargo o abono que a cada una corresponda.</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j) En el libro mayor deberán anotarse los nombres de las cuentas contables a nivel mayor, su saldo del mes inmediato anterior, el total de los movimientos de cargos o abonos a cada cuenta en el mes y su saldo final del mes que se trate.</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k) Las balanzas de comprobación deberán contener los nombres de las cuentas a nivel mayor y las subcuentas que las integran, el saldo al inicio del periodo, el total de los cargos y abonos del mes, así como el saldo final.</w:t>
      </w:r>
    </w:p>
    <w:p w:rsidR="00A256AB" w:rsidRPr="00A85D78" w:rsidRDefault="00A256AB" w:rsidP="00C234C9">
      <w:pPr>
        <w:spacing w:line="360" w:lineRule="auto"/>
        <w:ind w:left="284" w:right="284"/>
        <w:jc w:val="both"/>
        <w:rPr>
          <w:rFonts w:ascii="Arial" w:hAnsi="Arial" w:cs="Arial"/>
        </w:rPr>
      </w:pPr>
      <w:r w:rsidRPr="00A85D78">
        <w:rPr>
          <w:rFonts w:ascii="Arial" w:hAnsi="Arial" w:cs="Arial"/>
        </w:rPr>
        <w:t>l) Los auxiliares contables de las cuentas que integran la contabilidad, deberán contener el saldo inicial del periodo, el detalle por póliza contable o movimiento de todos los cargos o abonos que se hayan efectuado en el mismo periodo, así como su saldo final.</w:t>
      </w:r>
    </w:p>
    <w:p w:rsidR="00A256AB" w:rsidRDefault="00A256AB" w:rsidP="00C234C9">
      <w:pPr>
        <w:spacing w:line="360" w:lineRule="auto"/>
        <w:ind w:left="284" w:right="284"/>
        <w:jc w:val="both"/>
        <w:rPr>
          <w:rFonts w:ascii="Arial" w:hAnsi="Arial" w:cs="Arial"/>
        </w:rPr>
      </w:pPr>
      <w:r w:rsidRPr="00A85D78">
        <w:rPr>
          <w:rFonts w:ascii="Arial" w:hAnsi="Arial" w:cs="Arial"/>
        </w:rPr>
        <w:t>m) Las pólizas contables deberán especificar si son de ingreso, egreso o diario, así como la fecha de elaboración, concepto y la descripción detallada del nombre de las cuentas contables que se afectan.”</w:t>
      </w:r>
    </w:p>
    <w:p w:rsidR="00ED1899" w:rsidRPr="00A85D78" w:rsidRDefault="00ED1899" w:rsidP="00C234C9">
      <w:pPr>
        <w:spacing w:line="360" w:lineRule="auto"/>
        <w:ind w:left="284" w:right="284"/>
        <w:jc w:val="both"/>
        <w:rPr>
          <w:rFonts w:ascii="Arial" w:hAnsi="Arial" w:cs="Arial"/>
        </w:rPr>
      </w:pPr>
    </w:p>
    <w:p w:rsidR="00A256AB" w:rsidRPr="00A85D78" w:rsidRDefault="00A256AB" w:rsidP="00C234C9">
      <w:pPr>
        <w:spacing w:line="360" w:lineRule="auto"/>
        <w:jc w:val="both"/>
        <w:rPr>
          <w:rFonts w:ascii="Arial" w:hAnsi="Arial" w:cs="Arial"/>
          <w:sz w:val="24"/>
          <w:szCs w:val="24"/>
        </w:rPr>
      </w:pPr>
      <w:r w:rsidRPr="00A85D78">
        <w:rPr>
          <w:rFonts w:ascii="Arial" w:hAnsi="Arial" w:cs="Arial"/>
          <w:sz w:val="24"/>
          <w:szCs w:val="24"/>
        </w:rPr>
        <w:t xml:space="preserve">Posteriormente el 25 de </w:t>
      </w:r>
      <w:r w:rsidR="00920E0E" w:rsidRPr="00A85D78">
        <w:rPr>
          <w:rFonts w:ascii="Arial" w:hAnsi="Arial" w:cs="Arial"/>
          <w:sz w:val="24"/>
          <w:szCs w:val="24"/>
        </w:rPr>
        <w:t>febrero</w:t>
      </w:r>
      <w:r w:rsidR="008D6503">
        <w:rPr>
          <w:rFonts w:ascii="Arial" w:hAnsi="Arial" w:cs="Arial"/>
          <w:sz w:val="24"/>
          <w:szCs w:val="24"/>
        </w:rPr>
        <w:t xml:space="preserve"> de 2015</w:t>
      </w:r>
      <w:r w:rsidRPr="00A85D78">
        <w:rPr>
          <w:rFonts w:ascii="Arial" w:hAnsi="Arial" w:cs="Arial"/>
          <w:sz w:val="24"/>
          <w:szCs w:val="24"/>
        </w:rPr>
        <w:t>, mediante acuerdo INE/CG73/2015, se aprueban</w:t>
      </w:r>
      <w:r w:rsidR="00B85415" w:rsidRPr="00A85D78">
        <w:rPr>
          <w:rFonts w:ascii="Arial" w:hAnsi="Arial" w:cs="Arial"/>
          <w:sz w:val="24"/>
          <w:szCs w:val="24"/>
        </w:rPr>
        <w:t xml:space="preserve"> y</w:t>
      </w:r>
      <w:r w:rsidRPr="00A85D78">
        <w:rPr>
          <w:rFonts w:ascii="Arial" w:hAnsi="Arial" w:cs="Arial"/>
          <w:sz w:val="24"/>
          <w:szCs w:val="24"/>
        </w:rPr>
        <w:t xml:space="preserve"> establecen las disposiciones para el registro de las operaciones que deberán cumplir los partidos políticos, coaliciones y candidatos independientes, en la aplicación informática del proceso de campañas electorales del 2015.</w:t>
      </w:r>
    </w:p>
    <w:p w:rsidR="00A256AB" w:rsidRDefault="00A256AB" w:rsidP="00C234C9">
      <w:pPr>
        <w:spacing w:line="360" w:lineRule="auto"/>
        <w:jc w:val="both"/>
        <w:rPr>
          <w:rFonts w:ascii="Arial" w:hAnsi="Arial" w:cs="Arial"/>
          <w:sz w:val="24"/>
          <w:szCs w:val="24"/>
        </w:rPr>
      </w:pPr>
      <w:r w:rsidRPr="00A85D78">
        <w:rPr>
          <w:rFonts w:ascii="Arial" w:hAnsi="Arial" w:cs="Arial"/>
          <w:sz w:val="24"/>
          <w:szCs w:val="24"/>
        </w:rPr>
        <w:t xml:space="preserve">Además el Sistema, permitiría ventajas como el registro de operaciones en tiempo real y la consulta de información pública por parte de la ciudadanía; no obstante a raíz del incumplimiento en la entrega del primer módulo del Sistema por parte de la empresa ganadora de la licitación y su consiguiente recisión; el INE en conjunto con la Universidad Nacional Autónoma de México desarrollaron </w:t>
      </w:r>
      <w:r w:rsidRPr="00A85D78">
        <w:rPr>
          <w:rFonts w:ascii="Arial" w:hAnsi="Arial" w:cs="Arial"/>
          <w:sz w:val="24"/>
          <w:szCs w:val="24"/>
        </w:rPr>
        <w:lastRenderedPageBreak/>
        <w:t>un Sistema emergente,</w:t>
      </w:r>
      <w:r w:rsidRPr="00A85D78">
        <w:rPr>
          <w:rStyle w:val="Refdenotaalpie"/>
          <w:rFonts w:ascii="Arial" w:hAnsi="Arial" w:cs="Arial"/>
          <w:sz w:val="24"/>
          <w:szCs w:val="24"/>
        </w:rPr>
        <w:footnoteReference w:id="18"/>
      </w:r>
      <w:r w:rsidRPr="00A85D78">
        <w:rPr>
          <w:rFonts w:ascii="Arial" w:hAnsi="Arial" w:cs="Arial"/>
          <w:sz w:val="24"/>
          <w:szCs w:val="24"/>
        </w:rPr>
        <w:t xml:space="preserve"> mismo que empezó a ser utilizado hasta ya avanzado el periodo de precampaña, dificultando tanto el proceso de utilización por parte de los partidos políticos, como del propio personal de la Unidad Técnica de Fiscalización; situación que minimiz</w:t>
      </w:r>
      <w:r w:rsidR="00B85415" w:rsidRPr="00A85D78">
        <w:rPr>
          <w:rFonts w:ascii="Arial" w:hAnsi="Arial" w:cs="Arial"/>
          <w:sz w:val="24"/>
          <w:szCs w:val="24"/>
        </w:rPr>
        <w:t>ó</w:t>
      </w:r>
      <w:r w:rsidRPr="00A85D78">
        <w:rPr>
          <w:rFonts w:ascii="Arial" w:hAnsi="Arial" w:cs="Arial"/>
          <w:sz w:val="24"/>
          <w:szCs w:val="24"/>
        </w:rPr>
        <w:t xml:space="preserve"> las “ventajas y facilidades” que dicho Sistema aportaría al proceso de fiscalización.</w:t>
      </w:r>
    </w:p>
    <w:p w:rsidR="00ED1899" w:rsidRPr="00A85D78" w:rsidRDefault="00ED1899" w:rsidP="00C234C9">
      <w:pPr>
        <w:spacing w:line="360" w:lineRule="auto"/>
        <w:jc w:val="both"/>
        <w:rPr>
          <w:rFonts w:ascii="Arial" w:hAnsi="Arial" w:cs="Arial"/>
          <w:sz w:val="24"/>
          <w:szCs w:val="24"/>
        </w:rPr>
      </w:pPr>
    </w:p>
    <w:p w:rsidR="00A256AB" w:rsidRPr="00ED1899" w:rsidRDefault="00ED1899" w:rsidP="00ED1899">
      <w:pPr>
        <w:tabs>
          <w:tab w:val="left" w:pos="6240"/>
        </w:tabs>
        <w:jc w:val="both"/>
        <w:rPr>
          <w:rStyle w:val="Ttulodellibro"/>
          <w:b/>
          <w:i/>
          <w:color w:val="auto"/>
        </w:rPr>
      </w:pPr>
      <w:r w:rsidRPr="00ED1899">
        <w:rPr>
          <w:rStyle w:val="Ttulodellibro"/>
          <w:b/>
          <w:i/>
          <w:color w:val="auto"/>
        </w:rPr>
        <w:t>Figura 4</w:t>
      </w:r>
      <w:r w:rsidR="00A256AB" w:rsidRPr="00ED1899">
        <w:rPr>
          <w:rStyle w:val="Ttulodellibro"/>
          <w:b/>
          <w:i/>
          <w:color w:val="auto"/>
        </w:rPr>
        <w:t>. Elementos de Fiscalización</w:t>
      </w:r>
      <w:r w:rsidRPr="00ED1899">
        <w:rPr>
          <w:rStyle w:val="Ttulodellibro"/>
          <w:b/>
          <w:i/>
          <w:color w:val="auto"/>
        </w:rPr>
        <w:t>.</w:t>
      </w:r>
    </w:p>
    <w:p w:rsidR="00A256AB" w:rsidRPr="00A85D78" w:rsidRDefault="00A256AB" w:rsidP="00A256AB">
      <w:pPr>
        <w:contextualSpacing/>
        <w:jc w:val="both"/>
        <w:rPr>
          <w:rFonts w:ascii="Arial" w:hAnsi="Arial" w:cs="Arial"/>
        </w:rPr>
      </w:pPr>
      <w:r w:rsidRPr="00A85D78">
        <w:rPr>
          <w:rFonts w:ascii="Arial" w:hAnsi="Arial" w:cs="Arial"/>
          <w:noProof/>
          <w:lang w:eastAsia="es-ES"/>
        </w:rPr>
        <w:drawing>
          <wp:anchor distT="0" distB="0" distL="114300" distR="114300" simplePos="0" relativeHeight="251734016" behindDoc="1" locked="0" layoutInCell="1" allowOverlap="1" wp14:anchorId="0603005E" wp14:editId="3C31D3F7">
            <wp:simplePos x="0" y="0"/>
            <wp:positionH relativeFrom="column">
              <wp:posOffset>91440</wp:posOffset>
            </wp:positionH>
            <wp:positionV relativeFrom="paragraph">
              <wp:posOffset>22860</wp:posOffset>
            </wp:positionV>
            <wp:extent cx="5000625" cy="2800350"/>
            <wp:effectExtent l="0" t="0" r="3175" b="6350"/>
            <wp:wrapNone/>
            <wp:docPr id="83" name="Diagrama 8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rsidR="00A256AB" w:rsidRPr="00A85D78" w:rsidRDefault="00A256AB" w:rsidP="00A256AB">
      <w:pPr>
        <w:contextualSpacing/>
        <w:jc w:val="both"/>
        <w:rPr>
          <w:rFonts w:ascii="Arial" w:hAnsi="Arial" w:cs="Arial"/>
        </w:rPr>
      </w:pPr>
    </w:p>
    <w:p w:rsidR="00A256AB" w:rsidRPr="00A85D78" w:rsidRDefault="00A256AB" w:rsidP="00A256AB">
      <w:pPr>
        <w:contextualSpacing/>
        <w:jc w:val="both"/>
        <w:rPr>
          <w:rFonts w:ascii="Arial" w:hAnsi="Arial" w:cs="Arial"/>
        </w:rPr>
      </w:pPr>
    </w:p>
    <w:p w:rsidR="00A256AB" w:rsidRPr="00A85D78" w:rsidRDefault="00A256AB" w:rsidP="00A256AB">
      <w:pPr>
        <w:contextualSpacing/>
        <w:jc w:val="both"/>
        <w:rPr>
          <w:rFonts w:ascii="Arial" w:hAnsi="Arial" w:cs="Arial"/>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16"/>
          <w:szCs w:val="16"/>
        </w:rPr>
      </w:pPr>
    </w:p>
    <w:p w:rsidR="00A256AB" w:rsidRPr="00A85D78" w:rsidRDefault="00A256AB" w:rsidP="00A256AB">
      <w:pPr>
        <w:rPr>
          <w:rFonts w:ascii="Arial" w:hAnsi="Arial" w:cs="Arial"/>
          <w:sz w:val="16"/>
          <w:szCs w:val="16"/>
        </w:rPr>
      </w:pPr>
      <w:r w:rsidRPr="00A85D78">
        <w:rPr>
          <w:rFonts w:ascii="Arial" w:hAnsi="Arial" w:cs="Arial"/>
          <w:sz w:val="16"/>
          <w:szCs w:val="16"/>
        </w:rPr>
        <w:t xml:space="preserve">                          </w:t>
      </w:r>
    </w:p>
    <w:p w:rsidR="00B85415" w:rsidRPr="00A85D78" w:rsidRDefault="00B85415"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ED1899" w:rsidRDefault="00ED1899" w:rsidP="00ED1899">
      <w:pPr>
        <w:contextualSpacing/>
        <w:jc w:val="center"/>
        <w:rPr>
          <w:rFonts w:ascii="Arial" w:hAnsi="Arial" w:cs="Arial"/>
          <w:sz w:val="16"/>
          <w:szCs w:val="16"/>
        </w:rPr>
      </w:pPr>
    </w:p>
    <w:p w:rsidR="00ED1899" w:rsidRPr="00ED1899" w:rsidRDefault="00ED1899" w:rsidP="00ED1899">
      <w:pPr>
        <w:contextualSpacing/>
        <w:jc w:val="center"/>
        <w:rPr>
          <w:rFonts w:ascii="Arial" w:hAnsi="Arial" w:cs="Arial"/>
          <w:i/>
          <w:iCs/>
          <w:sz w:val="16"/>
          <w:szCs w:val="16"/>
        </w:rPr>
      </w:pPr>
      <w:r w:rsidRPr="00ED1899">
        <w:rPr>
          <w:rFonts w:ascii="Arial" w:hAnsi="Arial" w:cs="Arial"/>
          <w:b/>
          <w:bCs/>
          <w:i/>
          <w:iCs/>
          <w:sz w:val="16"/>
          <w:szCs w:val="16"/>
        </w:rPr>
        <w:t>Fuente:</w:t>
      </w:r>
      <w:r w:rsidRPr="00ED1899">
        <w:rPr>
          <w:rFonts w:ascii="Arial" w:hAnsi="Arial" w:cs="Arial"/>
          <w:i/>
          <w:iCs/>
          <w:sz w:val="16"/>
          <w:szCs w:val="16"/>
        </w:rPr>
        <w:t xml:space="preserve"> Elaboración propia.</w:t>
      </w:r>
    </w:p>
    <w:p w:rsidR="00ED1899" w:rsidRDefault="00ED1899" w:rsidP="00A256AB">
      <w:pPr>
        <w:contextualSpacing/>
        <w:jc w:val="both"/>
        <w:rPr>
          <w:rFonts w:ascii="Arial" w:hAnsi="Arial" w:cs="Arial"/>
          <w:sz w:val="24"/>
          <w:szCs w:val="24"/>
        </w:rPr>
      </w:pPr>
    </w:p>
    <w:p w:rsidR="00ED1899" w:rsidRDefault="00ED1899" w:rsidP="00A256AB">
      <w:pPr>
        <w:contextualSpacing/>
        <w:jc w:val="both"/>
        <w:rPr>
          <w:rFonts w:ascii="Arial" w:hAnsi="Arial" w:cs="Arial"/>
          <w:sz w:val="24"/>
          <w:szCs w:val="24"/>
        </w:rPr>
      </w:pPr>
    </w:p>
    <w:p w:rsidR="00A256AB" w:rsidRPr="00A85D78" w:rsidRDefault="00A256AB" w:rsidP="00A256AB">
      <w:pPr>
        <w:contextualSpacing/>
        <w:jc w:val="both"/>
        <w:rPr>
          <w:rFonts w:ascii="Arial" w:hAnsi="Arial" w:cs="Arial"/>
          <w:sz w:val="24"/>
          <w:szCs w:val="24"/>
        </w:rPr>
      </w:pPr>
      <w:r w:rsidRPr="00A85D78">
        <w:rPr>
          <w:rFonts w:ascii="Arial" w:hAnsi="Arial" w:cs="Arial"/>
          <w:sz w:val="24"/>
          <w:szCs w:val="24"/>
        </w:rPr>
        <w:t>La fiscalización a cargo de la Unidad Técnica de Fiscalización consta de siete etapas:</w:t>
      </w:r>
    </w:p>
    <w:p w:rsidR="00A256AB" w:rsidRPr="00A85D78" w:rsidRDefault="00A256AB" w:rsidP="00A256AB">
      <w:pPr>
        <w:contextualSpacing/>
        <w:jc w:val="both"/>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Rendición de cuentas:</w:t>
      </w:r>
      <w:r w:rsidRPr="00A85D78">
        <w:rPr>
          <w:rFonts w:ascii="Arial" w:hAnsi="Arial" w:cs="Arial"/>
          <w:sz w:val="24"/>
          <w:szCs w:val="24"/>
        </w:rPr>
        <w:t xml:space="preserve"> Los partidos políticos y/o coaliciones registran en el Sistema Integral de Fiscalización los ingresos y gastos.</w:t>
      </w:r>
    </w:p>
    <w:p w:rsidR="00A256AB" w:rsidRPr="00A85D78" w:rsidRDefault="00A256AB" w:rsidP="00A256AB">
      <w:pPr>
        <w:pStyle w:val="Prrafodelista"/>
        <w:jc w:val="both"/>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Auditoría:</w:t>
      </w:r>
      <w:r w:rsidRPr="00A85D78">
        <w:rPr>
          <w:rFonts w:ascii="Arial" w:hAnsi="Arial" w:cs="Arial"/>
          <w:sz w:val="24"/>
          <w:szCs w:val="24"/>
        </w:rPr>
        <w:t xml:space="preserve"> la Unidad Técnica de Fiscalización revisa datos reportados y cruza información con proveedores, realiza monitoreo de propaganda electoral en vía pública, medios impresos e internet, visitas a actos y casas de campaña.</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Garantía de audiencia:</w:t>
      </w:r>
      <w:r w:rsidRPr="00A85D78">
        <w:rPr>
          <w:rFonts w:ascii="Arial" w:hAnsi="Arial" w:cs="Arial"/>
          <w:sz w:val="24"/>
          <w:szCs w:val="24"/>
        </w:rPr>
        <w:t xml:space="preserve"> la autoridad notifica observaciones vía oficio de errores y omisiones.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Aclaraciones:</w:t>
      </w:r>
      <w:r w:rsidRPr="00A85D78">
        <w:rPr>
          <w:rFonts w:ascii="Arial" w:hAnsi="Arial" w:cs="Arial"/>
          <w:sz w:val="24"/>
          <w:szCs w:val="24"/>
        </w:rPr>
        <w:t xml:space="preserve"> en esta fase los PP y/o Coaliciones tienen la posibilidad de responder y aclarar las observaciones.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Elaboración y presentación de dictámenes:</w:t>
      </w:r>
      <w:r w:rsidRPr="00A85D78">
        <w:rPr>
          <w:rFonts w:ascii="Arial" w:hAnsi="Arial" w:cs="Arial"/>
          <w:sz w:val="24"/>
          <w:szCs w:val="24"/>
        </w:rPr>
        <w:t xml:space="preserve"> se presentan los dictámenes de la comprobación y verificación de ingresos y egresos de los contendientes.</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Elaboración y presentación de resoluciones:</w:t>
      </w:r>
      <w:r w:rsidRPr="00A85D78">
        <w:rPr>
          <w:rFonts w:ascii="Arial" w:hAnsi="Arial" w:cs="Arial"/>
          <w:sz w:val="24"/>
          <w:szCs w:val="24"/>
        </w:rPr>
        <w:t xml:space="preserve"> se establecen sanciones por las irregularidades detectadas, considerando la conducta, monto involucrado y afectación que produjo la falta.</w:t>
      </w: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numPr>
          <w:ilvl w:val="0"/>
          <w:numId w:val="15"/>
        </w:numPr>
        <w:jc w:val="both"/>
        <w:rPr>
          <w:rFonts w:ascii="Arial" w:hAnsi="Arial" w:cs="Arial"/>
          <w:sz w:val="24"/>
          <w:szCs w:val="24"/>
        </w:rPr>
      </w:pPr>
      <w:r w:rsidRPr="00A85D78">
        <w:rPr>
          <w:rFonts w:ascii="Arial" w:hAnsi="Arial" w:cs="Arial"/>
          <w:i/>
          <w:sz w:val="24"/>
          <w:szCs w:val="24"/>
        </w:rPr>
        <w:t>Quejas en materia de fiscalización:</w:t>
      </w:r>
      <w:r w:rsidRPr="00A85D78">
        <w:rPr>
          <w:rFonts w:ascii="Arial" w:hAnsi="Arial" w:cs="Arial"/>
          <w:sz w:val="24"/>
          <w:szCs w:val="24"/>
        </w:rPr>
        <w:t xml:space="preserve"> la UT recibe e investiga las quejas presentadas sobre la rendición de cuentas de PP y/o Coaliciones. (INE TV, 2017)</w:t>
      </w:r>
    </w:p>
    <w:p w:rsidR="00A256AB" w:rsidRDefault="00A256AB" w:rsidP="00A256AB">
      <w:pPr>
        <w:jc w:val="both"/>
        <w:rPr>
          <w:rFonts w:ascii="Arial" w:hAnsi="Arial" w:cs="Arial"/>
          <w:sz w:val="24"/>
          <w:szCs w:val="24"/>
        </w:rPr>
      </w:pPr>
    </w:p>
    <w:p w:rsidR="00ED1899" w:rsidRPr="00A85D78" w:rsidRDefault="00ED1899" w:rsidP="00A256AB">
      <w:pPr>
        <w:jc w:val="both"/>
        <w:rPr>
          <w:rFonts w:ascii="Arial" w:hAnsi="Arial" w:cs="Arial"/>
          <w:sz w:val="24"/>
          <w:szCs w:val="24"/>
        </w:rPr>
      </w:pPr>
    </w:p>
    <w:p w:rsidR="00A256AB" w:rsidRPr="00A85D78" w:rsidRDefault="00A256AB" w:rsidP="00ED1899">
      <w:pPr>
        <w:tabs>
          <w:tab w:val="left" w:pos="5070"/>
        </w:tabs>
        <w:jc w:val="both"/>
        <w:rPr>
          <w:rFonts w:ascii="Arial" w:hAnsi="Arial" w:cs="Arial"/>
          <w:b/>
          <w:sz w:val="24"/>
          <w:szCs w:val="24"/>
        </w:rPr>
      </w:pPr>
      <w:r w:rsidRPr="00A85D78">
        <w:rPr>
          <w:rFonts w:ascii="Arial" w:hAnsi="Arial" w:cs="Arial"/>
          <w:b/>
          <w:sz w:val="24"/>
          <w:szCs w:val="24"/>
        </w:rPr>
        <w:t xml:space="preserve">2.2.1. Cronogramas de </w:t>
      </w:r>
      <w:r w:rsidR="003D1A3D">
        <w:rPr>
          <w:rFonts w:ascii="Arial" w:hAnsi="Arial" w:cs="Arial"/>
          <w:b/>
          <w:sz w:val="24"/>
          <w:szCs w:val="24"/>
        </w:rPr>
        <w:t>f</w:t>
      </w:r>
      <w:r w:rsidRPr="00A85D78">
        <w:rPr>
          <w:rFonts w:ascii="Arial" w:hAnsi="Arial" w:cs="Arial"/>
          <w:b/>
          <w:sz w:val="24"/>
          <w:szCs w:val="24"/>
        </w:rPr>
        <w:t>iscalización.</w:t>
      </w:r>
    </w:p>
    <w:p w:rsidR="00A256AB" w:rsidRDefault="00A256AB" w:rsidP="00ED1899">
      <w:pPr>
        <w:spacing w:line="360" w:lineRule="auto"/>
        <w:jc w:val="both"/>
        <w:rPr>
          <w:rFonts w:ascii="Arial" w:hAnsi="Arial" w:cs="Arial"/>
          <w:sz w:val="24"/>
          <w:szCs w:val="24"/>
        </w:rPr>
      </w:pPr>
      <w:r w:rsidRPr="00A85D78">
        <w:rPr>
          <w:rFonts w:ascii="Arial" w:hAnsi="Arial" w:cs="Arial"/>
          <w:sz w:val="24"/>
          <w:szCs w:val="24"/>
        </w:rPr>
        <w:t>Una de los objetivos perseguidos por el nuevo modelo de fiscalización fue la reducción de tiempos en la revisión de los informes presentados por los partidos políticos, por lo que los plazos para que los partidos y candidatos presentaran sus informes y los tiempos en que la autoridad revisaría los mismos se acotaron, en la tabla 2.3 podemos observar con claridad esta reducción para el caso de precampañas.</w:t>
      </w:r>
    </w:p>
    <w:p w:rsidR="00ED1899" w:rsidRPr="00A85D78" w:rsidRDefault="00ED1899" w:rsidP="00A256AB">
      <w:pPr>
        <w:jc w:val="both"/>
        <w:rPr>
          <w:rFonts w:ascii="Arial" w:hAnsi="Arial" w:cs="Arial"/>
          <w:sz w:val="24"/>
          <w:szCs w:val="24"/>
        </w:rPr>
      </w:pPr>
    </w:p>
    <w:p w:rsidR="00A256AB" w:rsidRDefault="00A256AB" w:rsidP="009F1C04">
      <w:pPr>
        <w:tabs>
          <w:tab w:val="left" w:pos="5070"/>
        </w:tabs>
        <w:jc w:val="both"/>
        <w:rPr>
          <w:rStyle w:val="Ttulodellibro"/>
          <w:rFonts w:ascii="Arial" w:hAnsi="Arial" w:cs="Arial"/>
          <w:b/>
          <w:i/>
          <w:color w:val="auto"/>
          <w:sz w:val="20"/>
          <w:szCs w:val="20"/>
        </w:rPr>
      </w:pPr>
      <w:r w:rsidRPr="009F1C04">
        <w:rPr>
          <w:rStyle w:val="Ttulodellibro"/>
          <w:rFonts w:ascii="Arial" w:hAnsi="Arial" w:cs="Arial"/>
          <w:b/>
          <w:i/>
          <w:color w:val="auto"/>
          <w:sz w:val="20"/>
          <w:szCs w:val="20"/>
        </w:rPr>
        <w:t>Tabla 2.3 Calendario del proceso de fiscalización de precampaña para Diputados Locales</w:t>
      </w:r>
      <w:r w:rsidR="009F1C04">
        <w:rPr>
          <w:rStyle w:val="Ttulodellibro"/>
          <w:rFonts w:ascii="Arial" w:hAnsi="Arial" w:cs="Arial"/>
          <w:b/>
          <w:i/>
          <w:color w:val="auto"/>
          <w:sz w:val="20"/>
          <w:szCs w:val="20"/>
        </w:rPr>
        <w:t>.</w:t>
      </w:r>
    </w:p>
    <w:p w:rsidR="009F1C04" w:rsidRPr="009F1C04" w:rsidRDefault="009F1C04" w:rsidP="009F1C04">
      <w:pPr>
        <w:tabs>
          <w:tab w:val="left" w:pos="5070"/>
        </w:tabs>
        <w:jc w:val="both"/>
        <w:rPr>
          <w:rStyle w:val="Ttulodellibro"/>
          <w:rFonts w:ascii="Arial" w:hAnsi="Arial" w:cs="Arial"/>
          <w:b/>
          <w:i/>
          <w:color w:val="auto"/>
          <w:sz w:val="20"/>
          <w:szCs w:val="20"/>
        </w:rPr>
      </w:pPr>
    </w:p>
    <w:tbl>
      <w:tblPr>
        <w:tblW w:w="5000" w:type="pct"/>
        <w:tblCellMar>
          <w:left w:w="0" w:type="dxa"/>
          <w:right w:w="0" w:type="dxa"/>
        </w:tblCellMar>
        <w:tblLook w:val="01E0" w:firstRow="1" w:lastRow="1" w:firstColumn="1" w:lastColumn="1" w:noHBand="0" w:noVBand="0"/>
      </w:tblPr>
      <w:tblGrid>
        <w:gridCol w:w="1204"/>
        <w:gridCol w:w="832"/>
        <w:gridCol w:w="1076"/>
        <w:gridCol w:w="963"/>
        <w:gridCol w:w="1009"/>
        <w:gridCol w:w="1148"/>
        <w:gridCol w:w="1176"/>
        <w:gridCol w:w="1080"/>
      </w:tblGrid>
      <w:tr w:rsidR="00A256AB" w:rsidRPr="00A85D78" w:rsidTr="009F1C04">
        <w:trPr>
          <w:trHeight w:hRule="exact" w:val="952"/>
          <w:tblHeader/>
        </w:trPr>
        <w:tc>
          <w:tcPr>
            <w:tcW w:w="71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52"/>
              <w:jc w:val="center"/>
              <w:rPr>
                <w:rFonts w:ascii="Arial" w:eastAsia="Arial" w:hAnsi="Arial" w:cs="Arial"/>
                <w:b/>
                <w:caps/>
                <w:sz w:val="13"/>
                <w:szCs w:val="13"/>
              </w:rPr>
            </w:pPr>
            <w:r w:rsidRPr="00A85D78">
              <w:rPr>
                <w:rFonts w:ascii="Arial" w:eastAsia="Arial" w:hAnsi="Arial" w:cs="Arial"/>
                <w:b/>
                <w:caps/>
                <w:spacing w:val="1"/>
                <w:sz w:val="13"/>
                <w:szCs w:val="13"/>
              </w:rPr>
              <w:t>P</w:t>
            </w:r>
            <w:r w:rsidRPr="00A85D78">
              <w:rPr>
                <w:rFonts w:ascii="Arial" w:eastAsia="Arial" w:hAnsi="Arial" w:cs="Arial"/>
                <w:b/>
                <w:caps/>
                <w:spacing w:val="-1"/>
                <w:sz w:val="13"/>
                <w:szCs w:val="13"/>
              </w:rPr>
              <w:t>e</w:t>
            </w:r>
            <w:r w:rsidRPr="00A85D78">
              <w:rPr>
                <w:rFonts w:ascii="Arial" w:eastAsia="Arial" w:hAnsi="Arial" w:cs="Arial"/>
                <w:b/>
                <w:caps/>
                <w:spacing w:val="1"/>
                <w:sz w:val="13"/>
                <w:szCs w:val="13"/>
              </w:rPr>
              <w:t>r</w:t>
            </w:r>
            <w:r w:rsidRPr="00A85D78">
              <w:rPr>
                <w:rFonts w:ascii="Arial" w:eastAsia="Arial" w:hAnsi="Arial" w:cs="Arial"/>
                <w:b/>
                <w:caps/>
                <w:sz w:val="13"/>
                <w:szCs w:val="13"/>
              </w:rPr>
              <w:t>i</w:t>
            </w:r>
            <w:r w:rsidRPr="00A85D78">
              <w:rPr>
                <w:rFonts w:ascii="Arial" w:eastAsia="Arial" w:hAnsi="Arial" w:cs="Arial"/>
                <w:b/>
                <w:caps/>
                <w:spacing w:val="1"/>
                <w:sz w:val="13"/>
                <w:szCs w:val="13"/>
              </w:rPr>
              <w:t>o</w:t>
            </w:r>
            <w:r w:rsidRPr="00A85D78">
              <w:rPr>
                <w:rFonts w:ascii="Arial" w:eastAsia="Arial" w:hAnsi="Arial" w:cs="Arial"/>
                <w:b/>
                <w:caps/>
                <w:spacing w:val="-1"/>
                <w:sz w:val="13"/>
                <w:szCs w:val="13"/>
              </w:rPr>
              <w:t>d</w:t>
            </w:r>
            <w:r w:rsidR="00995DFE" w:rsidRPr="00A85D78">
              <w:rPr>
                <w:rFonts w:ascii="Arial" w:eastAsia="Arial" w:hAnsi="Arial" w:cs="Arial"/>
                <w:b/>
                <w:caps/>
                <w:spacing w:val="-1"/>
                <w:sz w:val="13"/>
                <w:szCs w:val="13"/>
              </w:rPr>
              <w:t>o</w:t>
            </w:r>
            <w:r w:rsidRPr="00A85D78">
              <w:rPr>
                <w:rFonts w:ascii="Arial" w:eastAsia="Arial" w:hAnsi="Arial" w:cs="Arial"/>
                <w:b/>
                <w:caps/>
                <w:spacing w:val="29"/>
                <w:sz w:val="13"/>
                <w:szCs w:val="13"/>
              </w:rPr>
              <w:t xml:space="preserve"> </w:t>
            </w:r>
            <w:r w:rsidRPr="00A85D78">
              <w:rPr>
                <w:rFonts w:ascii="Arial" w:eastAsia="Arial" w:hAnsi="Arial" w:cs="Arial"/>
                <w:b/>
                <w:caps/>
                <w:spacing w:val="1"/>
                <w:sz w:val="13"/>
                <w:szCs w:val="13"/>
              </w:rPr>
              <w:t>d</w:t>
            </w:r>
            <w:r w:rsidRPr="00A85D78">
              <w:rPr>
                <w:rFonts w:ascii="Arial" w:eastAsia="Arial" w:hAnsi="Arial" w:cs="Arial"/>
                <w:b/>
                <w:caps/>
                <w:sz w:val="13"/>
                <w:szCs w:val="13"/>
              </w:rPr>
              <w:t xml:space="preserve">e </w:t>
            </w:r>
            <w:r w:rsidRPr="00A85D78">
              <w:rPr>
                <w:rFonts w:ascii="Arial" w:eastAsia="Arial" w:hAnsi="Arial" w:cs="Arial"/>
                <w:b/>
                <w:caps/>
                <w:spacing w:val="-1"/>
                <w:sz w:val="13"/>
                <w:szCs w:val="13"/>
              </w:rPr>
              <w:t>p</w:t>
            </w:r>
            <w:r w:rsidRPr="00A85D78">
              <w:rPr>
                <w:rFonts w:ascii="Arial" w:eastAsia="Arial" w:hAnsi="Arial" w:cs="Arial"/>
                <w:b/>
                <w:caps/>
                <w:spacing w:val="1"/>
                <w:sz w:val="13"/>
                <w:szCs w:val="13"/>
              </w:rPr>
              <w:t>r</w:t>
            </w:r>
            <w:r w:rsidRPr="00A85D78">
              <w:rPr>
                <w:rFonts w:ascii="Arial" w:eastAsia="Arial" w:hAnsi="Arial" w:cs="Arial"/>
                <w:b/>
                <w:caps/>
                <w:spacing w:val="-1"/>
                <w:sz w:val="13"/>
                <w:szCs w:val="13"/>
              </w:rPr>
              <w:t>e</w:t>
            </w:r>
            <w:r w:rsidRPr="00A85D78">
              <w:rPr>
                <w:rFonts w:ascii="Arial" w:eastAsia="Arial" w:hAnsi="Arial" w:cs="Arial"/>
                <w:b/>
                <w:caps/>
                <w:spacing w:val="2"/>
                <w:sz w:val="13"/>
                <w:szCs w:val="13"/>
              </w:rPr>
              <w:t>c</w:t>
            </w:r>
            <w:r w:rsidRPr="00A85D78">
              <w:rPr>
                <w:rFonts w:ascii="Arial" w:eastAsia="Arial" w:hAnsi="Arial" w:cs="Arial"/>
                <w:b/>
                <w:caps/>
                <w:spacing w:val="-1"/>
                <w:sz w:val="13"/>
                <w:szCs w:val="13"/>
              </w:rPr>
              <w:t>a</w:t>
            </w:r>
            <w:r w:rsidRPr="00A85D78">
              <w:rPr>
                <w:rFonts w:ascii="Arial" w:eastAsia="Arial" w:hAnsi="Arial" w:cs="Arial"/>
                <w:b/>
                <w:caps/>
                <w:spacing w:val="1"/>
                <w:sz w:val="13"/>
                <w:szCs w:val="13"/>
              </w:rPr>
              <w:t>mp</w:t>
            </w:r>
            <w:r w:rsidRPr="00A85D78">
              <w:rPr>
                <w:rFonts w:ascii="Arial" w:eastAsia="Arial" w:hAnsi="Arial" w:cs="Arial"/>
                <w:b/>
                <w:caps/>
                <w:spacing w:val="-1"/>
                <w:sz w:val="13"/>
                <w:szCs w:val="13"/>
              </w:rPr>
              <w:t>a</w:t>
            </w:r>
            <w:r w:rsidRPr="00A85D78">
              <w:rPr>
                <w:rFonts w:ascii="Arial" w:eastAsia="Arial" w:hAnsi="Arial" w:cs="Arial"/>
                <w:b/>
                <w:caps/>
                <w:spacing w:val="1"/>
                <w:sz w:val="13"/>
                <w:szCs w:val="13"/>
              </w:rPr>
              <w:t>ñ</w:t>
            </w:r>
            <w:r w:rsidRPr="00A85D78">
              <w:rPr>
                <w:rFonts w:ascii="Arial" w:eastAsia="Arial" w:hAnsi="Arial" w:cs="Arial"/>
                <w:b/>
                <w:caps/>
                <w:sz w:val="13"/>
                <w:szCs w:val="13"/>
              </w:rPr>
              <w:t>a</w:t>
            </w:r>
          </w:p>
        </w:tc>
        <w:tc>
          <w:tcPr>
            <w:tcW w:w="49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50"/>
              <w:jc w:val="center"/>
              <w:rPr>
                <w:rFonts w:ascii="Arial" w:eastAsia="Arial" w:hAnsi="Arial" w:cs="Arial"/>
                <w:b/>
                <w:caps/>
                <w:sz w:val="13"/>
                <w:szCs w:val="13"/>
              </w:rPr>
            </w:pPr>
            <w:r w:rsidRPr="00A85D78">
              <w:rPr>
                <w:rFonts w:ascii="Arial" w:eastAsia="Arial" w:hAnsi="Arial" w:cs="Arial"/>
                <w:b/>
                <w:caps/>
                <w:spacing w:val="-1"/>
                <w:sz w:val="13"/>
                <w:szCs w:val="13"/>
              </w:rPr>
              <w:t>F</w:t>
            </w:r>
            <w:r w:rsidRPr="00A85D78">
              <w:rPr>
                <w:rFonts w:ascii="Arial" w:eastAsia="Arial" w:hAnsi="Arial" w:cs="Arial"/>
                <w:b/>
                <w:caps/>
                <w:spacing w:val="2"/>
                <w:sz w:val="13"/>
                <w:szCs w:val="13"/>
              </w:rPr>
              <w:t>e</w:t>
            </w:r>
            <w:r w:rsidRPr="00A85D78">
              <w:rPr>
                <w:rFonts w:ascii="Arial" w:eastAsia="Arial" w:hAnsi="Arial" w:cs="Arial"/>
                <w:b/>
                <w:caps/>
                <w:spacing w:val="-1"/>
                <w:sz w:val="13"/>
                <w:szCs w:val="13"/>
              </w:rPr>
              <w:t>c</w:t>
            </w:r>
            <w:r w:rsidRPr="00A85D78">
              <w:rPr>
                <w:rFonts w:ascii="Arial" w:eastAsia="Arial" w:hAnsi="Arial" w:cs="Arial"/>
                <w:b/>
                <w:caps/>
                <w:spacing w:val="1"/>
                <w:sz w:val="13"/>
                <w:szCs w:val="13"/>
              </w:rPr>
              <w:t>h</w:t>
            </w:r>
            <w:r w:rsidRPr="00A85D78">
              <w:rPr>
                <w:rFonts w:ascii="Arial" w:eastAsia="Arial" w:hAnsi="Arial" w:cs="Arial"/>
                <w:b/>
                <w:caps/>
                <w:sz w:val="13"/>
                <w:szCs w:val="13"/>
              </w:rPr>
              <w:t>a lí</w:t>
            </w:r>
            <w:r w:rsidRPr="00A85D78">
              <w:rPr>
                <w:rFonts w:ascii="Arial" w:eastAsia="Arial" w:hAnsi="Arial" w:cs="Arial"/>
                <w:b/>
                <w:caps/>
                <w:spacing w:val="1"/>
                <w:sz w:val="13"/>
                <w:szCs w:val="13"/>
              </w:rPr>
              <w:t>m</w:t>
            </w:r>
            <w:r w:rsidRPr="00A85D78">
              <w:rPr>
                <w:rFonts w:ascii="Arial" w:eastAsia="Arial" w:hAnsi="Arial" w:cs="Arial"/>
                <w:b/>
                <w:caps/>
                <w:sz w:val="13"/>
                <w:szCs w:val="13"/>
              </w:rPr>
              <w:t>i</w:t>
            </w:r>
            <w:r w:rsidRPr="00A85D78">
              <w:rPr>
                <w:rFonts w:ascii="Arial" w:eastAsia="Arial" w:hAnsi="Arial" w:cs="Arial"/>
                <w:b/>
                <w:caps/>
                <w:spacing w:val="-1"/>
                <w:sz w:val="13"/>
                <w:szCs w:val="13"/>
              </w:rPr>
              <w:t>t</w:t>
            </w:r>
            <w:r w:rsidRPr="00A85D78">
              <w:rPr>
                <w:rFonts w:ascii="Arial" w:eastAsia="Arial" w:hAnsi="Arial" w:cs="Arial"/>
                <w:b/>
                <w:caps/>
                <w:sz w:val="13"/>
                <w:szCs w:val="13"/>
              </w:rPr>
              <w:t xml:space="preserve">e   </w:t>
            </w:r>
            <w:r w:rsidRPr="00A85D78">
              <w:rPr>
                <w:rFonts w:ascii="Arial" w:eastAsia="Arial" w:hAnsi="Arial" w:cs="Arial"/>
                <w:b/>
                <w:caps/>
                <w:spacing w:val="16"/>
                <w:sz w:val="13"/>
                <w:szCs w:val="13"/>
              </w:rPr>
              <w:t xml:space="preserve"> </w:t>
            </w:r>
            <w:r w:rsidRPr="00A85D78">
              <w:rPr>
                <w:rFonts w:ascii="Arial" w:eastAsia="Arial" w:hAnsi="Arial" w:cs="Arial"/>
                <w:b/>
                <w:caps/>
                <w:spacing w:val="-1"/>
                <w:sz w:val="13"/>
                <w:szCs w:val="13"/>
              </w:rPr>
              <w:t>d</w:t>
            </w:r>
            <w:r w:rsidRPr="00A85D78">
              <w:rPr>
                <w:rFonts w:ascii="Arial" w:eastAsia="Arial" w:hAnsi="Arial" w:cs="Arial"/>
                <w:b/>
                <w:caps/>
                <w:sz w:val="13"/>
                <w:szCs w:val="13"/>
              </w:rPr>
              <w:t xml:space="preserve">e </w:t>
            </w:r>
            <w:r w:rsidRPr="00A85D78">
              <w:rPr>
                <w:rFonts w:ascii="Arial" w:eastAsia="Arial" w:hAnsi="Arial" w:cs="Arial"/>
                <w:b/>
                <w:caps/>
                <w:spacing w:val="-1"/>
                <w:sz w:val="13"/>
                <w:szCs w:val="13"/>
              </w:rPr>
              <w:t>e</w:t>
            </w:r>
            <w:r w:rsidRPr="00A85D78">
              <w:rPr>
                <w:rFonts w:ascii="Arial" w:eastAsia="Arial" w:hAnsi="Arial" w:cs="Arial"/>
                <w:b/>
                <w:caps/>
                <w:spacing w:val="1"/>
                <w:sz w:val="13"/>
                <w:szCs w:val="13"/>
              </w:rPr>
              <w:t>n</w:t>
            </w:r>
            <w:r w:rsidRPr="00A85D78">
              <w:rPr>
                <w:rFonts w:ascii="Arial" w:eastAsia="Arial" w:hAnsi="Arial" w:cs="Arial"/>
                <w:b/>
                <w:caps/>
                <w:spacing w:val="-1"/>
                <w:sz w:val="13"/>
                <w:szCs w:val="13"/>
              </w:rPr>
              <w:t>t</w:t>
            </w:r>
            <w:r w:rsidRPr="00A85D78">
              <w:rPr>
                <w:rFonts w:ascii="Arial" w:eastAsia="Arial" w:hAnsi="Arial" w:cs="Arial"/>
                <w:b/>
                <w:caps/>
                <w:spacing w:val="1"/>
                <w:sz w:val="13"/>
                <w:szCs w:val="13"/>
              </w:rPr>
              <w:t>r</w:t>
            </w:r>
            <w:r w:rsidRPr="00A85D78">
              <w:rPr>
                <w:rFonts w:ascii="Arial" w:eastAsia="Arial" w:hAnsi="Arial" w:cs="Arial"/>
                <w:b/>
                <w:caps/>
                <w:spacing w:val="-1"/>
                <w:sz w:val="13"/>
                <w:szCs w:val="13"/>
              </w:rPr>
              <w:t>e</w:t>
            </w:r>
            <w:r w:rsidRPr="00A85D78">
              <w:rPr>
                <w:rFonts w:ascii="Arial" w:eastAsia="Arial" w:hAnsi="Arial" w:cs="Arial"/>
                <w:b/>
                <w:caps/>
                <w:spacing w:val="1"/>
                <w:sz w:val="13"/>
                <w:szCs w:val="13"/>
              </w:rPr>
              <w:t>g</w:t>
            </w:r>
            <w:r w:rsidRPr="00A85D78">
              <w:rPr>
                <w:rFonts w:ascii="Arial" w:eastAsia="Arial" w:hAnsi="Arial" w:cs="Arial"/>
                <w:b/>
                <w:caps/>
                <w:sz w:val="13"/>
                <w:szCs w:val="13"/>
              </w:rPr>
              <w:t xml:space="preserve">a </w:t>
            </w:r>
            <w:r w:rsidRPr="00A85D78">
              <w:rPr>
                <w:rFonts w:ascii="Arial" w:eastAsia="Arial" w:hAnsi="Arial" w:cs="Arial"/>
                <w:b/>
                <w:caps/>
                <w:spacing w:val="-1"/>
                <w:sz w:val="13"/>
                <w:szCs w:val="13"/>
              </w:rPr>
              <w:t>d</w:t>
            </w:r>
            <w:r w:rsidRPr="00A85D78">
              <w:rPr>
                <w:rFonts w:ascii="Arial" w:eastAsia="Arial" w:hAnsi="Arial" w:cs="Arial"/>
                <w:b/>
                <w:caps/>
                <w:sz w:val="13"/>
                <w:szCs w:val="13"/>
              </w:rPr>
              <w:t xml:space="preserve">e       </w:t>
            </w:r>
            <w:r w:rsidRPr="00A85D78">
              <w:rPr>
                <w:rFonts w:ascii="Arial" w:eastAsia="Arial" w:hAnsi="Arial" w:cs="Arial"/>
                <w:b/>
                <w:caps/>
                <w:spacing w:val="23"/>
                <w:sz w:val="13"/>
                <w:szCs w:val="13"/>
              </w:rPr>
              <w:t xml:space="preserve"> </w:t>
            </w:r>
            <w:r w:rsidRPr="00A85D78">
              <w:rPr>
                <w:rFonts w:ascii="Arial" w:eastAsia="Arial" w:hAnsi="Arial" w:cs="Arial"/>
                <w:b/>
                <w:caps/>
                <w:spacing w:val="2"/>
                <w:sz w:val="13"/>
                <w:szCs w:val="13"/>
              </w:rPr>
              <w:t>l</w:t>
            </w:r>
            <w:r w:rsidRPr="00A85D78">
              <w:rPr>
                <w:rFonts w:ascii="Arial" w:eastAsia="Arial" w:hAnsi="Arial" w:cs="Arial"/>
                <w:b/>
                <w:caps/>
                <w:spacing w:val="-1"/>
                <w:sz w:val="13"/>
                <w:szCs w:val="13"/>
              </w:rPr>
              <w:t>o</w:t>
            </w:r>
            <w:r w:rsidRPr="00A85D78">
              <w:rPr>
                <w:rFonts w:ascii="Arial" w:eastAsia="Arial" w:hAnsi="Arial" w:cs="Arial"/>
                <w:b/>
                <w:caps/>
                <w:sz w:val="13"/>
                <w:szCs w:val="13"/>
              </w:rPr>
              <w:t>s informes</w:t>
            </w:r>
          </w:p>
          <w:p w:rsidR="00A256AB" w:rsidRPr="00A85D78" w:rsidRDefault="00A256AB" w:rsidP="003F25EA">
            <w:pPr>
              <w:spacing w:before="2"/>
              <w:ind w:left="58"/>
              <w:jc w:val="center"/>
              <w:rPr>
                <w:rFonts w:ascii="Arial" w:eastAsia="Arial" w:hAnsi="Arial" w:cs="Arial"/>
                <w:b/>
                <w:caps/>
                <w:sz w:val="13"/>
                <w:szCs w:val="13"/>
              </w:rPr>
            </w:pPr>
          </w:p>
        </w:tc>
        <w:tc>
          <w:tcPr>
            <w:tcW w:w="63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47"/>
              <w:jc w:val="center"/>
              <w:rPr>
                <w:rFonts w:ascii="Arial" w:eastAsia="Arial" w:hAnsi="Arial" w:cs="Arial"/>
                <w:b/>
                <w:caps/>
                <w:sz w:val="14"/>
                <w:szCs w:val="14"/>
              </w:rPr>
            </w:pPr>
            <w:r w:rsidRPr="00A85D78">
              <w:rPr>
                <w:rFonts w:ascii="Arial" w:eastAsia="Arial" w:hAnsi="Arial" w:cs="Arial"/>
                <w:b/>
                <w:caps/>
                <w:sz w:val="14"/>
                <w:szCs w:val="14"/>
              </w:rPr>
              <w:t>N</w:t>
            </w:r>
            <w:r w:rsidRPr="00A85D78">
              <w:rPr>
                <w:rFonts w:ascii="Arial" w:eastAsia="Arial" w:hAnsi="Arial" w:cs="Arial"/>
                <w:b/>
                <w:caps/>
                <w:spacing w:val="-1"/>
                <w:sz w:val="14"/>
                <w:szCs w:val="14"/>
              </w:rPr>
              <w:t>ot</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c</w:t>
            </w:r>
            <w:r w:rsidRPr="00A85D78">
              <w:rPr>
                <w:rFonts w:ascii="Arial" w:eastAsia="Arial" w:hAnsi="Arial" w:cs="Arial"/>
                <w:b/>
                <w:caps/>
                <w:spacing w:val="-1"/>
                <w:sz w:val="14"/>
                <w:szCs w:val="14"/>
              </w:rPr>
              <w:t>a</w:t>
            </w:r>
            <w:r w:rsidRPr="00A85D78">
              <w:rPr>
                <w:rFonts w:ascii="Arial" w:eastAsia="Arial" w:hAnsi="Arial" w:cs="Arial"/>
                <w:b/>
                <w:caps/>
                <w:spacing w:val="2"/>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 xml:space="preserve">n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2"/>
                <w:sz w:val="14"/>
                <w:szCs w:val="14"/>
              </w:rPr>
              <w:t>O</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o</w:t>
            </w:r>
            <w:r w:rsidRPr="00A85D78">
              <w:rPr>
                <w:rFonts w:ascii="Arial" w:eastAsia="Arial" w:hAnsi="Arial" w:cs="Arial"/>
                <w:b/>
                <w:caps/>
                <w:sz w:val="14"/>
                <w:szCs w:val="14"/>
              </w:rPr>
              <w:t xml:space="preserve">s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1"/>
                <w:sz w:val="14"/>
                <w:szCs w:val="14"/>
              </w:rPr>
              <w:t>Err</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r</w:t>
            </w:r>
            <w:r w:rsidRPr="00A85D78">
              <w:rPr>
                <w:rFonts w:ascii="Arial" w:eastAsia="Arial" w:hAnsi="Arial" w:cs="Arial"/>
                <w:b/>
                <w:caps/>
                <w:spacing w:val="2"/>
                <w:sz w:val="14"/>
                <w:szCs w:val="14"/>
              </w:rPr>
              <w:t>e</w:t>
            </w:r>
            <w:r w:rsidRPr="00A85D78">
              <w:rPr>
                <w:rFonts w:ascii="Arial" w:eastAsia="Arial" w:hAnsi="Arial" w:cs="Arial"/>
                <w:b/>
                <w:caps/>
                <w:sz w:val="14"/>
                <w:szCs w:val="14"/>
              </w:rPr>
              <w:t>s y O</w:t>
            </w:r>
            <w:r w:rsidRPr="00A85D78">
              <w:rPr>
                <w:rFonts w:ascii="Arial" w:eastAsia="Arial" w:hAnsi="Arial" w:cs="Arial"/>
                <w:b/>
                <w:caps/>
                <w:spacing w:val="1"/>
                <w:sz w:val="14"/>
                <w:szCs w:val="14"/>
              </w:rPr>
              <w:t>m</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n</w:t>
            </w:r>
            <w:r w:rsidRPr="00A85D78">
              <w:rPr>
                <w:rFonts w:ascii="Arial" w:eastAsia="Arial" w:hAnsi="Arial" w:cs="Arial"/>
                <w:b/>
                <w:caps/>
                <w:spacing w:val="-1"/>
                <w:sz w:val="14"/>
                <w:szCs w:val="14"/>
              </w:rPr>
              <w:t>e</w:t>
            </w:r>
            <w:r w:rsidRPr="00A85D78">
              <w:rPr>
                <w:rFonts w:ascii="Arial" w:eastAsia="Arial" w:hAnsi="Arial" w:cs="Arial"/>
                <w:b/>
                <w:caps/>
                <w:sz w:val="14"/>
                <w:szCs w:val="14"/>
              </w:rPr>
              <w:t>s</w:t>
            </w:r>
          </w:p>
        </w:tc>
        <w:tc>
          <w:tcPr>
            <w:tcW w:w="567"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47"/>
              <w:jc w:val="center"/>
              <w:rPr>
                <w:rFonts w:ascii="Arial" w:eastAsia="Arial" w:hAnsi="Arial" w:cs="Arial"/>
                <w:b/>
                <w:caps/>
                <w:sz w:val="14"/>
                <w:szCs w:val="14"/>
              </w:rPr>
            </w:pPr>
            <w:r w:rsidRPr="00A85D78">
              <w:rPr>
                <w:rFonts w:ascii="Arial" w:eastAsia="Arial" w:hAnsi="Arial" w:cs="Arial"/>
                <w:b/>
                <w:caps/>
                <w:sz w:val="14"/>
                <w:szCs w:val="14"/>
              </w:rPr>
              <w:t>Re</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u</w:t>
            </w:r>
            <w:r w:rsidRPr="00A85D78">
              <w:rPr>
                <w:rFonts w:ascii="Arial" w:eastAsia="Arial" w:hAnsi="Arial" w:cs="Arial"/>
                <w:b/>
                <w:caps/>
                <w:spacing w:val="-1"/>
                <w:sz w:val="14"/>
                <w:szCs w:val="14"/>
              </w:rPr>
              <w:t>e</w:t>
            </w:r>
            <w:r w:rsidRPr="00A85D78">
              <w:rPr>
                <w:rFonts w:ascii="Arial" w:eastAsia="Arial" w:hAnsi="Arial" w:cs="Arial"/>
                <w:b/>
                <w:caps/>
                <w:spacing w:val="2"/>
                <w:sz w:val="14"/>
                <w:szCs w:val="14"/>
              </w:rPr>
              <w:t>s</w:t>
            </w:r>
            <w:r w:rsidRPr="00A85D78">
              <w:rPr>
                <w:rFonts w:ascii="Arial" w:eastAsia="Arial" w:hAnsi="Arial" w:cs="Arial"/>
                <w:b/>
                <w:caps/>
                <w:spacing w:val="-1"/>
                <w:sz w:val="14"/>
                <w:szCs w:val="14"/>
              </w:rPr>
              <w:t>t</w:t>
            </w:r>
            <w:r w:rsidRPr="00A85D78">
              <w:rPr>
                <w:rFonts w:ascii="Arial" w:eastAsia="Arial" w:hAnsi="Arial" w:cs="Arial"/>
                <w:b/>
                <w:caps/>
                <w:sz w:val="14"/>
                <w:szCs w:val="14"/>
              </w:rPr>
              <w:t xml:space="preserve">a a   </w:t>
            </w:r>
            <w:r w:rsidRPr="00A85D78">
              <w:rPr>
                <w:rFonts w:ascii="Arial" w:eastAsia="Arial" w:hAnsi="Arial" w:cs="Arial"/>
                <w:b/>
                <w:caps/>
                <w:spacing w:val="9"/>
                <w:sz w:val="14"/>
                <w:szCs w:val="14"/>
              </w:rPr>
              <w:t xml:space="preserve"> </w:t>
            </w:r>
            <w:r w:rsidRPr="00A85D78">
              <w:rPr>
                <w:rFonts w:ascii="Arial" w:eastAsia="Arial" w:hAnsi="Arial" w:cs="Arial"/>
                <w:b/>
                <w:caps/>
                <w:sz w:val="14"/>
                <w:szCs w:val="14"/>
              </w:rPr>
              <w:t>O</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o</w:t>
            </w:r>
            <w:r w:rsidRPr="00A85D78">
              <w:rPr>
                <w:rFonts w:ascii="Arial" w:eastAsia="Arial" w:hAnsi="Arial" w:cs="Arial"/>
                <w:b/>
                <w:caps/>
                <w:sz w:val="14"/>
                <w:szCs w:val="14"/>
              </w:rPr>
              <w:t xml:space="preserve">s </w:t>
            </w:r>
            <w:r w:rsidRPr="00A85D78">
              <w:rPr>
                <w:rFonts w:ascii="Arial" w:eastAsia="Arial" w:hAnsi="Arial" w:cs="Arial"/>
                <w:b/>
                <w:caps/>
                <w:spacing w:val="-1"/>
                <w:sz w:val="14"/>
                <w:szCs w:val="14"/>
              </w:rPr>
              <w:t>d</w:t>
            </w:r>
            <w:r w:rsidRPr="00A85D78">
              <w:rPr>
                <w:rFonts w:ascii="Arial" w:eastAsia="Arial" w:hAnsi="Arial" w:cs="Arial"/>
                <w:b/>
                <w:caps/>
                <w:sz w:val="14"/>
                <w:szCs w:val="14"/>
              </w:rPr>
              <w:t>e</w:t>
            </w:r>
            <w:r w:rsidRPr="00A85D78">
              <w:rPr>
                <w:rFonts w:ascii="Arial" w:eastAsia="Arial" w:hAnsi="Arial" w:cs="Arial"/>
                <w:b/>
                <w:caps/>
                <w:spacing w:val="14"/>
                <w:sz w:val="14"/>
                <w:szCs w:val="14"/>
              </w:rPr>
              <w:t xml:space="preserve"> </w:t>
            </w:r>
            <w:r w:rsidRPr="00A85D78">
              <w:rPr>
                <w:rFonts w:ascii="Arial" w:eastAsia="Arial" w:hAnsi="Arial" w:cs="Arial"/>
                <w:b/>
                <w:caps/>
                <w:spacing w:val="1"/>
                <w:sz w:val="14"/>
                <w:szCs w:val="14"/>
              </w:rPr>
              <w:t>Err</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r</w:t>
            </w:r>
            <w:r w:rsidRPr="00A85D78">
              <w:rPr>
                <w:rFonts w:ascii="Arial" w:eastAsia="Arial" w:hAnsi="Arial" w:cs="Arial"/>
                <w:b/>
                <w:caps/>
                <w:spacing w:val="2"/>
                <w:sz w:val="14"/>
                <w:szCs w:val="14"/>
              </w:rPr>
              <w:t>e</w:t>
            </w:r>
            <w:r w:rsidRPr="00A85D78">
              <w:rPr>
                <w:rFonts w:ascii="Arial" w:eastAsia="Arial" w:hAnsi="Arial" w:cs="Arial"/>
                <w:b/>
                <w:caps/>
                <w:sz w:val="14"/>
                <w:szCs w:val="14"/>
              </w:rPr>
              <w:t>s y O</w:t>
            </w:r>
            <w:r w:rsidRPr="00A85D78">
              <w:rPr>
                <w:rFonts w:ascii="Arial" w:eastAsia="Arial" w:hAnsi="Arial" w:cs="Arial"/>
                <w:b/>
                <w:caps/>
                <w:spacing w:val="1"/>
                <w:sz w:val="14"/>
                <w:szCs w:val="14"/>
              </w:rPr>
              <w:t>m</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n</w:t>
            </w:r>
            <w:r w:rsidRPr="00A85D78">
              <w:rPr>
                <w:rFonts w:ascii="Arial" w:eastAsia="Arial" w:hAnsi="Arial" w:cs="Arial"/>
                <w:b/>
                <w:caps/>
                <w:spacing w:val="-1"/>
                <w:sz w:val="14"/>
                <w:szCs w:val="14"/>
              </w:rPr>
              <w:t>e</w:t>
            </w:r>
            <w:r w:rsidRPr="00A85D78">
              <w:rPr>
                <w:rFonts w:ascii="Arial" w:eastAsia="Arial" w:hAnsi="Arial" w:cs="Arial"/>
                <w:b/>
                <w:caps/>
                <w:sz w:val="14"/>
                <w:szCs w:val="14"/>
              </w:rPr>
              <w:t>s</w:t>
            </w:r>
          </w:p>
        </w:tc>
        <w:tc>
          <w:tcPr>
            <w:tcW w:w="59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jc w:val="center"/>
              <w:rPr>
                <w:rFonts w:ascii="Arial" w:eastAsia="Arial" w:hAnsi="Arial" w:cs="Arial"/>
                <w:b/>
                <w:caps/>
                <w:sz w:val="14"/>
                <w:szCs w:val="14"/>
              </w:rPr>
            </w:pPr>
            <w:r w:rsidRPr="00A85D78">
              <w:rPr>
                <w:rFonts w:ascii="Arial" w:eastAsia="Arial" w:hAnsi="Arial" w:cs="Arial"/>
                <w:b/>
                <w:caps/>
                <w:sz w:val="14"/>
                <w:szCs w:val="14"/>
              </w:rPr>
              <w:t>Di</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t</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m</w:t>
            </w:r>
            <w:r w:rsidRPr="00A85D78">
              <w:rPr>
                <w:rFonts w:ascii="Arial" w:eastAsia="Arial" w:hAnsi="Arial" w:cs="Arial"/>
                <w:b/>
                <w:caps/>
                <w:spacing w:val="2"/>
                <w:sz w:val="14"/>
                <w:szCs w:val="14"/>
              </w:rPr>
              <w:t>e</w:t>
            </w:r>
            <w:r w:rsidRPr="00A85D78">
              <w:rPr>
                <w:rFonts w:ascii="Arial" w:eastAsia="Arial" w:hAnsi="Arial" w:cs="Arial"/>
                <w:b/>
                <w:caps/>
                <w:sz w:val="14"/>
                <w:szCs w:val="14"/>
              </w:rPr>
              <w:t>n</w:t>
            </w:r>
            <w:r w:rsidRPr="00A85D78">
              <w:rPr>
                <w:rFonts w:ascii="Arial" w:eastAsia="Arial" w:hAnsi="Arial" w:cs="Arial"/>
                <w:b/>
                <w:caps/>
                <w:spacing w:val="4"/>
                <w:sz w:val="14"/>
                <w:szCs w:val="14"/>
              </w:rPr>
              <w:t xml:space="preserve"> </w:t>
            </w:r>
            <w:r w:rsidRPr="00A85D78">
              <w:rPr>
                <w:rFonts w:ascii="Arial" w:eastAsia="Arial" w:hAnsi="Arial" w:cs="Arial"/>
                <w:b/>
                <w:caps/>
                <w:sz w:val="14"/>
                <w:szCs w:val="14"/>
              </w:rPr>
              <w:t>y</w:t>
            </w:r>
          </w:p>
          <w:p w:rsidR="00A256AB" w:rsidRPr="00A85D78" w:rsidRDefault="00A256AB" w:rsidP="003F25EA">
            <w:pPr>
              <w:ind w:left="59"/>
              <w:jc w:val="center"/>
              <w:rPr>
                <w:rFonts w:ascii="Arial" w:eastAsia="Arial" w:hAnsi="Arial" w:cs="Arial"/>
                <w:b/>
                <w:caps/>
                <w:sz w:val="14"/>
                <w:szCs w:val="14"/>
              </w:rPr>
            </w:pPr>
            <w:r w:rsidRPr="00A85D78">
              <w:rPr>
                <w:rFonts w:ascii="Arial" w:eastAsia="Arial" w:hAnsi="Arial" w:cs="Arial"/>
                <w:b/>
                <w:caps/>
                <w:sz w:val="14"/>
                <w:szCs w:val="14"/>
              </w:rPr>
              <w:t>Re</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o</w:t>
            </w:r>
            <w:r w:rsidRPr="00A85D78">
              <w:rPr>
                <w:rFonts w:ascii="Arial" w:eastAsia="Arial" w:hAnsi="Arial" w:cs="Arial"/>
                <w:b/>
                <w:caps/>
                <w:sz w:val="14"/>
                <w:szCs w:val="14"/>
              </w:rPr>
              <w:t>l</w:t>
            </w:r>
            <w:r w:rsidRPr="00A85D78">
              <w:rPr>
                <w:rFonts w:ascii="Arial" w:eastAsia="Arial" w:hAnsi="Arial" w:cs="Arial"/>
                <w:b/>
                <w:caps/>
                <w:spacing w:val="1"/>
                <w:sz w:val="14"/>
                <w:szCs w:val="14"/>
              </w:rPr>
              <w:t>u</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c>
          <w:tcPr>
            <w:tcW w:w="676"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47"/>
              <w:jc w:val="center"/>
              <w:rPr>
                <w:rFonts w:ascii="Arial" w:eastAsia="Arial" w:hAnsi="Arial" w:cs="Arial"/>
                <w:b/>
                <w:caps/>
                <w:sz w:val="14"/>
                <w:szCs w:val="14"/>
              </w:rPr>
            </w:pPr>
            <w:r w:rsidRPr="00A85D78">
              <w:rPr>
                <w:rFonts w:ascii="Arial" w:eastAsia="Arial" w:hAnsi="Arial" w:cs="Arial"/>
                <w:b/>
                <w:caps/>
                <w:sz w:val="14"/>
                <w:szCs w:val="14"/>
              </w:rPr>
              <w:t>A</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ro</w:t>
            </w:r>
            <w:r w:rsidRPr="00A85D78">
              <w:rPr>
                <w:rFonts w:ascii="Arial" w:eastAsia="Arial" w:hAnsi="Arial" w:cs="Arial"/>
                <w:b/>
                <w:caps/>
                <w:spacing w:val="-1"/>
                <w:sz w:val="14"/>
                <w:szCs w:val="14"/>
              </w:rPr>
              <w:t>b</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 xml:space="preserve">n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8"/>
                <w:sz w:val="14"/>
                <w:szCs w:val="14"/>
              </w:rPr>
              <w:t xml:space="preserve"> </w:t>
            </w:r>
            <w:r w:rsidRPr="00A85D78">
              <w:rPr>
                <w:rFonts w:ascii="Arial" w:eastAsia="Arial" w:hAnsi="Arial" w:cs="Arial"/>
                <w:b/>
                <w:caps/>
                <w:spacing w:val="2"/>
                <w:sz w:val="14"/>
                <w:szCs w:val="14"/>
              </w:rPr>
              <w:t>l</w:t>
            </w:r>
            <w:r w:rsidRPr="00A85D78">
              <w:rPr>
                <w:rFonts w:ascii="Arial" w:eastAsia="Arial" w:hAnsi="Arial" w:cs="Arial"/>
                <w:b/>
                <w:caps/>
                <w:sz w:val="14"/>
                <w:szCs w:val="14"/>
              </w:rPr>
              <w:t>a C</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m</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r w:rsidRPr="00A85D78">
              <w:rPr>
                <w:rFonts w:ascii="Arial" w:eastAsia="Arial" w:hAnsi="Arial" w:cs="Arial"/>
                <w:b/>
                <w:caps/>
                <w:spacing w:val="25"/>
                <w:sz w:val="14"/>
                <w:szCs w:val="14"/>
              </w:rPr>
              <w:t xml:space="preserve">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ca</w:t>
            </w:r>
            <w:r w:rsidRPr="00A85D78">
              <w:rPr>
                <w:rFonts w:ascii="Arial" w:eastAsia="Arial" w:hAnsi="Arial" w:cs="Arial"/>
                <w:b/>
                <w:caps/>
                <w:spacing w:val="2"/>
                <w:sz w:val="14"/>
                <w:szCs w:val="14"/>
              </w:rPr>
              <w:t>l</w:t>
            </w:r>
            <w:r w:rsidRPr="00A85D78">
              <w:rPr>
                <w:rFonts w:ascii="Arial" w:eastAsia="Arial" w:hAnsi="Arial" w:cs="Arial"/>
                <w:b/>
                <w:caps/>
                <w:sz w:val="14"/>
                <w:szCs w:val="14"/>
              </w:rPr>
              <w:t>iz</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c>
          <w:tcPr>
            <w:tcW w:w="693"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3F25EA">
            <w:pPr>
              <w:ind w:right="46"/>
              <w:jc w:val="center"/>
              <w:rPr>
                <w:rFonts w:ascii="Arial" w:eastAsia="Arial" w:hAnsi="Arial" w:cs="Arial"/>
                <w:b/>
                <w:caps/>
                <w:sz w:val="14"/>
                <w:szCs w:val="14"/>
              </w:rPr>
            </w:pPr>
            <w:r w:rsidRPr="00A85D78">
              <w:rPr>
                <w:rFonts w:ascii="Arial" w:eastAsia="Arial" w:hAnsi="Arial" w:cs="Arial"/>
                <w:b/>
                <w:caps/>
                <w:spacing w:val="1"/>
                <w:sz w:val="14"/>
                <w:szCs w:val="14"/>
              </w:rPr>
              <w:t>Pr</w:t>
            </w:r>
            <w:r w:rsidRPr="00A85D78">
              <w:rPr>
                <w:rFonts w:ascii="Arial" w:eastAsia="Arial" w:hAnsi="Arial" w:cs="Arial"/>
                <w:b/>
                <w:caps/>
                <w:spacing w:val="-1"/>
                <w:sz w:val="14"/>
                <w:szCs w:val="14"/>
              </w:rPr>
              <w:t>es</w:t>
            </w:r>
            <w:r w:rsidRPr="00A85D78">
              <w:rPr>
                <w:rFonts w:ascii="Arial" w:eastAsia="Arial" w:hAnsi="Arial" w:cs="Arial"/>
                <w:b/>
                <w:caps/>
                <w:spacing w:val="2"/>
                <w:sz w:val="14"/>
                <w:szCs w:val="14"/>
              </w:rPr>
              <w:t>e</w:t>
            </w:r>
            <w:r w:rsidRPr="00A85D78">
              <w:rPr>
                <w:rFonts w:ascii="Arial" w:eastAsia="Arial" w:hAnsi="Arial" w:cs="Arial"/>
                <w:b/>
                <w:caps/>
                <w:spacing w:val="-1"/>
                <w:sz w:val="14"/>
                <w:szCs w:val="14"/>
              </w:rPr>
              <w:t>nt</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 xml:space="preserve">n </w:t>
            </w:r>
            <w:r w:rsidRPr="00A85D78">
              <w:rPr>
                <w:rFonts w:ascii="Arial" w:eastAsia="Arial" w:hAnsi="Arial" w:cs="Arial"/>
                <w:b/>
                <w:caps/>
                <w:spacing w:val="-1"/>
                <w:sz w:val="14"/>
                <w:szCs w:val="14"/>
              </w:rPr>
              <w:t>a</w:t>
            </w:r>
            <w:r w:rsidRPr="00A85D78">
              <w:rPr>
                <w:rFonts w:ascii="Arial" w:eastAsia="Arial" w:hAnsi="Arial" w:cs="Arial"/>
                <w:b/>
                <w:caps/>
                <w:sz w:val="14"/>
                <w:szCs w:val="14"/>
              </w:rPr>
              <w:t xml:space="preserve">l </w:t>
            </w:r>
            <w:r w:rsidRPr="00A85D78">
              <w:rPr>
                <w:rFonts w:ascii="Arial" w:eastAsia="Arial" w:hAnsi="Arial" w:cs="Arial"/>
                <w:b/>
                <w:caps/>
                <w:spacing w:val="3"/>
                <w:sz w:val="14"/>
                <w:szCs w:val="14"/>
              </w:rPr>
              <w:t>C</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n</w:t>
            </w:r>
            <w:r w:rsidRPr="00A85D78">
              <w:rPr>
                <w:rFonts w:ascii="Arial" w:eastAsia="Arial" w:hAnsi="Arial" w:cs="Arial"/>
                <w:b/>
                <w:caps/>
                <w:spacing w:val="-1"/>
                <w:sz w:val="14"/>
                <w:szCs w:val="14"/>
              </w:rPr>
              <w:t>se</w:t>
            </w:r>
            <w:r w:rsidRPr="00A85D78">
              <w:rPr>
                <w:rFonts w:ascii="Arial" w:eastAsia="Arial" w:hAnsi="Arial" w:cs="Arial"/>
                <w:b/>
                <w:caps/>
                <w:spacing w:val="2"/>
                <w:sz w:val="14"/>
                <w:szCs w:val="14"/>
              </w:rPr>
              <w:t>j</w:t>
            </w:r>
            <w:r w:rsidRPr="00A85D78">
              <w:rPr>
                <w:rFonts w:ascii="Arial" w:eastAsia="Arial" w:hAnsi="Arial" w:cs="Arial"/>
                <w:b/>
                <w:caps/>
                <w:sz w:val="14"/>
                <w:szCs w:val="14"/>
              </w:rPr>
              <w:t>o G</w:t>
            </w:r>
            <w:r w:rsidRPr="00A85D78">
              <w:rPr>
                <w:rFonts w:ascii="Arial" w:eastAsia="Arial" w:hAnsi="Arial" w:cs="Arial"/>
                <w:b/>
                <w:caps/>
                <w:spacing w:val="-1"/>
                <w:sz w:val="14"/>
                <w:szCs w:val="14"/>
              </w:rPr>
              <w:t>e</w:t>
            </w:r>
            <w:r w:rsidRPr="00A85D78">
              <w:rPr>
                <w:rFonts w:ascii="Arial" w:eastAsia="Arial" w:hAnsi="Arial" w:cs="Arial"/>
                <w:b/>
                <w:caps/>
                <w:spacing w:val="1"/>
                <w:sz w:val="14"/>
                <w:szCs w:val="14"/>
              </w:rPr>
              <w:t>n</w:t>
            </w:r>
            <w:r w:rsidRPr="00A85D78">
              <w:rPr>
                <w:rFonts w:ascii="Arial" w:eastAsia="Arial" w:hAnsi="Arial" w:cs="Arial"/>
                <w:b/>
                <w:caps/>
                <w:spacing w:val="-1"/>
                <w:sz w:val="14"/>
                <w:szCs w:val="14"/>
              </w:rPr>
              <w:t>e</w:t>
            </w:r>
            <w:r w:rsidRPr="00A85D78">
              <w:rPr>
                <w:rFonts w:ascii="Arial" w:eastAsia="Arial" w:hAnsi="Arial" w:cs="Arial"/>
                <w:b/>
                <w:caps/>
                <w:spacing w:val="1"/>
                <w:sz w:val="14"/>
                <w:szCs w:val="14"/>
              </w:rPr>
              <w:t>r</w:t>
            </w:r>
            <w:r w:rsidRPr="00A85D78">
              <w:rPr>
                <w:rFonts w:ascii="Arial" w:eastAsia="Arial" w:hAnsi="Arial" w:cs="Arial"/>
                <w:b/>
                <w:caps/>
                <w:spacing w:val="-1"/>
                <w:sz w:val="14"/>
                <w:szCs w:val="14"/>
              </w:rPr>
              <w:t>a</w:t>
            </w:r>
            <w:r w:rsidRPr="00A85D78">
              <w:rPr>
                <w:rFonts w:ascii="Arial" w:eastAsia="Arial" w:hAnsi="Arial" w:cs="Arial"/>
                <w:b/>
                <w:caps/>
                <w:sz w:val="14"/>
                <w:szCs w:val="14"/>
              </w:rPr>
              <w:t>l</w:t>
            </w:r>
          </w:p>
        </w:tc>
        <w:tc>
          <w:tcPr>
            <w:tcW w:w="636"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hideMark/>
          </w:tcPr>
          <w:p w:rsidR="00A256AB" w:rsidRPr="00A85D78" w:rsidRDefault="00A256AB" w:rsidP="003F25EA">
            <w:pPr>
              <w:spacing w:before="45"/>
              <w:ind w:left="62" w:right="44"/>
              <w:jc w:val="center"/>
              <w:rPr>
                <w:rFonts w:ascii="Arial" w:eastAsia="Arial" w:hAnsi="Arial" w:cs="Arial"/>
                <w:b/>
                <w:caps/>
                <w:sz w:val="14"/>
                <w:szCs w:val="14"/>
              </w:rPr>
            </w:pPr>
            <w:r w:rsidRPr="00A85D78">
              <w:rPr>
                <w:rFonts w:ascii="Arial" w:eastAsia="Arial" w:hAnsi="Arial" w:cs="Arial"/>
                <w:b/>
                <w:caps/>
                <w:sz w:val="14"/>
                <w:szCs w:val="14"/>
              </w:rPr>
              <w:t>A</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ro</w:t>
            </w:r>
            <w:r w:rsidRPr="00A85D78">
              <w:rPr>
                <w:rFonts w:ascii="Arial" w:eastAsia="Arial" w:hAnsi="Arial" w:cs="Arial"/>
                <w:b/>
                <w:caps/>
                <w:spacing w:val="-1"/>
                <w:sz w:val="14"/>
                <w:szCs w:val="14"/>
              </w:rPr>
              <w:t>b</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 xml:space="preserve">n </w:t>
            </w:r>
            <w:r w:rsidRPr="00A85D78">
              <w:rPr>
                <w:rFonts w:ascii="Arial" w:eastAsia="Arial" w:hAnsi="Arial" w:cs="Arial"/>
                <w:b/>
                <w:caps/>
                <w:spacing w:val="-1"/>
                <w:sz w:val="14"/>
                <w:szCs w:val="14"/>
              </w:rPr>
              <w:t>de</w:t>
            </w:r>
            <w:r w:rsidRPr="00A85D78">
              <w:rPr>
                <w:rFonts w:ascii="Arial" w:eastAsia="Arial" w:hAnsi="Arial" w:cs="Arial"/>
                <w:b/>
                <w:caps/>
                <w:sz w:val="14"/>
                <w:szCs w:val="14"/>
              </w:rPr>
              <w:t xml:space="preserve">l CG </w:t>
            </w:r>
            <w:r w:rsidRPr="00A85D78">
              <w:rPr>
                <w:rFonts w:ascii="Arial" w:eastAsia="Arial" w:hAnsi="Arial" w:cs="Arial"/>
                <w:b/>
                <w:caps/>
                <w:spacing w:val="-1"/>
                <w:sz w:val="14"/>
                <w:szCs w:val="14"/>
              </w:rPr>
              <w:t>pa</w:t>
            </w:r>
            <w:r w:rsidRPr="00A85D78">
              <w:rPr>
                <w:rFonts w:ascii="Arial" w:eastAsia="Arial" w:hAnsi="Arial" w:cs="Arial"/>
                <w:b/>
                <w:caps/>
                <w:spacing w:val="1"/>
                <w:sz w:val="14"/>
                <w:szCs w:val="14"/>
              </w:rPr>
              <w:t>r</w:t>
            </w:r>
            <w:r w:rsidRPr="00A85D78">
              <w:rPr>
                <w:rFonts w:ascii="Arial" w:eastAsia="Arial" w:hAnsi="Arial" w:cs="Arial"/>
                <w:b/>
                <w:caps/>
                <w:sz w:val="14"/>
                <w:szCs w:val="14"/>
              </w:rPr>
              <w:t xml:space="preserve">a       </w:t>
            </w:r>
            <w:r w:rsidRPr="00A85D78">
              <w:rPr>
                <w:rFonts w:ascii="Arial" w:eastAsia="Arial" w:hAnsi="Arial" w:cs="Arial"/>
                <w:b/>
                <w:caps/>
                <w:spacing w:val="8"/>
                <w:sz w:val="14"/>
                <w:szCs w:val="14"/>
              </w:rPr>
              <w:t xml:space="preserve"> </w:t>
            </w:r>
            <w:r w:rsidRPr="00A85D78">
              <w:rPr>
                <w:rFonts w:ascii="Arial" w:eastAsia="Arial" w:hAnsi="Arial" w:cs="Arial"/>
                <w:b/>
                <w:caps/>
                <w:spacing w:val="2"/>
                <w:sz w:val="14"/>
                <w:szCs w:val="14"/>
              </w:rPr>
              <w:t>s</w:t>
            </w:r>
            <w:r w:rsidRPr="00A85D78">
              <w:rPr>
                <w:rFonts w:ascii="Arial" w:eastAsia="Arial" w:hAnsi="Arial" w:cs="Arial"/>
                <w:b/>
                <w:caps/>
                <w:sz w:val="14"/>
                <w:szCs w:val="14"/>
              </w:rPr>
              <w:t xml:space="preserve">u </w:t>
            </w:r>
            <w:r w:rsidRPr="00A85D78">
              <w:rPr>
                <w:rFonts w:ascii="Arial" w:eastAsia="Arial" w:hAnsi="Arial" w:cs="Arial"/>
                <w:b/>
                <w:caps/>
                <w:spacing w:val="-1"/>
                <w:sz w:val="14"/>
                <w:szCs w:val="14"/>
              </w:rPr>
              <w:t>ap</w:t>
            </w:r>
            <w:r w:rsidRPr="00A85D78">
              <w:rPr>
                <w:rFonts w:ascii="Arial" w:eastAsia="Arial" w:hAnsi="Arial" w:cs="Arial"/>
                <w:b/>
                <w:caps/>
                <w:spacing w:val="1"/>
                <w:sz w:val="14"/>
                <w:szCs w:val="14"/>
              </w:rPr>
              <w:t>ro</w:t>
            </w:r>
            <w:r w:rsidRPr="00A85D78">
              <w:rPr>
                <w:rFonts w:ascii="Arial" w:eastAsia="Arial" w:hAnsi="Arial" w:cs="Arial"/>
                <w:b/>
                <w:caps/>
                <w:spacing w:val="-1"/>
                <w:sz w:val="14"/>
                <w:szCs w:val="14"/>
              </w:rPr>
              <w:t>b</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r>
      <w:tr w:rsidR="00A256AB" w:rsidRPr="00A85D78" w:rsidTr="009F1C04">
        <w:trPr>
          <w:trHeight w:hRule="exact" w:val="564"/>
        </w:trPr>
        <w:tc>
          <w:tcPr>
            <w:tcW w:w="710"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spacing w:before="81"/>
              <w:ind w:left="56" w:right="52"/>
              <w:jc w:val="center"/>
              <w:rPr>
                <w:rFonts w:ascii="Arial" w:eastAsia="Arial" w:hAnsi="Arial" w:cs="Arial"/>
                <w:sz w:val="14"/>
                <w:szCs w:val="14"/>
              </w:rPr>
            </w:pPr>
            <w:r w:rsidRPr="00A85D78">
              <w:rPr>
                <w:rFonts w:ascii="Arial" w:hAnsi="Arial" w:cs="Arial"/>
                <w:bCs/>
                <w:sz w:val="14"/>
                <w:szCs w:val="14"/>
              </w:rPr>
              <w:t>No mayor a 23 días</w:t>
            </w:r>
          </w:p>
        </w:tc>
        <w:tc>
          <w:tcPr>
            <w:tcW w:w="490"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34"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5</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567"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7</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594"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9"/>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76"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93"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72 horas</w:t>
            </w:r>
          </w:p>
        </w:tc>
        <w:tc>
          <w:tcPr>
            <w:tcW w:w="636" w:type="pct"/>
            <w:tcBorders>
              <w:top w:val="nil"/>
              <w:left w:val="single" w:sz="6" w:space="0" w:color="000000"/>
              <w:bottom w:val="single" w:sz="6" w:space="0" w:color="000000"/>
              <w:right w:val="single" w:sz="4" w:space="0" w:color="auto"/>
            </w:tcBorders>
            <w:shd w:val="clear" w:color="auto" w:fill="auto"/>
            <w:vAlign w:val="center"/>
            <w:hideMark/>
          </w:tcPr>
          <w:p w:rsidR="00A256AB" w:rsidRPr="00A85D78" w:rsidRDefault="00A256AB" w:rsidP="00A256AB">
            <w:pPr>
              <w:ind w:left="62"/>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r>
    </w:tbl>
    <w:p w:rsidR="00A256AB" w:rsidRPr="00ED1899" w:rsidRDefault="00A256AB" w:rsidP="00A256AB">
      <w:pPr>
        <w:jc w:val="both"/>
        <w:rPr>
          <w:rFonts w:ascii="Arial" w:hAnsi="Arial" w:cs="Arial"/>
          <w:i/>
          <w:iCs/>
          <w:sz w:val="16"/>
          <w:szCs w:val="16"/>
        </w:rPr>
      </w:pPr>
      <w:proofErr w:type="gramStart"/>
      <w:r w:rsidRPr="00ED1899">
        <w:rPr>
          <w:rFonts w:ascii="Arial" w:hAnsi="Arial" w:cs="Arial"/>
          <w:b/>
          <w:bCs/>
          <w:i/>
          <w:iCs/>
          <w:sz w:val="16"/>
          <w:szCs w:val="16"/>
        </w:rPr>
        <w:t>Fuente:</w:t>
      </w:r>
      <w:r w:rsidRPr="00ED1899">
        <w:rPr>
          <w:rFonts w:ascii="Arial" w:hAnsi="Arial" w:cs="Arial"/>
          <w:i/>
          <w:iCs/>
          <w:sz w:val="16"/>
          <w:szCs w:val="16"/>
        </w:rPr>
        <w:t>http://www.ine.mx/archivos2/portal/PartidosPoliticos/Fiscalizacion_y_rendicion_de_cuentas/calendariosFiscalizacion/MEX.html</w:t>
      </w:r>
      <w:proofErr w:type="gramEnd"/>
    </w:p>
    <w:p w:rsidR="00ED1899" w:rsidRPr="00A85D78" w:rsidRDefault="00ED1899" w:rsidP="00A256AB">
      <w:pPr>
        <w:jc w:val="both"/>
        <w:rPr>
          <w:rFonts w:ascii="Arial" w:hAnsi="Arial" w:cs="Arial"/>
          <w:sz w:val="16"/>
          <w:szCs w:val="16"/>
        </w:rPr>
      </w:pPr>
    </w:p>
    <w:p w:rsidR="00A256AB" w:rsidRDefault="00A256AB" w:rsidP="00ED1899">
      <w:pPr>
        <w:spacing w:line="360" w:lineRule="auto"/>
        <w:jc w:val="both"/>
        <w:rPr>
          <w:rFonts w:ascii="Arial" w:hAnsi="Arial" w:cs="Arial"/>
          <w:sz w:val="24"/>
          <w:szCs w:val="24"/>
        </w:rPr>
      </w:pPr>
      <w:r w:rsidRPr="00A85D78">
        <w:rPr>
          <w:rFonts w:ascii="Arial" w:hAnsi="Arial" w:cs="Arial"/>
          <w:sz w:val="24"/>
          <w:szCs w:val="24"/>
        </w:rPr>
        <w:t>En el caso de las precampañas el plazo para que los partidos políticos y sus candidatos presenten los informes de campaña se redujo de 15 a 10 días; mientras que por el contrario los días para la revisión por parte de la autoridad, se incrementaron notablemente pasando de 5 días a 15 días; de la misma forma el tiempo para que los partidos realicen correcciones a las observaciones de la autoridad electoral se incrementaron de 4 a 7 días.</w:t>
      </w:r>
    </w:p>
    <w:p w:rsidR="003705B5" w:rsidRPr="00A85D78" w:rsidRDefault="003705B5" w:rsidP="00ED1899">
      <w:pPr>
        <w:spacing w:line="360" w:lineRule="auto"/>
        <w:jc w:val="both"/>
        <w:rPr>
          <w:rFonts w:ascii="Arial" w:hAnsi="Arial" w:cs="Arial"/>
          <w:sz w:val="24"/>
          <w:szCs w:val="24"/>
        </w:rPr>
      </w:pPr>
    </w:p>
    <w:p w:rsidR="00A256AB" w:rsidRDefault="00A256AB" w:rsidP="00ED1899">
      <w:pPr>
        <w:spacing w:line="360" w:lineRule="auto"/>
        <w:jc w:val="both"/>
        <w:rPr>
          <w:rFonts w:ascii="Arial" w:hAnsi="Arial" w:cs="Arial"/>
          <w:sz w:val="24"/>
          <w:szCs w:val="24"/>
        </w:rPr>
      </w:pPr>
      <w:r w:rsidRPr="00A85D78">
        <w:rPr>
          <w:rFonts w:ascii="Arial" w:hAnsi="Arial" w:cs="Arial"/>
          <w:sz w:val="24"/>
          <w:szCs w:val="24"/>
        </w:rPr>
        <w:t xml:space="preserve">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en lo que respecta a los términos para revisión durante campañas, la reducción de los plazos durante el proceso de fiscalización disminuyo notablemente, este hecho queda de manifiesto en la tabla 3.4</w:t>
      </w:r>
      <w:r w:rsidR="00ED1899">
        <w:rPr>
          <w:rFonts w:ascii="Arial" w:hAnsi="Arial" w:cs="Arial"/>
          <w:sz w:val="24"/>
          <w:szCs w:val="24"/>
        </w:rPr>
        <w:t>.</w:t>
      </w:r>
    </w:p>
    <w:p w:rsidR="00ED1899" w:rsidRPr="00A85D78" w:rsidRDefault="00ED1899" w:rsidP="00ED1899">
      <w:pPr>
        <w:spacing w:line="360" w:lineRule="auto"/>
        <w:jc w:val="both"/>
        <w:rPr>
          <w:rFonts w:ascii="Arial" w:hAnsi="Arial" w:cs="Arial"/>
          <w:sz w:val="24"/>
          <w:szCs w:val="24"/>
        </w:rPr>
      </w:pPr>
    </w:p>
    <w:p w:rsidR="00A256AB" w:rsidRDefault="00A256AB" w:rsidP="009F1C04">
      <w:pPr>
        <w:tabs>
          <w:tab w:val="left" w:pos="5070"/>
        </w:tabs>
        <w:jc w:val="both"/>
        <w:rPr>
          <w:rStyle w:val="Ttulodellibro"/>
          <w:rFonts w:ascii="Arial" w:hAnsi="Arial" w:cs="Arial"/>
          <w:b/>
          <w:i/>
          <w:color w:val="auto"/>
          <w:sz w:val="20"/>
          <w:szCs w:val="20"/>
        </w:rPr>
      </w:pPr>
      <w:r w:rsidRPr="009F1C04">
        <w:rPr>
          <w:rStyle w:val="Ttulodellibro"/>
          <w:rFonts w:ascii="Arial" w:hAnsi="Arial" w:cs="Arial"/>
          <w:b/>
          <w:i/>
          <w:color w:val="auto"/>
          <w:sz w:val="20"/>
          <w:szCs w:val="20"/>
        </w:rPr>
        <w:t>Tabla 2.4 Calendario del proceso de fiscalización de campaña Ayuntamientos y Diputados Locales.</w:t>
      </w:r>
    </w:p>
    <w:p w:rsidR="009F1C04" w:rsidRPr="009F1C04" w:rsidRDefault="009F1C04" w:rsidP="009F1C04">
      <w:pPr>
        <w:tabs>
          <w:tab w:val="left" w:pos="5070"/>
        </w:tabs>
        <w:jc w:val="both"/>
        <w:rPr>
          <w:rStyle w:val="Ttulodellibro"/>
          <w:rFonts w:ascii="Arial" w:hAnsi="Arial" w:cs="Arial"/>
          <w:b/>
          <w:i/>
          <w:color w:val="auto"/>
          <w:sz w:val="20"/>
          <w:szCs w:val="20"/>
        </w:rPr>
      </w:pPr>
    </w:p>
    <w:tbl>
      <w:tblPr>
        <w:tblW w:w="5000" w:type="pct"/>
        <w:tblCellMar>
          <w:left w:w="0" w:type="dxa"/>
          <w:right w:w="0" w:type="dxa"/>
        </w:tblCellMar>
        <w:tblLook w:val="01E0" w:firstRow="1" w:lastRow="1" w:firstColumn="1" w:lastColumn="1" w:noHBand="0" w:noVBand="0"/>
      </w:tblPr>
      <w:tblGrid>
        <w:gridCol w:w="1417"/>
        <w:gridCol w:w="985"/>
        <w:gridCol w:w="1261"/>
        <w:gridCol w:w="1134"/>
        <w:gridCol w:w="1124"/>
        <w:gridCol w:w="1348"/>
        <w:gridCol w:w="1219"/>
      </w:tblGrid>
      <w:tr w:rsidR="00A256AB" w:rsidRPr="00A85D78" w:rsidTr="009F1C04">
        <w:trPr>
          <w:trHeight w:hRule="exact" w:val="733"/>
          <w:tblHeader/>
        </w:trPr>
        <w:tc>
          <w:tcPr>
            <w:tcW w:w="835"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ind w:right="52"/>
              <w:jc w:val="center"/>
              <w:rPr>
                <w:rFonts w:ascii="Arial" w:eastAsia="Arial" w:hAnsi="Arial" w:cs="Arial"/>
                <w:b/>
                <w:caps/>
                <w:sz w:val="14"/>
                <w:szCs w:val="14"/>
              </w:rPr>
            </w:pP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e</w:t>
            </w:r>
            <w:r w:rsidRPr="00A85D78">
              <w:rPr>
                <w:rFonts w:ascii="Arial" w:eastAsia="Arial" w:hAnsi="Arial" w:cs="Arial"/>
                <w:b/>
                <w:caps/>
                <w:spacing w:val="1"/>
                <w:sz w:val="14"/>
                <w:szCs w:val="14"/>
              </w:rPr>
              <w:t>r</w:t>
            </w:r>
            <w:r w:rsidRPr="00A85D78">
              <w:rPr>
                <w:rFonts w:ascii="Arial" w:eastAsia="Arial" w:hAnsi="Arial" w:cs="Arial"/>
                <w:b/>
                <w:caps/>
                <w:sz w:val="14"/>
                <w:szCs w:val="14"/>
              </w:rPr>
              <w:t>i</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o  </w:t>
            </w:r>
            <w:r w:rsidRPr="00A85D78">
              <w:rPr>
                <w:rFonts w:ascii="Arial" w:eastAsia="Arial" w:hAnsi="Arial" w:cs="Arial"/>
                <w:b/>
                <w:caps/>
                <w:spacing w:val="29"/>
                <w:sz w:val="14"/>
                <w:szCs w:val="14"/>
              </w:rPr>
              <w:t xml:space="preserve">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r</w:t>
            </w:r>
            <w:r w:rsidRPr="00A85D78">
              <w:rPr>
                <w:rFonts w:ascii="Arial" w:eastAsia="Arial" w:hAnsi="Arial" w:cs="Arial"/>
                <w:b/>
                <w:caps/>
                <w:spacing w:val="-1"/>
                <w:sz w:val="14"/>
                <w:szCs w:val="14"/>
              </w:rPr>
              <w:t>e</w:t>
            </w:r>
            <w:r w:rsidRPr="00A85D78">
              <w:rPr>
                <w:rFonts w:ascii="Arial" w:eastAsia="Arial" w:hAnsi="Arial" w:cs="Arial"/>
                <w:b/>
                <w:caps/>
                <w:spacing w:val="2"/>
                <w:sz w:val="14"/>
                <w:szCs w:val="14"/>
              </w:rPr>
              <w:t>c</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mp</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ñ</w:t>
            </w:r>
            <w:r w:rsidRPr="00A85D78">
              <w:rPr>
                <w:rFonts w:ascii="Arial" w:eastAsia="Arial" w:hAnsi="Arial" w:cs="Arial"/>
                <w:b/>
                <w:caps/>
                <w:sz w:val="14"/>
                <w:szCs w:val="14"/>
              </w:rPr>
              <w:t>a</w:t>
            </w:r>
          </w:p>
        </w:tc>
        <w:tc>
          <w:tcPr>
            <w:tcW w:w="58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ind w:right="50"/>
              <w:jc w:val="center"/>
              <w:rPr>
                <w:rFonts w:ascii="Arial" w:eastAsia="Arial" w:hAnsi="Arial" w:cs="Arial"/>
                <w:b/>
                <w:caps/>
                <w:spacing w:val="-1"/>
                <w:sz w:val="13"/>
                <w:szCs w:val="13"/>
              </w:rPr>
            </w:pPr>
            <w:r w:rsidRPr="00A85D78">
              <w:rPr>
                <w:rFonts w:ascii="Arial" w:eastAsia="Arial" w:hAnsi="Arial" w:cs="Arial"/>
                <w:b/>
                <w:caps/>
                <w:spacing w:val="-1"/>
                <w:sz w:val="13"/>
                <w:szCs w:val="13"/>
              </w:rPr>
              <w:t>Fecha límite    de entrega de        los informes</w:t>
            </w:r>
          </w:p>
          <w:p w:rsidR="00A256AB" w:rsidRPr="00A85D78" w:rsidRDefault="00A256AB" w:rsidP="00995DFE">
            <w:pPr>
              <w:spacing w:before="2"/>
              <w:ind w:left="58"/>
              <w:jc w:val="center"/>
              <w:rPr>
                <w:rFonts w:ascii="Arial" w:eastAsia="Arial" w:hAnsi="Arial" w:cs="Arial"/>
                <w:b/>
                <w:caps/>
                <w:spacing w:val="-1"/>
                <w:sz w:val="13"/>
                <w:szCs w:val="13"/>
              </w:rPr>
            </w:pPr>
          </w:p>
        </w:tc>
        <w:tc>
          <w:tcPr>
            <w:tcW w:w="743"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ind w:right="47"/>
              <w:jc w:val="center"/>
              <w:rPr>
                <w:rFonts w:ascii="Arial" w:eastAsia="Arial" w:hAnsi="Arial" w:cs="Arial"/>
                <w:b/>
                <w:caps/>
                <w:spacing w:val="-1"/>
                <w:sz w:val="13"/>
                <w:szCs w:val="13"/>
              </w:rPr>
            </w:pPr>
            <w:r w:rsidRPr="00A85D78">
              <w:rPr>
                <w:rFonts w:ascii="Arial" w:eastAsia="Arial" w:hAnsi="Arial" w:cs="Arial"/>
                <w:b/>
                <w:caps/>
                <w:spacing w:val="-1"/>
                <w:sz w:val="13"/>
                <w:szCs w:val="13"/>
              </w:rPr>
              <w:t>Notificación de Oficios de   Errores y Omisiones</w:t>
            </w:r>
          </w:p>
        </w:tc>
        <w:tc>
          <w:tcPr>
            <w:tcW w:w="668"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ind w:right="47"/>
              <w:jc w:val="center"/>
              <w:rPr>
                <w:rFonts w:ascii="Arial" w:eastAsia="Arial" w:hAnsi="Arial" w:cs="Arial"/>
                <w:b/>
                <w:caps/>
                <w:sz w:val="14"/>
                <w:szCs w:val="14"/>
              </w:rPr>
            </w:pPr>
            <w:r w:rsidRPr="00A85D78">
              <w:rPr>
                <w:rFonts w:ascii="Arial" w:eastAsia="Arial" w:hAnsi="Arial" w:cs="Arial"/>
                <w:b/>
                <w:caps/>
                <w:sz w:val="14"/>
                <w:szCs w:val="14"/>
              </w:rPr>
              <w:t>Re</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u</w:t>
            </w:r>
            <w:r w:rsidRPr="00A85D78">
              <w:rPr>
                <w:rFonts w:ascii="Arial" w:eastAsia="Arial" w:hAnsi="Arial" w:cs="Arial"/>
                <w:b/>
                <w:caps/>
                <w:spacing w:val="-1"/>
                <w:sz w:val="14"/>
                <w:szCs w:val="14"/>
              </w:rPr>
              <w:t>e</w:t>
            </w:r>
            <w:r w:rsidRPr="00A85D78">
              <w:rPr>
                <w:rFonts w:ascii="Arial" w:eastAsia="Arial" w:hAnsi="Arial" w:cs="Arial"/>
                <w:b/>
                <w:caps/>
                <w:spacing w:val="2"/>
                <w:sz w:val="14"/>
                <w:szCs w:val="14"/>
              </w:rPr>
              <w:t>s</w:t>
            </w:r>
            <w:r w:rsidRPr="00A85D78">
              <w:rPr>
                <w:rFonts w:ascii="Arial" w:eastAsia="Arial" w:hAnsi="Arial" w:cs="Arial"/>
                <w:b/>
                <w:caps/>
                <w:spacing w:val="-1"/>
                <w:sz w:val="14"/>
                <w:szCs w:val="14"/>
              </w:rPr>
              <w:t>t</w:t>
            </w:r>
            <w:r w:rsidRPr="00A85D78">
              <w:rPr>
                <w:rFonts w:ascii="Arial" w:eastAsia="Arial" w:hAnsi="Arial" w:cs="Arial"/>
                <w:b/>
                <w:caps/>
                <w:sz w:val="14"/>
                <w:szCs w:val="14"/>
              </w:rPr>
              <w:t xml:space="preserve">a a   </w:t>
            </w:r>
            <w:r w:rsidRPr="00A85D78">
              <w:rPr>
                <w:rFonts w:ascii="Arial" w:eastAsia="Arial" w:hAnsi="Arial" w:cs="Arial"/>
                <w:b/>
                <w:caps/>
                <w:spacing w:val="9"/>
                <w:sz w:val="14"/>
                <w:szCs w:val="14"/>
              </w:rPr>
              <w:t xml:space="preserve"> </w:t>
            </w:r>
            <w:r w:rsidRPr="00A85D78">
              <w:rPr>
                <w:rFonts w:ascii="Arial" w:eastAsia="Arial" w:hAnsi="Arial" w:cs="Arial"/>
                <w:b/>
                <w:caps/>
                <w:sz w:val="14"/>
                <w:szCs w:val="14"/>
              </w:rPr>
              <w:t>O</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o</w:t>
            </w:r>
            <w:r w:rsidRPr="00A85D78">
              <w:rPr>
                <w:rFonts w:ascii="Arial" w:eastAsia="Arial" w:hAnsi="Arial" w:cs="Arial"/>
                <w:b/>
                <w:caps/>
                <w:sz w:val="14"/>
                <w:szCs w:val="14"/>
              </w:rPr>
              <w:t xml:space="preserve">s </w:t>
            </w:r>
            <w:r w:rsidRPr="00A85D78">
              <w:rPr>
                <w:rFonts w:ascii="Arial" w:eastAsia="Arial" w:hAnsi="Arial" w:cs="Arial"/>
                <w:b/>
                <w:caps/>
                <w:spacing w:val="-1"/>
                <w:sz w:val="14"/>
                <w:szCs w:val="14"/>
              </w:rPr>
              <w:t>d</w:t>
            </w:r>
            <w:r w:rsidRPr="00A85D78">
              <w:rPr>
                <w:rFonts w:ascii="Arial" w:eastAsia="Arial" w:hAnsi="Arial" w:cs="Arial"/>
                <w:b/>
                <w:caps/>
                <w:sz w:val="14"/>
                <w:szCs w:val="14"/>
              </w:rPr>
              <w:t>e</w:t>
            </w:r>
            <w:r w:rsidRPr="00A85D78">
              <w:rPr>
                <w:rFonts w:ascii="Arial" w:eastAsia="Arial" w:hAnsi="Arial" w:cs="Arial"/>
                <w:b/>
                <w:caps/>
                <w:spacing w:val="14"/>
                <w:sz w:val="14"/>
                <w:szCs w:val="14"/>
              </w:rPr>
              <w:t xml:space="preserve"> </w:t>
            </w:r>
            <w:r w:rsidRPr="00A85D78">
              <w:rPr>
                <w:rFonts w:ascii="Arial" w:eastAsia="Arial" w:hAnsi="Arial" w:cs="Arial"/>
                <w:b/>
                <w:caps/>
                <w:spacing w:val="1"/>
                <w:sz w:val="14"/>
                <w:szCs w:val="14"/>
              </w:rPr>
              <w:t>Err</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r</w:t>
            </w:r>
            <w:r w:rsidRPr="00A85D78">
              <w:rPr>
                <w:rFonts w:ascii="Arial" w:eastAsia="Arial" w:hAnsi="Arial" w:cs="Arial"/>
                <w:b/>
                <w:caps/>
                <w:spacing w:val="2"/>
                <w:sz w:val="14"/>
                <w:szCs w:val="14"/>
              </w:rPr>
              <w:t>e</w:t>
            </w:r>
            <w:r w:rsidRPr="00A85D78">
              <w:rPr>
                <w:rFonts w:ascii="Arial" w:eastAsia="Arial" w:hAnsi="Arial" w:cs="Arial"/>
                <w:b/>
                <w:caps/>
                <w:sz w:val="14"/>
                <w:szCs w:val="14"/>
              </w:rPr>
              <w:t>s y O</w:t>
            </w:r>
            <w:r w:rsidRPr="00A85D78">
              <w:rPr>
                <w:rFonts w:ascii="Arial" w:eastAsia="Arial" w:hAnsi="Arial" w:cs="Arial"/>
                <w:b/>
                <w:caps/>
                <w:spacing w:val="1"/>
                <w:sz w:val="14"/>
                <w:szCs w:val="14"/>
              </w:rPr>
              <w:t>m</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n</w:t>
            </w:r>
            <w:r w:rsidRPr="00A85D78">
              <w:rPr>
                <w:rFonts w:ascii="Arial" w:eastAsia="Arial" w:hAnsi="Arial" w:cs="Arial"/>
                <w:b/>
                <w:caps/>
                <w:spacing w:val="-1"/>
                <w:sz w:val="14"/>
                <w:szCs w:val="14"/>
              </w:rPr>
              <w:t>e</w:t>
            </w:r>
            <w:r w:rsidRPr="00A85D78">
              <w:rPr>
                <w:rFonts w:ascii="Arial" w:eastAsia="Arial" w:hAnsi="Arial" w:cs="Arial"/>
                <w:b/>
                <w:caps/>
                <w:sz w:val="14"/>
                <w:szCs w:val="14"/>
              </w:rPr>
              <w:t>s</w:t>
            </w:r>
          </w:p>
        </w:tc>
        <w:tc>
          <w:tcPr>
            <w:tcW w:w="662"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jc w:val="center"/>
              <w:rPr>
                <w:rFonts w:ascii="Arial" w:eastAsia="Arial" w:hAnsi="Arial" w:cs="Arial"/>
                <w:b/>
                <w:caps/>
                <w:sz w:val="14"/>
                <w:szCs w:val="14"/>
              </w:rPr>
            </w:pPr>
            <w:r w:rsidRPr="00A85D78">
              <w:rPr>
                <w:rFonts w:ascii="Arial" w:eastAsia="Arial" w:hAnsi="Arial" w:cs="Arial"/>
                <w:b/>
                <w:caps/>
                <w:sz w:val="14"/>
                <w:szCs w:val="14"/>
              </w:rPr>
              <w:t>Di</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t</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m</w:t>
            </w:r>
            <w:r w:rsidRPr="00A85D78">
              <w:rPr>
                <w:rFonts w:ascii="Arial" w:eastAsia="Arial" w:hAnsi="Arial" w:cs="Arial"/>
                <w:b/>
                <w:caps/>
                <w:spacing w:val="2"/>
                <w:sz w:val="14"/>
                <w:szCs w:val="14"/>
              </w:rPr>
              <w:t>e</w:t>
            </w:r>
            <w:r w:rsidRPr="00A85D78">
              <w:rPr>
                <w:rFonts w:ascii="Arial" w:eastAsia="Arial" w:hAnsi="Arial" w:cs="Arial"/>
                <w:b/>
                <w:caps/>
                <w:sz w:val="14"/>
                <w:szCs w:val="14"/>
              </w:rPr>
              <w:t>n</w:t>
            </w:r>
            <w:r w:rsidRPr="00A85D78">
              <w:rPr>
                <w:rFonts w:ascii="Arial" w:eastAsia="Arial" w:hAnsi="Arial" w:cs="Arial"/>
                <w:b/>
                <w:caps/>
                <w:spacing w:val="4"/>
                <w:sz w:val="14"/>
                <w:szCs w:val="14"/>
              </w:rPr>
              <w:t xml:space="preserve"> </w:t>
            </w:r>
            <w:r w:rsidRPr="00A85D78">
              <w:rPr>
                <w:rFonts w:ascii="Arial" w:eastAsia="Arial" w:hAnsi="Arial" w:cs="Arial"/>
                <w:b/>
                <w:caps/>
                <w:sz w:val="14"/>
                <w:szCs w:val="14"/>
              </w:rPr>
              <w:t>y</w:t>
            </w:r>
          </w:p>
          <w:p w:rsidR="00A256AB" w:rsidRPr="00A85D78" w:rsidRDefault="00A256AB" w:rsidP="00995DFE">
            <w:pPr>
              <w:ind w:left="59"/>
              <w:jc w:val="center"/>
              <w:rPr>
                <w:rFonts w:ascii="Arial" w:eastAsia="Arial" w:hAnsi="Arial" w:cs="Arial"/>
                <w:b/>
                <w:caps/>
                <w:sz w:val="14"/>
                <w:szCs w:val="14"/>
              </w:rPr>
            </w:pPr>
            <w:r w:rsidRPr="00A85D78">
              <w:rPr>
                <w:rFonts w:ascii="Arial" w:eastAsia="Arial" w:hAnsi="Arial" w:cs="Arial"/>
                <w:b/>
                <w:caps/>
                <w:sz w:val="14"/>
                <w:szCs w:val="14"/>
              </w:rPr>
              <w:t>Re</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o</w:t>
            </w:r>
            <w:r w:rsidRPr="00A85D78">
              <w:rPr>
                <w:rFonts w:ascii="Arial" w:eastAsia="Arial" w:hAnsi="Arial" w:cs="Arial"/>
                <w:b/>
                <w:caps/>
                <w:sz w:val="14"/>
                <w:szCs w:val="14"/>
              </w:rPr>
              <w:t>l</w:t>
            </w:r>
            <w:r w:rsidRPr="00A85D78">
              <w:rPr>
                <w:rFonts w:ascii="Arial" w:eastAsia="Arial" w:hAnsi="Arial" w:cs="Arial"/>
                <w:b/>
                <w:caps/>
                <w:spacing w:val="1"/>
                <w:sz w:val="14"/>
                <w:szCs w:val="14"/>
              </w:rPr>
              <w:t>u</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c>
          <w:tcPr>
            <w:tcW w:w="79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A85D78" w:rsidRDefault="00A256AB" w:rsidP="00995DFE">
            <w:pPr>
              <w:ind w:right="47"/>
              <w:jc w:val="center"/>
              <w:rPr>
                <w:rFonts w:ascii="Arial" w:eastAsia="Arial" w:hAnsi="Arial" w:cs="Arial"/>
                <w:b/>
                <w:caps/>
                <w:sz w:val="14"/>
                <w:szCs w:val="14"/>
              </w:rPr>
            </w:pPr>
            <w:r w:rsidRPr="00A85D78">
              <w:rPr>
                <w:rFonts w:ascii="Arial" w:eastAsia="Arial" w:hAnsi="Arial" w:cs="Arial"/>
                <w:b/>
                <w:caps/>
                <w:sz w:val="14"/>
                <w:szCs w:val="14"/>
              </w:rPr>
              <w:t>A</w:t>
            </w:r>
            <w:r w:rsidRPr="00A85D78">
              <w:rPr>
                <w:rFonts w:ascii="Arial" w:eastAsia="Arial" w:hAnsi="Arial" w:cs="Arial"/>
                <w:b/>
                <w:caps/>
                <w:spacing w:val="-1"/>
                <w:sz w:val="14"/>
                <w:szCs w:val="14"/>
              </w:rPr>
              <w:t>p</w:t>
            </w:r>
            <w:r w:rsidRPr="00A85D78">
              <w:rPr>
                <w:rFonts w:ascii="Arial" w:eastAsia="Arial" w:hAnsi="Arial" w:cs="Arial"/>
                <w:b/>
                <w:caps/>
                <w:spacing w:val="1"/>
                <w:sz w:val="14"/>
                <w:szCs w:val="14"/>
              </w:rPr>
              <w:t>ro</w:t>
            </w:r>
            <w:r w:rsidRPr="00A85D78">
              <w:rPr>
                <w:rFonts w:ascii="Arial" w:eastAsia="Arial" w:hAnsi="Arial" w:cs="Arial"/>
                <w:b/>
                <w:caps/>
                <w:spacing w:val="-1"/>
                <w:sz w:val="14"/>
                <w:szCs w:val="14"/>
              </w:rPr>
              <w:t>b</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 xml:space="preserve">n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8"/>
                <w:sz w:val="14"/>
                <w:szCs w:val="14"/>
              </w:rPr>
              <w:t xml:space="preserve"> </w:t>
            </w:r>
            <w:r w:rsidRPr="00A85D78">
              <w:rPr>
                <w:rFonts w:ascii="Arial" w:eastAsia="Arial" w:hAnsi="Arial" w:cs="Arial"/>
                <w:b/>
                <w:caps/>
                <w:spacing w:val="2"/>
                <w:sz w:val="14"/>
                <w:szCs w:val="14"/>
              </w:rPr>
              <w:t>l</w:t>
            </w:r>
            <w:r w:rsidRPr="00A85D78">
              <w:rPr>
                <w:rFonts w:ascii="Arial" w:eastAsia="Arial" w:hAnsi="Arial" w:cs="Arial"/>
                <w:b/>
                <w:caps/>
                <w:sz w:val="14"/>
                <w:szCs w:val="14"/>
              </w:rPr>
              <w:t>a C</w:t>
            </w:r>
            <w:r w:rsidRPr="00A85D78">
              <w:rPr>
                <w:rFonts w:ascii="Arial" w:eastAsia="Arial" w:hAnsi="Arial" w:cs="Arial"/>
                <w:b/>
                <w:caps/>
                <w:spacing w:val="-1"/>
                <w:sz w:val="14"/>
                <w:szCs w:val="14"/>
              </w:rPr>
              <w:t>o</w:t>
            </w:r>
            <w:r w:rsidRPr="00A85D78">
              <w:rPr>
                <w:rFonts w:ascii="Arial" w:eastAsia="Arial" w:hAnsi="Arial" w:cs="Arial"/>
                <w:b/>
                <w:caps/>
                <w:spacing w:val="1"/>
                <w:sz w:val="14"/>
                <w:szCs w:val="14"/>
              </w:rPr>
              <w:t>m</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r w:rsidRPr="00A85D78">
              <w:rPr>
                <w:rFonts w:ascii="Arial" w:eastAsia="Arial" w:hAnsi="Arial" w:cs="Arial"/>
                <w:b/>
                <w:caps/>
                <w:spacing w:val="25"/>
                <w:sz w:val="14"/>
                <w:szCs w:val="14"/>
              </w:rPr>
              <w:t xml:space="preserve"> </w:t>
            </w:r>
            <w:r w:rsidRPr="00A85D78">
              <w:rPr>
                <w:rFonts w:ascii="Arial" w:eastAsia="Arial" w:hAnsi="Arial" w:cs="Arial"/>
                <w:b/>
                <w:caps/>
                <w:spacing w:val="1"/>
                <w:sz w:val="14"/>
                <w:szCs w:val="14"/>
              </w:rPr>
              <w:t>d</w:t>
            </w:r>
            <w:r w:rsidRPr="00A85D78">
              <w:rPr>
                <w:rFonts w:ascii="Arial" w:eastAsia="Arial" w:hAnsi="Arial" w:cs="Arial"/>
                <w:b/>
                <w:caps/>
                <w:sz w:val="14"/>
                <w:szCs w:val="14"/>
              </w:rPr>
              <w:t xml:space="preserve">e </w:t>
            </w:r>
            <w:r w:rsidRPr="00A85D78">
              <w:rPr>
                <w:rFonts w:ascii="Arial" w:eastAsia="Arial" w:hAnsi="Arial" w:cs="Arial"/>
                <w:b/>
                <w:caps/>
                <w:spacing w:val="-1"/>
                <w:sz w:val="14"/>
                <w:szCs w:val="14"/>
              </w:rPr>
              <w:t>F</w:t>
            </w:r>
            <w:r w:rsidRPr="00A85D78">
              <w:rPr>
                <w:rFonts w:ascii="Arial" w:eastAsia="Arial" w:hAnsi="Arial" w:cs="Arial"/>
                <w:b/>
                <w:caps/>
                <w:sz w:val="14"/>
                <w:szCs w:val="14"/>
              </w:rPr>
              <w:t>i</w:t>
            </w:r>
            <w:r w:rsidRPr="00A85D78">
              <w:rPr>
                <w:rFonts w:ascii="Arial" w:eastAsia="Arial" w:hAnsi="Arial" w:cs="Arial"/>
                <w:b/>
                <w:caps/>
                <w:spacing w:val="1"/>
                <w:sz w:val="14"/>
                <w:szCs w:val="14"/>
              </w:rPr>
              <w:t>s</w:t>
            </w:r>
            <w:r w:rsidRPr="00A85D78">
              <w:rPr>
                <w:rFonts w:ascii="Arial" w:eastAsia="Arial" w:hAnsi="Arial" w:cs="Arial"/>
                <w:b/>
                <w:caps/>
                <w:spacing w:val="-1"/>
                <w:sz w:val="14"/>
                <w:szCs w:val="14"/>
              </w:rPr>
              <w:t>ca</w:t>
            </w:r>
            <w:r w:rsidRPr="00A85D78">
              <w:rPr>
                <w:rFonts w:ascii="Arial" w:eastAsia="Arial" w:hAnsi="Arial" w:cs="Arial"/>
                <w:b/>
                <w:caps/>
                <w:spacing w:val="2"/>
                <w:sz w:val="14"/>
                <w:szCs w:val="14"/>
              </w:rPr>
              <w:t>l</w:t>
            </w:r>
            <w:r w:rsidRPr="00A85D78">
              <w:rPr>
                <w:rFonts w:ascii="Arial" w:eastAsia="Arial" w:hAnsi="Arial" w:cs="Arial"/>
                <w:b/>
                <w:caps/>
                <w:sz w:val="14"/>
                <w:szCs w:val="14"/>
              </w:rPr>
              <w:t>iz</w:t>
            </w:r>
            <w:r w:rsidRPr="00A85D78">
              <w:rPr>
                <w:rFonts w:ascii="Arial" w:eastAsia="Arial" w:hAnsi="Arial" w:cs="Arial"/>
                <w:b/>
                <w:caps/>
                <w:spacing w:val="1"/>
                <w:sz w:val="14"/>
                <w:szCs w:val="14"/>
              </w:rPr>
              <w:t>a</w:t>
            </w:r>
            <w:r w:rsidRPr="00A85D78">
              <w:rPr>
                <w:rFonts w:ascii="Arial" w:eastAsia="Arial" w:hAnsi="Arial" w:cs="Arial"/>
                <w:b/>
                <w:caps/>
                <w:spacing w:val="-1"/>
                <w:sz w:val="14"/>
                <w:szCs w:val="14"/>
              </w:rPr>
              <w:t>c</w:t>
            </w:r>
            <w:r w:rsidRPr="00A85D78">
              <w:rPr>
                <w:rFonts w:ascii="Arial" w:eastAsia="Arial" w:hAnsi="Arial" w:cs="Arial"/>
                <w:b/>
                <w:caps/>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c>
          <w:tcPr>
            <w:tcW w:w="718"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hideMark/>
          </w:tcPr>
          <w:p w:rsidR="00A256AB" w:rsidRPr="00A85D78" w:rsidRDefault="00A256AB" w:rsidP="00995DFE">
            <w:pPr>
              <w:spacing w:before="45"/>
              <w:ind w:left="62" w:right="44"/>
              <w:jc w:val="center"/>
              <w:rPr>
                <w:rFonts w:ascii="Arial" w:eastAsia="Arial" w:hAnsi="Arial" w:cs="Arial"/>
                <w:b/>
                <w:caps/>
                <w:sz w:val="14"/>
                <w:szCs w:val="14"/>
              </w:rPr>
            </w:pPr>
            <w:r w:rsidRPr="00A85D78">
              <w:rPr>
                <w:rFonts w:ascii="Arial" w:eastAsia="Arial" w:hAnsi="Arial" w:cs="Arial"/>
                <w:b/>
                <w:caps/>
                <w:spacing w:val="-1"/>
                <w:sz w:val="13"/>
                <w:szCs w:val="13"/>
              </w:rPr>
              <w:t>Aprobación del CG para        su</w:t>
            </w:r>
            <w:r w:rsidRPr="00A85D78">
              <w:rPr>
                <w:rFonts w:ascii="Arial" w:eastAsia="Arial" w:hAnsi="Arial" w:cs="Arial"/>
                <w:b/>
                <w:caps/>
                <w:sz w:val="14"/>
                <w:szCs w:val="14"/>
              </w:rPr>
              <w:t xml:space="preserve"> </w:t>
            </w:r>
            <w:r w:rsidRPr="00A85D78">
              <w:rPr>
                <w:rFonts w:ascii="Arial" w:eastAsia="Arial" w:hAnsi="Arial" w:cs="Arial"/>
                <w:b/>
                <w:caps/>
                <w:spacing w:val="-1"/>
                <w:sz w:val="14"/>
                <w:szCs w:val="14"/>
              </w:rPr>
              <w:t>ap</w:t>
            </w:r>
            <w:r w:rsidRPr="00A85D78">
              <w:rPr>
                <w:rFonts w:ascii="Arial" w:eastAsia="Arial" w:hAnsi="Arial" w:cs="Arial"/>
                <w:b/>
                <w:caps/>
                <w:spacing w:val="1"/>
                <w:sz w:val="14"/>
                <w:szCs w:val="14"/>
              </w:rPr>
              <w:t>ro</w:t>
            </w:r>
            <w:r w:rsidRPr="00A85D78">
              <w:rPr>
                <w:rFonts w:ascii="Arial" w:eastAsia="Arial" w:hAnsi="Arial" w:cs="Arial"/>
                <w:b/>
                <w:caps/>
                <w:spacing w:val="-1"/>
                <w:sz w:val="14"/>
                <w:szCs w:val="14"/>
              </w:rPr>
              <w:t>b</w:t>
            </w:r>
            <w:r w:rsidRPr="00A85D78">
              <w:rPr>
                <w:rFonts w:ascii="Arial" w:eastAsia="Arial" w:hAnsi="Arial" w:cs="Arial"/>
                <w:b/>
                <w:caps/>
                <w:spacing w:val="2"/>
                <w:sz w:val="14"/>
                <w:szCs w:val="14"/>
              </w:rPr>
              <w:t>a</w:t>
            </w:r>
            <w:r w:rsidRPr="00A85D78">
              <w:rPr>
                <w:rFonts w:ascii="Arial" w:eastAsia="Arial" w:hAnsi="Arial" w:cs="Arial"/>
                <w:b/>
                <w:caps/>
                <w:spacing w:val="-1"/>
                <w:sz w:val="14"/>
                <w:szCs w:val="14"/>
              </w:rPr>
              <w:t>c</w:t>
            </w:r>
            <w:r w:rsidRPr="00A85D78">
              <w:rPr>
                <w:rFonts w:ascii="Arial" w:eastAsia="Arial" w:hAnsi="Arial" w:cs="Arial"/>
                <w:b/>
                <w:caps/>
                <w:spacing w:val="2"/>
                <w:sz w:val="14"/>
                <w:szCs w:val="14"/>
              </w:rPr>
              <w:t>i</w:t>
            </w:r>
            <w:r w:rsidRPr="00A85D78">
              <w:rPr>
                <w:rFonts w:ascii="Arial" w:eastAsia="Arial" w:hAnsi="Arial" w:cs="Arial"/>
                <w:b/>
                <w:caps/>
                <w:spacing w:val="-1"/>
                <w:sz w:val="14"/>
                <w:szCs w:val="14"/>
              </w:rPr>
              <w:t>ó</w:t>
            </w:r>
            <w:r w:rsidRPr="00A85D78">
              <w:rPr>
                <w:rFonts w:ascii="Arial" w:eastAsia="Arial" w:hAnsi="Arial" w:cs="Arial"/>
                <w:b/>
                <w:caps/>
                <w:sz w:val="14"/>
                <w:szCs w:val="14"/>
              </w:rPr>
              <w:t>n</w:t>
            </w:r>
          </w:p>
        </w:tc>
      </w:tr>
      <w:tr w:rsidR="00A256AB" w:rsidRPr="00A85D78" w:rsidTr="009F1C04">
        <w:trPr>
          <w:trHeight w:hRule="exact" w:val="564"/>
        </w:trPr>
        <w:tc>
          <w:tcPr>
            <w:tcW w:w="835"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spacing w:before="81"/>
              <w:ind w:left="56" w:right="52"/>
              <w:rPr>
                <w:rFonts w:ascii="Arial" w:eastAsia="Arial" w:hAnsi="Arial" w:cs="Arial"/>
                <w:sz w:val="14"/>
                <w:szCs w:val="14"/>
              </w:rPr>
            </w:pPr>
            <w:r w:rsidRPr="00A85D78">
              <w:rPr>
                <w:rFonts w:ascii="Arial" w:eastAsia="Arial" w:hAnsi="Arial" w:cs="Arial"/>
                <w:sz w:val="14"/>
                <w:szCs w:val="14"/>
              </w:rPr>
              <w:t>No mayor a 35 días</w:t>
            </w:r>
          </w:p>
        </w:tc>
        <w:tc>
          <w:tcPr>
            <w:tcW w:w="580"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 xml:space="preserve">3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43"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68"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5</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62"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9"/>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94"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18" w:type="pct"/>
            <w:tcBorders>
              <w:top w:val="nil"/>
              <w:left w:val="single" w:sz="6" w:space="0" w:color="000000"/>
              <w:bottom w:val="single" w:sz="6" w:space="0" w:color="000000"/>
              <w:right w:val="single" w:sz="4" w:space="0" w:color="auto"/>
            </w:tcBorders>
            <w:shd w:val="clear" w:color="auto" w:fill="auto"/>
            <w:vAlign w:val="center"/>
            <w:hideMark/>
          </w:tcPr>
          <w:p w:rsidR="00A256AB" w:rsidRPr="00A85D78" w:rsidRDefault="00A256AB" w:rsidP="00A256AB">
            <w:pPr>
              <w:ind w:left="62"/>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r>
    </w:tbl>
    <w:p w:rsidR="00A256AB" w:rsidRPr="009F1C04" w:rsidRDefault="00A256AB" w:rsidP="00A256AB">
      <w:pPr>
        <w:rPr>
          <w:rFonts w:ascii="Arial" w:hAnsi="Arial" w:cs="Arial"/>
          <w:i/>
          <w:iCs/>
          <w:sz w:val="16"/>
          <w:szCs w:val="16"/>
        </w:rPr>
      </w:pPr>
      <w:r w:rsidRPr="009F1C04">
        <w:rPr>
          <w:rFonts w:ascii="Arial" w:hAnsi="Arial" w:cs="Arial"/>
          <w:b/>
          <w:bCs/>
          <w:i/>
          <w:iCs/>
          <w:sz w:val="16"/>
          <w:szCs w:val="16"/>
        </w:rPr>
        <w:t>Fuente:</w:t>
      </w:r>
      <w:r w:rsidRPr="009F1C04">
        <w:rPr>
          <w:rFonts w:ascii="Arial" w:hAnsi="Arial" w:cs="Arial"/>
          <w:i/>
          <w:iCs/>
          <w:sz w:val="16"/>
          <w:szCs w:val="16"/>
        </w:rPr>
        <w:t xml:space="preserve"> Artículo SEGUNDO del acuerdo INE/CG321/2015</w:t>
      </w:r>
      <w:r w:rsidR="009F1C04" w:rsidRPr="009F1C04">
        <w:rPr>
          <w:rFonts w:ascii="Arial" w:hAnsi="Arial" w:cs="Arial"/>
          <w:i/>
          <w:iCs/>
          <w:sz w:val="16"/>
          <w:szCs w:val="16"/>
        </w:rPr>
        <w:t>.</w:t>
      </w:r>
    </w:p>
    <w:p w:rsidR="00ED1899" w:rsidRPr="00A85D78" w:rsidRDefault="00ED1899" w:rsidP="00A256AB">
      <w:pPr>
        <w:rPr>
          <w:rFonts w:ascii="Arial" w:hAnsi="Arial" w:cs="Arial"/>
          <w:sz w:val="16"/>
          <w:szCs w:val="16"/>
        </w:rPr>
      </w:pPr>
    </w:p>
    <w:p w:rsidR="00ED1899" w:rsidRDefault="00ED1899" w:rsidP="00ED1899">
      <w:pPr>
        <w:spacing w:line="360" w:lineRule="auto"/>
        <w:jc w:val="both"/>
        <w:rPr>
          <w:rFonts w:ascii="Arial" w:hAnsi="Arial" w:cs="Arial"/>
          <w:sz w:val="24"/>
          <w:szCs w:val="24"/>
        </w:rPr>
      </w:pPr>
    </w:p>
    <w:p w:rsidR="00A256AB" w:rsidRPr="00A85D78" w:rsidRDefault="00A256AB" w:rsidP="00ED1899">
      <w:pPr>
        <w:spacing w:line="360" w:lineRule="auto"/>
        <w:jc w:val="both"/>
        <w:rPr>
          <w:rFonts w:ascii="Arial" w:hAnsi="Arial" w:cs="Arial"/>
          <w:sz w:val="24"/>
          <w:szCs w:val="24"/>
        </w:rPr>
      </w:pPr>
      <w:r w:rsidRPr="00A85D78">
        <w:rPr>
          <w:rFonts w:ascii="Arial" w:hAnsi="Arial" w:cs="Arial"/>
          <w:sz w:val="24"/>
          <w:szCs w:val="24"/>
        </w:rPr>
        <w:t xml:space="preserve">Es pertinente aclarar que el INE en su reglamentación contempla la obligación de presentar informes por periodos de 30 días, en caso de que los periodos de campaña sean mayores a 30 días; es decir si la campaña dura 50 días se presentarán dos informes de campaña, uno de 30 días y el segundo de 20 días. </w:t>
      </w:r>
    </w:p>
    <w:p w:rsidR="00A256AB" w:rsidRDefault="00A256AB" w:rsidP="00ED1899">
      <w:pPr>
        <w:spacing w:line="360" w:lineRule="auto"/>
        <w:jc w:val="both"/>
        <w:rPr>
          <w:rFonts w:ascii="Arial" w:hAnsi="Arial" w:cs="Arial"/>
          <w:sz w:val="24"/>
          <w:szCs w:val="24"/>
        </w:rPr>
      </w:pPr>
      <w:r w:rsidRPr="00A85D78">
        <w:rPr>
          <w:rFonts w:ascii="Arial" w:hAnsi="Arial" w:cs="Arial"/>
          <w:sz w:val="24"/>
          <w:szCs w:val="24"/>
        </w:rPr>
        <w:t xml:space="preserve">En la tabla 2.5 estableceremos un comparativo real de los tiempos que la Unidad Técnica de Fiscalización del IEEM, ocupó para la realización de su labor, en comparación de los tiempos que la Unidad Técnica de Fiscalización ocupa para realizar la misma labor, en el cual se puede observar claramente cómo el INE redujo el </w:t>
      </w:r>
      <w:r w:rsidR="00A85D78">
        <w:rPr>
          <w:rFonts w:ascii="Arial" w:hAnsi="Arial" w:cs="Arial"/>
          <w:sz w:val="24"/>
          <w:szCs w:val="24"/>
        </w:rPr>
        <w:t>n</w:t>
      </w:r>
      <w:r w:rsidR="00BA3C44">
        <w:rPr>
          <w:rFonts w:ascii="Arial" w:hAnsi="Arial" w:cs="Arial"/>
          <w:sz w:val="24"/>
          <w:szCs w:val="24"/>
        </w:rPr>
        <w:t>ú</w:t>
      </w:r>
      <w:r w:rsidR="00A85D78">
        <w:rPr>
          <w:rFonts w:ascii="Arial" w:hAnsi="Arial" w:cs="Arial"/>
          <w:sz w:val="24"/>
          <w:szCs w:val="24"/>
        </w:rPr>
        <w:t>mero</w:t>
      </w:r>
      <w:r w:rsidRPr="00A85D78">
        <w:rPr>
          <w:rFonts w:ascii="Arial" w:hAnsi="Arial" w:cs="Arial"/>
          <w:sz w:val="24"/>
          <w:szCs w:val="24"/>
        </w:rPr>
        <w:t xml:space="preserve"> de días a 51 para hacer las observaciones.</w:t>
      </w:r>
    </w:p>
    <w:p w:rsidR="00ED1899" w:rsidRPr="00A85D78" w:rsidRDefault="00ED1899" w:rsidP="00ED1899">
      <w:pPr>
        <w:spacing w:line="360" w:lineRule="auto"/>
        <w:jc w:val="both"/>
        <w:rPr>
          <w:rFonts w:ascii="Arial" w:hAnsi="Arial" w:cs="Arial"/>
          <w:sz w:val="24"/>
          <w:szCs w:val="24"/>
        </w:rPr>
      </w:pPr>
    </w:p>
    <w:p w:rsidR="00A256AB" w:rsidRDefault="00A256AB" w:rsidP="009F1C04">
      <w:pPr>
        <w:tabs>
          <w:tab w:val="left" w:pos="5070"/>
        </w:tabs>
        <w:jc w:val="both"/>
        <w:rPr>
          <w:rStyle w:val="Ttulodellibro"/>
          <w:rFonts w:ascii="Arial" w:hAnsi="Arial" w:cs="Arial"/>
          <w:b/>
          <w:i/>
          <w:color w:val="auto"/>
          <w:sz w:val="20"/>
          <w:szCs w:val="20"/>
        </w:rPr>
      </w:pPr>
      <w:r w:rsidRPr="009F1C04">
        <w:rPr>
          <w:rStyle w:val="Ttulodellibro"/>
          <w:rFonts w:ascii="Arial" w:hAnsi="Arial" w:cs="Arial"/>
          <w:b/>
          <w:i/>
          <w:color w:val="auto"/>
          <w:sz w:val="20"/>
          <w:szCs w:val="20"/>
        </w:rPr>
        <w:t>Tabla 2.5. Comparativo de cronogramas para presentación de informes de precampaña y campaña y revisión de la autoridad correspondiente.</w:t>
      </w:r>
    </w:p>
    <w:p w:rsidR="009F1C04" w:rsidRPr="009F1C04" w:rsidRDefault="009F1C04" w:rsidP="009F1C04">
      <w:pPr>
        <w:tabs>
          <w:tab w:val="left" w:pos="5070"/>
        </w:tabs>
        <w:jc w:val="both"/>
        <w:rPr>
          <w:rStyle w:val="Ttulodellibro"/>
          <w:rFonts w:ascii="Arial" w:hAnsi="Arial" w:cs="Arial"/>
          <w:b/>
          <w:i/>
          <w:color w:val="auto"/>
          <w:sz w:val="20"/>
          <w:szCs w:val="20"/>
        </w:rPr>
      </w:pPr>
    </w:p>
    <w:tbl>
      <w:tblPr>
        <w:tblStyle w:val="Tablaconcuadrcula"/>
        <w:tblW w:w="0" w:type="auto"/>
        <w:tblLook w:val="04A0" w:firstRow="1" w:lastRow="0" w:firstColumn="1" w:lastColumn="0" w:noHBand="0" w:noVBand="1"/>
      </w:tblPr>
      <w:tblGrid>
        <w:gridCol w:w="459"/>
        <w:gridCol w:w="3194"/>
        <w:gridCol w:w="1491"/>
        <w:gridCol w:w="1911"/>
        <w:gridCol w:w="1439"/>
      </w:tblGrid>
      <w:tr w:rsidR="00A256AB" w:rsidRPr="009F1C04" w:rsidTr="00BA3C44">
        <w:tc>
          <w:tcPr>
            <w:tcW w:w="460" w:type="dxa"/>
            <w:vMerge w:val="restart"/>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vMerge w:val="restart"/>
            <w:shd w:val="clear" w:color="auto" w:fill="FBE4D5" w:themeFill="accent2" w:themeFillTint="33"/>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ACTIVIDAD</w:t>
            </w:r>
          </w:p>
        </w:tc>
        <w:tc>
          <w:tcPr>
            <w:tcW w:w="3448" w:type="dxa"/>
            <w:gridSpan w:val="2"/>
            <w:shd w:val="clear" w:color="auto" w:fill="FBE4D5" w:themeFill="accent2" w:themeFillTint="33"/>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PLAZO</w:t>
            </w:r>
          </w:p>
        </w:tc>
        <w:tc>
          <w:tcPr>
            <w:tcW w:w="1428" w:type="dxa"/>
            <w:vMerge w:val="restart"/>
            <w:shd w:val="clear" w:color="auto" w:fill="FBE4D5" w:themeFill="accent2" w:themeFillTint="33"/>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DIFERENCIA</w:t>
            </w:r>
          </w:p>
        </w:tc>
      </w:tr>
      <w:tr w:rsidR="00A256AB" w:rsidRPr="009F1C04" w:rsidTr="00BA3C44">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vMerge/>
            <w:shd w:val="clear" w:color="auto" w:fill="FBE4D5" w:themeFill="accent2" w:themeFillTint="33"/>
          </w:tcPr>
          <w:p w:rsidR="00A256AB" w:rsidRPr="009F1C04" w:rsidRDefault="00A256AB" w:rsidP="00BA3C44">
            <w:pPr>
              <w:pStyle w:val="Sinespaciado"/>
              <w:rPr>
                <w:rFonts w:ascii="Arial" w:hAnsi="Arial" w:cs="Arial"/>
                <w:b/>
                <w:sz w:val="20"/>
                <w:szCs w:val="20"/>
                <w:lang w:val="es-ES_tradnl"/>
              </w:rPr>
            </w:pPr>
          </w:p>
        </w:tc>
        <w:tc>
          <w:tcPr>
            <w:tcW w:w="1522" w:type="dxa"/>
            <w:shd w:val="clear" w:color="auto" w:fill="FBE4D5" w:themeFill="accent2" w:themeFillTint="33"/>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IEEM</w:t>
            </w:r>
          </w:p>
        </w:tc>
        <w:tc>
          <w:tcPr>
            <w:tcW w:w="1926" w:type="dxa"/>
            <w:shd w:val="clear" w:color="auto" w:fill="FBE4D5" w:themeFill="accent2" w:themeFillTint="33"/>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INE</w:t>
            </w:r>
          </w:p>
        </w:tc>
        <w:tc>
          <w:tcPr>
            <w:tcW w:w="1428"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r>
      <w:tr w:rsidR="00A256AB" w:rsidRPr="009F1C04" w:rsidTr="00BA3C44">
        <w:tc>
          <w:tcPr>
            <w:tcW w:w="460" w:type="dxa"/>
            <w:vMerge w:val="restart"/>
            <w:shd w:val="clear" w:color="auto" w:fill="FBE4D5" w:themeFill="accent2" w:themeFillTint="33"/>
            <w:textDirection w:val="btLr"/>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PRECAMPAÑA</w:t>
            </w:r>
          </w:p>
        </w:tc>
        <w:tc>
          <w:tcPr>
            <w:tcW w:w="3384" w:type="dxa"/>
            <w:vAlign w:val="center"/>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 xml:space="preserve">Presentación de Informes de </w:t>
            </w:r>
            <w:r w:rsidR="00BA3C44" w:rsidRPr="009F1C04">
              <w:rPr>
                <w:rFonts w:ascii="Arial" w:hAnsi="Arial" w:cs="Arial"/>
                <w:sz w:val="20"/>
                <w:szCs w:val="20"/>
                <w:lang w:val="es-ES_tradnl"/>
              </w:rPr>
              <w:t>p</w:t>
            </w:r>
            <w:r w:rsidRPr="009F1C04">
              <w:rPr>
                <w:rFonts w:ascii="Arial" w:hAnsi="Arial" w:cs="Arial"/>
                <w:sz w:val="20"/>
                <w:szCs w:val="20"/>
                <w:lang w:val="es-ES_tradnl"/>
              </w:rPr>
              <w:t>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15 días posteriores a la conclusión</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10 días posteriores a la conclusión de la misma</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5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Revisión de Informes de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8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15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+ 7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Respuesta a errores y omisiones</w:t>
            </w:r>
            <w:r w:rsidR="00BA3C44" w:rsidRPr="009F1C04">
              <w:rPr>
                <w:rFonts w:ascii="Arial" w:hAnsi="Arial" w:cs="Arial"/>
                <w:sz w:val="20"/>
                <w:szCs w:val="20"/>
                <w:lang w:val="es-ES_tradnl"/>
              </w:rPr>
              <w:t>.</w:t>
            </w:r>
            <w:r w:rsidRPr="009F1C04">
              <w:rPr>
                <w:rFonts w:ascii="Arial" w:hAnsi="Arial" w:cs="Arial"/>
                <w:sz w:val="20"/>
                <w:szCs w:val="20"/>
                <w:lang w:val="es-ES_tradnl"/>
              </w:rPr>
              <w:t xml:space="preserve">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5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7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+ 2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Elaboración de Proyecto de Dictamen Consolidado y Resolución y someterlo a consideración de la Comisión de Fiscalización.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5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10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+ 5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Aprobación de Proyectos de Dictamen y Resolución en la Comisión de Fiscalización</w:t>
            </w:r>
            <w:r w:rsidR="00BA3C44" w:rsidRPr="009F1C04">
              <w:rPr>
                <w:rFonts w:ascii="Arial" w:hAnsi="Arial" w:cs="Arial"/>
                <w:sz w:val="20"/>
                <w:szCs w:val="20"/>
                <w:lang w:val="es-ES_tradnl"/>
              </w:rPr>
              <w:t>.</w:t>
            </w:r>
            <w:r w:rsidRPr="009F1C04">
              <w:rPr>
                <w:rFonts w:ascii="Arial" w:hAnsi="Arial" w:cs="Arial"/>
                <w:sz w:val="20"/>
                <w:szCs w:val="20"/>
                <w:lang w:val="es-ES_tradnl"/>
              </w:rPr>
              <w:t xml:space="preserve">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6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+ 6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Turno de la Comisión de Fiscalización al Consejo General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3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+ 3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 xml:space="preserve">Discusión y aprobación del Proyecto de Dictamen y </w:t>
            </w:r>
            <w:r w:rsidRPr="009F1C04">
              <w:rPr>
                <w:rFonts w:ascii="Arial" w:hAnsi="Arial" w:cs="Arial"/>
                <w:sz w:val="20"/>
                <w:szCs w:val="20"/>
                <w:lang w:val="es-ES_tradnl"/>
              </w:rPr>
              <w:lastRenderedPageBreak/>
              <w:t>Resolución por parte del Consejo General precampaña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lastRenderedPageBreak/>
              <w:t>2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6 días</w:t>
            </w:r>
          </w:p>
        </w:tc>
        <w:tc>
          <w:tcPr>
            <w:tcW w:w="1428"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+ 4 días</w:t>
            </w:r>
          </w:p>
        </w:tc>
      </w:tr>
      <w:tr w:rsidR="00A256AB" w:rsidRPr="009F1C04" w:rsidTr="00BA3C44">
        <w:tc>
          <w:tcPr>
            <w:tcW w:w="460" w:type="dxa"/>
            <w:vMerge/>
            <w:shd w:val="clear" w:color="auto" w:fill="FBE4D5" w:themeFill="accent2" w:themeFillTint="33"/>
            <w:vAlign w:val="center"/>
          </w:tcPr>
          <w:p w:rsidR="00A256AB" w:rsidRPr="009F1C04" w:rsidRDefault="00A256AB" w:rsidP="00BA3C44">
            <w:pPr>
              <w:pStyle w:val="Sinespaciado"/>
              <w:jc w:val="center"/>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b/>
                <w:sz w:val="20"/>
                <w:szCs w:val="20"/>
                <w:lang w:val="es-ES_tradnl"/>
              </w:rPr>
            </w:pPr>
            <w:r w:rsidRPr="009F1C04">
              <w:rPr>
                <w:rFonts w:ascii="Arial" w:hAnsi="Arial" w:cs="Arial"/>
                <w:b/>
                <w:sz w:val="20"/>
                <w:szCs w:val="20"/>
                <w:lang w:val="es-ES_tradnl"/>
              </w:rPr>
              <w:t>TOTAL</w:t>
            </w:r>
          </w:p>
        </w:tc>
        <w:tc>
          <w:tcPr>
            <w:tcW w:w="1522" w:type="dxa"/>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35 días</w:t>
            </w:r>
          </w:p>
        </w:tc>
        <w:tc>
          <w:tcPr>
            <w:tcW w:w="1926" w:type="dxa"/>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57 días</w:t>
            </w:r>
          </w:p>
        </w:tc>
        <w:tc>
          <w:tcPr>
            <w:tcW w:w="1428" w:type="dxa"/>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 xml:space="preserve">+ </w:t>
            </w:r>
            <w:r w:rsidR="00920E0E" w:rsidRPr="009F1C04">
              <w:rPr>
                <w:rFonts w:ascii="Arial" w:hAnsi="Arial" w:cs="Arial"/>
                <w:b/>
                <w:sz w:val="20"/>
                <w:szCs w:val="20"/>
                <w:lang w:val="es-ES_tradnl"/>
              </w:rPr>
              <w:t>22 días</w:t>
            </w:r>
          </w:p>
        </w:tc>
      </w:tr>
      <w:tr w:rsidR="00A256AB" w:rsidRPr="009F1C04" w:rsidTr="00BA3C44">
        <w:tc>
          <w:tcPr>
            <w:tcW w:w="460" w:type="dxa"/>
            <w:vMerge w:val="restart"/>
            <w:shd w:val="clear" w:color="auto" w:fill="FBE4D5" w:themeFill="accent2" w:themeFillTint="33"/>
            <w:textDirection w:val="btLr"/>
            <w:vAlign w:val="center"/>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CAMPAÑA</w:t>
            </w:r>
          </w:p>
        </w:tc>
        <w:tc>
          <w:tcPr>
            <w:tcW w:w="3384" w:type="dxa"/>
            <w:vAlign w:val="center"/>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Presentación de Informes de Campaña</w:t>
            </w:r>
          </w:p>
        </w:tc>
        <w:tc>
          <w:tcPr>
            <w:tcW w:w="1522" w:type="dxa"/>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3 meses (90 días) después de la conclusión de la campaña</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3 días después de la conclusión de cada periodo</w:t>
            </w:r>
            <w:r w:rsidRPr="009F1C04">
              <w:rPr>
                <w:rStyle w:val="Refdenotaalpie"/>
                <w:rFonts w:ascii="Arial" w:hAnsi="Arial" w:cs="Arial"/>
                <w:sz w:val="20"/>
                <w:szCs w:val="20"/>
                <w:lang w:val="es-ES_tradnl"/>
              </w:rPr>
              <w:footnoteReference w:id="19"/>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87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vAlign w:val="center"/>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Revisión de Informes de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57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Simultáneamente y contará con 10 días después de la entrega del informe</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47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Respuesta a errores y omisiones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 xml:space="preserve">43 días </w:t>
            </w:r>
            <w:r w:rsidRPr="009F1C04">
              <w:rPr>
                <w:rStyle w:val="Refdenotaalpie"/>
                <w:rFonts w:ascii="Arial" w:hAnsi="Arial" w:cs="Arial"/>
                <w:sz w:val="20"/>
                <w:szCs w:val="20"/>
                <w:lang w:val="es-ES_tradnl"/>
              </w:rPr>
              <w:footnoteReference w:id="20"/>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5 días</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38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Elaboración de Proyecto de Dictamen Consolidado y Resolución y someterlo a consideración de la Comisión de Fiscalización.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42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10 días</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32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Aprobación de Proyectos de Dictamen y Resolución en la Comisión de Fiscalización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10 días</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w:t>
            </w:r>
            <w:r w:rsidR="00BA3C44" w:rsidRPr="009F1C04">
              <w:rPr>
                <w:rFonts w:ascii="Arial" w:hAnsi="Arial" w:cs="Arial"/>
                <w:sz w:val="20"/>
                <w:szCs w:val="20"/>
                <w:lang w:val="es-ES_tradnl"/>
              </w:rPr>
              <w:t xml:space="preserve"> </w:t>
            </w:r>
            <w:r w:rsidRPr="009F1C04">
              <w:rPr>
                <w:rFonts w:ascii="Arial" w:hAnsi="Arial" w:cs="Arial"/>
                <w:sz w:val="20"/>
                <w:szCs w:val="20"/>
                <w:lang w:val="es-ES_tradnl"/>
              </w:rPr>
              <w:t>10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Turno de la Comisión de Fiscalización al Consejo General</w:t>
            </w:r>
            <w:r w:rsidR="00BA3C44" w:rsidRPr="009F1C04">
              <w:rPr>
                <w:rFonts w:ascii="Arial" w:hAnsi="Arial" w:cs="Arial"/>
                <w:sz w:val="20"/>
                <w:szCs w:val="20"/>
                <w:lang w:val="es-ES_tradnl"/>
              </w:rPr>
              <w:t>.</w:t>
            </w:r>
            <w:r w:rsidRPr="009F1C04">
              <w:rPr>
                <w:rFonts w:ascii="Arial" w:hAnsi="Arial" w:cs="Arial"/>
                <w:sz w:val="20"/>
                <w:szCs w:val="20"/>
                <w:lang w:val="es-ES_tradnl"/>
              </w:rPr>
              <w:t xml:space="preserve">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6 días</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w:t>
            </w:r>
            <w:r w:rsidR="00BA3C44" w:rsidRPr="009F1C04">
              <w:rPr>
                <w:rFonts w:ascii="Arial" w:hAnsi="Arial" w:cs="Arial"/>
                <w:sz w:val="20"/>
                <w:szCs w:val="20"/>
                <w:lang w:val="es-ES_tradnl"/>
              </w:rPr>
              <w:t xml:space="preserve"> </w:t>
            </w:r>
            <w:r w:rsidRPr="009F1C04">
              <w:rPr>
                <w:rFonts w:ascii="Arial" w:hAnsi="Arial" w:cs="Arial"/>
                <w:sz w:val="20"/>
                <w:szCs w:val="20"/>
                <w:lang w:val="es-ES_tradnl"/>
              </w:rPr>
              <w:t>6 días</w:t>
            </w:r>
          </w:p>
        </w:tc>
      </w:tr>
      <w:tr w:rsidR="00A256AB" w:rsidRPr="009F1C04" w:rsidTr="00A256AB">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sz w:val="20"/>
                <w:szCs w:val="20"/>
                <w:lang w:val="es-ES_tradnl"/>
              </w:rPr>
            </w:pPr>
            <w:r w:rsidRPr="009F1C04">
              <w:rPr>
                <w:rFonts w:ascii="Arial" w:hAnsi="Arial" w:cs="Arial"/>
                <w:sz w:val="20"/>
                <w:szCs w:val="20"/>
                <w:lang w:val="es-ES_tradnl"/>
              </w:rPr>
              <w:t>Discusión y aprobación del Proyecto de Dictamen y Resolución por parte del Consejo General</w:t>
            </w:r>
            <w:r w:rsidR="00BA3C44" w:rsidRPr="009F1C04">
              <w:rPr>
                <w:rFonts w:ascii="Arial" w:hAnsi="Arial" w:cs="Arial"/>
                <w:sz w:val="20"/>
                <w:szCs w:val="20"/>
                <w:lang w:val="es-ES_tradnl"/>
              </w:rPr>
              <w:t>.</w:t>
            </w:r>
            <w:r w:rsidRPr="009F1C04">
              <w:rPr>
                <w:rFonts w:ascii="Arial" w:hAnsi="Arial" w:cs="Arial"/>
                <w:sz w:val="20"/>
                <w:szCs w:val="20"/>
                <w:lang w:val="es-ES_tradnl"/>
              </w:rPr>
              <w:t xml:space="preserve"> campaña</w:t>
            </w:r>
          </w:p>
        </w:tc>
        <w:tc>
          <w:tcPr>
            <w:tcW w:w="1522"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63 días</w:t>
            </w:r>
          </w:p>
        </w:tc>
        <w:tc>
          <w:tcPr>
            <w:tcW w:w="1926" w:type="dxa"/>
            <w:vAlign w:val="center"/>
          </w:tcPr>
          <w:p w:rsidR="00A256AB" w:rsidRPr="009F1C04" w:rsidRDefault="00A256AB" w:rsidP="00BA3C44">
            <w:pPr>
              <w:pStyle w:val="Sinespaciado"/>
              <w:jc w:val="center"/>
              <w:rPr>
                <w:rFonts w:ascii="Arial" w:hAnsi="Arial" w:cs="Arial"/>
                <w:sz w:val="20"/>
                <w:szCs w:val="20"/>
                <w:lang w:val="es-ES_tradnl"/>
              </w:rPr>
            </w:pPr>
            <w:r w:rsidRPr="009F1C04">
              <w:rPr>
                <w:rFonts w:ascii="Arial" w:hAnsi="Arial" w:cs="Arial"/>
                <w:sz w:val="20"/>
                <w:szCs w:val="20"/>
                <w:lang w:val="es-ES_tradnl"/>
              </w:rPr>
              <w:t>7 días</w:t>
            </w:r>
          </w:p>
        </w:tc>
        <w:tc>
          <w:tcPr>
            <w:tcW w:w="1428" w:type="dxa"/>
            <w:vAlign w:val="center"/>
          </w:tcPr>
          <w:p w:rsidR="00A256AB" w:rsidRPr="009F1C04" w:rsidRDefault="00A256AB" w:rsidP="001436DF">
            <w:pPr>
              <w:pStyle w:val="Sinespaciado"/>
              <w:numPr>
                <w:ilvl w:val="0"/>
                <w:numId w:val="21"/>
              </w:numPr>
              <w:ind w:left="171" w:hanging="141"/>
              <w:jc w:val="center"/>
              <w:rPr>
                <w:rFonts w:ascii="Arial" w:hAnsi="Arial" w:cs="Arial"/>
                <w:sz w:val="20"/>
                <w:szCs w:val="20"/>
                <w:lang w:val="es-ES_tradnl"/>
              </w:rPr>
            </w:pPr>
            <w:r w:rsidRPr="009F1C04">
              <w:rPr>
                <w:rFonts w:ascii="Arial" w:hAnsi="Arial" w:cs="Arial"/>
                <w:sz w:val="20"/>
                <w:szCs w:val="20"/>
                <w:lang w:val="es-ES_tradnl"/>
              </w:rPr>
              <w:t>56 días</w:t>
            </w:r>
          </w:p>
        </w:tc>
      </w:tr>
      <w:tr w:rsidR="00A256AB" w:rsidRPr="009F1C04" w:rsidTr="00BA3C44">
        <w:trPr>
          <w:trHeight w:val="74"/>
        </w:trPr>
        <w:tc>
          <w:tcPr>
            <w:tcW w:w="460" w:type="dxa"/>
            <w:vMerge/>
            <w:shd w:val="clear" w:color="auto" w:fill="FBE4D5" w:themeFill="accent2" w:themeFillTint="33"/>
          </w:tcPr>
          <w:p w:rsidR="00A256AB" w:rsidRPr="009F1C04" w:rsidRDefault="00A256AB" w:rsidP="00BA3C44">
            <w:pPr>
              <w:pStyle w:val="Sinespaciado"/>
              <w:rPr>
                <w:rFonts w:ascii="Arial" w:hAnsi="Arial" w:cs="Arial"/>
                <w:sz w:val="20"/>
                <w:szCs w:val="20"/>
                <w:lang w:val="es-ES_tradnl"/>
              </w:rPr>
            </w:pPr>
          </w:p>
        </w:tc>
        <w:tc>
          <w:tcPr>
            <w:tcW w:w="3384" w:type="dxa"/>
          </w:tcPr>
          <w:p w:rsidR="00A256AB" w:rsidRPr="009F1C04" w:rsidRDefault="00A256AB" w:rsidP="00BA3C44">
            <w:pPr>
              <w:pStyle w:val="Sinespaciado"/>
              <w:rPr>
                <w:rFonts w:ascii="Arial" w:hAnsi="Arial" w:cs="Arial"/>
                <w:b/>
                <w:sz w:val="20"/>
                <w:szCs w:val="20"/>
                <w:lang w:val="es-ES_tradnl"/>
              </w:rPr>
            </w:pPr>
            <w:r w:rsidRPr="009F1C04">
              <w:rPr>
                <w:rFonts w:ascii="Arial" w:hAnsi="Arial" w:cs="Arial"/>
                <w:b/>
                <w:sz w:val="20"/>
                <w:szCs w:val="20"/>
                <w:lang w:val="es-ES_tradnl"/>
              </w:rPr>
              <w:t>TOTAL</w:t>
            </w:r>
          </w:p>
        </w:tc>
        <w:tc>
          <w:tcPr>
            <w:tcW w:w="1522" w:type="dxa"/>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295 días</w:t>
            </w:r>
          </w:p>
        </w:tc>
        <w:tc>
          <w:tcPr>
            <w:tcW w:w="1926" w:type="dxa"/>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51 días</w:t>
            </w:r>
          </w:p>
        </w:tc>
        <w:tc>
          <w:tcPr>
            <w:tcW w:w="1428" w:type="dxa"/>
          </w:tcPr>
          <w:p w:rsidR="00A256AB" w:rsidRPr="009F1C04" w:rsidRDefault="00A256AB" w:rsidP="00BA3C44">
            <w:pPr>
              <w:pStyle w:val="Sinespaciado"/>
              <w:jc w:val="center"/>
              <w:rPr>
                <w:rFonts w:ascii="Arial" w:hAnsi="Arial" w:cs="Arial"/>
                <w:b/>
                <w:sz w:val="20"/>
                <w:szCs w:val="20"/>
                <w:lang w:val="es-ES_tradnl"/>
              </w:rPr>
            </w:pPr>
            <w:r w:rsidRPr="009F1C04">
              <w:rPr>
                <w:rFonts w:ascii="Arial" w:hAnsi="Arial" w:cs="Arial"/>
                <w:b/>
                <w:sz w:val="20"/>
                <w:szCs w:val="20"/>
                <w:lang w:val="es-ES_tradnl"/>
              </w:rPr>
              <w:t>-244 días</w:t>
            </w:r>
          </w:p>
        </w:tc>
      </w:tr>
    </w:tbl>
    <w:p w:rsidR="00A256AB" w:rsidRPr="009F1C04" w:rsidRDefault="00A256AB" w:rsidP="00A256AB">
      <w:pPr>
        <w:jc w:val="both"/>
        <w:rPr>
          <w:rFonts w:ascii="Arial" w:hAnsi="Arial" w:cs="Arial"/>
          <w:i/>
          <w:iCs/>
          <w:sz w:val="16"/>
          <w:szCs w:val="16"/>
        </w:rPr>
      </w:pPr>
      <w:r w:rsidRPr="009F1C04">
        <w:rPr>
          <w:rFonts w:ascii="Arial" w:hAnsi="Arial" w:cs="Arial"/>
          <w:b/>
          <w:bCs/>
          <w:i/>
          <w:iCs/>
          <w:sz w:val="16"/>
          <w:szCs w:val="16"/>
        </w:rPr>
        <w:t>Fuente:</w:t>
      </w:r>
      <w:r w:rsidRPr="009F1C04">
        <w:rPr>
          <w:rFonts w:ascii="Arial" w:hAnsi="Arial" w:cs="Arial"/>
          <w:i/>
          <w:iCs/>
          <w:sz w:val="16"/>
          <w:szCs w:val="16"/>
        </w:rPr>
        <w:t xml:space="preserve"> Elaboración propia con base en los artículos 80 de la LGPP, 235, 289 y 290 del RF; 63 del Código Electoral del Estado de México 125, 146 </w:t>
      </w:r>
      <w:r w:rsidR="004060DC" w:rsidRPr="009F1C04">
        <w:rPr>
          <w:rFonts w:ascii="Arial" w:hAnsi="Arial" w:cs="Arial"/>
          <w:i/>
          <w:iCs/>
          <w:sz w:val="16"/>
          <w:szCs w:val="16"/>
        </w:rPr>
        <w:t>del Reglamento</w:t>
      </w:r>
      <w:r w:rsidRPr="009F1C04">
        <w:rPr>
          <w:rFonts w:ascii="Arial" w:hAnsi="Arial" w:cs="Arial"/>
          <w:i/>
          <w:iCs/>
          <w:sz w:val="16"/>
          <w:szCs w:val="16"/>
        </w:rPr>
        <w:t xml:space="preserve"> de Fiscalización a las actividades de los partidos políticos y coaliciones y Acuerdos IEEM/CG058/2009 e IEEM/CG018/2010.</w:t>
      </w:r>
    </w:p>
    <w:p w:rsidR="009F1C04" w:rsidRPr="00A85D78" w:rsidRDefault="009F1C04" w:rsidP="00A256AB">
      <w:pPr>
        <w:jc w:val="both"/>
        <w:rPr>
          <w:rFonts w:ascii="Arial" w:hAnsi="Arial" w:cs="Arial"/>
          <w:sz w:val="24"/>
          <w:szCs w:val="24"/>
        </w:rPr>
      </w:pPr>
    </w:p>
    <w:p w:rsidR="00A256AB" w:rsidRPr="00A85D78" w:rsidRDefault="00A256AB" w:rsidP="009F1C04">
      <w:pPr>
        <w:spacing w:line="360" w:lineRule="auto"/>
        <w:jc w:val="both"/>
        <w:rPr>
          <w:rFonts w:ascii="Arial" w:hAnsi="Arial" w:cs="Arial"/>
          <w:sz w:val="24"/>
          <w:szCs w:val="24"/>
        </w:rPr>
      </w:pPr>
      <w:r w:rsidRPr="00A85D78">
        <w:rPr>
          <w:rFonts w:ascii="Arial" w:hAnsi="Arial" w:cs="Arial"/>
          <w:sz w:val="24"/>
          <w:szCs w:val="24"/>
        </w:rPr>
        <w:t xml:space="preserve">Cabe destacar para el caso del IEEM los tiempos fueron determinados en función de la fiscalización del proceso electoral 2009. Los resultados arrojados del ejercicio de contraste nos sorprenden debido a que para el caso de las precampañas el cronograma de actividades es más acotado para el caso del órgano fiscalizador del IEEM, quien </w:t>
      </w:r>
      <w:r w:rsidR="00920E0E" w:rsidRPr="00A85D78">
        <w:rPr>
          <w:rFonts w:ascii="Arial" w:hAnsi="Arial" w:cs="Arial"/>
          <w:sz w:val="24"/>
          <w:szCs w:val="24"/>
        </w:rPr>
        <w:t>tuvo 22</w:t>
      </w:r>
      <w:r w:rsidRPr="00A85D78">
        <w:rPr>
          <w:rFonts w:ascii="Arial" w:hAnsi="Arial" w:cs="Arial"/>
          <w:sz w:val="24"/>
          <w:szCs w:val="24"/>
        </w:rPr>
        <w:t xml:space="preserve"> días menos para revisar los informes de campaña en comparación con su contraparte del INE.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gran diferencia se presenta al analizar el proceso de fiscalización de campaña donde la UTF del INE se ve obligada a realizar su actividad en un lapso de 51 días, mientras que la UTF del IEEM realizó el mismo trabajo en 295 días, dando inicio </w:t>
      </w:r>
      <w:r w:rsidRPr="00A85D78">
        <w:rPr>
          <w:rFonts w:ascii="Arial" w:hAnsi="Arial" w:cs="Arial"/>
          <w:sz w:val="24"/>
          <w:szCs w:val="24"/>
        </w:rPr>
        <w:lastRenderedPageBreak/>
        <w:t xml:space="preserve">este proceso el 02 de julio de 2009 y culminando el 30 de abril de 2010, casi un año después. </w:t>
      </w:r>
    </w:p>
    <w:p w:rsidR="00A256AB" w:rsidRDefault="00A256AB" w:rsidP="009F1C04">
      <w:pPr>
        <w:spacing w:line="360" w:lineRule="auto"/>
        <w:jc w:val="both"/>
        <w:rPr>
          <w:rFonts w:ascii="Arial" w:hAnsi="Arial" w:cs="Arial"/>
          <w:sz w:val="24"/>
          <w:szCs w:val="24"/>
        </w:rPr>
      </w:pPr>
      <w:r w:rsidRPr="00A85D78">
        <w:rPr>
          <w:rFonts w:ascii="Arial" w:hAnsi="Arial" w:cs="Arial"/>
          <w:sz w:val="24"/>
          <w:szCs w:val="24"/>
        </w:rPr>
        <w:t xml:space="preserve">Como podemos observar esta </w:t>
      </w:r>
      <w:r w:rsidR="006A0634">
        <w:rPr>
          <w:rFonts w:ascii="Arial" w:hAnsi="Arial" w:cs="Arial"/>
          <w:sz w:val="24"/>
          <w:szCs w:val="24"/>
        </w:rPr>
        <w:t>notable</w:t>
      </w:r>
      <w:r w:rsidRPr="00A85D78">
        <w:rPr>
          <w:rFonts w:ascii="Arial" w:hAnsi="Arial" w:cs="Arial"/>
          <w:sz w:val="24"/>
          <w:szCs w:val="24"/>
        </w:rPr>
        <w:t xml:space="preserve"> diferencia entre la temporalidad con la que cuentan ambos órganos de fiscalización, debe incidir de alguna manera en el resultado final de los hallazgos de fiscalización; una labor en la que la autoridad electoral debe tener amplia exhaustividad para analizar con detenimiento cada uno de los ingresos y gastos de los candidatos, puede verse mermada al disminuir drásticamente el tiempo en el que desempeña dicha actividad.</w:t>
      </w:r>
    </w:p>
    <w:p w:rsidR="009F1C04" w:rsidRPr="00A85D78" w:rsidRDefault="009F1C04" w:rsidP="009F1C04">
      <w:pPr>
        <w:spacing w:line="360" w:lineRule="auto"/>
        <w:jc w:val="both"/>
        <w:rPr>
          <w:rFonts w:ascii="Arial" w:hAnsi="Arial" w:cs="Arial"/>
          <w:sz w:val="24"/>
          <w:szCs w:val="24"/>
        </w:rPr>
      </w:pPr>
    </w:p>
    <w:p w:rsidR="00A256AB" w:rsidRPr="00A85D78" w:rsidRDefault="00A256AB" w:rsidP="009F1C04">
      <w:pPr>
        <w:spacing w:line="360" w:lineRule="auto"/>
        <w:jc w:val="both"/>
        <w:rPr>
          <w:rFonts w:ascii="Arial" w:hAnsi="Arial" w:cs="Arial"/>
          <w:sz w:val="24"/>
          <w:szCs w:val="24"/>
        </w:rPr>
      </w:pPr>
      <w:r w:rsidRPr="00A85D78">
        <w:rPr>
          <w:rFonts w:ascii="Arial" w:hAnsi="Arial" w:cs="Arial"/>
          <w:sz w:val="24"/>
          <w:szCs w:val="24"/>
        </w:rPr>
        <w:t xml:space="preserve">En el capítulo 3, exploraremos las posibilidades de este hecho que se convierte en un caldo de cultivo para problematizar la situación de la fiscalización electoral en los procesos electorales locales como resultado de la reforma política 2014 y lo vincularemos con el objetivo final de esta investigación. </w:t>
      </w:r>
    </w:p>
    <w:p w:rsidR="00A256AB" w:rsidRPr="00A85D78" w:rsidRDefault="00A256AB" w:rsidP="00A256AB">
      <w:pPr>
        <w:rPr>
          <w:rFonts w:ascii="Arial" w:hAnsi="Arial" w:cs="Arial"/>
          <w:sz w:val="24"/>
          <w:szCs w:val="24"/>
        </w:rPr>
      </w:pPr>
      <w:r w:rsidRPr="00A85D78">
        <w:rPr>
          <w:rFonts w:ascii="Arial" w:hAnsi="Arial" w:cs="Arial"/>
          <w:sz w:val="24"/>
          <w:szCs w:val="24"/>
        </w:rPr>
        <w:br w:type="page"/>
      </w:r>
    </w:p>
    <w:p w:rsidR="00A256AB" w:rsidRPr="003705B5" w:rsidRDefault="00A256AB" w:rsidP="00A256AB">
      <w:pPr>
        <w:contextualSpacing/>
        <w:jc w:val="center"/>
        <w:rPr>
          <w:rFonts w:ascii="Arial" w:hAnsi="Arial" w:cs="Arial"/>
          <w:b/>
          <w:sz w:val="24"/>
          <w:szCs w:val="24"/>
        </w:rPr>
      </w:pPr>
      <w:r w:rsidRPr="003705B5">
        <w:rPr>
          <w:rFonts w:ascii="Arial" w:hAnsi="Arial" w:cs="Arial"/>
          <w:b/>
          <w:sz w:val="24"/>
          <w:szCs w:val="24"/>
        </w:rPr>
        <w:lastRenderedPageBreak/>
        <w:t>BIBLIOGRAFIA</w:t>
      </w:r>
    </w:p>
    <w:p w:rsidR="00A256AB" w:rsidRPr="009F1C04" w:rsidRDefault="00A256AB" w:rsidP="00A256AB">
      <w:pPr>
        <w:pStyle w:val="Prrafodelista"/>
        <w:jc w:val="both"/>
        <w:rPr>
          <w:rFonts w:ascii="Arial" w:hAnsi="Arial" w:cs="Arial"/>
          <w:sz w:val="20"/>
          <w:szCs w:val="20"/>
        </w:rPr>
      </w:pP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Gaceta de Gobierno, Tomo CLXXIX, Número 49, </w:t>
      </w:r>
      <w:proofErr w:type="spellStart"/>
      <w:r w:rsidRPr="009F1C04">
        <w:rPr>
          <w:rFonts w:ascii="Arial" w:hAnsi="Arial" w:cs="Arial"/>
          <w:sz w:val="20"/>
          <w:szCs w:val="20"/>
        </w:rPr>
        <w:t>Vi</w:t>
      </w:r>
      <w:r w:rsidR="000130C0">
        <w:rPr>
          <w:rFonts w:ascii="Arial" w:hAnsi="Arial" w:cs="Arial"/>
          <w:sz w:val="20"/>
          <w:szCs w:val="20"/>
        </w:rPr>
        <w:t>é</w:t>
      </w:r>
      <w:r w:rsidRPr="009F1C04">
        <w:rPr>
          <w:rFonts w:ascii="Arial" w:hAnsi="Arial" w:cs="Arial"/>
          <w:sz w:val="20"/>
          <w:szCs w:val="20"/>
        </w:rPr>
        <w:t>rnes</w:t>
      </w:r>
      <w:proofErr w:type="spellEnd"/>
      <w:r w:rsidRPr="009F1C04">
        <w:rPr>
          <w:rFonts w:ascii="Arial" w:hAnsi="Arial" w:cs="Arial"/>
          <w:sz w:val="20"/>
          <w:szCs w:val="20"/>
        </w:rPr>
        <w:t xml:space="preserve"> 11 de </w:t>
      </w:r>
      <w:proofErr w:type="gramStart"/>
      <w:r w:rsidRPr="009F1C04">
        <w:rPr>
          <w:rFonts w:ascii="Arial" w:hAnsi="Arial" w:cs="Arial"/>
          <w:sz w:val="20"/>
          <w:szCs w:val="20"/>
        </w:rPr>
        <w:t>Marzo</w:t>
      </w:r>
      <w:proofErr w:type="gramEnd"/>
      <w:r w:rsidRPr="009F1C04">
        <w:rPr>
          <w:rFonts w:ascii="Arial" w:hAnsi="Arial" w:cs="Arial"/>
          <w:sz w:val="20"/>
          <w:szCs w:val="20"/>
        </w:rPr>
        <w:t xml:space="preserve"> de 2005 (Código Electoral del Estado de México 2005)</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Gaceta de Gobierno, Tomo CLXXXVI, Número 50, </w:t>
      </w:r>
      <w:proofErr w:type="gramStart"/>
      <w:r w:rsidRPr="009F1C04">
        <w:rPr>
          <w:rFonts w:ascii="Arial" w:hAnsi="Arial" w:cs="Arial"/>
          <w:sz w:val="20"/>
          <w:szCs w:val="20"/>
        </w:rPr>
        <w:t>Miércoles</w:t>
      </w:r>
      <w:proofErr w:type="gramEnd"/>
      <w:r w:rsidRPr="009F1C04">
        <w:rPr>
          <w:rFonts w:ascii="Arial" w:hAnsi="Arial" w:cs="Arial"/>
          <w:sz w:val="20"/>
          <w:szCs w:val="20"/>
        </w:rPr>
        <w:t xml:space="preserve"> 10 de Septiembre de 2008 (Código Electoral del Estado de México 2008)</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Gaceta de Gobierno, Tomo CXC, Número 56, </w:t>
      </w:r>
      <w:proofErr w:type="gramStart"/>
      <w:r w:rsidRPr="009F1C04">
        <w:rPr>
          <w:rFonts w:ascii="Arial" w:hAnsi="Arial" w:cs="Arial"/>
          <w:sz w:val="20"/>
          <w:szCs w:val="20"/>
        </w:rPr>
        <w:t>Sábado</w:t>
      </w:r>
      <w:proofErr w:type="gramEnd"/>
      <w:r w:rsidRPr="009F1C04">
        <w:rPr>
          <w:rFonts w:ascii="Arial" w:hAnsi="Arial" w:cs="Arial"/>
          <w:sz w:val="20"/>
          <w:szCs w:val="20"/>
        </w:rPr>
        <w:t xml:space="preserve"> 25 de Septiembre de 2010 (Código Electoral del Estado de México 2010)</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Periódico Oficial del Gobierno Constitucional del Estado de México. Gaceta de Gobierno, Tomo CLXI, Número 43, </w:t>
      </w:r>
      <w:proofErr w:type="gramStart"/>
      <w:r w:rsidRPr="009F1C04">
        <w:rPr>
          <w:rFonts w:ascii="Arial" w:hAnsi="Arial" w:cs="Arial"/>
          <w:sz w:val="20"/>
          <w:szCs w:val="20"/>
        </w:rPr>
        <w:t>Sábado</w:t>
      </w:r>
      <w:proofErr w:type="gramEnd"/>
      <w:r w:rsidRPr="009F1C04">
        <w:rPr>
          <w:rFonts w:ascii="Arial" w:hAnsi="Arial" w:cs="Arial"/>
          <w:sz w:val="20"/>
          <w:szCs w:val="20"/>
        </w:rPr>
        <w:t xml:space="preserve"> 02 de Marzo de 1996. (Código Electoral del Estado de México 1996)</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Periódico Oficial del Gobierno Constitucional del Estado de México. Gaceta de Gobierno, 15 de </w:t>
      </w:r>
      <w:proofErr w:type="gramStart"/>
      <w:r w:rsidRPr="009F1C04">
        <w:rPr>
          <w:rFonts w:ascii="Arial" w:hAnsi="Arial" w:cs="Arial"/>
          <w:sz w:val="20"/>
          <w:szCs w:val="20"/>
        </w:rPr>
        <w:t>Octubre</w:t>
      </w:r>
      <w:proofErr w:type="gramEnd"/>
      <w:r w:rsidRPr="009F1C04">
        <w:rPr>
          <w:rFonts w:ascii="Arial" w:hAnsi="Arial" w:cs="Arial"/>
          <w:sz w:val="20"/>
          <w:szCs w:val="20"/>
        </w:rPr>
        <w:t xml:space="preserve"> de 1998. (Código Electoral del Estado de México 1998)</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Periódico Oficial del Gobierno Constitucional del Estado de México. Gaceta de Gobierno, Tomo CLXI, Número 43, </w:t>
      </w:r>
      <w:proofErr w:type="gramStart"/>
      <w:r w:rsidRPr="009F1C04">
        <w:rPr>
          <w:rFonts w:ascii="Arial" w:hAnsi="Arial" w:cs="Arial"/>
          <w:sz w:val="20"/>
          <w:szCs w:val="20"/>
        </w:rPr>
        <w:t>Sábado</w:t>
      </w:r>
      <w:proofErr w:type="gramEnd"/>
      <w:r w:rsidRPr="009F1C04">
        <w:rPr>
          <w:rFonts w:ascii="Arial" w:hAnsi="Arial" w:cs="Arial"/>
          <w:sz w:val="20"/>
          <w:szCs w:val="20"/>
        </w:rPr>
        <w:t xml:space="preserve"> 02 de Marzo de 1996. (Código Electoral del Estado de México 1996)</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Periódico Oficial del Gobierno Constitucional del Estado de México. Gaceta de Gobierno, Tomo CLXVIII, Número 71, </w:t>
      </w:r>
      <w:proofErr w:type="gramStart"/>
      <w:r w:rsidRPr="009F1C04">
        <w:rPr>
          <w:rFonts w:ascii="Arial" w:hAnsi="Arial" w:cs="Arial"/>
          <w:sz w:val="20"/>
          <w:szCs w:val="20"/>
        </w:rPr>
        <w:t>Sábado</w:t>
      </w:r>
      <w:proofErr w:type="gramEnd"/>
      <w:r w:rsidRPr="009F1C04">
        <w:rPr>
          <w:rFonts w:ascii="Arial" w:hAnsi="Arial" w:cs="Arial"/>
          <w:sz w:val="20"/>
          <w:szCs w:val="20"/>
        </w:rPr>
        <w:t xml:space="preserve"> 09 de Octubre de 1999 (Código Electoral del Estado de México 1999)</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Periódico Oficial del Gobierno Constitucional del Estado de México. Gaceta de Gobierno, Tomo CLXXIX, Número 49, </w:t>
      </w:r>
      <w:proofErr w:type="spellStart"/>
      <w:r w:rsidRPr="009F1C04">
        <w:rPr>
          <w:rFonts w:ascii="Arial" w:hAnsi="Arial" w:cs="Arial"/>
          <w:sz w:val="20"/>
          <w:szCs w:val="20"/>
        </w:rPr>
        <w:t>Vi</w:t>
      </w:r>
      <w:r w:rsidR="000130C0">
        <w:rPr>
          <w:rFonts w:ascii="Arial" w:hAnsi="Arial" w:cs="Arial"/>
          <w:sz w:val="20"/>
          <w:szCs w:val="20"/>
        </w:rPr>
        <w:t>é</w:t>
      </w:r>
      <w:r w:rsidRPr="009F1C04">
        <w:rPr>
          <w:rFonts w:ascii="Arial" w:hAnsi="Arial" w:cs="Arial"/>
          <w:sz w:val="20"/>
          <w:szCs w:val="20"/>
        </w:rPr>
        <w:t>rnes</w:t>
      </w:r>
      <w:proofErr w:type="spellEnd"/>
      <w:r w:rsidRPr="009F1C04">
        <w:rPr>
          <w:rFonts w:ascii="Arial" w:hAnsi="Arial" w:cs="Arial"/>
          <w:sz w:val="20"/>
          <w:szCs w:val="20"/>
        </w:rPr>
        <w:t xml:space="preserve"> 11 de </w:t>
      </w:r>
      <w:proofErr w:type="gramStart"/>
      <w:r w:rsidRPr="009F1C04">
        <w:rPr>
          <w:rFonts w:ascii="Arial" w:hAnsi="Arial" w:cs="Arial"/>
          <w:sz w:val="20"/>
          <w:szCs w:val="20"/>
        </w:rPr>
        <w:t>Marzo</w:t>
      </w:r>
      <w:proofErr w:type="gramEnd"/>
      <w:r w:rsidRPr="009F1C04">
        <w:rPr>
          <w:rFonts w:ascii="Arial" w:hAnsi="Arial" w:cs="Arial"/>
          <w:sz w:val="20"/>
          <w:szCs w:val="20"/>
        </w:rPr>
        <w:t xml:space="preserve"> de 2005 (Código Electoral del Estado de México 2005)</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 Acuerdo IEEM/CG115/2015 “Integración de las Comisiones Permanentes y Especiales del Consejo General del Instituto Electoral del Estado de México” disponible en: http://www.ieem.org.mx/consejo_general/cg/2005/a115.html</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Cámara de Diputados del Estado de México “Constitución Política del Estado Libre y Soberano de México”.</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w:t>
      </w:r>
      <w:r w:rsidR="006A0634" w:rsidRPr="009F1C04">
        <w:rPr>
          <w:rFonts w:ascii="Arial" w:hAnsi="Arial" w:cs="Arial"/>
          <w:sz w:val="20"/>
          <w:szCs w:val="20"/>
        </w:rPr>
        <w:t>,” Proceso</w:t>
      </w:r>
      <w:r w:rsidRPr="009F1C04">
        <w:rPr>
          <w:rFonts w:ascii="Arial" w:hAnsi="Arial" w:cs="Arial"/>
          <w:sz w:val="20"/>
          <w:szCs w:val="20"/>
        </w:rPr>
        <w:t xml:space="preserve"> de Fiscalización Precampaña” disponible en: http://www.ieem.org.mx/OTF/pdf_s/pre.pdf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 Acuerdo IEEM/CG058/2009 “Dictamen sobre la Revisión a los Informes de Ingresos y Gastos de Precampaña presentados por los Partidos Políticos, correspondiente al Proceso Electoral 2009” disponible en: http://www.ieem.org.mx/consejo_general/cg/2009/a058_09.html.</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w:t>
      </w:r>
      <w:r w:rsidR="006A0634" w:rsidRPr="009F1C04">
        <w:rPr>
          <w:rFonts w:ascii="Arial" w:hAnsi="Arial" w:cs="Arial"/>
          <w:sz w:val="20"/>
          <w:szCs w:val="20"/>
        </w:rPr>
        <w:t>,” Proceso</w:t>
      </w:r>
      <w:r w:rsidRPr="009F1C04">
        <w:rPr>
          <w:rFonts w:ascii="Arial" w:hAnsi="Arial" w:cs="Arial"/>
          <w:sz w:val="20"/>
          <w:szCs w:val="20"/>
        </w:rPr>
        <w:t xml:space="preserve"> de Fiscalización campaña” disponible en: http://www.ieem.org.mx/OTF/pdf_s/campa.pdf.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 Acuerdo IEEM/CG018/2010 “Dictamen sobre el origen, mono y aplicación del financiamiento público y privado, que los partidos políticos, coaliciones parciales, candidaturas comunes y candidatos ejercieron durante el proceso electoral de diputados y ayuntamientos dos mil nueve” disponible en: http://www.ieem.org.mx/consejo_general/cg/2010/a018_10.pdf.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Compendio Legislación Nacional Electoral (2015). Tomo I: Constitución Política de los Estados Unidos Mexicanos. México: Instituto Nacional Electoral, Fiscalía Especializada para la Atención de Delitos Electorales, Tribunal Electoral del Poder Judicial de la </w:t>
      </w:r>
      <w:r w:rsidRPr="009F1C04">
        <w:rPr>
          <w:rFonts w:ascii="Arial" w:hAnsi="Arial" w:cs="Arial"/>
          <w:sz w:val="20"/>
          <w:szCs w:val="20"/>
        </w:rPr>
        <w:lastRenderedPageBreak/>
        <w:t xml:space="preserve">Federación, Instituto de Investigaciones Jurídicas de la Universidad Nacional Autónoma de México. </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Compendio Legislación Nacional Electoral (2015). Tomo II: Ley General de Instituciones y Procedimientos Electorales, Ley General del Sistema de Medios de Impugnación en Materia Electoral, Ley General en Materia de Delitos Electorales, Ley General de Partidos Políticos y Ley Federal de Consulta Popular. México: Instituto Nacional Electoral, Fiscalía Especializada para la Atención de Delitos Electorales, Tribunal Electoral del Poder Judicial de la Federación, Instituto de Investigaciones Jurídicas de la Universidad Nacional Autónoma de México. </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Nacional Electoral. “Acuerdo INE/CG93/2014 acuerdo del consejo general del instituto nacional electoral por el cual se determinan normas de transición en materia de fiscalización” disponible en: https://www.iepcdurango.mx/x/img2/documentos/ACUERDO%20DEL%20INE%20NORMAS%20DE%20FISCALIZACION%20REDUCIDO.pdf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Nacional Electoral. “Acuerdo INE/CG263/2014 acuerdo del consejo general del instituto nacional electoral por el que expide el reglamento de fiscalización y se abroga el reglamento de fiscalización aprobado el 4 de julio de 2011 por el consejo general del entonces instituto federal electoral mediante el acuerdo cg201/2011” disponible en: https://portalanterior.ine.mx/archivos3/portal/historico/recursos/IFE-v2/DS/DS-CG/DS-SesionesCG/CG-acuerdos/2014/Noviembre/CGex201411-19_1/CGex201411-19_ap_11.pdf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Nacional Electoral. “Acuerdo INE/CG73/2015 ACUERDO DEL CONSEJO GENERAL DEL INSTITUTO NACIONAL ELECTORAL POR EL QUE SE ESTABLECEN LAS DISPOSICIONES PARA EL REGISTRO DE LAS OPERACIONES QUE DEBERÁN CUMPLIR LOS PARTIDOS POLÍTICOS, COALICIONES Y CANDIDATOS INDEPENDIENTES, EN LA APLICACIÓN INFORMÁTICA DEL PROCESO DE CAMPAÑAS ELECTORALES DEL 2015” disponible en: https://portalanterior.ine.mx/archivos3/portal/historico/recursos/IFE-v2/DS/DS-CG/DS-SesionesCG/CG-acuerdos/2015/02_Febrero/CGord201502-25/CGor201502-25_ap_18.pdf</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Nacional Electoral (2017). “Reglamento de Fiscalización” Secretaria Ejecutiva.</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Instituto Electoral del Estado de México. (2009) “Reglamento de Fiscalización a las actividades de los partidos políticos y coaliciones”</w:t>
      </w:r>
    </w:p>
    <w:p w:rsidR="00A256AB" w:rsidRPr="009F1C04" w:rsidRDefault="00A256AB" w:rsidP="00A256AB">
      <w:pPr>
        <w:pStyle w:val="Prrafodelista"/>
        <w:rPr>
          <w:rFonts w:ascii="Arial" w:hAnsi="Arial" w:cs="Arial"/>
          <w:sz w:val="20"/>
          <w:szCs w:val="20"/>
        </w:rPr>
      </w:pPr>
    </w:p>
    <w:p w:rsidR="00A256AB" w:rsidRPr="009F1C04" w:rsidRDefault="00A256AB" w:rsidP="00A256AB">
      <w:pPr>
        <w:pStyle w:val="Prrafodelista"/>
        <w:numPr>
          <w:ilvl w:val="0"/>
          <w:numId w:val="11"/>
        </w:numPr>
        <w:jc w:val="both"/>
        <w:rPr>
          <w:rFonts w:ascii="Arial" w:hAnsi="Arial" w:cs="Arial"/>
          <w:sz w:val="20"/>
          <w:szCs w:val="20"/>
        </w:rPr>
      </w:pPr>
      <w:r w:rsidRPr="009F1C04">
        <w:rPr>
          <w:rFonts w:ascii="Arial" w:hAnsi="Arial" w:cs="Arial"/>
          <w:sz w:val="20"/>
          <w:szCs w:val="20"/>
        </w:rPr>
        <w:t xml:space="preserve">INE TV. 12 de Julio 2017. </w:t>
      </w:r>
      <w:r w:rsidRPr="009F1C04">
        <w:rPr>
          <w:rFonts w:ascii="Arial" w:hAnsi="Arial" w:cs="Arial"/>
          <w:i/>
          <w:sz w:val="20"/>
          <w:szCs w:val="20"/>
        </w:rPr>
        <w:t>“Etapas de la Unidad Técnica para Fiscalizar Ingresos y Gastos de Campañas Electorales”</w:t>
      </w:r>
      <w:r w:rsidRPr="009F1C04">
        <w:rPr>
          <w:rFonts w:ascii="Arial" w:hAnsi="Arial" w:cs="Arial"/>
          <w:sz w:val="20"/>
          <w:szCs w:val="20"/>
        </w:rPr>
        <w:t xml:space="preserve"> (Archivo de video). Recuperado de https://youtu.bee/9hC1EaBPe9g. </w:t>
      </w:r>
    </w:p>
    <w:p w:rsidR="00A256AB" w:rsidRPr="00A85D78" w:rsidRDefault="00A256AB" w:rsidP="00A256AB">
      <w:pPr>
        <w:pStyle w:val="Prrafodelista"/>
        <w:jc w:val="both"/>
        <w:rPr>
          <w:rFonts w:ascii="Arial" w:hAnsi="Arial" w:cs="Arial"/>
          <w:sz w:val="24"/>
          <w:szCs w:val="24"/>
        </w:rPr>
      </w:pPr>
    </w:p>
    <w:p w:rsidR="00A256AB" w:rsidRPr="00A85D78" w:rsidRDefault="00A256AB" w:rsidP="00A256AB">
      <w:pPr>
        <w:pStyle w:val="Prrafodelista"/>
        <w:jc w:val="both"/>
        <w:rPr>
          <w:rFonts w:ascii="Arial" w:hAnsi="Arial" w:cs="Arial"/>
          <w:sz w:val="24"/>
          <w:szCs w:val="24"/>
        </w:rPr>
      </w:pPr>
    </w:p>
    <w:p w:rsidR="00A256AB" w:rsidRPr="00A85D78" w:rsidRDefault="00A256AB" w:rsidP="00A256AB">
      <w:pPr>
        <w:pStyle w:val="Prrafodelista"/>
        <w:rPr>
          <w:rFonts w:ascii="Arial" w:hAnsi="Arial" w:cs="Arial"/>
          <w:sz w:val="24"/>
          <w:szCs w:val="24"/>
        </w:rPr>
      </w:pPr>
    </w:p>
    <w:p w:rsidR="00A256AB" w:rsidRPr="00A85D78" w:rsidRDefault="00A256AB" w:rsidP="00A256AB">
      <w:pPr>
        <w:pStyle w:val="Prrafodelista"/>
        <w:rPr>
          <w:rStyle w:val="A0"/>
          <w:rFonts w:ascii="Arial" w:hAnsi="Arial" w:cs="Arial"/>
          <w:sz w:val="24"/>
          <w:szCs w:val="24"/>
        </w:rPr>
      </w:pPr>
    </w:p>
    <w:p w:rsidR="00A256AB" w:rsidRPr="00A85D78" w:rsidRDefault="00A256AB" w:rsidP="00A256AB">
      <w:pPr>
        <w:pStyle w:val="Prrafodelista"/>
        <w:jc w:val="both"/>
        <w:rPr>
          <w:rStyle w:val="A0"/>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jc w:val="both"/>
        <w:rPr>
          <w:rFonts w:ascii="Arial" w:hAnsi="Arial" w:cs="Arial"/>
          <w:color w:val="FF0000"/>
          <w:sz w:val="24"/>
          <w:szCs w:val="24"/>
        </w:rPr>
      </w:pPr>
    </w:p>
    <w:p w:rsidR="00A256AB" w:rsidRPr="00A85D78" w:rsidRDefault="00A256AB">
      <w:pPr>
        <w:rPr>
          <w:rFonts w:ascii="Arial" w:hAnsi="Arial" w:cs="Arial"/>
          <w:b/>
          <w:sz w:val="24"/>
          <w:szCs w:val="24"/>
        </w:rPr>
      </w:pPr>
      <w:r w:rsidRPr="00A85D78">
        <w:rPr>
          <w:rFonts w:ascii="Arial" w:hAnsi="Arial" w:cs="Arial"/>
          <w:b/>
          <w:sz w:val="24"/>
          <w:szCs w:val="24"/>
        </w:rPr>
        <w:br w:type="page"/>
      </w:r>
    </w:p>
    <w:p w:rsidR="00A256AB" w:rsidRPr="00A85D78" w:rsidRDefault="00A256AB" w:rsidP="00A256AB">
      <w:pPr>
        <w:jc w:val="center"/>
        <w:rPr>
          <w:rFonts w:ascii="Arial" w:hAnsi="Arial" w:cs="Arial"/>
          <w:b/>
          <w:sz w:val="24"/>
          <w:szCs w:val="24"/>
        </w:rPr>
      </w:pPr>
      <w:r w:rsidRPr="00A85D78">
        <w:rPr>
          <w:rFonts w:ascii="Arial" w:hAnsi="Arial" w:cs="Arial"/>
          <w:b/>
          <w:sz w:val="24"/>
          <w:szCs w:val="24"/>
        </w:rPr>
        <w:lastRenderedPageBreak/>
        <w:t>CAP</w:t>
      </w:r>
      <w:r w:rsidR="006A0634">
        <w:rPr>
          <w:rFonts w:ascii="Arial" w:hAnsi="Arial" w:cs="Arial"/>
          <w:b/>
          <w:sz w:val="24"/>
          <w:szCs w:val="24"/>
        </w:rPr>
        <w:t>ÍTUL</w:t>
      </w:r>
      <w:r w:rsidRPr="00A85D78">
        <w:rPr>
          <w:rFonts w:ascii="Arial" w:hAnsi="Arial" w:cs="Arial"/>
          <w:b/>
          <w:sz w:val="24"/>
          <w:szCs w:val="24"/>
        </w:rPr>
        <w:t>O III. METODOLOG</w:t>
      </w:r>
      <w:r w:rsidR="006A0634">
        <w:rPr>
          <w:rFonts w:ascii="Arial" w:hAnsi="Arial" w:cs="Arial"/>
          <w:b/>
          <w:sz w:val="24"/>
          <w:szCs w:val="24"/>
        </w:rPr>
        <w:t>Í</w:t>
      </w:r>
      <w:r w:rsidRPr="00A85D78">
        <w:rPr>
          <w:rFonts w:ascii="Arial" w:hAnsi="Arial" w:cs="Arial"/>
          <w:b/>
          <w:sz w:val="24"/>
          <w:szCs w:val="24"/>
        </w:rPr>
        <w:t>A</w:t>
      </w:r>
    </w:p>
    <w:p w:rsidR="00A256AB" w:rsidRPr="00A85D78" w:rsidRDefault="00A256AB" w:rsidP="00A256AB">
      <w:pPr>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En los capítulos previos hemos desarrollado el marco teórico conceptual básico para abordar el tema de investigación que nos ocupa; hasta el momento hemos revisado la transformación del financiamiento público a través de las últimas décadas, así como el surgimiento y afianzamiento de la fiscalización en el país y la </w:t>
      </w:r>
      <w:r w:rsidR="006A0634">
        <w:rPr>
          <w:rFonts w:ascii="Arial" w:hAnsi="Arial" w:cs="Arial"/>
          <w:sz w:val="24"/>
          <w:szCs w:val="24"/>
        </w:rPr>
        <w:t>e</w:t>
      </w:r>
      <w:r w:rsidRPr="00A85D78">
        <w:rPr>
          <w:rFonts w:ascii="Arial" w:hAnsi="Arial" w:cs="Arial"/>
          <w:sz w:val="24"/>
          <w:szCs w:val="24"/>
        </w:rPr>
        <w:t xml:space="preserve">ntidad. </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De la misma forma hemos establecido las principales diferencias en los procesos de fiscalización utilizados en su momento por el Instituto Electoral del Estado de México y los que actualmente pone en práctica el Instituto Nacional Electoral para la revisión del origen y destino de los recursos de los partidos políticos durante campañas electorales. </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Durante el desarrollo del presente capítulo abundaremos en la explicación de la forma en que el problema de investigación será analizado en relación con los objetivos planteados, en el mismo tenor se expondrán las hipótesis tentativas que darán respuesta a las interrogantes de investigación, sin mayor preámbulo damos paso al desarrollo del mismo. </w:t>
      </w:r>
    </w:p>
    <w:p w:rsidR="003705B5" w:rsidRPr="00A85D78" w:rsidRDefault="003705B5" w:rsidP="003705B5">
      <w:pPr>
        <w:spacing w:line="360" w:lineRule="auto"/>
        <w:jc w:val="both"/>
        <w:rPr>
          <w:rFonts w:ascii="Arial" w:hAnsi="Arial" w:cs="Arial"/>
          <w:sz w:val="24"/>
          <w:szCs w:val="24"/>
        </w:rPr>
      </w:pPr>
    </w:p>
    <w:p w:rsidR="00A256AB" w:rsidRPr="006A0634" w:rsidRDefault="00A256AB" w:rsidP="00A256AB">
      <w:pPr>
        <w:jc w:val="both"/>
        <w:rPr>
          <w:rFonts w:ascii="Arial" w:hAnsi="Arial" w:cs="Arial"/>
          <w:b/>
          <w:sz w:val="24"/>
          <w:szCs w:val="24"/>
        </w:rPr>
      </w:pPr>
      <w:r w:rsidRPr="006A0634">
        <w:rPr>
          <w:rFonts w:ascii="Arial" w:hAnsi="Arial" w:cs="Arial"/>
          <w:b/>
          <w:sz w:val="24"/>
          <w:szCs w:val="24"/>
        </w:rPr>
        <w:t>3.1 Antecedentes.</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La fiscalización de los recursos de los partidos políticos es un tema relativamente reciente en la agenda académica y los círculos de debate intelectual, - basta recordar que los primeros indicios datan del año 1987, sin embargo tomó forma hasta transcurridos veinte años en 2007 – ; los principales esfuerzos hasta el momento por abordar el estudio de la fiscalización se pueden dividir en tres vertientes, la primera de ellas donde el factor de análisis parte del entramado jurídico, la segunda desde la perspectiva del financiamiento público, y la tercera desde la fiscalización de recursos en el ámbito federal; algunos ejemplos son los siguientes</w:t>
      </w:r>
      <w:r w:rsidR="003705B5">
        <w:rPr>
          <w:rFonts w:ascii="Arial" w:hAnsi="Arial" w:cs="Arial"/>
          <w:sz w:val="24"/>
          <w:szCs w:val="24"/>
        </w:rPr>
        <w:t>.</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Entre los estudios de carácter legal tenemos a Díaz (2017</w:t>
      </w:r>
      <w:r w:rsidR="00920E0E" w:rsidRPr="00A85D78">
        <w:rPr>
          <w:rFonts w:ascii="Arial" w:hAnsi="Arial" w:cs="Arial"/>
          <w:sz w:val="24"/>
          <w:szCs w:val="24"/>
        </w:rPr>
        <w:t xml:space="preserve">), </w:t>
      </w:r>
      <w:r w:rsidR="006A0634">
        <w:rPr>
          <w:rFonts w:ascii="Arial" w:hAnsi="Arial" w:cs="Arial"/>
          <w:sz w:val="24"/>
          <w:szCs w:val="24"/>
        </w:rPr>
        <w:t xml:space="preserve">quien </w:t>
      </w:r>
      <w:r w:rsidR="00920E0E" w:rsidRPr="00A85D78">
        <w:rPr>
          <w:rFonts w:ascii="Arial" w:hAnsi="Arial" w:cs="Arial"/>
          <w:sz w:val="24"/>
          <w:szCs w:val="24"/>
        </w:rPr>
        <w:t>centra</w:t>
      </w:r>
      <w:r w:rsidRPr="00A85D78">
        <w:rPr>
          <w:rFonts w:ascii="Arial" w:hAnsi="Arial" w:cs="Arial"/>
          <w:sz w:val="24"/>
          <w:szCs w:val="24"/>
        </w:rPr>
        <w:t xml:space="preserve"> su análisis en las multas impuestas a los partidos políticos durante el periodo comprendido entre 1996 – 2006 en el ámbito federal. El enfoque de su estudio es de carácter </w:t>
      </w:r>
      <w:r w:rsidR="00920E0E" w:rsidRPr="00A85D78">
        <w:rPr>
          <w:rFonts w:ascii="Arial" w:hAnsi="Arial" w:cs="Arial"/>
          <w:sz w:val="24"/>
          <w:szCs w:val="24"/>
        </w:rPr>
        <w:t>jurídico utilizando</w:t>
      </w:r>
      <w:r w:rsidRPr="00A85D78">
        <w:rPr>
          <w:rFonts w:ascii="Arial" w:hAnsi="Arial" w:cs="Arial"/>
          <w:sz w:val="24"/>
          <w:szCs w:val="24"/>
        </w:rPr>
        <w:t xml:space="preserve"> como variables las impugnaciones que los </w:t>
      </w:r>
      <w:r w:rsidRPr="00A85D78">
        <w:rPr>
          <w:rFonts w:ascii="Arial" w:hAnsi="Arial" w:cs="Arial"/>
          <w:sz w:val="24"/>
          <w:szCs w:val="24"/>
        </w:rPr>
        <w:lastRenderedPageBreak/>
        <w:t>partidos políticos realizan de las sanciones económicas impuestas por el IFE, ante el Tribunal Electoral del Poder Judicial de la Federación; concluyendo en su disertación que la mayoría de las multas impugnadas son ratificadas y las que llegan a ser revocadas son en gran medida debido a factores políticos y no a argumentos de carácter jurídico.</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Díaz </w:t>
      </w:r>
      <w:proofErr w:type="spellStart"/>
      <w:r w:rsidRPr="00A85D78">
        <w:rPr>
          <w:rFonts w:ascii="Arial" w:hAnsi="Arial" w:cs="Arial"/>
          <w:sz w:val="24"/>
          <w:szCs w:val="24"/>
        </w:rPr>
        <w:t>Menció</w:t>
      </w:r>
      <w:proofErr w:type="spellEnd"/>
      <w:r w:rsidRPr="00A85D78">
        <w:rPr>
          <w:rFonts w:ascii="Arial" w:hAnsi="Arial" w:cs="Arial"/>
          <w:sz w:val="24"/>
          <w:szCs w:val="24"/>
        </w:rPr>
        <w:t xml:space="preserve"> (2016), realiza un estudio novedoso en el que introduce al debate los costos de la fiscalización en términos monetarios para el Estado a raíz de </w:t>
      </w:r>
      <w:r w:rsidR="00920E0E" w:rsidRPr="00A85D78">
        <w:rPr>
          <w:rFonts w:ascii="Arial" w:hAnsi="Arial" w:cs="Arial"/>
          <w:sz w:val="24"/>
          <w:szCs w:val="24"/>
        </w:rPr>
        <w:t>la implementación</w:t>
      </w:r>
      <w:r w:rsidRPr="00A85D78">
        <w:rPr>
          <w:rFonts w:ascii="Arial" w:hAnsi="Arial" w:cs="Arial"/>
          <w:sz w:val="24"/>
          <w:szCs w:val="24"/>
        </w:rPr>
        <w:t xml:space="preserve"> de las reformas electorales 2007-2008 y 2014. Como resultado de su estudio encuentra que el gasto que realiza el INE es cada vez mayor en funciones distintas a las de organizar procesos electorales. El costo de implementación de dichas reformas representó el 11% del presupuesto total del INE de 2000 a 2016; una de las limitaciones de su disertación es que no pudo establecer una relación de costo-beneficio de implementación de dichas reformas.</w:t>
      </w:r>
    </w:p>
    <w:p w:rsidR="003705B5" w:rsidRPr="00A85D78" w:rsidRDefault="003705B5" w:rsidP="003705B5">
      <w:pPr>
        <w:spacing w:line="360" w:lineRule="auto"/>
        <w:jc w:val="both"/>
        <w:rPr>
          <w:rFonts w:ascii="Arial" w:hAnsi="Arial" w:cs="Arial"/>
          <w:sz w:val="24"/>
          <w:szCs w:val="24"/>
        </w:rPr>
      </w:pPr>
    </w:p>
    <w:p w:rsidR="00A256AB" w:rsidRPr="00A85D78"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Hernández (2016), aborda el tema desde la perspectiva de la rendición de cuentas; su principal variable de estudio son las nuevas tecnologías utilizadas para la fiscalización en particular el Sistema Integral de Fiscalización (SIF), entre sus principales hallazgos se encuentra la adecuada fundamentación jurídica para la obligatoriedad de su utilización por parte de los sujetos obligados.</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Finalmente existen también casos en los que se ha abordado la fiscalización en el ámbito local concretamente en el entonces Distrito Federal y en el Estado de México. Granados (2014) estudia la fiscalización a partidos políticos en el seno del Instituto Electoral del Distrito Federal (IEDF). En el punto medular de su análisis describe los pormenores del proceso de auditoría que el IEDF implementó para la revisión de los ingresos y gastos de los partidos durante la revisión de los informes anuales, procesos de selección interna de candidatos y campaña. Todo ello, sustentando cada acción de forma jurídica sin llegar a abordar casos específicos, como lo pretende hacer la presente investigación.</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Para el caso de nuestra </w:t>
      </w:r>
      <w:r w:rsidR="00CD62D2">
        <w:rPr>
          <w:rFonts w:ascii="Arial" w:hAnsi="Arial" w:cs="Arial"/>
          <w:sz w:val="24"/>
          <w:szCs w:val="24"/>
        </w:rPr>
        <w:t>e</w:t>
      </w:r>
      <w:r w:rsidRPr="00A85D78">
        <w:rPr>
          <w:rFonts w:ascii="Arial" w:hAnsi="Arial" w:cs="Arial"/>
          <w:sz w:val="24"/>
          <w:szCs w:val="24"/>
        </w:rPr>
        <w:t xml:space="preserve">ntidad, un referente lo establece Jiménez (2014), su objetivo central es dejar en claro las autoridades constitucionales responsables de la fiscalización en el Estado de México; reconoce a la fiscalización como un </w:t>
      </w:r>
      <w:r w:rsidRPr="00A85D78">
        <w:rPr>
          <w:rFonts w:ascii="Arial" w:hAnsi="Arial" w:cs="Arial"/>
          <w:sz w:val="24"/>
          <w:szCs w:val="24"/>
        </w:rPr>
        <w:lastRenderedPageBreak/>
        <w:t>instrumento democrático en razón de que los ciudadanos tendrán certeza del origen de los recursos utilizados por los partidos en sus respectivas campañas proselitistas, así como a administración de sus recursos. En su razonamiento, estos hechos abonan a una mayor trasparencia para los ciudadanos. El estudio fue realizado bajo el anterior esquema de revisión a cargo del Instituto Electoral del Estado de México, sin precisar resultado alguno arrojado por la auditoría realizada por la autoridad.</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Una vez realizada una breve recapitulación de los estudios en la materia, queda evidenciado el predominio de la corriente jurídica en la elaboración de estudios referentes a la fiscalización de recursos de partidos, por </w:t>
      </w:r>
      <w:proofErr w:type="gramStart"/>
      <w:r w:rsidRPr="00A85D78">
        <w:rPr>
          <w:rFonts w:ascii="Arial" w:hAnsi="Arial" w:cs="Arial"/>
          <w:sz w:val="24"/>
          <w:szCs w:val="24"/>
        </w:rPr>
        <w:t>ende</w:t>
      </w:r>
      <w:proofErr w:type="gramEnd"/>
      <w:r w:rsidRPr="00A85D78">
        <w:rPr>
          <w:rFonts w:ascii="Arial" w:hAnsi="Arial" w:cs="Arial"/>
          <w:sz w:val="24"/>
          <w:szCs w:val="24"/>
        </w:rPr>
        <w:t xml:space="preserve"> en los siguientes apartados ahondaremos en las pretensiones y alcances de nuestro proyecto de investigación.</w:t>
      </w:r>
    </w:p>
    <w:p w:rsidR="003705B5" w:rsidRDefault="003705B5" w:rsidP="003705B5">
      <w:pPr>
        <w:spacing w:line="360" w:lineRule="auto"/>
        <w:jc w:val="both"/>
        <w:rPr>
          <w:rFonts w:ascii="Arial" w:hAnsi="Arial" w:cs="Arial"/>
          <w:sz w:val="24"/>
          <w:szCs w:val="24"/>
        </w:rPr>
      </w:pPr>
    </w:p>
    <w:p w:rsidR="000130C0" w:rsidRPr="00A85D78" w:rsidRDefault="000130C0" w:rsidP="003705B5">
      <w:pPr>
        <w:spacing w:line="360" w:lineRule="auto"/>
        <w:jc w:val="both"/>
        <w:rPr>
          <w:rFonts w:ascii="Arial" w:hAnsi="Arial" w:cs="Arial"/>
          <w:sz w:val="24"/>
          <w:szCs w:val="24"/>
        </w:rPr>
      </w:pPr>
    </w:p>
    <w:p w:rsidR="00A256AB" w:rsidRPr="00CD62D2" w:rsidRDefault="00A256AB" w:rsidP="00A256AB">
      <w:pPr>
        <w:rPr>
          <w:rFonts w:ascii="Arial" w:hAnsi="Arial" w:cs="Arial"/>
          <w:b/>
          <w:sz w:val="24"/>
          <w:szCs w:val="24"/>
        </w:rPr>
      </w:pPr>
      <w:r w:rsidRPr="00CD62D2">
        <w:rPr>
          <w:rFonts w:ascii="Arial" w:hAnsi="Arial" w:cs="Arial"/>
          <w:b/>
          <w:sz w:val="24"/>
          <w:szCs w:val="24"/>
        </w:rPr>
        <w:t>3.2 Diseño de la Investigación</w:t>
      </w:r>
      <w:r w:rsidR="003D1A3D">
        <w:rPr>
          <w:rFonts w:ascii="Arial" w:hAnsi="Arial" w:cs="Arial"/>
          <w:b/>
          <w:sz w:val="24"/>
          <w:szCs w:val="24"/>
        </w:rPr>
        <w:t>.</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El problema de investigación en el que se enfoca esta tesis es que el proceso de fiscalización de los recursos financieros utilizados por los partidos políticos en campañas electorales, a pesar de un cambio de órgano </w:t>
      </w:r>
      <w:r w:rsidR="00920E0E" w:rsidRPr="00A85D78">
        <w:rPr>
          <w:rFonts w:ascii="Arial" w:hAnsi="Arial" w:cs="Arial"/>
          <w:sz w:val="24"/>
          <w:szCs w:val="24"/>
        </w:rPr>
        <w:t>fiscalizador -</w:t>
      </w:r>
      <w:r w:rsidRPr="00A85D78">
        <w:rPr>
          <w:rFonts w:ascii="Arial" w:hAnsi="Arial" w:cs="Arial"/>
          <w:sz w:val="24"/>
          <w:szCs w:val="24"/>
        </w:rPr>
        <w:t xml:space="preserve"> IEEM a INE- para el caso de los comicios locales en el Estado de México, no ha sufrido modificaciones de fondo. La columna vertebral de este cambio radica en la disminución sustancial de los tiempos para la revisión de los informes de campaña presentados por partidos y candidatos ha traído como consecuencia una merma en la exhaustividad y profundidad del análisis de la información financiera presentada por los institutos políticos. </w:t>
      </w:r>
    </w:p>
    <w:p w:rsidR="003705B5" w:rsidRPr="00A85D78" w:rsidRDefault="003705B5" w:rsidP="003705B5">
      <w:pPr>
        <w:spacing w:line="360" w:lineRule="auto"/>
        <w:jc w:val="both"/>
        <w:rPr>
          <w:rFonts w:ascii="Arial" w:hAnsi="Arial" w:cs="Arial"/>
          <w:sz w:val="24"/>
          <w:szCs w:val="24"/>
        </w:rPr>
      </w:pPr>
    </w:p>
    <w:p w:rsidR="00A256AB" w:rsidRPr="00A85D78" w:rsidRDefault="00A256AB" w:rsidP="003705B5">
      <w:pPr>
        <w:spacing w:line="360" w:lineRule="auto"/>
        <w:jc w:val="both"/>
        <w:rPr>
          <w:rFonts w:ascii="Arial" w:hAnsi="Arial" w:cs="Arial"/>
          <w:sz w:val="24"/>
          <w:szCs w:val="24"/>
        </w:rPr>
      </w:pPr>
      <w:r w:rsidRPr="00A85D78">
        <w:rPr>
          <w:rFonts w:ascii="Arial" w:hAnsi="Arial" w:cs="Arial"/>
          <w:sz w:val="24"/>
          <w:szCs w:val="24"/>
        </w:rPr>
        <w:t>Si bien uno de los puntos torales del proceso de fiscalización del INE, radica en el registro de operaciones y revisión en tiempo real</w:t>
      </w:r>
      <w:r w:rsidRPr="003705B5">
        <w:footnoteReference w:id="21"/>
      </w:r>
      <w:r w:rsidRPr="00A85D78">
        <w:rPr>
          <w:rFonts w:ascii="Arial" w:hAnsi="Arial" w:cs="Arial"/>
          <w:sz w:val="24"/>
          <w:szCs w:val="24"/>
        </w:rPr>
        <w:t xml:space="preserve"> de ingresos y gastos; en la práctica, la autoridad se encuentra muy distante de hacer una revisión en tiempo real; limitándose este ejercicio de revisión a los 10 días posteriores a la entrega de informes que establece la legislación.</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lastRenderedPageBreak/>
        <w:t xml:space="preserve">Al acotar notablemente el tiempo para revisar los informes de campaña de partidos y candidatos, la calidad de la fiscalización puede verse afectada; para determinar si los atributos del proceso de fiscalización electoral han disminuido a raíz del cambio de órgano </w:t>
      </w:r>
      <w:r w:rsidR="00920E0E" w:rsidRPr="00A85D78">
        <w:rPr>
          <w:rFonts w:ascii="Arial" w:hAnsi="Arial" w:cs="Arial"/>
          <w:sz w:val="24"/>
          <w:szCs w:val="24"/>
        </w:rPr>
        <w:t>fiscalizador, trataremos</w:t>
      </w:r>
      <w:r w:rsidRPr="00A85D78">
        <w:rPr>
          <w:rFonts w:ascii="Arial" w:hAnsi="Arial" w:cs="Arial"/>
          <w:sz w:val="24"/>
          <w:szCs w:val="24"/>
        </w:rPr>
        <w:t xml:space="preserve"> de dar respuesta a varias interrogantes.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En primera instancia la pregunta que rige el curso de nuestra investigación es la siguiente: ¿El cambio de órgano fiscalizador IEEM a INE, ha modificado los procesos de fiscalización de recursos financieros de partidos y candidatos en campañas electorales?; si bien la disminución de tiempos en el proceso de revisión es la principal característica del nuevo modelo de fiscalización, al presentarse un cambio de órgano fiscalizador por ende también el proceso de fiscalización es modificado, la intención es explorar hasta qué punto se ha modificado de fondo dicho proceso y su repercusión en la calidad de la fiscalización de los ingresos y gastos de los partidos.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Profundizando más en el tema, otras peguntas que pueden resolverse son ¿Cómo ha sido la fiscalización electoral de partidos políticos en campañas electorales en el Estado de México, en el periodo 2009-2018?, de esta manera conoceremos los procesos de fiscalización del IEEM y del INE, estableciendo las principales diferencias entre los resultados arrojados; por otra parte al analizar de fondo dichos resultados y sus causas podremos saber ¿Cuál es el factor determinante para que las multas impuestas por el INE sean considerablemente más altas que las sanciones impuestas en su momento por el IEEM?, finalmente surge la pregunta: ¿Qué órgano Fiscalizador es más eficiente al realizar su labor?</w:t>
      </w:r>
      <w:r w:rsidR="003705B5">
        <w:rPr>
          <w:rFonts w:ascii="Arial" w:hAnsi="Arial" w:cs="Arial"/>
          <w:sz w:val="24"/>
          <w:szCs w:val="24"/>
        </w:rPr>
        <w:t>.</w:t>
      </w:r>
    </w:p>
    <w:p w:rsidR="003705B5" w:rsidRPr="00A85D78" w:rsidRDefault="003705B5" w:rsidP="003705B5">
      <w:pPr>
        <w:spacing w:line="360" w:lineRule="auto"/>
        <w:jc w:val="both"/>
        <w:rPr>
          <w:rFonts w:ascii="Arial" w:hAnsi="Arial" w:cs="Arial"/>
          <w:sz w:val="24"/>
          <w:szCs w:val="24"/>
        </w:rPr>
      </w:pPr>
    </w:p>
    <w:p w:rsidR="00A256AB" w:rsidRPr="00A85D78"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A lo largo del desarrollo de la investigación buscaremos despejar estos cuestionamientos analizando los resultados de los procesos de fiscalización realizados por ambos órganos de fiscalización en la última década. Los cambios introducidos por la reforma electoral 2014 en materia de fiscalización definitivamente han impactado a los partidos políticos quienes cada vez se preocupan más por evitar conductas </w:t>
      </w:r>
      <w:r w:rsidR="00920E0E" w:rsidRPr="00A85D78">
        <w:rPr>
          <w:rFonts w:ascii="Arial" w:hAnsi="Arial" w:cs="Arial"/>
          <w:sz w:val="24"/>
          <w:szCs w:val="24"/>
        </w:rPr>
        <w:t>infractoras sanciones</w:t>
      </w:r>
      <w:r w:rsidRPr="00A85D78">
        <w:rPr>
          <w:rFonts w:ascii="Arial" w:hAnsi="Arial" w:cs="Arial"/>
          <w:sz w:val="24"/>
          <w:szCs w:val="24"/>
        </w:rPr>
        <w:t xml:space="preserve"> que disminuyan su capacidad de operación financiera. </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lastRenderedPageBreak/>
        <w:t xml:space="preserve">A partir de la formulación de la pregunta de </w:t>
      </w:r>
      <w:r w:rsidR="00920E0E" w:rsidRPr="00A85D78">
        <w:rPr>
          <w:rFonts w:ascii="Arial" w:hAnsi="Arial" w:cs="Arial"/>
          <w:sz w:val="24"/>
          <w:szCs w:val="24"/>
        </w:rPr>
        <w:t>investigación planteamos</w:t>
      </w:r>
      <w:r w:rsidRPr="00A85D78">
        <w:rPr>
          <w:rFonts w:ascii="Arial" w:hAnsi="Arial" w:cs="Arial"/>
          <w:sz w:val="24"/>
          <w:szCs w:val="24"/>
        </w:rPr>
        <w:t xml:space="preserve"> un par de hipótesis:</w:t>
      </w:r>
    </w:p>
    <w:p w:rsidR="003705B5" w:rsidRPr="00A85D78" w:rsidRDefault="003705B5" w:rsidP="003705B5">
      <w:pPr>
        <w:spacing w:line="360" w:lineRule="auto"/>
        <w:jc w:val="both"/>
        <w:rPr>
          <w:rFonts w:ascii="Arial" w:hAnsi="Arial" w:cs="Arial"/>
          <w:sz w:val="24"/>
          <w:szCs w:val="24"/>
        </w:rPr>
      </w:pPr>
    </w:p>
    <w:p w:rsidR="00A256AB" w:rsidRPr="00A85D78" w:rsidRDefault="00A256AB" w:rsidP="003705B5">
      <w:pPr>
        <w:spacing w:line="360" w:lineRule="auto"/>
        <w:jc w:val="both"/>
        <w:rPr>
          <w:rFonts w:ascii="Arial" w:hAnsi="Arial" w:cs="Arial"/>
          <w:sz w:val="24"/>
          <w:szCs w:val="24"/>
        </w:rPr>
      </w:pPr>
      <w:r w:rsidRPr="003705B5">
        <w:rPr>
          <w:rFonts w:ascii="Arial" w:hAnsi="Arial" w:cs="Arial"/>
          <w:i/>
          <w:iCs/>
          <w:sz w:val="24"/>
          <w:szCs w:val="24"/>
        </w:rPr>
        <w:t>H1</w:t>
      </w:r>
      <w:r w:rsidR="00920E0E" w:rsidRPr="003705B5">
        <w:rPr>
          <w:rFonts w:ascii="Arial" w:hAnsi="Arial" w:cs="Arial"/>
          <w:i/>
          <w:iCs/>
          <w:sz w:val="24"/>
          <w:szCs w:val="24"/>
        </w:rPr>
        <w:t>:</w:t>
      </w:r>
      <w:r w:rsidRPr="00A85D78">
        <w:rPr>
          <w:rFonts w:ascii="Arial" w:hAnsi="Arial" w:cs="Arial"/>
          <w:sz w:val="24"/>
          <w:szCs w:val="24"/>
        </w:rPr>
        <w:t xml:space="preserve"> que el Instituto Nacional Electoral (INE) fiscaliza con menor calidad que el IEEM,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sanciona con mayor rigor las conductas infractoras de los partidos y candidatos encontradas a raíz de sus hallazgos de auditoría, buscando subsanar esta deficiencia en la exhaustividad en su revisión de informes de campaña.</w:t>
      </w:r>
    </w:p>
    <w:p w:rsidR="00920E0E" w:rsidRPr="00A85D78" w:rsidRDefault="00920E0E"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3705B5">
        <w:rPr>
          <w:rFonts w:ascii="Arial" w:hAnsi="Arial" w:cs="Arial"/>
          <w:i/>
          <w:iCs/>
          <w:sz w:val="24"/>
          <w:szCs w:val="24"/>
        </w:rPr>
        <w:t>H2</w:t>
      </w:r>
      <w:r w:rsidR="00920E0E" w:rsidRPr="003705B5">
        <w:rPr>
          <w:rFonts w:ascii="Arial" w:hAnsi="Arial" w:cs="Arial"/>
          <w:i/>
          <w:iCs/>
          <w:sz w:val="24"/>
          <w:szCs w:val="24"/>
        </w:rPr>
        <w:t>:</w:t>
      </w:r>
      <w:r w:rsidRPr="00A85D78">
        <w:rPr>
          <w:rFonts w:ascii="Arial" w:hAnsi="Arial" w:cs="Arial"/>
          <w:sz w:val="24"/>
          <w:szCs w:val="24"/>
        </w:rPr>
        <w:t xml:space="preserve"> los procesos de fiscalización empleados por los órganos de fiscalización, guardan similitudes entre sí,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el modelo de sanciones impuesto por el INE ha modificado la percepción de los partidos políticos siendo más eficiente en la prevención de conductas infractoras.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Este proyecto de investigación radica en describir la calidad de la fiscalización llevada a cabo por dos órganos pertenecientes a entramados institucionales distintos, regidos por andamiajes jurídicos distintos en coyunturas distintas; tomando como punto de partida de análisis los resultados arrojados por los procesos de auditoria convertidos en variables cuantitativas, tales como conductas infractoras, sanciones económicas y medios de impugnación. </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Para confirmar o desmentir las hipótesis planteadas es necesario conducir la investigación por medio de objetivos que coadyuven a demostrar con sustento en postulados teórico – metodológicos los principales hallazgos derivados de este proyecto de investigación, para lograrlo es necesario:</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Entender cómo ha evolucionado la fiscalización de recursos financieros de los partidos políticos y candidatos en el ámbito electoral en México; contar con bases sólidas que contextualicen la coyuntura actual de la fiscalización en la Entidad resulta un ejercicio toral para el desarrollo de las etapas posteriores de la investigación.</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Diferenciar los modelos de fiscalización implementados por la Unidad Técnica de Fiscalización del IEEM y el modelo implementado por la Unidad Técnica de </w:t>
      </w:r>
      <w:r w:rsidRPr="00A85D78">
        <w:rPr>
          <w:rFonts w:ascii="Arial" w:hAnsi="Arial" w:cs="Arial"/>
          <w:sz w:val="24"/>
          <w:szCs w:val="24"/>
        </w:rPr>
        <w:lastRenderedPageBreak/>
        <w:t>Fiscalización del INE; de esta manera tendremos elementos suficientes para comprender los principales cambios en la forma de fiscalizar de ambas autoridades.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Comparar variables cuantitativas derivadas de los resultados de los procesos de fiscalización en las elecciones ocales celebradas en los últimos 10 años. Analizaremos variables como número de conductas infractoras, multas y medios de impugnación presentados en contra de las sanciones impuestas.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Finalmente es pertinente establecer las limitaciones de</w:t>
      </w:r>
      <w:r w:rsidR="00A65E3D">
        <w:rPr>
          <w:rFonts w:ascii="Arial" w:hAnsi="Arial" w:cs="Arial"/>
          <w:sz w:val="24"/>
          <w:szCs w:val="24"/>
        </w:rPr>
        <w:t>l</w:t>
      </w:r>
      <w:r w:rsidRPr="00A85D78">
        <w:rPr>
          <w:rFonts w:ascii="Arial" w:hAnsi="Arial" w:cs="Arial"/>
          <w:sz w:val="24"/>
          <w:szCs w:val="24"/>
        </w:rPr>
        <w:t xml:space="preserve"> análisis, nuestro trabajo no pretende hacer hincapié en los resultados de los medios de impugnación presentados por los partidos políticos ante el Tribunal Electoral local y federal; de la misma forma no es materia de estudio los escándalos derivados de las campañas electorales por supuestos rebases de topes de campaña como el caso Monex; tampoco lo es la posible afinidad de Consejeros Electorales del IEEM con partidos políticos a nivel local; si bien los puntos anteriores representan ejemplos de coyuntura en partes especificas del desarrollo de la investigación únicamente fueron utilizados de forma explicativa. </w:t>
      </w:r>
    </w:p>
    <w:p w:rsidR="003705B5" w:rsidRDefault="003705B5" w:rsidP="003705B5">
      <w:pPr>
        <w:spacing w:line="360" w:lineRule="auto"/>
        <w:jc w:val="both"/>
        <w:rPr>
          <w:rFonts w:ascii="Arial" w:hAnsi="Arial" w:cs="Arial"/>
          <w:sz w:val="24"/>
          <w:szCs w:val="24"/>
        </w:rPr>
      </w:pPr>
    </w:p>
    <w:p w:rsidR="00A256AB" w:rsidRPr="00A65E3D" w:rsidRDefault="00A256AB" w:rsidP="00A256AB">
      <w:pPr>
        <w:rPr>
          <w:rFonts w:ascii="Arial" w:hAnsi="Arial" w:cs="Arial"/>
          <w:b/>
          <w:sz w:val="24"/>
          <w:szCs w:val="24"/>
        </w:rPr>
      </w:pPr>
      <w:r w:rsidRPr="00A65E3D">
        <w:rPr>
          <w:rFonts w:ascii="Arial" w:hAnsi="Arial" w:cs="Arial"/>
          <w:b/>
          <w:sz w:val="24"/>
          <w:szCs w:val="24"/>
        </w:rPr>
        <w:t>3.3. Recolección de datos</w:t>
      </w:r>
      <w:r w:rsidR="003D1A3D">
        <w:rPr>
          <w:rFonts w:ascii="Arial" w:hAnsi="Arial" w:cs="Arial"/>
          <w:b/>
          <w:sz w:val="24"/>
          <w:szCs w:val="24"/>
        </w:rPr>
        <w:t>.</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El análisis de los modelos de fiscalización implementados en los últimos 10 años, nos lleva a analizar detenidamente distintos tipos de variables, en primera instancia los procesos electorales y los partidos políticos que participaron en dichos comicios. En esta tesitura analizaremos la fiscalización de recursos en 7 procesos </w:t>
      </w:r>
      <w:r w:rsidR="00920E0E" w:rsidRPr="00A85D78">
        <w:rPr>
          <w:rFonts w:ascii="Arial" w:hAnsi="Arial" w:cs="Arial"/>
          <w:sz w:val="24"/>
          <w:szCs w:val="24"/>
        </w:rPr>
        <w:t>electorales, 3</w:t>
      </w:r>
      <w:r w:rsidRPr="00A85D78">
        <w:rPr>
          <w:rFonts w:ascii="Arial" w:hAnsi="Arial" w:cs="Arial"/>
          <w:sz w:val="24"/>
          <w:szCs w:val="24"/>
        </w:rPr>
        <w:t xml:space="preserve"> de ellos fiscalizados por el IEEM y 4 revisados por el INE, en la tabla 3.1 se establece una relación entre tipo de elección y partidos políticos participantes.</w:t>
      </w:r>
    </w:p>
    <w:p w:rsidR="003705B5" w:rsidRPr="00A85D78" w:rsidRDefault="003705B5" w:rsidP="003705B5">
      <w:pPr>
        <w:spacing w:line="360" w:lineRule="auto"/>
        <w:jc w:val="both"/>
        <w:rPr>
          <w:rFonts w:ascii="Arial" w:hAnsi="Arial" w:cs="Arial"/>
          <w:sz w:val="24"/>
          <w:szCs w:val="24"/>
        </w:rPr>
      </w:pPr>
    </w:p>
    <w:p w:rsidR="00A256AB" w:rsidRDefault="00A256AB" w:rsidP="003705B5">
      <w:pPr>
        <w:tabs>
          <w:tab w:val="left" w:pos="5070"/>
        </w:tabs>
        <w:jc w:val="both"/>
        <w:rPr>
          <w:rStyle w:val="Ttulodellibro"/>
          <w:rFonts w:ascii="Arial" w:hAnsi="Arial" w:cs="Arial"/>
          <w:b/>
          <w:i/>
          <w:color w:val="auto"/>
          <w:sz w:val="20"/>
          <w:szCs w:val="20"/>
        </w:rPr>
      </w:pPr>
      <w:r w:rsidRPr="003705B5">
        <w:rPr>
          <w:rStyle w:val="Ttulodellibro"/>
          <w:rFonts w:ascii="Arial" w:hAnsi="Arial" w:cs="Arial"/>
          <w:b/>
          <w:i/>
          <w:color w:val="auto"/>
          <w:sz w:val="20"/>
          <w:szCs w:val="20"/>
        </w:rPr>
        <w:t>Tabla 3.1 Procesos Electorales y Partidos Participantes 2009 – 2018 en el Estado de México.</w:t>
      </w:r>
    </w:p>
    <w:p w:rsidR="003705B5" w:rsidRPr="003705B5" w:rsidRDefault="003705B5" w:rsidP="003705B5">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934"/>
        <w:gridCol w:w="2207"/>
        <w:gridCol w:w="3797"/>
        <w:gridCol w:w="1556"/>
      </w:tblGrid>
      <w:tr w:rsidR="00A256AB" w:rsidRPr="003705B5" w:rsidTr="003705B5">
        <w:tc>
          <w:tcPr>
            <w:tcW w:w="550"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AÑO</w:t>
            </w:r>
          </w:p>
        </w:tc>
        <w:tc>
          <w:tcPr>
            <w:tcW w:w="1299"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TIPO DE ELECCIÓN</w:t>
            </w:r>
          </w:p>
        </w:tc>
        <w:tc>
          <w:tcPr>
            <w:tcW w:w="2235"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PARTIDOS PARTICIPANTES</w:t>
            </w:r>
          </w:p>
        </w:tc>
        <w:tc>
          <w:tcPr>
            <w:tcW w:w="916"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ORGANO FISCALIZADOR</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2009</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Ayuntamientos y Diputados Locales</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 xml:space="preserve">PRI, PAN, PRD, PT, PVEM, Convergencia, Nueva Alianza, Partido Social Demócrata y Partido Futuro Democrático. </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IEEM</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2011</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Gobernador</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PAN, Coalición Unidos por Ti (PRI, PVEM, Nueva Alianza), Coalición Unidos Podemos Más (PRD, PT, Convergencia).</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IEEM</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lastRenderedPageBreak/>
              <w:t>2012</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Ayuntamientos y Diputados Locales</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PAN, PRI, PRD, PT, PVEM, Movimiento Ciudadano y Nueva Alianza. Coalición “Compromiso con el Estado de México” (PRI-PVEM-NA), Coalición “Compromiso con el Estado de México” (PRI-PVEM), Coalición “Comprometidos por el Estado de México (PRI – NA) y Coalición MORENA (PT – MC). Coalición “Unidos es Posible” (PRD – MC), Coalición “El Cambio Verdadero” (PRD-PT), Coalición “Movimiento Progresista “PRD-PT-MC).</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IEEM</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2015</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Ayuntamientos y Diputados Locales</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PAN, PRI, PRD, PT, PVEM, Movimiento Ciudadano, Nueva Alianza, Partido Humanista, Partido Encuentro Social, Partido Futuro Democrático, MORENA. Coalición (PRI-PVEM-NA), Coalición (PAN-PT)</w:t>
            </w:r>
            <w:r w:rsidR="00A65E3D" w:rsidRPr="003705B5">
              <w:rPr>
                <w:rFonts w:ascii="Arial" w:hAnsi="Arial" w:cs="Arial"/>
                <w:sz w:val="18"/>
                <w:szCs w:val="18"/>
                <w:lang w:val="es-ES_tradnl"/>
              </w:rPr>
              <w:t>.</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INE</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2016</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Ayuntamiento Chiautla (Extraordinaria)</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 xml:space="preserve">PAN, Movimiento Ciudadano, Morena, Partido Encuentro Social, Partido Futuro Democrático, Coalición (PRI-PVEM-Nueva Alianza), Coalición (PRD –PT). </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INE</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2017</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Gobernador</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PAN, PRD, PT, MORENA, Coalición (PRI, PVEM, NA, Partido Encuentro Social), Teresa Castell (Independiente)</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INE</w:t>
            </w:r>
          </w:p>
        </w:tc>
      </w:tr>
      <w:tr w:rsidR="00A256AB" w:rsidRPr="003705B5" w:rsidTr="003705B5">
        <w:tc>
          <w:tcPr>
            <w:tcW w:w="550"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2018</w:t>
            </w:r>
          </w:p>
        </w:tc>
        <w:tc>
          <w:tcPr>
            <w:tcW w:w="1299"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Ayuntamientos y Diputados Locales</w:t>
            </w:r>
          </w:p>
        </w:tc>
        <w:tc>
          <w:tcPr>
            <w:tcW w:w="2235" w:type="pct"/>
          </w:tcPr>
          <w:p w:rsidR="00A256AB" w:rsidRPr="003705B5" w:rsidRDefault="00A256AB" w:rsidP="00A256AB">
            <w:pPr>
              <w:jc w:val="both"/>
              <w:rPr>
                <w:rFonts w:ascii="Arial" w:hAnsi="Arial" w:cs="Arial"/>
                <w:sz w:val="18"/>
                <w:szCs w:val="18"/>
                <w:lang w:val="es-ES_tradnl"/>
              </w:rPr>
            </w:pPr>
            <w:r w:rsidRPr="003705B5">
              <w:rPr>
                <w:rFonts w:ascii="Arial" w:hAnsi="Arial" w:cs="Arial"/>
                <w:sz w:val="18"/>
                <w:szCs w:val="18"/>
                <w:lang w:val="es-ES_tradnl"/>
              </w:rPr>
              <w:t>PRI, PAN, PRD, PT, PVEM, Nueva Alianza, MC, Vía Radical, MORENA, Partido Encuentro Social. Coalición por el Estado de México al Frente (PAN-PRD-MC), Coalición Juntos Haremos Historia (MORENA, PT, Partido Encuentro Social).</w:t>
            </w:r>
          </w:p>
        </w:tc>
        <w:tc>
          <w:tcPr>
            <w:tcW w:w="916" w:type="pct"/>
            <w:vAlign w:val="center"/>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INE</w:t>
            </w:r>
          </w:p>
        </w:tc>
      </w:tr>
    </w:tbl>
    <w:p w:rsidR="00A256AB" w:rsidRPr="003705B5" w:rsidRDefault="00A256AB" w:rsidP="00A256AB">
      <w:pPr>
        <w:jc w:val="both"/>
        <w:rPr>
          <w:rFonts w:ascii="Arial" w:hAnsi="Arial" w:cs="Arial"/>
          <w:i/>
          <w:iCs/>
          <w:sz w:val="16"/>
          <w:szCs w:val="16"/>
        </w:rPr>
      </w:pPr>
      <w:r w:rsidRPr="003705B5">
        <w:rPr>
          <w:rFonts w:ascii="Arial" w:hAnsi="Arial" w:cs="Arial"/>
          <w:b/>
          <w:bCs/>
          <w:i/>
          <w:iCs/>
          <w:sz w:val="16"/>
          <w:szCs w:val="16"/>
        </w:rPr>
        <w:t>Fuente:</w:t>
      </w:r>
      <w:r w:rsidRPr="003705B5">
        <w:rPr>
          <w:rFonts w:ascii="Arial" w:hAnsi="Arial" w:cs="Arial"/>
          <w:i/>
          <w:iCs/>
          <w:sz w:val="16"/>
          <w:szCs w:val="16"/>
        </w:rPr>
        <w:t xml:space="preserve"> Elaboración propia con datos del Instituto Electoral del Estado de México.</w:t>
      </w:r>
      <w:r w:rsidRPr="003705B5">
        <w:rPr>
          <w:rFonts w:ascii="Arial" w:hAnsi="Arial" w:cs="Arial"/>
          <w:i/>
          <w:iCs/>
        </w:rPr>
        <w:t xml:space="preserve"> </w:t>
      </w:r>
      <w:r w:rsidRPr="003705B5">
        <w:rPr>
          <w:rFonts w:ascii="Arial" w:hAnsi="Arial" w:cs="Arial"/>
          <w:i/>
          <w:iCs/>
          <w:sz w:val="16"/>
          <w:szCs w:val="16"/>
        </w:rPr>
        <w:t>http://www.ieem.org.mx/numeralia/result_elect.html</w:t>
      </w:r>
    </w:p>
    <w:p w:rsidR="003705B5"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Como podemos observar en la tabla anterior en los últimos diez años, nuestra </w:t>
      </w:r>
      <w:r w:rsidR="00A65E3D">
        <w:rPr>
          <w:rFonts w:ascii="Arial" w:hAnsi="Arial" w:cs="Arial"/>
          <w:sz w:val="24"/>
          <w:szCs w:val="24"/>
        </w:rPr>
        <w:t>e</w:t>
      </w:r>
      <w:r w:rsidRPr="00A85D78">
        <w:rPr>
          <w:rFonts w:ascii="Arial" w:hAnsi="Arial" w:cs="Arial"/>
          <w:sz w:val="24"/>
          <w:szCs w:val="24"/>
        </w:rPr>
        <w:t>ntidad ha vivido una intensa actividad en procesos electorales, donde se ha renovado en 2 ocasiones al Titular del Ejecutivo Estatal y en 4 ocasiones al Congreso Local y Ayuntamientos, mención aparte merece la elección extraordinaria de Chiautla en 2016.</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En 2009 participaron 9 partidos sin coaliciones, cabe destacar que en este proceso electoral la novedad fueron las candidaturas comunes. Para el 2011 participaron un partido y dos coaliciones; 2012 es la elección con menos partidos participantes con 7,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el número de coaliciones integradas es el más alto con 7. Estos fueron los procesos bajo revisión de la Unidad Técnica de Fiscalización del IEEM.</w:t>
      </w:r>
    </w:p>
    <w:p w:rsidR="003705B5" w:rsidRPr="00A85D78" w:rsidRDefault="003705B5" w:rsidP="003705B5">
      <w:pPr>
        <w:spacing w:line="360" w:lineRule="auto"/>
        <w:jc w:val="both"/>
        <w:rPr>
          <w:rFonts w:ascii="Arial" w:hAnsi="Arial" w:cs="Arial"/>
          <w:sz w:val="24"/>
          <w:szCs w:val="24"/>
        </w:rPr>
      </w:pPr>
    </w:p>
    <w:p w:rsidR="00A256AB" w:rsidRPr="00A85D78" w:rsidRDefault="00A256AB" w:rsidP="003705B5">
      <w:pPr>
        <w:spacing w:line="360" w:lineRule="auto"/>
        <w:jc w:val="both"/>
        <w:rPr>
          <w:rFonts w:ascii="Arial" w:hAnsi="Arial" w:cs="Arial"/>
          <w:sz w:val="24"/>
          <w:szCs w:val="24"/>
        </w:rPr>
      </w:pPr>
      <w:r w:rsidRPr="00A85D78">
        <w:rPr>
          <w:rFonts w:ascii="Arial" w:hAnsi="Arial" w:cs="Arial"/>
          <w:sz w:val="24"/>
          <w:szCs w:val="24"/>
        </w:rPr>
        <w:t xml:space="preserve">La elección local de 2015 es la que mayor número de partidos participantes ha tenido con 11, y dos coaliciones; en la elección extraordinaria de 2016, participaron 6 partidos y 2 coaliciones. Para 2017, 4 partidos, una coalición y una candidata independiente. </w:t>
      </w:r>
      <w:proofErr w:type="gramStart"/>
      <w:r w:rsidRPr="00A85D78">
        <w:rPr>
          <w:rFonts w:ascii="Arial" w:hAnsi="Arial" w:cs="Arial"/>
          <w:sz w:val="24"/>
          <w:szCs w:val="24"/>
        </w:rPr>
        <w:t>Finalmente</w:t>
      </w:r>
      <w:proofErr w:type="gramEnd"/>
      <w:r w:rsidRPr="00A85D78">
        <w:rPr>
          <w:rFonts w:ascii="Arial" w:hAnsi="Arial" w:cs="Arial"/>
          <w:sz w:val="24"/>
          <w:szCs w:val="24"/>
        </w:rPr>
        <w:t xml:space="preserve"> en el 2018, 10 partidos, 2 coaliciones. </w:t>
      </w: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lastRenderedPageBreak/>
        <w:t xml:space="preserve">Por lo anterior expuesto ya contamos con los datos a analizar en nuestro proyecto de investigación consistente en 7 elecciones y 13 partidos </w:t>
      </w:r>
      <w:r w:rsidR="00920E0E" w:rsidRPr="00A85D78">
        <w:rPr>
          <w:rFonts w:ascii="Arial" w:hAnsi="Arial" w:cs="Arial"/>
          <w:sz w:val="24"/>
          <w:szCs w:val="24"/>
        </w:rPr>
        <w:t>políticos y</w:t>
      </w:r>
      <w:r w:rsidRPr="00A85D78">
        <w:rPr>
          <w:rFonts w:ascii="Arial" w:hAnsi="Arial" w:cs="Arial"/>
          <w:sz w:val="24"/>
          <w:szCs w:val="24"/>
        </w:rPr>
        <w:t xml:space="preserve"> 7 coaliciones. ¿Qué es lo que revisaremos de las elecciones, partidos y coaliciones antes citados?; las variables medulares de nuestro análisis serán las conductas infractoras de los partidos.</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Las conductas infractoras se definen como los incumplimientos de los partidos al marco jurídico en materia de fiscalización que derivaron en un error u omisión durante la presentación del informe de campaña, mismo que no fue subsanado por el partido una vez que el órgano fiscalizador lo detectó. Si bien en materia de fiscalización electoral no existe propiamente un concepto de conducta infractora, esta puede ser definida a partir de contextualizar su utilización en las resoluciones emanadas del proceso de fiscalización del INE. (Acuerdo INE/CG/532/2017, pág. 38).</w:t>
      </w:r>
    </w:p>
    <w:p w:rsidR="003705B5" w:rsidRPr="00A85D78" w:rsidRDefault="003705B5" w:rsidP="003705B5">
      <w:pPr>
        <w:spacing w:line="360" w:lineRule="auto"/>
        <w:jc w:val="both"/>
        <w:rPr>
          <w:rFonts w:ascii="Arial" w:hAnsi="Arial" w:cs="Arial"/>
          <w:sz w:val="24"/>
          <w:szCs w:val="24"/>
        </w:rPr>
      </w:pPr>
    </w:p>
    <w:p w:rsidR="00A256AB" w:rsidRDefault="00A256AB" w:rsidP="003705B5">
      <w:pPr>
        <w:spacing w:line="360" w:lineRule="auto"/>
        <w:jc w:val="both"/>
        <w:rPr>
          <w:rFonts w:ascii="Arial" w:hAnsi="Arial" w:cs="Arial"/>
          <w:sz w:val="24"/>
          <w:szCs w:val="24"/>
        </w:rPr>
      </w:pPr>
      <w:r w:rsidRPr="00A85D78">
        <w:rPr>
          <w:rFonts w:ascii="Arial" w:hAnsi="Arial" w:cs="Arial"/>
          <w:sz w:val="24"/>
          <w:szCs w:val="24"/>
        </w:rPr>
        <w:t>Esta conducta infractora se convierte en una conclusión del dictamen consolidado elaborado por el órgano fiscalizador una vez concluido el proceso de revisión de informes de campaña; las faltas son de dos tipos formales y sustanciales; las primeras son aquellas que no atentan contra el proceso de fiscalización tales como errores contables o falta de documentación probatoria y las sustanciales que son las que atentan directamente contra el proceso de fiscalización y buscan ocultar información o engañar a la autoridad. En la tabla 3.2 se presenta un ejemplo de las conductas infractoras cometidas por los partidos durante la precampaña 2009.</w:t>
      </w:r>
    </w:p>
    <w:p w:rsidR="003705B5" w:rsidRPr="00A85D78" w:rsidRDefault="003705B5" w:rsidP="003705B5">
      <w:pPr>
        <w:spacing w:line="360" w:lineRule="auto"/>
        <w:jc w:val="both"/>
        <w:rPr>
          <w:rFonts w:ascii="Arial" w:hAnsi="Arial" w:cs="Arial"/>
          <w:sz w:val="24"/>
          <w:szCs w:val="24"/>
        </w:rPr>
      </w:pPr>
    </w:p>
    <w:p w:rsidR="00A256AB" w:rsidRDefault="00A256AB" w:rsidP="003705B5">
      <w:pPr>
        <w:tabs>
          <w:tab w:val="left" w:pos="5070"/>
        </w:tabs>
        <w:jc w:val="both"/>
        <w:rPr>
          <w:rStyle w:val="Ttulodellibro"/>
          <w:rFonts w:ascii="Arial" w:hAnsi="Arial" w:cs="Arial"/>
          <w:b/>
          <w:i/>
          <w:color w:val="auto"/>
          <w:sz w:val="20"/>
          <w:szCs w:val="20"/>
        </w:rPr>
      </w:pPr>
      <w:r w:rsidRPr="003705B5">
        <w:rPr>
          <w:rStyle w:val="Ttulodellibro"/>
          <w:rFonts w:ascii="Arial" w:hAnsi="Arial" w:cs="Arial"/>
          <w:b/>
          <w:i/>
          <w:color w:val="auto"/>
          <w:sz w:val="20"/>
          <w:szCs w:val="20"/>
        </w:rPr>
        <w:t>Tabla 3.2. Conductas Infractoras por Partido Campaña 2009.</w:t>
      </w:r>
    </w:p>
    <w:p w:rsidR="003705B5" w:rsidRPr="003705B5" w:rsidRDefault="003705B5" w:rsidP="003705B5">
      <w:pPr>
        <w:tabs>
          <w:tab w:val="left" w:pos="5070"/>
        </w:tabs>
        <w:jc w:val="both"/>
        <w:rPr>
          <w:rStyle w:val="Ttulodellibro"/>
          <w:rFonts w:ascii="Arial" w:hAnsi="Arial" w:cs="Arial"/>
          <w:b/>
          <w:i/>
          <w:color w:val="auto"/>
          <w:sz w:val="20"/>
          <w:szCs w:val="20"/>
        </w:rPr>
      </w:pPr>
    </w:p>
    <w:tbl>
      <w:tblPr>
        <w:tblStyle w:val="Tablaconcuadrcula"/>
        <w:tblW w:w="5000" w:type="pct"/>
        <w:jc w:val="center"/>
        <w:tblLook w:val="04A0" w:firstRow="1" w:lastRow="0" w:firstColumn="1" w:lastColumn="0" w:noHBand="0" w:noVBand="1"/>
      </w:tblPr>
      <w:tblGrid>
        <w:gridCol w:w="3341"/>
        <w:gridCol w:w="1536"/>
        <w:gridCol w:w="1886"/>
        <w:gridCol w:w="1731"/>
      </w:tblGrid>
      <w:tr w:rsidR="00A256AB" w:rsidRPr="003705B5" w:rsidTr="00FF6437">
        <w:trPr>
          <w:jc w:val="center"/>
        </w:trPr>
        <w:tc>
          <w:tcPr>
            <w:tcW w:w="1967"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PARTIDO</w:t>
            </w:r>
          </w:p>
        </w:tc>
        <w:tc>
          <w:tcPr>
            <w:tcW w:w="904"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FALTAS FORMALES</w:t>
            </w:r>
          </w:p>
        </w:tc>
        <w:tc>
          <w:tcPr>
            <w:tcW w:w="1110"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r w:rsidRPr="003705B5">
              <w:rPr>
                <w:rFonts w:ascii="Arial" w:hAnsi="Arial" w:cs="Arial"/>
                <w:b/>
                <w:sz w:val="18"/>
                <w:szCs w:val="18"/>
                <w:lang w:val="es-ES_tradnl"/>
              </w:rPr>
              <w:t>FALTAS SUSTANCIALES</w:t>
            </w:r>
          </w:p>
        </w:tc>
        <w:tc>
          <w:tcPr>
            <w:tcW w:w="1019" w:type="pct"/>
            <w:shd w:val="clear" w:color="auto" w:fill="FBE4D5" w:themeFill="accent2" w:themeFillTint="33"/>
            <w:vAlign w:val="center"/>
          </w:tcPr>
          <w:p w:rsidR="00A256AB" w:rsidRPr="003705B5" w:rsidRDefault="00A256AB" w:rsidP="00A256AB">
            <w:pPr>
              <w:jc w:val="center"/>
              <w:rPr>
                <w:rFonts w:ascii="Arial" w:hAnsi="Arial" w:cs="Arial"/>
                <w:b/>
                <w:sz w:val="18"/>
                <w:szCs w:val="18"/>
                <w:lang w:val="es-ES_tradnl"/>
              </w:rPr>
            </w:pPr>
            <w:proofErr w:type="gramStart"/>
            <w:r w:rsidRPr="003705B5">
              <w:rPr>
                <w:rFonts w:ascii="Arial" w:hAnsi="Arial" w:cs="Arial"/>
                <w:b/>
                <w:sz w:val="18"/>
                <w:szCs w:val="18"/>
                <w:lang w:val="es-ES_tradnl"/>
              </w:rPr>
              <w:t>TOTAL</w:t>
            </w:r>
            <w:proofErr w:type="gramEnd"/>
            <w:r w:rsidRPr="003705B5">
              <w:rPr>
                <w:rFonts w:ascii="Arial" w:hAnsi="Arial" w:cs="Arial"/>
                <w:b/>
                <w:sz w:val="18"/>
                <w:szCs w:val="18"/>
                <w:lang w:val="es-ES_tradnl"/>
              </w:rPr>
              <w:t xml:space="preserve"> DE FALTAS</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PRI</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0</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PAN</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0</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PRD</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4</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6</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PT</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4</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13</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17</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PVEM</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3</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CONVERGENCIA</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3</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5</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8</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NUEVA ALIANZA</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0</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6</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6</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PARTIDO SOCIAL DEMOCRÁTA</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5</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5</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10</w:t>
            </w:r>
          </w:p>
        </w:tc>
      </w:tr>
      <w:tr w:rsidR="00A256AB" w:rsidRPr="003705B5" w:rsidTr="00FF6437">
        <w:trPr>
          <w:jc w:val="center"/>
        </w:trPr>
        <w:tc>
          <w:tcPr>
            <w:tcW w:w="1967" w:type="pct"/>
          </w:tcPr>
          <w:p w:rsidR="00A256AB" w:rsidRPr="003705B5" w:rsidRDefault="00A256AB" w:rsidP="00A256AB">
            <w:pPr>
              <w:rPr>
                <w:rFonts w:ascii="Arial" w:hAnsi="Arial" w:cs="Arial"/>
                <w:sz w:val="18"/>
                <w:szCs w:val="18"/>
                <w:lang w:val="es-ES_tradnl"/>
              </w:rPr>
            </w:pPr>
            <w:r w:rsidRPr="003705B5">
              <w:rPr>
                <w:rFonts w:ascii="Arial" w:hAnsi="Arial" w:cs="Arial"/>
                <w:sz w:val="18"/>
                <w:szCs w:val="18"/>
                <w:lang w:val="es-ES_tradnl"/>
              </w:rPr>
              <w:t>PARTIDO FUTURO DEMOCRÁTICO</w:t>
            </w:r>
          </w:p>
        </w:tc>
        <w:tc>
          <w:tcPr>
            <w:tcW w:w="904"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2</w:t>
            </w:r>
          </w:p>
        </w:tc>
        <w:tc>
          <w:tcPr>
            <w:tcW w:w="1110"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1</w:t>
            </w:r>
          </w:p>
        </w:tc>
        <w:tc>
          <w:tcPr>
            <w:tcW w:w="1019" w:type="pct"/>
          </w:tcPr>
          <w:p w:rsidR="00A256AB" w:rsidRPr="003705B5" w:rsidRDefault="00A256AB" w:rsidP="00A256AB">
            <w:pPr>
              <w:jc w:val="center"/>
              <w:rPr>
                <w:rFonts w:ascii="Arial" w:hAnsi="Arial" w:cs="Arial"/>
                <w:sz w:val="18"/>
                <w:szCs w:val="18"/>
                <w:lang w:val="es-ES_tradnl"/>
              </w:rPr>
            </w:pPr>
            <w:r w:rsidRPr="003705B5">
              <w:rPr>
                <w:rFonts w:ascii="Arial" w:hAnsi="Arial" w:cs="Arial"/>
                <w:sz w:val="18"/>
                <w:szCs w:val="18"/>
                <w:lang w:val="es-ES_tradnl"/>
              </w:rPr>
              <w:t>3</w:t>
            </w:r>
          </w:p>
        </w:tc>
      </w:tr>
    </w:tbl>
    <w:p w:rsidR="00A256AB" w:rsidRDefault="00A256AB" w:rsidP="00FF6437">
      <w:pPr>
        <w:rPr>
          <w:rFonts w:ascii="Arial" w:hAnsi="Arial" w:cs="Arial"/>
          <w:i/>
          <w:iCs/>
          <w:sz w:val="16"/>
          <w:szCs w:val="16"/>
        </w:rPr>
      </w:pPr>
      <w:r w:rsidRPr="00FF6437">
        <w:rPr>
          <w:rFonts w:ascii="Arial" w:hAnsi="Arial" w:cs="Arial"/>
          <w:b/>
          <w:bCs/>
          <w:i/>
          <w:iCs/>
          <w:sz w:val="16"/>
          <w:szCs w:val="16"/>
        </w:rPr>
        <w:t>Fuente:</w:t>
      </w:r>
      <w:r w:rsidRPr="00FF6437">
        <w:rPr>
          <w:rFonts w:ascii="Arial" w:hAnsi="Arial" w:cs="Arial"/>
          <w:i/>
          <w:iCs/>
          <w:sz w:val="16"/>
          <w:szCs w:val="16"/>
        </w:rPr>
        <w:t xml:space="preserve"> Elaboración propia en base al Acuerdo CG/18/2010 del Consejo General del IEEM</w:t>
      </w:r>
      <w:r w:rsidR="00FF6437">
        <w:rPr>
          <w:rFonts w:ascii="Arial" w:hAnsi="Arial" w:cs="Arial"/>
          <w:i/>
          <w:iCs/>
          <w:sz w:val="16"/>
          <w:szCs w:val="16"/>
        </w:rPr>
        <w:t>.</w:t>
      </w:r>
    </w:p>
    <w:p w:rsidR="00FF6437" w:rsidRPr="00FF6437" w:rsidRDefault="00FF6437" w:rsidP="00FF6437">
      <w:pPr>
        <w:rPr>
          <w:rFonts w:ascii="Arial" w:hAnsi="Arial" w:cs="Arial"/>
          <w:i/>
          <w:iCs/>
          <w:sz w:val="16"/>
          <w:szCs w:val="16"/>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lastRenderedPageBreak/>
        <w:t xml:space="preserve">En </w:t>
      </w:r>
      <w:r w:rsidR="00920E0E" w:rsidRPr="00A85D78">
        <w:rPr>
          <w:rFonts w:ascii="Arial" w:hAnsi="Arial" w:cs="Arial"/>
          <w:sz w:val="24"/>
          <w:szCs w:val="24"/>
        </w:rPr>
        <w:t>resumen,</w:t>
      </w:r>
      <w:r w:rsidRPr="00A85D78">
        <w:rPr>
          <w:rFonts w:ascii="Arial" w:hAnsi="Arial" w:cs="Arial"/>
          <w:sz w:val="24"/>
          <w:szCs w:val="24"/>
        </w:rPr>
        <w:t xml:space="preserve"> las conductas más castigadas fueron en orden de relevancia de la sanción en primera instancia la aportación de recursos prohibidos a la campaña en el caso de la aportación de una empresa mercantil al PVEM; seguido de los rebases de topes de gastos de campaña con 8 casos; y la duplicidad de comprobación de gastos con la misma factura.</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Una vez que las conductas infractoras son plasmadas en conclusiones en el dictamen consolidado elaborado por el órgano fiscalizador, pasan al departamento jurídico donde se analizan las circunstancias de modo tiempo y lugar para graduar en términos monetarios las sanciones a las que los partidos se harán acreedores por sus acciones fuera del marco legal, cuando las sanciones se plasman en la resolución del Consejo General del órgano electoral, en ese momento oficialmente se tiene una multa.  En la tabla 3.3 continuando con el ejemplo de la campaña 2009, se exponen los montos a los que se hicieron acreedores los partidos políticos.</w:t>
      </w:r>
    </w:p>
    <w:p w:rsidR="00FF6437" w:rsidRPr="00A85D78" w:rsidRDefault="00FF6437" w:rsidP="00FF6437">
      <w:pPr>
        <w:spacing w:line="360" w:lineRule="auto"/>
        <w:jc w:val="both"/>
        <w:rPr>
          <w:rFonts w:ascii="Arial" w:hAnsi="Arial" w:cs="Arial"/>
          <w:sz w:val="24"/>
          <w:szCs w:val="24"/>
        </w:rPr>
      </w:pPr>
    </w:p>
    <w:p w:rsidR="00A256AB" w:rsidRDefault="00A256AB" w:rsidP="00FF6437">
      <w:pPr>
        <w:tabs>
          <w:tab w:val="left" w:pos="5070"/>
        </w:tabs>
        <w:jc w:val="both"/>
        <w:rPr>
          <w:rStyle w:val="Ttulodellibro"/>
          <w:rFonts w:ascii="Arial" w:hAnsi="Arial" w:cs="Arial"/>
          <w:b/>
          <w:i/>
          <w:color w:val="auto"/>
          <w:sz w:val="20"/>
          <w:szCs w:val="20"/>
        </w:rPr>
      </w:pPr>
      <w:r w:rsidRPr="00FF6437">
        <w:rPr>
          <w:rStyle w:val="Ttulodellibro"/>
          <w:rFonts w:ascii="Arial" w:hAnsi="Arial" w:cs="Arial"/>
          <w:b/>
          <w:i/>
          <w:color w:val="auto"/>
          <w:sz w:val="20"/>
          <w:szCs w:val="20"/>
        </w:rPr>
        <w:t>Tabla 3.3 Multas de campaña por partido político proceso electoral 2009.</w:t>
      </w:r>
    </w:p>
    <w:p w:rsidR="00FF6437" w:rsidRPr="00FF6437" w:rsidRDefault="00FF6437" w:rsidP="00FF6437">
      <w:pPr>
        <w:tabs>
          <w:tab w:val="left" w:pos="5070"/>
        </w:tabs>
        <w:jc w:val="both"/>
        <w:rPr>
          <w:rStyle w:val="Ttulodellibro"/>
          <w:b/>
          <w:i/>
          <w:color w:val="auto"/>
          <w:sz w:val="20"/>
          <w:szCs w:val="20"/>
        </w:rPr>
      </w:pPr>
    </w:p>
    <w:tbl>
      <w:tblPr>
        <w:tblStyle w:val="Tablaconcuadrcula"/>
        <w:tblW w:w="5000" w:type="pct"/>
        <w:jc w:val="center"/>
        <w:tblLook w:val="04A0" w:firstRow="1" w:lastRow="0" w:firstColumn="1" w:lastColumn="0" w:noHBand="0" w:noVBand="1"/>
      </w:tblPr>
      <w:tblGrid>
        <w:gridCol w:w="1320"/>
        <w:gridCol w:w="1578"/>
        <w:gridCol w:w="1578"/>
        <w:gridCol w:w="2081"/>
        <w:gridCol w:w="1937"/>
      </w:tblGrid>
      <w:tr w:rsidR="00A256AB" w:rsidRPr="00FF6437" w:rsidTr="00FF6437">
        <w:trPr>
          <w:jc w:val="center"/>
        </w:trPr>
        <w:tc>
          <w:tcPr>
            <w:tcW w:w="777"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PARTIDO</w:t>
            </w:r>
          </w:p>
        </w:tc>
        <w:tc>
          <w:tcPr>
            <w:tcW w:w="929"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NÚMERO FALTAS FORMALES</w:t>
            </w:r>
          </w:p>
        </w:tc>
        <w:tc>
          <w:tcPr>
            <w:tcW w:w="929"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MULTAS POR FALTAS FORMALES</w:t>
            </w:r>
          </w:p>
        </w:tc>
        <w:tc>
          <w:tcPr>
            <w:tcW w:w="1225"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NUMERO FALTAS SUSTANCIALES</w:t>
            </w:r>
          </w:p>
        </w:tc>
        <w:tc>
          <w:tcPr>
            <w:tcW w:w="1141" w:type="pct"/>
            <w:shd w:val="clear" w:color="auto" w:fill="FBE4D5" w:themeFill="accent2" w:themeFillTint="33"/>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CALIFICACION DE LA FALTA</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PRI</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$55,846.25</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PAN</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$27,014.00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$0.00</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PRD</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4</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$10,390.00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$262,237.92</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PT</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4</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$10,390.00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13</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$350,428.05</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PVEM</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$27,014.00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$1,293,630.17</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CONV</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3</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$10,390.00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$92,966.70</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NUEVA ALIANZA</w:t>
            </w:r>
          </w:p>
        </w:tc>
        <w:tc>
          <w:tcPr>
            <w:tcW w:w="929" w:type="pct"/>
            <w:vAlign w:val="center"/>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w:t>
            </w:r>
          </w:p>
        </w:tc>
        <w:tc>
          <w:tcPr>
            <w:tcW w:w="929" w:type="pct"/>
            <w:vAlign w:val="center"/>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0.00</w:t>
            </w:r>
          </w:p>
        </w:tc>
        <w:tc>
          <w:tcPr>
            <w:tcW w:w="1225" w:type="pct"/>
            <w:vAlign w:val="center"/>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6</w:t>
            </w:r>
          </w:p>
        </w:tc>
        <w:tc>
          <w:tcPr>
            <w:tcW w:w="1141" w:type="pct"/>
            <w:vAlign w:val="center"/>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$65,976.50</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PSD</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$10,390.00</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$55,170.90</w:t>
            </w:r>
          </w:p>
        </w:tc>
      </w:tr>
      <w:tr w:rsidR="00A256AB" w:rsidRPr="00FF6437" w:rsidTr="00FF6437">
        <w:trPr>
          <w:jc w:val="center"/>
        </w:trPr>
        <w:tc>
          <w:tcPr>
            <w:tcW w:w="777" w:type="pct"/>
          </w:tcPr>
          <w:p w:rsidR="00A256AB" w:rsidRPr="00FF6437" w:rsidRDefault="00A256AB" w:rsidP="00A256AB">
            <w:pPr>
              <w:rPr>
                <w:rFonts w:ascii="Arial" w:hAnsi="Arial" w:cs="Arial"/>
                <w:sz w:val="18"/>
                <w:szCs w:val="18"/>
                <w:lang w:val="es-ES_tradnl"/>
              </w:rPr>
            </w:pPr>
            <w:r w:rsidRPr="00FF6437">
              <w:rPr>
                <w:rFonts w:ascii="Arial" w:hAnsi="Arial" w:cs="Arial"/>
                <w:sz w:val="18"/>
                <w:szCs w:val="18"/>
                <w:lang w:val="es-ES_tradnl"/>
              </w:rPr>
              <w:t>PFD</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2</w:t>
            </w:r>
          </w:p>
        </w:tc>
        <w:tc>
          <w:tcPr>
            <w:tcW w:w="929"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$17,403.25</w:t>
            </w:r>
          </w:p>
        </w:tc>
        <w:tc>
          <w:tcPr>
            <w:tcW w:w="1225"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1</w:t>
            </w:r>
          </w:p>
        </w:tc>
        <w:tc>
          <w:tcPr>
            <w:tcW w:w="1141" w:type="pct"/>
          </w:tcPr>
          <w:p w:rsidR="00A256AB" w:rsidRPr="00FF6437" w:rsidRDefault="00A256AB" w:rsidP="00FF6437">
            <w:pPr>
              <w:jc w:val="center"/>
              <w:rPr>
                <w:rFonts w:ascii="Arial" w:hAnsi="Arial" w:cs="Arial"/>
                <w:sz w:val="18"/>
                <w:szCs w:val="18"/>
                <w:lang w:val="es-ES_tradnl"/>
              </w:rPr>
            </w:pPr>
            <w:r w:rsidRPr="00FF6437">
              <w:rPr>
                <w:rFonts w:ascii="Arial" w:hAnsi="Arial" w:cs="Arial"/>
                <w:sz w:val="18"/>
                <w:szCs w:val="18"/>
                <w:lang w:val="es-ES_tradnl"/>
              </w:rPr>
              <w:t>$503,064.19</w:t>
            </w:r>
          </w:p>
        </w:tc>
      </w:tr>
    </w:tbl>
    <w:p w:rsidR="00A256AB" w:rsidRDefault="00A256AB" w:rsidP="00FF6437">
      <w:pPr>
        <w:rPr>
          <w:rFonts w:ascii="Arial" w:hAnsi="Arial" w:cs="Arial"/>
          <w:i/>
          <w:iCs/>
          <w:sz w:val="16"/>
          <w:szCs w:val="16"/>
        </w:rPr>
      </w:pPr>
      <w:r w:rsidRPr="00FF6437">
        <w:rPr>
          <w:rFonts w:ascii="Arial" w:hAnsi="Arial" w:cs="Arial"/>
          <w:b/>
          <w:bCs/>
          <w:i/>
          <w:iCs/>
          <w:sz w:val="16"/>
          <w:szCs w:val="16"/>
        </w:rPr>
        <w:t>Fuente:</w:t>
      </w:r>
      <w:r w:rsidRPr="00FF6437">
        <w:rPr>
          <w:rFonts w:ascii="Arial" w:hAnsi="Arial" w:cs="Arial"/>
          <w:i/>
          <w:iCs/>
          <w:sz w:val="16"/>
          <w:szCs w:val="16"/>
        </w:rPr>
        <w:t xml:space="preserve"> Elaboración propia en base al Acuerdo IEEM/CG/18/2010 del Consejo General del IEEM.</w:t>
      </w:r>
    </w:p>
    <w:p w:rsidR="00FF6437" w:rsidRPr="00FF6437" w:rsidRDefault="00FF6437" w:rsidP="00FF6437">
      <w:pPr>
        <w:rPr>
          <w:rFonts w:ascii="Arial" w:hAnsi="Arial" w:cs="Arial"/>
          <w:i/>
          <w:iCs/>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En la tabla anterior podemos observar el resultado final de las multas impuestas por el órgano técnico del IEEM, a los partidos políticos al culminar la revisión del proceso electoral 2009, donde el partido que más conductas infractoras sancionadas fue el Partido del Trabajo;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el partido con la multa más grande fue el Partido Verde.</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Una vez que el Consejo General del Órgano Electoral, aprueba las sanciones económicas a los partidos políticos; estos pueden inconformarse si consideran </w:t>
      </w:r>
      <w:r w:rsidRPr="00A85D78">
        <w:rPr>
          <w:rFonts w:ascii="Arial" w:hAnsi="Arial" w:cs="Arial"/>
          <w:sz w:val="24"/>
          <w:szCs w:val="24"/>
        </w:rPr>
        <w:lastRenderedPageBreak/>
        <w:t>que la determinación de la autoridad electoral, contraviene sus derechos; este hecho es conocido como un medio de impugnación y la autoridad competente para resolverlo es el Tribunal Electoral del Estado de México (para el caso de la fiscalización realizada por el IEEM) y el Tribunal Electoral del Poder Judicial de la Federación (para el caso de la fiscalización realizada por el INE).</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Para el año 2009, de un total de 9 partidos políticos con multas impuestas derivadas de campaña, 6 impugnaron la resolución del Consejo General del IEEM, respecto de las sanciones económicas impuestas. En la tabla 3.4, se exponen los medios de impugnación presentados por los partidos ante el TEEM y el TEPJF.</w:t>
      </w:r>
    </w:p>
    <w:p w:rsidR="00FF6437" w:rsidRPr="00A85D78" w:rsidRDefault="00FF6437" w:rsidP="00FF6437">
      <w:pPr>
        <w:spacing w:line="360" w:lineRule="auto"/>
        <w:jc w:val="both"/>
        <w:rPr>
          <w:rFonts w:ascii="Arial" w:hAnsi="Arial" w:cs="Arial"/>
          <w:sz w:val="24"/>
          <w:szCs w:val="24"/>
        </w:rPr>
      </w:pPr>
    </w:p>
    <w:p w:rsidR="00A256AB" w:rsidRDefault="00A256AB" w:rsidP="00FF6437">
      <w:pPr>
        <w:tabs>
          <w:tab w:val="left" w:pos="5070"/>
        </w:tabs>
        <w:jc w:val="both"/>
        <w:rPr>
          <w:rStyle w:val="Ttulodellibro"/>
          <w:rFonts w:ascii="Arial" w:hAnsi="Arial" w:cs="Arial"/>
          <w:b/>
          <w:i/>
          <w:color w:val="auto"/>
          <w:sz w:val="20"/>
          <w:szCs w:val="20"/>
        </w:rPr>
      </w:pPr>
      <w:r w:rsidRPr="00FF6437">
        <w:rPr>
          <w:rStyle w:val="Ttulodellibro"/>
          <w:rFonts w:ascii="Arial" w:hAnsi="Arial" w:cs="Arial"/>
          <w:b/>
          <w:i/>
          <w:color w:val="auto"/>
          <w:sz w:val="20"/>
          <w:szCs w:val="20"/>
        </w:rPr>
        <w:t>Tabla 3.4. Medios de impugnación interpuestos por partidos a raíz del proceso de fiscalización 2009.</w:t>
      </w:r>
    </w:p>
    <w:p w:rsidR="00FF6437" w:rsidRPr="00FF6437" w:rsidRDefault="00FF6437" w:rsidP="00FF6437">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688"/>
        <w:gridCol w:w="1699"/>
        <w:gridCol w:w="1704"/>
        <w:gridCol w:w="1699"/>
        <w:gridCol w:w="1704"/>
      </w:tblGrid>
      <w:tr w:rsidR="00A256AB" w:rsidRPr="00FF6437" w:rsidTr="00FF6437">
        <w:tc>
          <w:tcPr>
            <w:tcW w:w="994"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ACTOR</w:t>
            </w:r>
          </w:p>
        </w:tc>
        <w:tc>
          <w:tcPr>
            <w:tcW w:w="1000"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EXPEDIENTE TEEM</w:t>
            </w:r>
          </w:p>
        </w:tc>
        <w:tc>
          <w:tcPr>
            <w:tcW w:w="1003"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RESOLUCI</w:t>
            </w:r>
            <w:r w:rsidR="00492DD4" w:rsidRPr="00FF6437">
              <w:rPr>
                <w:rFonts w:ascii="Arial" w:hAnsi="Arial" w:cs="Arial"/>
                <w:b/>
                <w:sz w:val="18"/>
                <w:szCs w:val="18"/>
                <w:lang w:val="es-ES_tradnl"/>
              </w:rPr>
              <w:t>Ó</w:t>
            </w:r>
            <w:r w:rsidRPr="00FF6437">
              <w:rPr>
                <w:rFonts w:ascii="Arial" w:hAnsi="Arial" w:cs="Arial"/>
                <w:b/>
                <w:sz w:val="18"/>
                <w:szCs w:val="18"/>
                <w:lang w:val="es-ES_tradnl"/>
              </w:rPr>
              <w:t>N</w:t>
            </w:r>
          </w:p>
        </w:tc>
        <w:tc>
          <w:tcPr>
            <w:tcW w:w="1000"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EXPEDIENTE TEPJF</w:t>
            </w:r>
          </w:p>
        </w:tc>
        <w:tc>
          <w:tcPr>
            <w:tcW w:w="1003" w:type="pct"/>
            <w:shd w:val="clear" w:color="auto" w:fill="FBE4D5" w:themeFill="accent2" w:themeFillTint="33"/>
            <w:vAlign w:val="center"/>
          </w:tcPr>
          <w:p w:rsidR="00A256AB" w:rsidRPr="00FF6437" w:rsidRDefault="00A256AB" w:rsidP="00A256AB">
            <w:pPr>
              <w:jc w:val="center"/>
              <w:rPr>
                <w:rFonts w:ascii="Arial" w:hAnsi="Arial" w:cs="Arial"/>
                <w:b/>
                <w:sz w:val="18"/>
                <w:szCs w:val="18"/>
                <w:lang w:val="es-ES_tradnl"/>
              </w:rPr>
            </w:pPr>
            <w:r w:rsidRPr="00FF6437">
              <w:rPr>
                <w:rFonts w:ascii="Arial" w:hAnsi="Arial" w:cs="Arial"/>
                <w:b/>
                <w:sz w:val="18"/>
                <w:szCs w:val="18"/>
                <w:lang w:val="es-ES_tradnl"/>
              </w:rPr>
              <w:t>RESOLUCIÓN</w:t>
            </w:r>
          </w:p>
        </w:tc>
      </w:tr>
      <w:tr w:rsidR="00A256AB" w:rsidRPr="00FF6437" w:rsidTr="00FF6437">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PT</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RA/10/2010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w:t>
            </w:r>
          </w:p>
        </w:tc>
      </w:tr>
      <w:tr w:rsidR="00A256AB" w:rsidRPr="00FF6437" w:rsidTr="00FF6437">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PVEM</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RA/11/2010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ST-JRC-0013/2010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r>
      <w:tr w:rsidR="00A256AB" w:rsidRPr="00FF6437" w:rsidTr="00FF6437">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PRD</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RA/12/2010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ST-JRC-0014/2010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r>
      <w:tr w:rsidR="00A256AB" w:rsidRPr="00FF6437" w:rsidTr="00FF6437">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PRI</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RA/13/2010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ST-JRC-0016/2010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REVOCA</w:t>
            </w:r>
          </w:p>
        </w:tc>
      </w:tr>
      <w:tr w:rsidR="00A256AB" w:rsidRPr="00FF6437" w:rsidTr="00FF6437">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NUEVA ALIANZA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RA/14/2010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w:t>
            </w:r>
          </w:p>
        </w:tc>
      </w:tr>
      <w:tr w:rsidR="00A256AB" w:rsidRPr="00FF6437" w:rsidTr="00B0621E">
        <w:trPr>
          <w:trHeight w:val="70"/>
        </w:trPr>
        <w:tc>
          <w:tcPr>
            <w:tcW w:w="994"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Partido Futuro Democrático</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RA/15/2010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c>
          <w:tcPr>
            <w:tcW w:w="1000"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ST-JRC-0015/2010</w:t>
            </w:r>
          </w:p>
        </w:tc>
        <w:tc>
          <w:tcPr>
            <w:tcW w:w="1003" w:type="pct"/>
            <w:vAlign w:val="center"/>
          </w:tcPr>
          <w:p w:rsidR="00A256AB" w:rsidRPr="00FF6437" w:rsidRDefault="00A256AB" w:rsidP="00A256AB">
            <w:pPr>
              <w:jc w:val="center"/>
              <w:rPr>
                <w:rFonts w:ascii="Arial" w:hAnsi="Arial" w:cs="Arial"/>
                <w:sz w:val="18"/>
                <w:szCs w:val="18"/>
                <w:lang w:val="es-ES_tradnl"/>
              </w:rPr>
            </w:pPr>
            <w:r w:rsidRPr="00FF6437">
              <w:rPr>
                <w:rFonts w:ascii="Arial" w:hAnsi="Arial" w:cs="Arial"/>
                <w:sz w:val="18"/>
                <w:szCs w:val="18"/>
                <w:lang w:val="es-ES_tradnl"/>
              </w:rPr>
              <w:t>SE CONFIRMA</w:t>
            </w:r>
          </w:p>
        </w:tc>
      </w:tr>
    </w:tbl>
    <w:p w:rsidR="00A256AB" w:rsidRPr="00FF6437" w:rsidRDefault="00A256AB" w:rsidP="00FF6437">
      <w:pPr>
        <w:rPr>
          <w:rFonts w:ascii="Arial" w:hAnsi="Arial" w:cs="Arial"/>
          <w:i/>
          <w:iCs/>
          <w:sz w:val="16"/>
          <w:szCs w:val="16"/>
        </w:rPr>
      </w:pPr>
      <w:r w:rsidRPr="00FF6437">
        <w:rPr>
          <w:rFonts w:ascii="Arial" w:hAnsi="Arial" w:cs="Arial"/>
          <w:b/>
          <w:bCs/>
          <w:i/>
          <w:iCs/>
          <w:sz w:val="16"/>
          <w:szCs w:val="16"/>
        </w:rPr>
        <w:t>Fuente:</w:t>
      </w:r>
      <w:r w:rsidRPr="00FF6437">
        <w:rPr>
          <w:rFonts w:ascii="Arial" w:hAnsi="Arial" w:cs="Arial"/>
          <w:i/>
          <w:iCs/>
          <w:sz w:val="16"/>
          <w:szCs w:val="16"/>
        </w:rPr>
        <w:t xml:space="preserve"> Recuperada de http://www.ieem.org.mx/OTF/pdf_s/nomatividad/impugnaciones.pdf</w:t>
      </w:r>
    </w:p>
    <w:p w:rsidR="00FF6437" w:rsidRDefault="00FF6437" w:rsidP="00A256AB">
      <w:pPr>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Los medios de impugnación, presentados por los partidos en 2010 respecto de las multas impuestas, en la primera instancia legal (TEEM) fueron confirmadas las multas; en la segunda instancia (TEPJF), 4 partidos confirmaron su impugnación,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únicamente uno logr</w:t>
      </w:r>
      <w:r w:rsidR="00492DD4">
        <w:rPr>
          <w:rFonts w:ascii="Arial" w:hAnsi="Arial" w:cs="Arial"/>
          <w:sz w:val="24"/>
          <w:szCs w:val="24"/>
        </w:rPr>
        <w:t>ó</w:t>
      </w:r>
      <w:r w:rsidRPr="00A85D78">
        <w:rPr>
          <w:rFonts w:ascii="Arial" w:hAnsi="Arial" w:cs="Arial"/>
          <w:sz w:val="24"/>
          <w:szCs w:val="24"/>
        </w:rPr>
        <w:t xml:space="preserve"> revocar la multa impuesta, en el caso del PRI. </w:t>
      </w:r>
    </w:p>
    <w:p w:rsidR="00FF6437" w:rsidRDefault="00FF6437" w:rsidP="00A256AB">
      <w:pPr>
        <w:jc w:val="both"/>
        <w:rPr>
          <w:rFonts w:ascii="Arial" w:hAnsi="Arial" w:cs="Arial"/>
          <w:sz w:val="24"/>
          <w:szCs w:val="24"/>
        </w:rPr>
      </w:pPr>
    </w:p>
    <w:p w:rsidR="000130C0" w:rsidRPr="00A85D78" w:rsidRDefault="000130C0" w:rsidP="00A256AB">
      <w:pPr>
        <w:jc w:val="both"/>
        <w:rPr>
          <w:rFonts w:ascii="Arial" w:hAnsi="Arial" w:cs="Arial"/>
          <w:sz w:val="24"/>
          <w:szCs w:val="24"/>
        </w:rPr>
      </w:pPr>
    </w:p>
    <w:p w:rsidR="00A256AB" w:rsidRPr="00492DD4" w:rsidRDefault="00A256AB" w:rsidP="00A256AB">
      <w:pPr>
        <w:rPr>
          <w:rFonts w:ascii="Arial" w:hAnsi="Arial" w:cs="Arial"/>
          <w:b/>
          <w:sz w:val="24"/>
          <w:szCs w:val="24"/>
        </w:rPr>
      </w:pPr>
      <w:r w:rsidRPr="00492DD4">
        <w:rPr>
          <w:rFonts w:ascii="Arial" w:hAnsi="Arial" w:cs="Arial"/>
          <w:b/>
          <w:sz w:val="24"/>
          <w:szCs w:val="24"/>
        </w:rPr>
        <w:t>3.</w:t>
      </w:r>
      <w:r w:rsidR="00492DD4" w:rsidRPr="00492DD4">
        <w:rPr>
          <w:rFonts w:ascii="Arial" w:hAnsi="Arial" w:cs="Arial"/>
          <w:b/>
          <w:sz w:val="24"/>
          <w:szCs w:val="24"/>
        </w:rPr>
        <w:t>4</w:t>
      </w:r>
      <w:r w:rsidRPr="00492DD4">
        <w:rPr>
          <w:rFonts w:ascii="Arial" w:hAnsi="Arial" w:cs="Arial"/>
          <w:b/>
          <w:sz w:val="24"/>
          <w:szCs w:val="24"/>
        </w:rPr>
        <w:t xml:space="preserve"> Sistematización de datos.</w:t>
      </w: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El trabajo de análisis de las variables antes descritas, se realizó con base en información documental, consistente en acuerdos del Consejo General del Instituto Electoral del Estado de México, por los que se aprueban los Dictámenes</w:t>
      </w:r>
      <w:r w:rsidRPr="00FF6437">
        <w:rPr>
          <w:rFonts w:ascii="Arial" w:hAnsi="Arial" w:cs="Arial"/>
          <w:sz w:val="24"/>
          <w:szCs w:val="24"/>
        </w:rPr>
        <w:t xml:space="preserve"> </w:t>
      </w:r>
      <w:r w:rsidRPr="00A85D78">
        <w:rPr>
          <w:rFonts w:ascii="Arial" w:hAnsi="Arial" w:cs="Arial"/>
          <w:sz w:val="24"/>
          <w:szCs w:val="24"/>
        </w:rPr>
        <w:t xml:space="preserve">sobre el origen, monto, aplicación y destino del financiamiento público y privado, que los partidos políticos, coaliciones parciales, candidaturas comunes y candidatos, ejercieron durante el proceso electoral de </w:t>
      </w:r>
      <w:r w:rsidR="00492DD4">
        <w:rPr>
          <w:rFonts w:ascii="Arial" w:hAnsi="Arial" w:cs="Arial"/>
          <w:sz w:val="24"/>
          <w:szCs w:val="24"/>
        </w:rPr>
        <w:t>D</w:t>
      </w:r>
      <w:r w:rsidRPr="00A85D78">
        <w:rPr>
          <w:rFonts w:ascii="Arial" w:hAnsi="Arial" w:cs="Arial"/>
          <w:sz w:val="24"/>
          <w:szCs w:val="24"/>
        </w:rPr>
        <w:t xml:space="preserve">iputados y </w:t>
      </w:r>
      <w:r w:rsidR="00492DD4">
        <w:rPr>
          <w:rFonts w:ascii="Arial" w:hAnsi="Arial" w:cs="Arial"/>
          <w:sz w:val="24"/>
          <w:szCs w:val="24"/>
        </w:rPr>
        <w:lastRenderedPageBreak/>
        <w:t>A</w:t>
      </w:r>
      <w:r w:rsidRPr="00A85D78">
        <w:rPr>
          <w:rFonts w:ascii="Arial" w:hAnsi="Arial" w:cs="Arial"/>
          <w:sz w:val="24"/>
          <w:szCs w:val="24"/>
        </w:rPr>
        <w:t xml:space="preserve">yuntamientos, en precampaña, campaña para 2009, 2012 y </w:t>
      </w:r>
      <w:r w:rsidR="00492DD4">
        <w:rPr>
          <w:rFonts w:ascii="Arial" w:hAnsi="Arial" w:cs="Arial"/>
          <w:sz w:val="24"/>
          <w:szCs w:val="24"/>
        </w:rPr>
        <w:t>G</w:t>
      </w:r>
      <w:r w:rsidRPr="00A85D78">
        <w:rPr>
          <w:rFonts w:ascii="Arial" w:hAnsi="Arial" w:cs="Arial"/>
          <w:sz w:val="24"/>
          <w:szCs w:val="24"/>
        </w:rPr>
        <w:t>obernador 2011; cabe destacar que durante el 2009, se realizó una revisión precautoria preventiva de rebase de topes de gastos de campaña.</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Para el caso de la fiscalización realizada por el órgano técnico del IEEM, los resultados de auditor</w:t>
      </w:r>
      <w:r w:rsidR="00492DD4">
        <w:rPr>
          <w:rFonts w:ascii="Arial" w:hAnsi="Arial" w:cs="Arial"/>
          <w:sz w:val="24"/>
          <w:szCs w:val="24"/>
        </w:rPr>
        <w:t>í</w:t>
      </w:r>
      <w:r w:rsidRPr="00A85D78">
        <w:rPr>
          <w:rFonts w:ascii="Arial" w:hAnsi="Arial" w:cs="Arial"/>
          <w:sz w:val="24"/>
          <w:szCs w:val="24"/>
        </w:rPr>
        <w:t xml:space="preserve">a, así como las sanciones impuestas se concentraron en un solo documento en este caso el Dictamen, </w:t>
      </w:r>
      <w:proofErr w:type="gramStart"/>
      <w:r w:rsidRPr="00A85D78">
        <w:rPr>
          <w:rFonts w:ascii="Arial" w:hAnsi="Arial" w:cs="Arial"/>
          <w:sz w:val="24"/>
          <w:szCs w:val="24"/>
        </w:rPr>
        <w:t>que</w:t>
      </w:r>
      <w:proofErr w:type="gramEnd"/>
      <w:r w:rsidRPr="00A85D78">
        <w:rPr>
          <w:rFonts w:ascii="Arial" w:hAnsi="Arial" w:cs="Arial"/>
          <w:sz w:val="24"/>
          <w:szCs w:val="24"/>
        </w:rPr>
        <w:t xml:space="preserve"> una vez aprobado por el Consejo General, adquiría el carácter de oficial.</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Los dictámenes respectivos de cada elección fueron obtenidos en formato electrónico de la página web oficial del IEEM; donde obran dichos documentos; una vez descargados fueron analizados para obtener las variables de interés de la investigación en un primer momento las faltas en que incurrieron los partidos y en segundo término las multas correspondientes por dichas conductas infractoras. Con los datos obtenidos se clasifico la información, se construyeron tablas de apoyo que permitieron comparar las variables en estudio facilitando la redacción de los hallazgos encontrados.</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A la par se realizó también una investigación documental del marco legal vigente para cada elección, con la finalidad </w:t>
      </w:r>
      <w:r w:rsidR="00920E0E" w:rsidRPr="00A85D78">
        <w:rPr>
          <w:rFonts w:ascii="Arial" w:hAnsi="Arial" w:cs="Arial"/>
          <w:sz w:val="24"/>
          <w:szCs w:val="24"/>
        </w:rPr>
        <w:t>de establecer</w:t>
      </w:r>
      <w:r w:rsidRPr="00A85D78">
        <w:rPr>
          <w:rFonts w:ascii="Arial" w:hAnsi="Arial" w:cs="Arial"/>
          <w:sz w:val="24"/>
          <w:szCs w:val="24"/>
        </w:rPr>
        <w:t xml:space="preserve"> una relación causal entre las conductas infractoras y las multas impuestas acorde a lo establecido en el marco legal.</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Para el caso de los procesos electorales fiscalizados por el Instituto Nacional Electoral (INE), de la misma forma se realizó un análisis de diversos documentos extraídos de la página web del instituto consistentes en Acuerdos del Consejo General;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a diferencia de la actividad realizada por el IEEM; en el caso del INE las faltas se establecen en un dictamen consolidado y las multas son presentadas en un documento distinto denominado resolución.</w:t>
      </w:r>
    </w:p>
    <w:p w:rsidR="00FF6437" w:rsidRPr="00A85D78" w:rsidRDefault="00FF6437" w:rsidP="00FF6437">
      <w:pPr>
        <w:spacing w:line="360" w:lineRule="auto"/>
        <w:jc w:val="both"/>
        <w:rPr>
          <w:rFonts w:ascii="Arial" w:hAnsi="Arial" w:cs="Arial"/>
          <w:sz w:val="24"/>
          <w:szCs w:val="24"/>
        </w:rPr>
      </w:pPr>
    </w:p>
    <w:p w:rsidR="00A256AB"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En esta tesitura obtuvimos la información de las variables objeto de estudio, mediante el análisis de dictámenes y resoluciones de precampaña y campaña, de los procesos electorales 2015, 2016, 2017 y 2018. Esta investigación fue complementada con la evidencia empírica de uno de los autores de la presente </w:t>
      </w:r>
      <w:r w:rsidRPr="00A85D78">
        <w:rPr>
          <w:rFonts w:ascii="Arial" w:hAnsi="Arial" w:cs="Arial"/>
          <w:sz w:val="24"/>
          <w:szCs w:val="24"/>
        </w:rPr>
        <w:lastRenderedPageBreak/>
        <w:t>investigación, quien se desempeñó como auditor sénior de la Unidad Técnica de Fiscalización del INE; en el año 2015 y colaboró como asesor de fiscalización con los partidos Movimiento Ciudadano y Partido del Trabajo durante los procesos electorales 2017 y 2018.</w:t>
      </w:r>
    </w:p>
    <w:p w:rsidR="00FF6437" w:rsidRPr="00A85D78" w:rsidRDefault="00FF6437" w:rsidP="00FF6437">
      <w:pPr>
        <w:spacing w:line="360" w:lineRule="auto"/>
        <w:jc w:val="both"/>
        <w:rPr>
          <w:rFonts w:ascii="Arial" w:hAnsi="Arial" w:cs="Arial"/>
          <w:sz w:val="24"/>
          <w:szCs w:val="24"/>
        </w:rPr>
      </w:pPr>
    </w:p>
    <w:p w:rsidR="00FF6437" w:rsidRDefault="00A256AB" w:rsidP="00FF6437">
      <w:pPr>
        <w:spacing w:line="360" w:lineRule="auto"/>
        <w:jc w:val="both"/>
        <w:rPr>
          <w:rFonts w:ascii="Arial" w:hAnsi="Arial" w:cs="Arial"/>
          <w:sz w:val="24"/>
          <w:szCs w:val="24"/>
        </w:rPr>
      </w:pPr>
      <w:r w:rsidRPr="00A85D78">
        <w:rPr>
          <w:rFonts w:ascii="Arial" w:hAnsi="Arial" w:cs="Arial"/>
          <w:sz w:val="24"/>
          <w:szCs w:val="24"/>
        </w:rPr>
        <w:t>Los datos relativos a los medios de impugnación, fueron obtenidos del sitio web del Tribunal Electoral del Poder Judicial de la Federación, donde obran las sentencias relativas a los medios de impugnación impuestos por los partidos políticos.</w:t>
      </w:r>
    </w:p>
    <w:p w:rsidR="00FF6437" w:rsidRPr="00A85D78" w:rsidRDefault="00FF6437" w:rsidP="00FF6437">
      <w:pPr>
        <w:spacing w:line="360" w:lineRule="auto"/>
        <w:jc w:val="both"/>
        <w:rPr>
          <w:rFonts w:ascii="Arial" w:hAnsi="Arial" w:cs="Arial"/>
          <w:sz w:val="24"/>
          <w:szCs w:val="24"/>
        </w:rPr>
      </w:pPr>
    </w:p>
    <w:p w:rsidR="00A256AB" w:rsidRPr="00A85D78" w:rsidRDefault="00A256AB" w:rsidP="00FF6437">
      <w:pPr>
        <w:spacing w:line="360" w:lineRule="auto"/>
        <w:jc w:val="both"/>
        <w:rPr>
          <w:rFonts w:ascii="Arial" w:hAnsi="Arial" w:cs="Arial"/>
          <w:sz w:val="24"/>
          <w:szCs w:val="24"/>
        </w:rPr>
      </w:pPr>
      <w:r w:rsidRPr="00A85D78">
        <w:rPr>
          <w:rFonts w:ascii="Arial" w:hAnsi="Arial" w:cs="Arial"/>
          <w:sz w:val="24"/>
          <w:szCs w:val="24"/>
        </w:rPr>
        <w:t xml:space="preserve">Los datos de las variables en estudio serán presentados a detalle, por proceso electoral durante el desarrollo del siguiente capítulo donde podremos apreciar de forma exhaustiva el desempeño de los órganos de fiscalización del IEEM e INE, fiscalizando el ejercicio de los recursos financieros de los partidos y candidatos, las faltas en las que incurrieron, así como las multas impuestas y los medios de impugnación presentados. El análisis comparativo final nos permitirá contar con elementos vinculatorios para comprobar o desechar las hipótesis planteadas. </w:t>
      </w:r>
    </w:p>
    <w:p w:rsidR="00A256AB" w:rsidRPr="00A85D78" w:rsidRDefault="00A256AB" w:rsidP="00A256AB">
      <w:pPr>
        <w:jc w:val="center"/>
        <w:rPr>
          <w:rFonts w:ascii="Arial" w:hAnsi="Arial" w:cs="Arial"/>
          <w:sz w:val="24"/>
          <w:szCs w:val="24"/>
        </w:rPr>
      </w:pPr>
      <w:r w:rsidRPr="00A85D78">
        <w:rPr>
          <w:rFonts w:ascii="Arial" w:hAnsi="Arial" w:cs="Arial"/>
          <w:sz w:val="24"/>
          <w:szCs w:val="24"/>
        </w:rPr>
        <w:br w:type="page"/>
      </w:r>
      <w:r w:rsidRPr="00A85D78">
        <w:rPr>
          <w:rFonts w:ascii="Arial" w:hAnsi="Arial" w:cs="Arial"/>
          <w:b/>
          <w:sz w:val="24"/>
          <w:szCs w:val="24"/>
        </w:rPr>
        <w:lastRenderedPageBreak/>
        <w:t>BIBLIOGRAFIA</w:t>
      </w:r>
    </w:p>
    <w:p w:rsidR="00A256AB" w:rsidRPr="00A85D78" w:rsidRDefault="00A256AB" w:rsidP="00A256AB">
      <w:pPr>
        <w:rPr>
          <w:rFonts w:ascii="Arial" w:hAnsi="Arial" w:cs="Arial"/>
          <w:sz w:val="24"/>
          <w:szCs w:val="24"/>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Díaz Domínguez, Alejandro. (2017). “</w:t>
      </w:r>
      <w:r w:rsidRPr="00FF6437">
        <w:rPr>
          <w:rFonts w:ascii="Arial" w:hAnsi="Arial" w:cs="Arial"/>
          <w:i/>
          <w:sz w:val="20"/>
          <w:szCs w:val="20"/>
        </w:rPr>
        <w:t>La (ir)relevancia de la ley en la primera década de fiscalización electoral en México</w:t>
      </w:r>
      <w:r w:rsidRPr="00FF6437">
        <w:rPr>
          <w:rFonts w:ascii="Arial" w:hAnsi="Arial" w:cs="Arial"/>
          <w:sz w:val="20"/>
          <w:szCs w:val="20"/>
        </w:rPr>
        <w:t>”. Política y Gobierno Volumen XXIV, número 1, I Semestre PP 157-187.</w:t>
      </w:r>
    </w:p>
    <w:p w:rsidR="00A256AB" w:rsidRPr="00FF6437" w:rsidRDefault="00A256AB" w:rsidP="00A256AB">
      <w:pPr>
        <w:pStyle w:val="Prrafodelista"/>
        <w:jc w:val="both"/>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Díaz </w:t>
      </w:r>
      <w:proofErr w:type="spellStart"/>
      <w:r w:rsidRPr="00FF6437">
        <w:rPr>
          <w:rFonts w:ascii="Arial" w:hAnsi="Arial" w:cs="Arial"/>
          <w:sz w:val="20"/>
          <w:szCs w:val="20"/>
        </w:rPr>
        <w:t>Menció</w:t>
      </w:r>
      <w:proofErr w:type="spellEnd"/>
      <w:r w:rsidRPr="00FF6437">
        <w:rPr>
          <w:rFonts w:ascii="Arial" w:hAnsi="Arial" w:cs="Arial"/>
          <w:sz w:val="20"/>
          <w:szCs w:val="20"/>
        </w:rPr>
        <w:t xml:space="preserve">, Sofía. (2016). </w:t>
      </w:r>
      <w:r w:rsidRPr="00FF6437">
        <w:rPr>
          <w:rFonts w:ascii="Arial" w:hAnsi="Arial" w:cs="Arial"/>
          <w:i/>
          <w:sz w:val="20"/>
          <w:szCs w:val="20"/>
        </w:rPr>
        <w:t>“Control a cualquier costo: El Impacto presupuestal de las reformas electorales de 2007 y 2014 en materia de fiscalización”</w:t>
      </w:r>
      <w:r w:rsidRPr="00FF6437">
        <w:rPr>
          <w:rFonts w:ascii="Arial" w:hAnsi="Arial" w:cs="Arial"/>
          <w:sz w:val="20"/>
          <w:szCs w:val="20"/>
        </w:rPr>
        <w:t>. Tesina para obtener el grado de Maestría, Centro de Investigación y Desarrollo Económico. CIDE.</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Granados García, Mariano A. (2014). </w:t>
      </w:r>
      <w:r w:rsidRPr="00FF6437">
        <w:rPr>
          <w:rFonts w:ascii="Arial" w:hAnsi="Arial" w:cs="Arial"/>
          <w:i/>
          <w:sz w:val="20"/>
          <w:szCs w:val="20"/>
        </w:rPr>
        <w:t>“La fiscalización de los partidos políticos en el Distrito Federal y el estado mexicano”</w:t>
      </w:r>
      <w:r w:rsidRPr="00FF6437">
        <w:rPr>
          <w:rFonts w:ascii="Arial" w:hAnsi="Arial" w:cs="Arial"/>
          <w:sz w:val="20"/>
          <w:szCs w:val="20"/>
        </w:rPr>
        <w:t>. Tesis de Licenciatura, UNAM 2014.</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Hernández Navarro, Ana K. (2016). </w:t>
      </w:r>
      <w:r w:rsidRPr="00FF6437">
        <w:rPr>
          <w:rFonts w:ascii="Arial" w:hAnsi="Arial" w:cs="Arial"/>
          <w:i/>
          <w:sz w:val="20"/>
          <w:szCs w:val="20"/>
        </w:rPr>
        <w:t>“Análisis jurídico del sistema integral de fiscalización de los partidos políticos”</w:t>
      </w:r>
      <w:r w:rsidRPr="00FF6437">
        <w:rPr>
          <w:rFonts w:ascii="Arial" w:hAnsi="Arial" w:cs="Arial"/>
          <w:sz w:val="20"/>
          <w:szCs w:val="20"/>
        </w:rPr>
        <w:t>. Tesis de Licenciatura UNAM, FES Aragón.</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Instituto Nacional Electoral (2017). Acuerdo INE/ CG532/2017. resolución del Consejo General del Instituto Nacional Electoral respecto de las irregularidades encontradas en el dictamen consolidado de la revisión de los informes anuales de ingresos y gastos del partido encuentro social, correspondientes al ejercicio dos mil dieciséis. </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Jiménez Martínez, Daniel. (2012). </w:t>
      </w:r>
      <w:r w:rsidRPr="00FF6437">
        <w:rPr>
          <w:rFonts w:ascii="Arial" w:hAnsi="Arial" w:cs="Arial"/>
          <w:i/>
          <w:sz w:val="20"/>
          <w:szCs w:val="20"/>
        </w:rPr>
        <w:t>“La fiscalización de los recursos en las campañas electorales para gobernador del Estado de México como instrumento democrático</w:t>
      </w:r>
      <w:r w:rsidRPr="00FF6437">
        <w:rPr>
          <w:rFonts w:ascii="Arial" w:hAnsi="Arial" w:cs="Arial"/>
          <w:sz w:val="20"/>
          <w:szCs w:val="20"/>
        </w:rPr>
        <w:t xml:space="preserve">”. Tesis de Licenciatura UNAM, FES Aragón 2012. </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 xml:space="preserve">Resultados Electorales disponibles en http://www.ieem.org.mx/numeralia/result_elect.html. </w:t>
      </w:r>
    </w:p>
    <w:p w:rsidR="00A256AB" w:rsidRPr="00FF6437" w:rsidRDefault="00A256AB" w:rsidP="00A256AB">
      <w:pPr>
        <w:pStyle w:val="Prrafodelista"/>
        <w:rPr>
          <w:rFonts w:ascii="Arial" w:hAnsi="Arial" w:cs="Arial"/>
          <w:sz w:val="20"/>
          <w:szCs w:val="20"/>
        </w:rPr>
      </w:pPr>
    </w:p>
    <w:p w:rsidR="00A256AB" w:rsidRPr="00FF6437" w:rsidRDefault="00A256AB" w:rsidP="00A256AB">
      <w:pPr>
        <w:pStyle w:val="Prrafodelista"/>
        <w:numPr>
          <w:ilvl w:val="0"/>
          <w:numId w:val="16"/>
        </w:numPr>
        <w:jc w:val="both"/>
        <w:rPr>
          <w:rFonts w:ascii="Arial" w:hAnsi="Arial" w:cs="Arial"/>
          <w:sz w:val="20"/>
          <w:szCs w:val="20"/>
        </w:rPr>
      </w:pPr>
      <w:r w:rsidRPr="00FF6437">
        <w:rPr>
          <w:rFonts w:ascii="Arial" w:hAnsi="Arial" w:cs="Arial"/>
          <w:sz w:val="20"/>
          <w:szCs w:val="20"/>
        </w:rPr>
        <w:t>Instituto Electoral del Estado de México. “Acuerdo IEEM/CG/18/2010”. Relativo al Dictamen sobre el origen, monto, aplicación y destino del financiamiento público y privado, que los partidos políticos, coaliciones parciales, candidaturas comunes y candidatos, ejercieron durante el proceso electoral de diputados y ayuntamientos, dos mil nueve. Consejo General del IEEM, Estado de México 2010, disponible en http://www.ieem.org.mx/consejo_general/cg/2010/a018_10.pdf</w:t>
      </w:r>
    </w:p>
    <w:p w:rsidR="00E14E1D" w:rsidRPr="00A85D78" w:rsidRDefault="00E14E1D">
      <w:pPr>
        <w:rPr>
          <w:rFonts w:ascii="Arial" w:hAnsi="Arial" w:cs="Arial"/>
        </w:rPr>
      </w:pPr>
    </w:p>
    <w:p w:rsidR="00FF6437" w:rsidRDefault="00FF6437">
      <w:pPr>
        <w:rPr>
          <w:rFonts w:ascii="Arial" w:hAnsi="Arial" w:cs="Arial"/>
          <w:b/>
          <w:sz w:val="24"/>
          <w:szCs w:val="24"/>
        </w:rPr>
      </w:pPr>
      <w:r>
        <w:rPr>
          <w:rFonts w:ascii="Arial" w:hAnsi="Arial" w:cs="Arial"/>
          <w:b/>
          <w:sz w:val="24"/>
          <w:szCs w:val="24"/>
        </w:rPr>
        <w:br w:type="page"/>
      </w:r>
    </w:p>
    <w:p w:rsidR="00A256AB" w:rsidRPr="00A85D78" w:rsidRDefault="00A256AB" w:rsidP="00277449">
      <w:pPr>
        <w:jc w:val="center"/>
        <w:rPr>
          <w:rFonts w:ascii="Arial" w:hAnsi="Arial" w:cs="Arial"/>
          <w:b/>
          <w:sz w:val="24"/>
          <w:szCs w:val="24"/>
        </w:rPr>
      </w:pPr>
      <w:r w:rsidRPr="00A85D78">
        <w:rPr>
          <w:rFonts w:ascii="Arial" w:hAnsi="Arial" w:cs="Arial"/>
          <w:b/>
          <w:sz w:val="24"/>
          <w:szCs w:val="24"/>
        </w:rPr>
        <w:lastRenderedPageBreak/>
        <w:t>CAP</w:t>
      </w:r>
      <w:r w:rsidR="00277449">
        <w:rPr>
          <w:rFonts w:ascii="Arial" w:hAnsi="Arial" w:cs="Arial"/>
          <w:b/>
          <w:sz w:val="24"/>
          <w:szCs w:val="24"/>
        </w:rPr>
        <w:t>ÍT</w:t>
      </w:r>
      <w:r w:rsidRPr="00A85D78">
        <w:rPr>
          <w:rFonts w:ascii="Arial" w:hAnsi="Arial" w:cs="Arial"/>
          <w:b/>
          <w:sz w:val="24"/>
          <w:szCs w:val="24"/>
        </w:rPr>
        <w:t>ULO 4</w:t>
      </w:r>
      <w:r w:rsidR="00277449">
        <w:rPr>
          <w:rFonts w:ascii="Arial" w:hAnsi="Arial" w:cs="Arial"/>
          <w:b/>
          <w:sz w:val="24"/>
          <w:szCs w:val="24"/>
        </w:rPr>
        <w:t xml:space="preserve">. </w:t>
      </w:r>
      <w:r w:rsidRPr="00A85D78">
        <w:rPr>
          <w:rFonts w:ascii="Arial" w:hAnsi="Arial" w:cs="Arial"/>
          <w:b/>
          <w:sz w:val="24"/>
          <w:szCs w:val="24"/>
        </w:rPr>
        <w:t>HALLAZGOS DE INVESTIGACIÓN</w:t>
      </w:r>
    </w:p>
    <w:p w:rsidR="00A256AB" w:rsidRPr="00A85D78" w:rsidRDefault="00A256AB" w:rsidP="00A256AB">
      <w:pPr>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A lo largo de la presente investigación hemos desarrollado, los elementos suficientes que nos permitan abordar el estudio de los modelos de fiscalización implementados para la revisión de los ingresos y gastos de los partidos políticos durante campañas políticas, en el Estado de México; el objetivo del presente cap</w:t>
      </w:r>
      <w:r w:rsidR="008824C9">
        <w:rPr>
          <w:rFonts w:ascii="Arial" w:hAnsi="Arial" w:cs="Arial"/>
          <w:sz w:val="24"/>
          <w:szCs w:val="24"/>
        </w:rPr>
        <w:t>í</w:t>
      </w:r>
      <w:r w:rsidRPr="00A85D78">
        <w:rPr>
          <w:rFonts w:ascii="Arial" w:hAnsi="Arial" w:cs="Arial"/>
          <w:sz w:val="24"/>
          <w:szCs w:val="24"/>
        </w:rPr>
        <w:t>tulo es mostrar al lector datos duros para contrastar los resultados derivados de los procesos de fiscalización implementados en dos etapas distintas: la primera comprendida durante los años 2009 – 2012 a cargo del Instituto Electoral del Estado de México y a otra del periodo comprendido entre el 2015 – 2018 en la que el Instituto Nacional Electoral ha tomado el mando de la fiscalización de los procesos electorales locales, derivado de la reforma electoral 2014.</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Para fines de lo anterior expuesto</w:t>
      </w:r>
      <w:r w:rsidR="008824C9">
        <w:rPr>
          <w:rFonts w:ascii="Arial" w:hAnsi="Arial" w:cs="Arial"/>
          <w:sz w:val="24"/>
          <w:szCs w:val="24"/>
        </w:rPr>
        <w:t>,</w:t>
      </w:r>
      <w:r w:rsidRPr="00A85D78">
        <w:rPr>
          <w:rFonts w:ascii="Arial" w:hAnsi="Arial" w:cs="Arial"/>
          <w:sz w:val="24"/>
          <w:szCs w:val="24"/>
        </w:rPr>
        <w:t xml:space="preserve"> el capítulo en </w:t>
      </w:r>
      <w:r w:rsidR="00920E0E" w:rsidRPr="00A85D78">
        <w:rPr>
          <w:rFonts w:ascii="Arial" w:hAnsi="Arial" w:cs="Arial"/>
          <w:sz w:val="24"/>
          <w:szCs w:val="24"/>
        </w:rPr>
        <w:t>curso se</w:t>
      </w:r>
      <w:r w:rsidRPr="00A85D78">
        <w:rPr>
          <w:rFonts w:ascii="Arial" w:hAnsi="Arial" w:cs="Arial"/>
          <w:sz w:val="24"/>
          <w:szCs w:val="24"/>
        </w:rPr>
        <w:t xml:space="preserve"> divide en 4 apartados, el primero de ellos relativo al análisis de las multas impuestas a los partidos políticos participantes en las elecciones locales de 2009, 2011 y 2012, durante el ejercicio de facultades fiscalizadoras del IEEM. En el segundo apartado realizaremos el mismo ejercicio ahora en referencia a los procesos electorales 2015, 2016, 2017 y 2018, en los que la Unidad Técnica de Fiscalización del INE, realizó la labor de auditor</w:t>
      </w:r>
      <w:r w:rsidR="008824C9">
        <w:rPr>
          <w:rFonts w:ascii="Arial" w:hAnsi="Arial" w:cs="Arial"/>
          <w:sz w:val="24"/>
          <w:szCs w:val="24"/>
        </w:rPr>
        <w:t>í</w:t>
      </w:r>
      <w:r w:rsidRPr="00A85D78">
        <w:rPr>
          <w:rFonts w:ascii="Arial" w:hAnsi="Arial" w:cs="Arial"/>
          <w:sz w:val="24"/>
          <w:szCs w:val="24"/>
        </w:rPr>
        <w:t>a. Los apartados anteriores a su vez se estructurarán en subapartados por cada proceso electoral con la finalidad de presentar las multas por separado de las etapas de precampaña y campaña de los procesos electorales celebrados entre 2009 y 2018.</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Al término del desarrollo de los dos primeros apartados, se </w:t>
      </w:r>
      <w:r w:rsidR="00920E0E" w:rsidRPr="00A85D78">
        <w:rPr>
          <w:rFonts w:ascii="Arial" w:hAnsi="Arial" w:cs="Arial"/>
          <w:sz w:val="24"/>
          <w:szCs w:val="24"/>
        </w:rPr>
        <w:t>presentará</w:t>
      </w:r>
      <w:r w:rsidRPr="00A85D78">
        <w:rPr>
          <w:rFonts w:ascii="Arial" w:hAnsi="Arial" w:cs="Arial"/>
          <w:sz w:val="24"/>
          <w:szCs w:val="24"/>
        </w:rPr>
        <w:t xml:space="preserve"> un resumen que contraste los hallazgos de investigación en términos de sanciones económicas impuestas por las autoridades electorales local y nacional en función de autoridad fiscalizadora.</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En el tercer apartado presentaremos un resumen de los medios de impugnación interpuestos ante el Tribunal Electoral del Estado de México, por concepto de inconformidades de los partidos políticos en relación con las multas impuestas por el IEEM durante la coyuntura 2009 – 2012. </w:t>
      </w:r>
      <w:proofErr w:type="gramStart"/>
      <w:r w:rsidRPr="00A85D78">
        <w:rPr>
          <w:rFonts w:ascii="Arial" w:hAnsi="Arial" w:cs="Arial"/>
          <w:sz w:val="24"/>
          <w:szCs w:val="24"/>
        </w:rPr>
        <w:t>Finalmente</w:t>
      </w:r>
      <w:proofErr w:type="gramEnd"/>
      <w:r w:rsidRPr="00A85D78">
        <w:rPr>
          <w:rFonts w:ascii="Arial" w:hAnsi="Arial" w:cs="Arial"/>
          <w:sz w:val="24"/>
          <w:szCs w:val="24"/>
        </w:rPr>
        <w:t xml:space="preserve"> en el cuarto apartado quedar</w:t>
      </w:r>
      <w:r w:rsidR="008824C9">
        <w:rPr>
          <w:rFonts w:ascii="Arial" w:hAnsi="Arial" w:cs="Arial"/>
          <w:sz w:val="24"/>
          <w:szCs w:val="24"/>
        </w:rPr>
        <w:t>á</w:t>
      </w:r>
      <w:r w:rsidRPr="00A85D78">
        <w:rPr>
          <w:rFonts w:ascii="Arial" w:hAnsi="Arial" w:cs="Arial"/>
          <w:sz w:val="24"/>
          <w:szCs w:val="24"/>
        </w:rPr>
        <w:t xml:space="preserve">n establecidos los recursos de apelación que obran en el Tribunal </w:t>
      </w:r>
      <w:r w:rsidRPr="00A85D78">
        <w:rPr>
          <w:rFonts w:ascii="Arial" w:hAnsi="Arial" w:cs="Arial"/>
          <w:sz w:val="24"/>
          <w:szCs w:val="24"/>
        </w:rPr>
        <w:lastRenderedPageBreak/>
        <w:t xml:space="preserve">Electoral del Poder Judicial de la Federación, en contra de las resoluciones aprobadas por el INE para sancionar las conductas infractoras de los partidos por las transgresiones a la legislación en materia de fiscalización electoral durante el periodo 2015 – 2019. Al igual que en los primeros apartados la desagregación del análisis se </w:t>
      </w:r>
      <w:r w:rsidR="00920E0E" w:rsidRPr="00A85D78">
        <w:rPr>
          <w:rFonts w:ascii="Arial" w:hAnsi="Arial" w:cs="Arial"/>
          <w:sz w:val="24"/>
          <w:szCs w:val="24"/>
        </w:rPr>
        <w:t>realizará</w:t>
      </w:r>
      <w:r w:rsidRPr="00A85D78">
        <w:rPr>
          <w:rFonts w:ascii="Arial" w:hAnsi="Arial" w:cs="Arial"/>
          <w:sz w:val="24"/>
          <w:szCs w:val="24"/>
        </w:rPr>
        <w:t xml:space="preserve"> por proceso electoral correspondiente a cada etapa objeto de estudio.</w:t>
      </w:r>
    </w:p>
    <w:p w:rsidR="00946D23" w:rsidRDefault="00946D23" w:rsidP="00946D23">
      <w:pPr>
        <w:spacing w:line="360" w:lineRule="auto"/>
        <w:jc w:val="both"/>
        <w:rPr>
          <w:rFonts w:ascii="Arial" w:hAnsi="Arial" w:cs="Arial"/>
          <w:sz w:val="24"/>
          <w:szCs w:val="24"/>
        </w:rPr>
      </w:pPr>
    </w:p>
    <w:p w:rsidR="000130C0" w:rsidRPr="00A85D78" w:rsidRDefault="000130C0" w:rsidP="00946D23">
      <w:pPr>
        <w:spacing w:line="360" w:lineRule="auto"/>
        <w:jc w:val="both"/>
        <w:rPr>
          <w:rFonts w:ascii="Arial" w:hAnsi="Arial" w:cs="Arial"/>
          <w:sz w:val="24"/>
          <w:szCs w:val="24"/>
        </w:rPr>
      </w:pPr>
    </w:p>
    <w:p w:rsidR="00A256AB" w:rsidRPr="00A85D78" w:rsidRDefault="00A256AB" w:rsidP="00A256AB">
      <w:pPr>
        <w:jc w:val="both"/>
        <w:rPr>
          <w:rFonts w:ascii="Arial" w:hAnsi="Arial" w:cs="Arial"/>
          <w:sz w:val="24"/>
          <w:szCs w:val="24"/>
        </w:rPr>
      </w:pPr>
      <w:r w:rsidRPr="00A85D78">
        <w:rPr>
          <w:rFonts w:ascii="Arial" w:hAnsi="Arial" w:cs="Arial"/>
          <w:b/>
          <w:sz w:val="24"/>
          <w:szCs w:val="24"/>
        </w:rPr>
        <w:t>4.1 La Unidad Técnica de Fiscalización del Instituto Electoral del Estado de México.</w:t>
      </w: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Hasta el año 2007, la tarea de fiscalizar los recursos ejercidos por los partidos políticos, correspondía de conformidad con el artículo 95 fracción XVII del Código Electoral del Estado de México, al Consejo General del IEEM; para cumplir de mejor forma con esta atribución el 26 de agosto de 2005, mediante el acuerdo IEEM/CG115/2005 se constituyó la Comisión de Fiscalización; no obstante no se contaba con el personal necesario para poder realizar la labor de revisión y dictaminación de los informes anuales de los partidos políticos; por lo que se recurría a contratación de un Despacho Contable externo, que fungiera como auxiliar de dicha Comisión.</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Con la finalidad de profesionalizar la revisión de los recursos de los partidos políticos, en el mes de agosto de 2008, la LVI Legislatura del Estado de México, emitió el Decreto 196, mediante el cual realizó reformas, adiciones y derogaciones al Código Electoral del Estado de México, entre las que destaca la incorporación del Órgano Técnico de Fiscalización, en la estructura del Instituto Electoral del Estado de México, quedando sustentada en los artículos 11 párrafo octavo de la Constitución Política del Estado Libre y Soberano de México; así como en el 62 párrafo primero del Código Electoral del Estado de México. (Gaceta de Gobierno, 2008)</w:t>
      </w:r>
      <w:r w:rsidR="00946D23">
        <w:rPr>
          <w:rFonts w:ascii="Arial" w:hAnsi="Arial" w:cs="Arial"/>
          <w:sz w:val="24"/>
          <w:szCs w:val="24"/>
        </w:rPr>
        <w:t>.</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Es de esta manera que el Órgano Técnico de Fiscalización del IEEM, inicia funciones a través de la revisión del gasto ordinario del ejercicio fiscal 2008</w:t>
      </w:r>
      <w:r w:rsidR="00DE05B8">
        <w:rPr>
          <w:rFonts w:ascii="Arial" w:hAnsi="Arial" w:cs="Arial"/>
          <w:sz w:val="24"/>
          <w:szCs w:val="24"/>
        </w:rPr>
        <w:t>.</w:t>
      </w:r>
      <w:r w:rsidRPr="00A85D78">
        <w:rPr>
          <w:rFonts w:ascii="Arial" w:hAnsi="Arial" w:cs="Arial"/>
          <w:sz w:val="24"/>
          <w:szCs w:val="24"/>
        </w:rPr>
        <w:t xml:space="preserve"> Para el año 2009 además del gasto ordinario, el órgano técnico de fiscalización realizaría además la revisión de los informes de precampaña y campaña </w:t>
      </w:r>
      <w:r w:rsidRPr="00A85D78">
        <w:rPr>
          <w:rFonts w:ascii="Arial" w:hAnsi="Arial" w:cs="Arial"/>
          <w:sz w:val="24"/>
          <w:szCs w:val="24"/>
        </w:rPr>
        <w:lastRenderedPageBreak/>
        <w:t xml:space="preserve">correspondientes al proceso electoral en el que se renovarían los Ayuntamientos y Diputados Locales de la </w:t>
      </w:r>
      <w:r w:rsidR="00DE05B8">
        <w:rPr>
          <w:rFonts w:ascii="Arial" w:hAnsi="Arial" w:cs="Arial"/>
          <w:sz w:val="24"/>
          <w:szCs w:val="24"/>
        </w:rPr>
        <w:t>e</w:t>
      </w:r>
      <w:r w:rsidRPr="00A85D78">
        <w:rPr>
          <w:rFonts w:ascii="Arial" w:hAnsi="Arial" w:cs="Arial"/>
          <w:sz w:val="24"/>
          <w:szCs w:val="24"/>
        </w:rPr>
        <w:t>ntidad.</w:t>
      </w:r>
    </w:p>
    <w:p w:rsidR="00946D23" w:rsidRPr="00A85D78" w:rsidRDefault="00946D23" w:rsidP="00946D23">
      <w:pPr>
        <w:spacing w:line="360" w:lineRule="auto"/>
        <w:jc w:val="both"/>
        <w:rPr>
          <w:rFonts w:ascii="Arial" w:hAnsi="Arial" w:cs="Arial"/>
          <w:sz w:val="24"/>
          <w:szCs w:val="24"/>
        </w:rPr>
      </w:pPr>
    </w:p>
    <w:p w:rsidR="00A256AB" w:rsidRPr="00A85D78" w:rsidRDefault="00920E0E" w:rsidP="00A256AB">
      <w:pPr>
        <w:jc w:val="both"/>
        <w:rPr>
          <w:rFonts w:ascii="Arial" w:hAnsi="Arial" w:cs="Arial"/>
          <w:b/>
          <w:sz w:val="24"/>
          <w:szCs w:val="24"/>
        </w:rPr>
      </w:pPr>
      <w:r w:rsidRPr="00A85D78">
        <w:rPr>
          <w:rFonts w:ascii="Arial" w:hAnsi="Arial" w:cs="Arial"/>
          <w:b/>
          <w:sz w:val="24"/>
          <w:szCs w:val="24"/>
        </w:rPr>
        <w:t>4.1.1 Proceso</w:t>
      </w:r>
      <w:r w:rsidR="00A256AB" w:rsidRPr="00A85D78">
        <w:rPr>
          <w:rFonts w:ascii="Arial" w:hAnsi="Arial" w:cs="Arial"/>
          <w:b/>
          <w:sz w:val="24"/>
          <w:szCs w:val="24"/>
        </w:rPr>
        <w:t xml:space="preserve"> </w:t>
      </w:r>
      <w:r w:rsidR="003D1A3D">
        <w:rPr>
          <w:rFonts w:ascii="Arial" w:hAnsi="Arial" w:cs="Arial"/>
          <w:b/>
          <w:sz w:val="24"/>
          <w:szCs w:val="24"/>
        </w:rPr>
        <w:t>e</w:t>
      </w:r>
      <w:r w:rsidR="00A256AB" w:rsidRPr="00A85D78">
        <w:rPr>
          <w:rFonts w:ascii="Arial" w:hAnsi="Arial" w:cs="Arial"/>
          <w:b/>
          <w:sz w:val="24"/>
          <w:szCs w:val="24"/>
        </w:rPr>
        <w:t>lectoral Ayuntamientos y Diputados Locales 2009.</w:t>
      </w:r>
    </w:p>
    <w:p w:rsidR="00946D23" w:rsidRPr="00A85D78" w:rsidRDefault="00A256AB" w:rsidP="00A256AB">
      <w:pPr>
        <w:jc w:val="both"/>
        <w:rPr>
          <w:rFonts w:ascii="Arial" w:hAnsi="Arial" w:cs="Arial"/>
          <w:b/>
          <w:sz w:val="24"/>
          <w:szCs w:val="24"/>
        </w:rPr>
      </w:pPr>
      <w:r w:rsidRPr="00A85D78">
        <w:rPr>
          <w:rFonts w:ascii="Arial" w:hAnsi="Arial" w:cs="Arial"/>
          <w:b/>
          <w:sz w:val="24"/>
          <w:szCs w:val="24"/>
        </w:rPr>
        <w:t>4.1.1.1 Precampaña.</w:t>
      </w:r>
    </w:p>
    <w:p w:rsidR="00946D23"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El periodo de precampaña comprendió del 02 al 31 de marzo de 2009; los partidos contaron con un plazo de hasta 15 días después de culminadas las precampañas para presentar sus informes de campaña.</w:t>
      </w:r>
    </w:p>
    <w:p w:rsidR="00946D23"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Para la revisión de los informes de precampaña de los 9 partidos con derecho a postular candidatos en la </w:t>
      </w:r>
      <w:r w:rsidR="00DE05B8">
        <w:rPr>
          <w:rFonts w:ascii="Arial" w:hAnsi="Arial" w:cs="Arial"/>
          <w:sz w:val="24"/>
          <w:szCs w:val="24"/>
        </w:rPr>
        <w:t>e</w:t>
      </w:r>
      <w:r w:rsidRPr="00A85D78">
        <w:rPr>
          <w:rFonts w:ascii="Arial" w:hAnsi="Arial" w:cs="Arial"/>
          <w:sz w:val="24"/>
          <w:szCs w:val="24"/>
        </w:rPr>
        <w:t>ntidad, la UTF, cont</w:t>
      </w:r>
      <w:r w:rsidR="00DE05B8">
        <w:rPr>
          <w:rFonts w:ascii="Arial" w:hAnsi="Arial" w:cs="Arial"/>
          <w:sz w:val="24"/>
          <w:szCs w:val="24"/>
        </w:rPr>
        <w:t>ó</w:t>
      </w:r>
      <w:r w:rsidRPr="00A85D78">
        <w:rPr>
          <w:rFonts w:ascii="Arial" w:hAnsi="Arial" w:cs="Arial"/>
          <w:sz w:val="24"/>
          <w:szCs w:val="24"/>
        </w:rPr>
        <w:t xml:space="preserve"> con un periodo de 17 días aproximadamente desde la recepción de los informes de precampaña.</w:t>
      </w: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Es </w:t>
      </w:r>
      <w:proofErr w:type="gramStart"/>
      <w:r w:rsidRPr="00A85D78">
        <w:rPr>
          <w:rFonts w:ascii="Arial" w:hAnsi="Arial" w:cs="Arial"/>
          <w:sz w:val="24"/>
          <w:szCs w:val="24"/>
        </w:rPr>
        <w:t>decir</w:t>
      </w:r>
      <w:proofErr w:type="gramEnd"/>
      <w:r w:rsidRPr="00A85D78">
        <w:rPr>
          <w:rFonts w:ascii="Arial" w:hAnsi="Arial" w:cs="Arial"/>
          <w:sz w:val="24"/>
          <w:szCs w:val="24"/>
        </w:rPr>
        <w:t xml:space="preserve"> a partir del 15 de abril, la UTF inici</w:t>
      </w:r>
      <w:r w:rsidR="00F82409">
        <w:rPr>
          <w:rFonts w:ascii="Arial" w:hAnsi="Arial" w:cs="Arial"/>
          <w:sz w:val="24"/>
          <w:szCs w:val="24"/>
        </w:rPr>
        <w:t>ó</w:t>
      </w:r>
      <w:r w:rsidRPr="00A85D78">
        <w:rPr>
          <w:rFonts w:ascii="Arial" w:hAnsi="Arial" w:cs="Arial"/>
          <w:sz w:val="24"/>
          <w:szCs w:val="24"/>
        </w:rPr>
        <w:t xml:space="preserve"> con la revisión preliminar de los informes presentados, misma que culmina el 20 de abril, fecha a partir de la cual acudió a los domicilios sociales de los partidos a verificar documentación física respecto de los gastos erogados.</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Para la revisión de los informes de precampaña de los 9 partidos con derecho a postular candidatos en la </w:t>
      </w:r>
      <w:r w:rsidR="00F82409">
        <w:rPr>
          <w:rFonts w:ascii="Arial" w:hAnsi="Arial" w:cs="Arial"/>
          <w:sz w:val="24"/>
          <w:szCs w:val="24"/>
        </w:rPr>
        <w:t>e</w:t>
      </w:r>
      <w:r w:rsidRPr="00A85D78">
        <w:rPr>
          <w:rFonts w:ascii="Arial" w:hAnsi="Arial" w:cs="Arial"/>
          <w:sz w:val="24"/>
          <w:szCs w:val="24"/>
        </w:rPr>
        <w:t>ntidad, el OTF, cont</w:t>
      </w:r>
      <w:r w:rsidR="00F82409">
        <w:rPr>
          <w:rFonts w:ascii="Arial" w:hAnsi="Arial" w:cs="Arial"/>
          <w:sz w:val="24"/>
          <w:szCs w:val="24"/>
        </w:rPr>
        <w:t>ó</w:t>
      </w:r>
      <w:r w:rsidRPr="00A85D78">
        <w:rPr>
          <w:rFonts w:ascii="Arial" w:hAnsi="Arial" w:cs="Arial"/>
          <w:sz w:val="24"/>
          <w:szCs w:val="24"/>
        </w:rPr>
        <w:t xml:space="preserve"> con un periodo de 17 días aproximadamente desde la recepción de los informes de precampaña.</w:t>
      </w:r>
    </w:p>
    <w:p w:rsidR="00946D23" w:rsidRPr="00A85D78" w:rsidRDefault="00946D23" w:rsidP="00946D23">
      <w:pPr>
        <w:spacing w:line="360" w:lineRule="auto"/>
        <w:jc w:val="both"/>
        <w:rPr>
          <w:rFonts w:ascii="Arial" w:hAnsi="Arial" w:cs="Arial"/>
          <w:sz w:val="24"/>
          <w:szCs w:val="24"/>
        </w:rPr>
      </w:pPr>
    </w:p>
    <w:p w:rsidR="00A256AB"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Una vez concluida esta labor notifica el 23 de abril a los partidos políticos los errores y omisiones detectados, otorgando un periodo de 4 días para subsanar y/o corregir los yerros cumpliendo de esta forma la garantía de audiencia.</w:t>
      </w: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Después de evaluar los ajustes realizados por los partidos políticos durante el periodo de garantía de audiencia; en los 5 días posteriores, el 02 de mayo se presenta ante el Consejo General del IEEM el “Dictamen sobre la Revisión a los Informes de Ingresos y Gastos de Precampaña presentados por los Partidos Políticos, correspondiente al Proceso Electoral 2009”.</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proofErr w:type="gramStart"/>
      <w:r w:rsidRPr="00A85D78">
        <w:rPr>
          <w:rFonts w:ascii="Arial" w:hAnsi="Arial" w:cs="Arial"/>
          <w:sz w:val="24"/>
          <w:szCs w:val="24"/>
        </w:rPr>
        <w:t>Finalmente</w:t>
      </w:r>
      <w:proofErr w:type="gramEnd"/>
      <w:r w:rsidRPr="00A85D78">
        <w:rPr>
          <w:rFonts w:ascii="Arial" w:hAnsi="Arial" w:cs="Arial"/>
          <w:sz w:val="24"/>
          <w:szCs w:val="24"/>
        </w:rPr>
        <w:t xml:space="preserve"> el 04 de mayo, </w:t>
      </w:r>
      <w:r w:rsidR="00920E0E" w:rsidRPr="00A85D78">
        <w:rPr>
          <w:rFonts w:ascii="Arial" w:hAnsi="Arial" w:cs="Arial"/>
          <w:sz w:val="24"/>
          <w:szCs w:val="24"/>
        </w:rPr>
        <w:t>el C.G.</w:t>
      </w:r>
      <w:r w:rsidRPr="00A85D78">
        <w:rPr>
          <w:rFonts w:ascii="Arial" w:hAnsi="Arial" w:cs="Arial"/>
          <w:sz w:val="24"/>
          <w:szCs w:val="24"/>
        </w:rPr>
        <w:t xml:space="preserve"> emite el acuerdo IEEM/CG/58/2009 que aprueba el dictamen; en el que no se encontraron conductas sancionables por parte de los partidos políticos, además de aprobar los informes presentados por las 9 fuerzas políticas de la entidad. </w:t>
      </w:r>
    </w:p>
    <w:p w:rsidR="00946D23" w:rsidRPr="00A85D78" w:rsidRDefault="00946D23" w:rsidP="00946D23">
      <w:pPr>
        <w:spacing w:line="360" w:lineRule="auto"/>
        <w:jc w:val="both"/>
        <w:rPr>
          <w:rFonts w:ascii="Arial" w:hAnsi="Arial" w:cs="Arial"/>
          <w:sz w:val="24"/>
          <w:szCs w:val="24"/>
        </w:rPr>
      </w:pPr>
    </w:p>
    <w:p w:rsidR="00A256AB" w:rsidRPr="00A85D78" w:rsidRDefault="00A256AB" w:rsidP="00A256AB">
      <w:pPr>
        <w:jc w:val="both"/>
        <w:rPr>
          <w:rFonts w:ascii="Arial" w:hAnsi="Arial" w:cs="Arial"/>
          <w:b/>
          <w:sz w:val="24"/>
          <w:szCs w:val="24"/>
        </w:rPr>
      </w:pPr>
      <w:r w:rsidRPr="00A85D78">
        <w:rPr>
          <w:rFonts w:ascii="Arial" w:hAnsi="Arial" w:cs="Arial"/>
          <w:b/>
          <w:sz w:val="24"/>
          <w:szCs w:val="24"/>
        </w:rPr>
        <w:lastRenderedPageBreak/>
        <w:t>4.1.1.2. Revisión precautoria.</w:t>
      </w: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Un mes después de aprobar el dictamen de gastos de precampaña, el Consejo General del IEEM, en sesión extraordinaria celebrada el 16 de Junio, tuvo a bien aprobar mediante </w:t>
      </w:r>
      <w:r w:rsidR="00F82409">
        <w:rPr>
          <w:rFonts w:ascii="Arial" w:hAnsi="Arial" w:cs="Arial"/>
          <w:sz w:val="24"/>
          <w:szCs w:val="24"/>
        </w:rPr>
        <w:t>A</w:t>
      </w:r>
      <w:r w:rsidRPr="00A85D78">
        <w:rPr>
          <w:rFonts w:ascii="Arial" w:hAnsi="Arial" w:cs="Arial"/>
          <w:sz w:val="24"/>
          <w:szCs w:val="24"/>
        </w:rPr>
        <w:t>cuerdo CG/111/2009, la realización de una Revisión Precautoria cuya finalidad fue determinar el cumplimiento de los Topes de Gastos de Campaña de los Partidos Políticos y Coaliciones correspondiente al Proceso Electoral 2009, una vez que las campañas políticas se encontraban en pleno desarrollo y a 15 días de llegar a su fin.</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La revisión precautoria se realizó aleatoriamente a 25 Municipios y 9 Distritos Locales del Estado de México es decir al 20% de los cargos en disputa; el periodo sujeto de revisión comprendería del 07 de </w:t>
      </w:r>
      <w:r w:rsidR="00920E0E" w:rsidRPr="00A85D78">
        <w:rPr>
          <w:rFonts w:ascii="Arial" w:hAnsi="Arial" w:cs="Arial"/>
          <w:sz w:val="24"/>
          <w:szCs w:val="24"/>
        </w:rPr>
        <w:t>mayo</w:t>
      </w:r>
      <w:r w:rsidRPr="00A85D78">
        <w:rPr>
          <w:rFonts w:ascii="Arial" w:hAnsi="Arial" w:cs="Arial"/>
          <w:sz w:val="24"/>
          <w:szCs w:val="24"/>
        </w:rPr>
        <w:t xml:space="preserve"> al 15 de </w:t>
      </w:r>
      <w:r w:rsidR="00920E0E" w:rsidRPr="00A85D78">
        <w:rPr>
          <w:rFonts w:ascii="Arial" w:hAnsi="Arial" w:cs="Arial"/>
          <w:sz w:val="24"/>
          <w:szCs w:val="24"/>
        </w:rPr>
        <w:t>junio</w:t>
      </w:r>
      <w:r w:rsidRPr="00A85D78">
        <w:rPr>
          <w:rFonts w:ascii="Arial" w:hAnsi="Arial" w:cs="Arial"/>
          <w:sz w:val="24"/>
          <w:szCs w:val="24"/>
        </w:rPr>
        <w:t xml:space="preserve"> de 2009</w:t>
      </w:r>
      <w:r w:rsidR="00946D23">
        <w:rPr>
          <w:rFonts w:ascii="Arial" w:hAnsi="Arial" w:cs="Arial"/>
          <w:sz w:val="24"/>
          <w:szCs w:val="24"/>
        </w:rPr>
        <w:t>.</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El </w:t>
      </w:r>
      <w:r w:rsidR="00F82409">
        <w:rPr>
          <w:rFonts w:ascii="Arial" w:hAnsi="Arial" w:cs="Arial"/>
          <w:sz w:val="24"/>
          <w:szCs w:val="24"/>
        </w:rPr>
        <w:t>p</w:t>
      </w:r>
      <w:r w:rsidRPr="00A85D78">
        <w:rPr>
          <w:rFonts w:ascii="Arial" w:hAnsi="Arial" w:cs="Arial"/>
          <w:sz w:val="24"/>
          <w:szCs w:val="24"/>
        </w:rPr>
        <w:t xml:space="preserve">lazo para que los partidos presentaran los informes de los Municipios y Distritos sujetos a revisión precautoria, venció el 27 de junio, la revisión por parte del órgano técnico de fiscalización se llevó a cabo en un periodo de seis días, del 28 de </w:t>
      </w:r>
      <w:r w:rsidR="00920E0E" w:rsidRPr="00A85D78">
        <w:rPr>
          <w:rFonts w:ascii="Arial" w:hAnsi="Arial" w:cs="Arial"/>
          <w:sz w:val="24"/>
          <w:szCs w:val="24"/>
        </w:rPr>
        <w:t>junio</w:t>
      </w:r>
      <w:r w:rsidRPr="00A85D78">
        <w:rPr>
          <w:rFonts w:ascii="Arial" w:hAnsi="Arial" w:cs="Arial"/>
          <w:sz w:val="24"/>
          <w:szCs w:val="24"/>
        </w:rPr>
        <w:t xml:space="preserve"> al 03 de Julio de 2009.</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Posteriormente se notificó a los partidos políticos </w:t>
      </w:r>
      <w:r w:rsidR="00920E0E" w:rsidRPr="00A85D78">
        <w:rPr>
          <w:rFonts w:ascii="Arial" w:hAnsi="Arial" w:cs="Arial"/>
          <w:sz w:val="24"/>
          <w:szCs w:val="24"/>
        </w:rPr>
        <w:t>el 07</w:t>
      </w:r>
      <w:r w:rsidRPr="00A85D78">
        <w:rPr>
          <w:rFonts w:ascii="Arial" w:hAnsi="Arial" w:cs="Arial"/>
          <w:sz w:val="24"/>
          <w:szCs w:val="24"/>
        </w:rPr>
        <w:t xml:space="preserve"> de </w:t>
      </w:r>
      <w:r w:rsidR="00920E0E" w:rsidRPr="00A85D78">
        <w:rPr>
          <w:rFonts w:ascii="Arial" w:hAnsi="Arial" w:cs="Arial"/>
          <w:sz w:val="24"/>
          <w:szCs w:val="24"/>
        </w:rPr>
        <w:t>j</w:t>
      </w:r>
      <w:r w:rsidRPr="00A85D78">
        <w:rPr>
          <w:rFonts w:ascii="Arial" w:hAnsi="Arial" w:cs="Arial"/>
          <w:sz w:val="24"/>
          <w:szCs w:val="24"/>
        </w:rPr>
        <w:t>ulio, los errores y omisiones técnicas que advirtió durante la revisión de los informes presentados sujetos a revisión precautoria, a efecto de que presentaran las aclaraciones o rectificaciones pertinentes, y atendieran los requerimientos sobre la entrega de documentación que se solicitó, otorgando un plazo hasta el 16 de Julio para subsanar inconsistencias.</w:t>
      </w:r>
    </w:p>
    <w:p w:rsidR="00946D23" w:rsidRPr="00A85D78" w:rsidRDefault="00946D23" w:rsidP="00946D23">
      <w:pPr>
        <w:spacing w:line="360" w:lineRule="auto"/>
        <w:jc w:val="both"/>
        <w:rPr>
          <w:rFonts w:ascii="Arial" w:hAnsi="Arial" w:cs="Arial"/>
          <w:sz w:val="24"/>
          <w:szCs w:val="24"/>
        </w:rPr>
      </w:pPr>
    </w:p>
    <w:p w:rsidR="00A256AB" w:rsidRDefault="00E02D32" w:rsidP="00946D23">
      <w:pPr>
        <w:spacing w:line="360" w:lineRule="auto"/>
        <w:jc w:val="both"/>
        <w:rPr>
          <w:rFonts w:ascii="Arial" w:hAnsi="Arial" w:cs="Arial"/>
          <w:sz w:val="24"/>
          <w:szCs w:val="24"/>
        </w:rPr>
      </w:pPr>
      <w:r>
        <w:rPr>
          <w:rFonts w:ascii="Arial" w:hAnsi="Arial" w:cs="Arial"/>
          <w:sz w:val="24"/>
          <w:szCs w:val="24"/>
        </w:rPr>
        <w:t>E</w:t>
      </w:r>
      <w:r w:rsidR="00A256AB" w:rsidRPr="00A85D78">
        <w:rPr>
          <w:rFonts w:ascii="Arial" w:hAnsi="Arial" w:cs="Arial"/>
          <w:sz w:val="24"/>
          <w:szCs w:val="24"/>
        </w:rPr>
        <w:t>l 29 de Julio se aprobó el dictamen mediante acuerdo CG/151/2009, el Consejo General del IEEM, aprueba las siguientes sanciones económicas derivado del dictamen de los resultados de la revisión precautoria de los municipios sorteados.</w:t>
      </w:r>
    </w:p>
    <w:p w:rsidR="00946D23" w:rsidRPr="00A85D78" w:rsidRDefault="00946D23" w:rsidP="00946D23">
      <w:pPr>
        <w:spacing w:line="360" w:lineRule="auto"/>
        <w:jc w:val="both"/>
        <w:rPr>
          <w:rFonts w:ascii="Arial" w:hAnsi="Arial" w:cs="Arial"/>
          <w:sz w:val="24"/>
          <w:szCs w:val="24"/>
        </w:rPr>
      </w:pPr>
    </w:p>
    <w:p w:rsidR="00A256AB"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Derivado de la revisión del Dictamen correspondiente, se desprendieron 4 sanciones económicas para el Partido Revolucionario Institucional; Partido Verde Ecologista de México; la Coalición “Unidos para cumplir” (integrada por </w:t>
      </w:r>
      <w:r w:rsidRPr="00A85D78">
        <w:rPr>
          <w:rFonts w:ascii="Arial" w:hAnsi="Arial" w:cs="Arial"/>
          <w:sz w:val="24"/>
          <w:szCs w:val="24"/>
        </w:rPr>
        <w:lastRenderedPageBreak/>
        <w:t>PRI, PVEM, Partido Nueva Alianza y Partido Social Demócrata), y para la Coalición “Juntos para Cumplir” (conformada por PRI, PVEM y Nueva Alianza).</w:t>
      </w: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En términos generales la revisión de los informes, no fue motivo de conductas sancionadoras; ya que no se rebasaron los topes de gastos de campaña de los Municipios y Distritos sorteados para esta revisión precautoria;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los Partidos y Coaliciones, sancionados presentaron de forma extemporánea los informes respectivos; siendo esta la causa de las multas impuestas.</w:t>
      </w:r>
    </w:p>
    <w:p w:rsidR="00946D23" w:rsidRPr="00A85D78" w:rsidRDefault="00946D23" w:rsidP="00946D23">
      <w:pPr>
        <w:spacing w:line="360" w:lineRule="auto"/>
        <w:jc w:val="both"/>
        <w:rPr>
          <w:rFonts w:ascii="Arial" w:hAnsi="Arial" w:cs="Arial"/>
          <w:sz w:val="24"/>
          <w:szCs w:val="24"/>
        </w:rPr>
      </w:pPr>
    </w:p>
    <w:p w:rsidR="00A256AB" w:rsidRDefault="00A256AB" w:rsidP="00946D23">
      <w:pPr>
        <w:spacing w:line="360" w:lineRule="auto"/>
        <w:jc w:val="both"/>
        <w:rPr>
          <w:rFonts w:ascii="Arial" w:hAnsi="Arial" w:cs="Arial"/>
          <w:sz w:val="24"/>
          <w:szCs w:val="24"/>
        </w:rPr>
      </w:pPr>
      <w:r w:rsidRPr="00A85D78">
        <w:rPr>
          <w:rFonts w:ascii="Arial" w:hAnsi="Arial" w:cs="Arial"/>
          <w:sz w:val="24"/>
          <w:szCs w:val="24"/>
        </w:rPr>
        <w:t>Al entregar de forma extemporánea los informes, los Partidos y Coaliciones involucrados incumplieron lo establecido en los artículos 52, fracciones II y XIII, del Código Electoral del Estado de México; 117, del Reglamento de Fiscalización a las Actividades de los Partidos Políticos y Coaliciones; así como con lo establecido en el Acuerdo CG/111/2009 aprobado por el Consejo General del Instituto Electoral del Estado de México, en cumplimiento a las atribuciones establecidas en el artículo 61, fracción III, inciso b, numerales 3, 4, 5 y 6, del propio código; constituyendo una falta de fondo, que fue  calificada como  Grave Ordinaria.</w:t>
      </w:r>
    </w:p>
    <w:p w:rsidR="00946D23" w:rsidRPr="00A85D78" w:rsidRDefault="00946D23" w:rsidP="00946D23">
      <w:pPr>
        <w:spacing w:line="360" w:lineRule="auto"/>
        <w:jc w:val="both"/>
        <w:rPr>
          <w:rFonts w:ascii="Arial" w:hAnsi="Arial" w:cs="Arial"/>
          <w:sz w:val="24"/>
          <w:szCs w:val="24"/>
        </w:rPr>
      </w:pPr>
    </w:p>
    <w:p w:rsidR="00A256AB"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La sanción impuesta se fundó y motivó de conformidad con lo estipulado en el artículo 355 fracción I, inciso a), que a la letra dice: </w:t>
      </w:r>
    </w:p>
    <w:p w:rsidR="00A256AB" w:rsidRPr="00A85D78" w:rsidRDefault="00A256AB" w:rsidP="00A256AB">
      <w:pPr>
        <w:ind w:left="284" w:right="284"/>
        <w:jc w:val="both"/>
        <w:rPr>
          <w:rFonts w:ascii="Arial" w:hAnsi="Arial" w:cs="Arial"/>
          <w:i/>
        </w:rPr>
      </w:pPr>
      <w:r w:rsidRPr="00A85D78">
        <w:rPr>
          <w:rFonts w:ascii="Arial" w:hAnsi="Arial" w:cs="Arial"/>
          <w:i/>
        </w:rPr>
        <w:t>“Artículo 355. Los partidos políticos, sus dirigentes, precandidatos y candidatos, independientemente de las responsabilidades en que incurran, podrán ser sancionados con:</w:t>
      </w:r>
    </w:p>
    <w:p w:rsidR="00A256AB" w:rsidRPr="00A85D78" w:rsidRDefault="00A256AB" w:rsidP="00A256AB">
      <w:pPr>
        <w:pStyle w:val="Prrafodelista"/>
        <w:numPr>
          <w:ilvl w:val="0"/>
          <w:numId w:val="17"/>
        </w:numPr>
        <w:ind w:right="284"/>
        <w:jc w:val="both"/>
        <w:rPr>
          <w:rFonts w:ascii="Arial" w:hAnsi="Arial" w:cs="Arial"/>
          <w:i/>
        </w:rPr>
      </w:pPr>
      <w:r w:rsidRPr="00A85D78">
        <w:rPr>
          <w:rFonts w:ascii="Arial" w:hAnsi="Arial" w:cs="Arial"/>
          <w:i/>
        </w:rPr>
        <w:t>Partidos políticos:</w:t>
      </w:r>
    </w:p>
    <w:p w:rsidR="00A256AB" w:rsidRPr="00A85D78" w:rsidRDefault="00A256AB" w:rsidP="00A256AB">
      <w:pPr>
        <w:pStyle w:val="Prrafodelista"/>
        <w:ind w:left="1004" w:right="284"/>
        <w:jc w:val="both"/>
        <w:rPr>
          <w:rFonts w:ascii="Arial" w:hAnsi="Arial" w:cs="Arial"/>
          <w:i/>
        </w:rPr>
      </w:pPr>
    </w:p>
    <w:p w:rsidR="00A256AB" w:rsidRDefault="00A256AB" w:rsidP="00A256AB">
      <w:pPr>
        <w:pStyle w:val="Prrafodelista"/>
        <w:numPr>
          <w:ilvl w:val="0"/>
          <w:numId w:val="18"/>
        </w:numPr>
        <w:ind w:right="284"/>
        <w:jc w:val="both"/>
        <w:rPr>
          <w:rFonts w:ascii="Arial" w:hAnsi="Arial" w:cs="Arial"/>
          <w:i/>
        </w:rPr>
      </w:pPr>
      <w:r w:rsidRPr="00A85D78">
        <w:rPr>
          <w:rFonts w:ascii="Arial" w:hAnsi="Arial" w:cs="Arial"/>
          <w:i/>
        </w:rPr>
        <w:t>Multa del equivalente de ciento cincuenta a dos mil días de salario mínimo general vigente en la capital del Estado de México, por incumplir con las obligaciones señaladas en los artículos 52 fracciones I, II, III, IV, V, VI, VII, VIII, IX, X, XI, XII, XIII, XV, XVI, XVII, XVIII, XIX, XXII, XXIII, XXIV, XXV y XXVI y 64 párrafo segundo;  (IEEM, 2009: p.248)</w:t>
      </w:r>
      <w:r w:rsidR="00946D23">
        <w:rPr>
          <w:rFonts w:ascii="Arial" w:hAnsi="Arial" w:cs="Arial"/>
          <w:i/>
        </w:rPr>
        <w:t>.</w:t>
      </w:r>
    </w:p>
    <w:p w:rsidR="00946D23" w:rsidRPr="00946D23" w:rsidRDefault="00946D23" w:rsidP="00946D23">
      <w:pPr>
        <w:ind w:right="284"/>
        <w:jc w:val="both"/>
        <w:rPr>
          <w:rFonts w:ascii="Arial" w:hAnsi="Arial" w:cs="Arial"/>
          <w:i/>
        </w:rPr>
      </w:pPr>
    </w:p>
    <w:p w:rsidR="00A256AB"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Como puede observarse dentro del inciso a) se contempla una sanción de 150 a 2000 días de salario mínimo;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para la determinación del monto de la sanción no se especifica la aplicación de un criterio de jurisprudencia </w:t>
      </w:r>
      <w:r w:rsidR="00E02D32">
        <w:rPr>
          <w:rFonts w:ascii="Arial" w:hAnsi="Arial" w:cs="Arial"/>
          <w:sz w:val="24"/>
          <w:szCs w:val="24"/>
        </w:rPr>
        <w:t>definido</w:t>
      </w:r>
      <w:r w:rsidRPr="00A85D78">
        <w:rPr>
          <w:rFonts w:ascii="Arial" w:hAnsi="Arial" w:cs="Arial"/>
          <w:sz w:val="24"/>
          <w:szCs w:val="24"/>
        </w:rPr>
        <w:t xml:space="preserve"> para el cálculo de la sanción correspondiente, por lo que el Consejo General determin</w:t>
      </w:r>
      <w:r w:rsidR="00E02D32">
        <w:rPr>
          <w:rFonts w:ascii="Arial" w:hAnsi="Arial" w:cs="Arial"/>
          <w:sz w:val="24"/>
          <w:szCs w:val="24"/>
        </w:rPr>
        <w:t>ó</w:t>
      </w:r>
      <w:r w:rsidRPr="00A85D78">
        <w:rPr>
          <w:rFonts w:ascii="Arial" w:hAnsi="Arial" w:cs="Arial"/>
          <w:sz w:val="24"/>
          <w:szCs w:val="24"/>
        </w:rPr>
        <w:t xml:space="preserve"> las mismas sin una metodología precisa, como lo podemos observar en el siguiente extracto: </w:t>
      </w:r>
    </w:p>
    <w:p w:rsidR="00A256AB" w:rsidRDefault="00A256AB" w:rsidP="00A256AB">
      <w:pPr>
        <w:ind w:left="284" w:right="284"/>
        <w:jc w:val="both"/>
        <w:rPr>
          <w:rFonts w:ascii="Arial" w:hAnsi="Arial" w:cs="Arial"/>
          <w:i/>
        </w:rPr>
      </w:pPr>
      <w:r w:rsidRPr="00A85D78">
        <w:rPr>
          <w:rFonts w:ascii="Arial" w:hAnsi="Arial" w:cs="Arial"/>
          <w:i/>
        </w:rPr>
        <w:lastRenderedPageBreak/>
        <w:t>“el mínimo de la sanción a imponer es de ciento cincuenta días y el máximo de dos mil días de salario mínimo general vigente en la capital del Estado de México en dos mil nueve, se estima que la sanción debe ubicarse en la equidistancia entre el mínimo y el medio, es decir, entre ciento cincuenta, a mil setenta y cinco días de salario mínimo, ligeramente dirigida hacia el mínimo para colocarse en los 600 (seiscientos) días de salario mínimo.” (IEEM/CG/151/2009, p.469)</w:t>
      </w:r>
      <w:r w:rsidR="00946D23">
        <w:rPr>
          <w:rFonts w:ascii="Arial" w:hAnsi="Arial" w:cs="Arial"/>
          <w:i/>
        </w:rPr>
        <w:t>.</w:t>
      </w:r>
    </w:p>
    <w:p w:rsidR="00946D23" w:rsidRPr="00A85D78" w:rsidRDefault="00946D23" w:rsidP="00A256AB">
      <w:pPr>
        <w:ind w:left="284" w:right="284"/>
        <w:jc w:val="both"/>
        <w:rPr>
          <w:rFonts w:ascii="Arial" w:hAnsi="Arial" w:cs="Arial"/>
          <w:i/>
        </w:rPr>
      </w:pPr>
    </w:p>
    <w:p w:rsidR="00A256AB" w:rsidRPr="00A85D78" w:rsidRDefault="00A256AB" w:rsidP="00946D23">
      <w:pPr>
        <w:spacing w:line="360" w:lineRule="auto"/>
        <w:jc w:val="both"/>
        <w:rPr>
          <w:rFonts w:ascii="Arial" w:hAnsi="Arial" w:cs="Arial"/>
          <w:sz w:val="24"/>
          <w:szCs w:val="24"/>
        </w:rPr>
      </w:pPr>
      <w:r w:rsidRPr="00A85D78">
        <w:rPr>
          <w:rFonts w:ascii="Arial" w:hAnsi="Arial" w:cs="Arial"/>
          <w:sz w:val="24"/>
          <w:szCs w:val="24"/>
        </w:rPr>
        <w:t xml:space="preserve">En la Tabla 4.1 se resumen las medidas de apremio derivadas de la revisión precautoria quedando de la siguiente forma: </w:t>
      </w:r>
    </w:p>
    <w:p w:rsidR="002449F4" w:rsidRDefault="002449F4" w:rsidP="00A256AB">
      <w:pPr>
        <w:jc w:val="both"/>
        <w:rPr>
          <w:rFonts w:ascii="Arial" w:hAnsi="Arial" w:cs="Arial"/>
          <w:sz w:val="24"/>
          <w:szCs w:val="24"/>
        </w:rPr>
      </w:pPr>
    </w:p>
    <w:p w:rsidR="00A256AB" w:rsidRDefault="00A256AB" w:rsidP="00B0621E">
      <w:pPr>
        <w:tabs>
          <w:tab w:val="left" w:pos="5070"/>
        </w:tabs>
        <w:jc w:val="both"/>
        <w:rPr>
          <w:rStyle w:val="Ttulodellibro"/>
          <w:rFonts w:ascii="Arial" w:hAnsi="Arial" w:cs="Arial"/>
          <w:b/>
          <w:i/>
          <w:color w:val="auto"/>
          <w:sz w:val="20"/>
          <w:szCs w:val="20"/>
        </w:rPr>
      </w:pPr>
      <w:r w:rsidRPr="00B0621E">
        <w:rPr>
          <w:rStyle w:val="Ttulodellibro"/>
          <w:rFonts w:ascii="Arial" w:hAnsi="Arial" w:cs="Arial"/>
          <w:b/>
          <w:i/>
          <w:color w:val="auto"/>
          <w:sz w:val="20"/>
          <w:szCs w:val="20"/>
        </w:rPr>
        <w:t>Tabla 4.1 Mu</w:t>
      </w:r>
      <w:r w:rsidR="002449F4" w:rsidRPr="00B0621E">
        <w:rPr>
          <w:rStyle w:val="Ttulodellibro"/>
          <w:rFonts w:ascii="Arial" w:hAnsi="Arial" w:cs="Arial"/>
          <w:b/>
          <w:i/>
          <w:color w:val="auto"/>
          <w:sz w:val="20"/>
          <w:szCs w:val="20"/>
        </w:rPr>
        <w:t>l</w:t>
      </w:r>
      <w:r w:rsidRPr="00B0621E">
        <w:rPr>
          <w:rStyle w:val="Ttulodellibro"/>
          <w:rFonts w:ascii="Arial" w:hAnsi="Arial" w:cs="Arial"/>
          <w:b/>
          <w:i/>
          <w:color w:val="auto"/>
          <w:sz w:val="20"/>
          <w:szCs w:val="20"/>
        </w:rPr>
        <w:t>tas derivadas de la Revisión Precautoria Campaña 2009</w:t>
      </w:r>
    </w:p>
    <w:p w:rsidR="00B0621E" w:rsidRPr="00B0621E" w:rsidRDefault="00B0621E" w:rsidP="00B0621E">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549"/>
        <w:gridCol w:w="727"/>
        <w:gridCol w:w="2011"/>
        <w:gridCol w:w="1347"/>
        <w:gridCol w:w="1507"/>
        <w:gridCol w:w="1145"/>
        <w:gridCol w:w="1208"/>
      </w:tblGrid>
      <w:tr w:rsidR="00A256AB" w:rsidRPr="00B0621E" w:rsidTr="00B0621E">
        <w:tc>
          <w:tcPr>
            <w:tcW w:w="751" w:type="pct"/>
            <w:gridSpan w:val="2"/>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PARTIDO</w:t>
            </w:r>
          </w:p>
        </w:tc>
        <w:tc>
          <w:tcPr>
            <w:tcW w:w="1184" w:type="pct"/>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CONDUCTA INFRACTORA</w:t>
            </w:r>
          </w:p>
        </w:tc>
        <w:tc>
          <w:tcPr>
            <w:tcW w:w="793" w:type="pct"/>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TIPO FALTA</w:t>
            </w:r>
          </w:p>
        </w:tc>
        <w:tc>
          <w:tcPr>
            <w:tcW w:w="887" w:type="pct"/>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CALIFICACI</w:t>
            </w:r>
            <w:r w:rsidR="00E02D32" w:rsidRPr="00B0621E">
              <w:rPr>
                <w:rFonts w:ascii="Arial" w:hAnsi="Arial" w:cs="Arial"/>
                <w:b/>
                <w:sz w:val="18"/>
                <w:szCs w:val="18"/>
                <w:lang w:val="es-ES_tradnl"/>
              </w:rPr>
              <w:t>Ó</w:t>
            </w:r>
            <w:r w:rsidRPr="00B0621E">
              <w:rPr>
                <w:rFonts w:ascii="Arial" w:hAnsi="Arial" w:cs="Arial"/>
                <w:b/>
                <w:sz w:val="18"/>
                <w:szCs w:val="18"/>
                <w:lang w:val="es-ES_tradnl"/>
              </w:rPr>
              <w:t>N DE LA FALTA</w:t>
            </w:r>
          </w:p>
        </w:tc>
        <w:tc>
          <w:tcPr>
            <w:tcW w:w="674" w:type="pct"/>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SANCIÓN</w:t>
            </w:r>
          </w:p>
        </w:tc>
        <w:tc>
          <w:tcPr>
            <w:tcW w:w="711" w:type="pct"/>
            <w:shd w:val="clear" w:color="auto" w:fill="FBE4D5" w:themeFill="accent2" w:themeFillTint="33"/>
            <w:vAlign w:val="center"/>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MULTA</w:t>
            </w:r>
          </w:p>
        </w:tc>
      </w:tr>
      <w:tr w:rsidR="00A256AB" w:rsidRPr="00B0621E" w:rsidTr="00B0621E">
        <w:tc>
          <w:tcPr>
            <w:tcW w:w="751" w:type="pct"/>
            <w:gridSpan w:val="2"/>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PRI</w:t>
            </w:r>
          </w:p>
        </w:tc>
        <w:tc>
          <w:tcPr>
            <w:tcW w:w="1184" w:type="pct"/>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 xml:space="preserve">Presentación </w:t>
            </w:r>
            <w:r w:rsidR="00E02D32" w:rsidRPr="00B0621E">
              <w:rPr>
                <w:rFonts w:ascii="Arial" w:hAnsi="Arial" w:cs="Arial"/>
                <w:sz w:val="18"/>
                <w:szCs w:val="18"/>
                <w:lang w:val="es-ES_tradnl"/>
              </w:rPr>
              <w:t>e</w:t>
            </w:r>
            <w:r w:rsidRPr="00B0621E">
              <w:rPr>
                <w:rFonts w:ascii="Arial" w:hAnsi="Arial" w:cs="Arial"/>
                <w:sz w:val="18"/>
                <w:szCs w:val="18"/>
                <w:lang w:val="es-ES_tradnl"/>
              </w:rPr>
              <w:t xml:space="preserve">xtemporánea de 25 </w:t>
            </w:r>
            <w:r w:rsidR="00E02D32" w:rsidRPr="00B0621E">
              <w:rPr>
                <w:rFonts w:ascii="Arial" w:hAnsi="Arial" w:cs="Arial"/>
                <w:sz w:val="18"/>
                <w:szCs w:val="18"/>
                <w:lang w:val="es-ES_tradnl"/>
              </w:rPr>
              <w:t>i</w:t>
            </w:r>
            <w:r w:rsidRPr="00B0621E">
              <w:rPr>
                <w:rFonts w:ascii="Arial" w:hAnsi="Arial" w:cs="Arial"/>
                <w:sz w:val="18"/>
                <w:szCs w:val="18"/>
                <w:lang w:val="es-ES_tradnl"/>
              </w:rPr>
              <w:t>nformes de Ayuntamientos y 5 Diputados Locales</w:t>
            </w: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600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$31,170.00</w:t>
            </w:r>
          </w:p>
        </w:tc>
      </w:tr>
      <w:tr w:rsidR="00A256AB" w:rsidRPr="00B0621E" w:rsidTr="00B0621E">
        <w:tc>
          <w:tcPr>
            <w:tcW w:w="751" w:type="pct"/>
            <w:gridSpan w:val="2"/>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PVEM</w:t>
            </w:r>
          </w:p>
        </w:tc>
        <w:tc>
          <w:tcPr>
            <w:tcW w:w="1184" w:type="pct"/>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Presentación Extemporánea de 25 Informes de Ayuntamientos y 5 Diputados Locales</w:t>
            </w: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402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$20,883.90</w:t>
            </w:r>
          </w:p>
        </w:tc>
      </w:tr>
      <w:tr w:rsidR="00A256AB" w:rsidRPr="00B0621E" w:rsidTr="00B0621E">
        <w:tc>
          <w:tcPr>
            <w:tcW w:w="323" w:type="pct"/>
            <w:vMerge w:val="restart"/>
            <w:textDirection w:val="btLr"/>
          </w:tcPr>
          <w:p w:rsidR="00A256AB" w:rsidRPr="00B0621E" w:rsidRDefault="00A256AB" w:rsidP="00A256AB">
            <w:pPr>
              <w:ind w:left="113" w:right="113"/>
              <w:jc w:val="center"/>
              <w:rPr>
                <w:rFonts w:ascii="Arial" w:hAnsi="Arial" w:cs="Arial"/>
                <w:sz w:val="18"/>
                <w:szCs w:val="18"/>
                <w:lang w:val="es-ES_tradnl"/>
              </w:rPr>
            </w:pPr>
            <w:r w:rsidRPr="00B0621E">
              <w:rPr>
                <w:rFonts w:ascii="Arial" w:hAnsi="Arial" w:cs="Arial"/>
                <w:sz w:val="18"/>
                <w:szCs w:val="18"/>
                <w:lang w:val="es-ES_tradnl"/>
              </w:rPr>
              <w:t>UNIDOS PARA CUMPLIR</w:t>
            </w: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PRI</w:t>
            </w:r>
          </w:p>
        </w:tc>
        <w:tc>
          <w:tcPr>
            <w:tcW w:w="1184" w:type="pct"/>
            <w:vMerge w:val="restar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 xml:space="preserve">Presentación </w:t>
            </w:r>
            <w:r w:rsidR="00E02D32" w:rsidRPr="00B0621E">
              <w:rPr>
                <w:rFonts w:ascii="Arial" w:hAnsi="Arial" w:cs="Arial"/>
                <w:sz w:val="18"/>
                <w:szCs w:val="18"/>
                <w:lang w:val="es-ES_tradnl"/>
              </w:rPr>
              <w:t>e</w:t>
            </w:r>
            <w:r w:rsidRPr="00B0621E">
              <w:rPr>
                <w:rFonts w:ascii="Arial" w:hAnsi="Arial" w:cs="Arial"/>
                <w:sz w:val="18"/>
                <w:szCs w:val="18"/>
                <w:lang w:val="es-ES_tradnl"/>
              </w:rPr>
              <w:t xml:space="preserve">xtemporánea de 9 </w:t>
            </w:r>
            <w:r w:rsidR="00E02D32" w:rsidRPr="00B0621E">
              <w:rPr>
                <w:rFonts w:ascii="Arial" w:hAnsi="Arial" w:cs="Arial"/>
                <w:sz w:val="18"/>
                <w:szCs w:val="18"/>
                <w:lang w:val="es-ES_tradnl"/>
              </w:rPr>
              <w:t>i</w:t>
            </w:r>
            <w:r w:rsidRPr="00B0621E">
              <w:rPr>
                <w:rFonts w:ascii="Arial" w:hAnsi="Arial" w:cs="Arial"/>
                <w:sz w:val="18"/>
                <w:szCs w:val="18"/>
                <w:lang w:val="es-ES_tradnl"/>
              </w:rPr>
              <w:t xml:space="preserve">nformes de </w:t>
            </w:r>
            <w:r w:rsidR="00E02D32" w:rsidRPr="00B0621E">
              <w:rPr>
                <w:rFonts w:ascii="Arial" w:hAnsi="Arial" w:cs="Arial"/>
                <w:sz w:val="18"/>
                <w:szCs w:val="18"/>
                <w:lang w:val="es-ES_tradnl"/>
              </w:rPr>
              <w:t>c</w:t>
            </w:r>
            <w:r w:rsidRPr="00B0621E">
              <w:rPr>
                <w:rFonts w:ascii="Arial" w:hAnsi="Arial" w:cs="Arial"/>
                <w:sz w:val="18"/>
                <w:szCs w:val="18"/>
                <w:lang w:val="es-ES_tradnl"/>
              </w:rPr>
              <w:t>andidatos a Diputados Locales</w:t>
            </w: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323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$16,779.85</w:t>
            </w:r>
          </w:p>
        </w:tc>
      </w:tr>
      <w:tr w:rsidR="00A256AB" w:rsidRPr="00B0621E" w:rsidTr="00B0621E">
        <w:tc>
          <w:tcPr>
            <w:tcW w:w="323" w:type="pct"/>
            <w:vMerge/>
          </w:tcPr>
          <w:p w:rsidR="00A256AB" w:rsidRPr="00B0621E" w:rsidRDefault="00A256AB" w:rsidP="00A256AB">
            <w:pPr>
              <w:jc w:val="both"/>
              <w:rPr>
                <w:rFonts w:ascii="Arial" w:hAnsi="Arial" w:cs="Arial"/>
                <w:sz w:val="18"/>
                <w:szCs w:val="18"/>
                <w:lang w:val="es-ES_tradnl"/>
              </w:rPr>
            </w:pP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PVEM</w:t>
            </w:r>
          </w:p>
        </w:tc>
        <w:tc>
          <w:tcPr>
            <w:tcW w:w="1184" w:type="pct"/>
            <w:vMerge/>
          </w:tcPr>
          <w:p w:rsidR="00A256AB" w:rsidRPr="00B0621E" w:rsidRDefault="00A256AB" w:rsidP="00A256AB">
            <w:pPr>
              <w:jc w:val="both"/>
              <w:rPr>
                <w:rFonts w:ascii="Arial" w:hAnsi="Arial" w:cs="Arial"/>
                <w:sz w:val="18"/>
                <w:szCs w:val="18"/>
                <w:lang w:val="es-ES_tradnl"/>
              </w:rPr>
            </w:pP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217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$11,273.15</w:t>
            </w:r>
          </w:p>
        </w:tc>
      </w:tr>
      <w:tr w:rsidR="00A256AB" w:rsidRPr="00B0621E" w:rsidTr="00B0621E">
        <w:tc>
          <w:tcPr>
            <w:tcW w:w="323" w:type="pct"/>
            <w:vMerge/>
          </w:tcPr>
          <w:p w:rsidR="00A256AB" w:rsidRPr="00B0621E" w:rsidRDefault="00A256AB" w:rsidP="00A256AB">
            <w:pPr>
              <w:jc w:val="both"/>
              <w:rPr>
                <w:rFonts w:ascii="Arial" w:hAnsi="Arial" w:cs="Arial"/>
                <w:sz w:val="18"/>
                <w:szCs w:val="18"/>
                <w:lang w:val="es-ES_tradnl"/>
              </w:rPr>
            </w:pP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NA</w:t>
            </w:r>
          </w:p>
        </w:tc>
        <w:tc>
          <w:tcPr>
            <w:tcW w:w="1184" w:type="pct"/>
            <w:vMerge/>
          </w:tcPr>
          <w:p w:rsidR="00A256AB" w:rsidRPr="00B0621E" w:rsidRDefault="00A256AB" w:rsidP="00A256AB">
            <w:pPr>
              <w:jc w:val="both"/>
              <w:rPr>
                <w:rFonts w:ascii="Arial" w:hAnsi="Arial" w:cs="Arial"/>
                <w:sz w:val="18"/>
                <w:szCs w:val="18"/>
                <w:lang w:val="es-ES_tradnl"/>
              </w:rPr>
            </w:pP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30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$1,558.50</w:t>
            </w:r>
          </w:p>
        </w:tc>
      </w:tr>
      <w:tr w:rsidR="00A256AB" w:rsidRPr="00B0621E" w:rsidTr="00B0621E">
        <w:tc>
          <w:tcPr>
            <w:tcW w:w="323" w:type="pct"/>
            <w:vMerge/>
          </w:tcPr>
          <w:p w:rsidR="00A256AB" w:rsidRPr="00B0621E" w:rsidRDefault="00A256AB" w:rsidP="00A256AB">
            <w:pPr>
              <w:jc w:val="both"/>
              <w:rPr>
                <w:rFonts w:ascii="Arial" w:hAnsi="Arial" w:cs="Arial"/>
                <w:sz w:val="18"/>
                <w:szCs w:val="18"/>
                <w:lang w:val="es-ES_tradnl"/>
              </w:rPr>
            </w:pP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PSD</w:t>
            </w:r>
          </w:p>
        </w:tc>
        <w:tc>
          <w:tcPr>
            <w:tcW w:w="1184" w:type="pct"/>
            <w:vMerge/>
          </w:tcPr>
          <w:p w:rsidR="00A256AB" w:rsidRPr="00B0621E" w:rsidRDefault="00A256AB" w:rsidP="00A256AB">
            <w:pPr>
              <w:jc w:val="both"/>
              <w:rPr>
                <w:rFonts w:ascii="Arial" w:hAnsi="Arial" w:cs="Arial"/>
                <w:sz w:val="18"/>
                <w:szCs w:val="18"/>
                <w:lang w:val="es-ES_tradnl"/>
              </w:rPr>
            </w:pP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30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$1,558.50</w:t>
            </w:r>
          </w:p>
        </w:tc>
      </w:tr>
      <w:tr w:rsidR="00A256AB" w:rsidRPr="00B0621E" w:rsidTr="00B0621E">
        <w:tc>
          <w:tcPr>
            <w:tcW w:w="323" w:type="pct"/>
            <w:vMerge w:val="restart"/>
            <w:textDirection w:val="btLr"/>
          </w:tcPr>
          <w:p w:rsidR="00A256AB" w:rsidRPr="00B0621E" w:rsidRDefault="00F52EDB" w:rsidP="00A256AB">
            <w:pPr>
              <w:ind w:left="113" w:right="113"/>
              <w:jc w:val="center"/>
              <w:rPr>
                <w:rFonts w:ascii="Arial" w:hAnsi="Arial" w:cs="Arial"/>
                <w:sz w:val="18"/>
                <w:szCs w:val="18"/>
                <w:lang w:val="es-ES_tradnl"/>
              </w:rPr>
            </w:pPr>
            <w:r w:rsidRPr="00B0621E">
              <w:rPr>
                <w:rFonts w:ascii="Arial" w:hAnsi="Arial" w:cs="Arial"/>
                <w:sz w:val="18"/>
                <w:szCs w:val="18"/>
                <w:lang w:val="es-ES_tradnl"/>
              </w:rPr>
              <w:t>JUNTOS PARA</w:t>
            </w:r>
            <w:r w:rsidR="00A256AB" w:rsidRPr="00B0621E">
              <w:rPr>
                <w:rFonts w:ascii="Arial" w:hAnsi="Arial" w:cs="Arial"/>
                <w:sz w:val="18"/>
                <w:szCs w:val="18"/>
                <w:lang w:val="es-ES_tradnl"/>
              </w:rPr>
              <w:t xml:space="preserve"> CUMPLIR</w:t>
            </w: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PRI</w:t>
            </w:r>
          </w:p>
        </w:tc>
        <w:tc>
          <w:tcPr>
            <w:tcW w:w="1184" w:type="pct"/>
            <w:vMerge w:val="restar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 xml:space="preserve">Presentación </w:t>
            </w:r>
            <w:r w:rsidR="00E02D32" w:rsidRPr="00B0621E">
              <w:rPr>
                <w:rFonts w:ascii="Arial" w:hAnsi="Arial" w:cs="Arial"/>
                <w:sz w:val="18"/>
                <w:szCs w:val="18"/>
                <w:lang w:val="es-ES_tradnl"/>
              </w:rPr>
              <w:t>e</w:t>
            </w:r>
            <w:r w:rsidRPr="00B0621E">
              <w:rPr>
                <w:rFonts w:ascii="Arial" w:hAnsi="Arial" w:cs="Arial"/>
                <w:sz w:val="18"/>
                <w:szCs w:val="18"/>
                <w:lang w:val="es-ES_tradnl"/>
              </w:rPr>
              <w:t xml:space="preserve">xtemporánea de 9 </w:t>
            </w:r>
            <w:r w:rsidR="00E02D32" w:rsidRPr="00B0621E">
              <w:rPr>
                <w:rFonts w:ascii="Arial" w:hAnsi="Arial" w:cs="Arial"/>
                <w:sz w:val="18"/>
                <w:szCs w:val="18"/>
                <w:lang w:val="es-ES_tradnl"/>
              </w:rPr>
              <w:t>i</w:t>
            </w:r>
            <w:r w:rsidRPr="00B0621E">
              <w:rPr>
                <w:rFonts w:ascii="Arial" w:hAnsi="Arial" w:cs="Arial"/>
                <w:sz w:val="18"/>
                <w:szCs w:val="18"/>
                <w:lang w:val="es-ES_tradnl"/>
              </w:rPr>
              <w:t>nformes de Candidatos a Diputados Locales</w:t>
            </w: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340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$17,663.00</w:t>
            </w:r>
          </w:p>
        </w:tc>
      </w:tr>
      <w:tr w:rsidR="00A256AB" w:rsidRPr="00B0621E" w:rsidTr="00B0621E">
        <w:tc>
          <w:tcPr>
            <w:tcW w:w="323" w:type="pct"/>
            <w:vMerge/>
          </w:tcPr>
          <w:p w:rsidR="00A256AB" w:rsidRPr="00B0621E" w:rsidRDefault="00A256AB" w:rsidP="00A256AB">
            <w:pPr>
              <w:jc w:val="both"/>
              <w:rPr>
                <w:rFonts w:ascii="Arial" w:hAnsi="Arial" w:cs="Arial"/>
                <w:sz w:val="18"/>
                <w:szCs w:val="18"/>
                <w:lang w:val="es-ES_tradnl"/>
              </w:rPr>
            </w:pP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PVEM</w:t>
            </w:r>
          </w:p>
        </w:tc>
        <w:tc>
          <w:tcPr>
            <w:tcW w:w="1184" w:type="pct"/>
            <w:vMerge/>
          </w:tcPr>
          <w:p w:rsidR="00A256AB" w:rsidRPr="00B0621E" w:rsidRDefault="00A256AB" w:rsidP="00A256AB">
            <w:pPr>
              <w:rPr>
                <w:rFonts w:ascii="Arial" w:hAnsi="Arial" w:cs="Arial"/>
                <w:sz w:val="18"/>
                <w:szCs w:val="18"/>
                <w:lang w:val="es-ES_tradnl"/>
              </w:rPr>
            </w:pP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228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$11,844.60</w:t>
            </w:r>
          </w:p>
        </w:tc>
      </w:tr>
      <w:tr w:rsidR="00A256AB" w:rsidRPr="00B0621E" w:rsidTr="00B0621E">
        <w:tc>
          <w:tcPr>
            <w:tcW w:w="323" w:type="pct"/>
            <w:vMerge/>
          </w:tcPr>
          <w:p w:rsidR="00A256AB" w:rsidRPr="00B0621E" w:rsidRDefault="00A256AB" w:rsidP="00A256AB">
            <w:pPr>
              <w:jc w:val="both"/>
              <w:rPr>
                <w:rFonts w:ascii="Arial" w:hAnsi="Arial" w:cs="Arial"/>
                <w:sz w:val="18"/>
                <w:szCs w:val="18"/>
                <w:lang w:val="es-ES_tradnl"/>
              </w:rPr>
            </w:pPr>
          </w:p>
        </w:tc>
        <w:tc>
          <w:tcPr>
            <w:tcW w:w="428"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NA</w:t>
            </w:r>
          </w:p>
        </w:tc>
        <w:tc>
          <w:tcPr>
            <w:tcW w:w="1184" w:type="pct"/>
            <w:vMerge/>
          </w:tcPr>
          <w:p w:rsidR="00A256AB" w:rsidRPr="00B0621E" w:rsidRDefault="00A256AB" w:rsidP="00A256AB">
            <w:pPr>
              <w:rPr>
                <w:rFonts w:ascii="Arial" w:hAnsi="Arial" w:cs="Arial"/>
                <w:sz w:val="18"/>
                <w:szCs w:val="18"/>
                <w:lang w:val="es-ES_tradnl"/>
              </w:rPr>
            </w:pPr>
          </w:p>
        </w:tc>
        <w:tc>
          <w:tcPr>
            <w:tcW w:w="793"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SUSTANTIVA</w:t>
            </w:r>
          </w:p>
        </w:tc>
        <w:tc>
          <w:tcPr>
            <w:tcW w:w="887"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GRAVE ORDINARIA</w:t>
            </w:r>
          </w:p>
        </w:tc>
        <w:tc>
          <w:tcPr>
            <w:tcW w:w="674" w:type="pct"/>
            <w:vAlign w:val="center"/>
          </w:tcPr>
          <w:p w:rsidR="00A256AB" w:rsidRPr="00B0621E" w:rsidRDefault="00A256AB" w:rsidP="00A256AB">
            <w:pPr>
              <w:jc w:val="center"/>
              <w:rPr>
                <w:rFonts w:ascii="Arial" w:hAnsi="Arial" w:cs="Arial"/>
                <w:sz w:val="18"/>
                <w:szCs w:val="18"/>
                <w:lang w:val="es-ES_tradnl"/>
              </w:rPr>
            </w:pPr>
            <w:r w:rsidRPr="00B0621E">
              <w:rPr>
                <w:rFonts w:ascii="Arial" w:hAnsi="Arial" w:cs="Arial"/>
                <w:sz w:val="18"/>
                <w:szCs w:val="18"/>
                <w:lang w:val="es-ES_tradnl"/>
              </w:rPr>
              <w:t>32 DSM</w:t>
            </w:r>
          </w:p>
        </w:tc>
        <w:tc>
          <w:tcPr>
            <w:tcW w:w="711" w:type="pct"/>
            <w:vAlign w:val="center"/>
          </w:tcPr>
          <w:p w:rsidR="00A256AB" w:rsidRPr="00B0621E" w:rsidRDefault="00A256AB" w:rsidP="00A256AB">
            <w:pPr>
              <w:jc w:val="right"/>
              <w:rPr>
                <w:rFonts w:ascii="Arial" w:hAnsi="Arial" w:cs="Arial"/>
                <w:sz w:val="18"/>
                <w:szCs w:val="18"/>
                <w:lang w:val="es-ES_tradnl"/>
              </w:rPr>
            </w:pPr>
            <w:r w:rsidRPr="00B0621E">
              <w:rPr>
                <w:rFonts w:ascii="Arial" w:hAnsi="Arial" w:cs="Arial"/>
                <w:sz w:val="18"/>
                <w:szCs w:val="18"/>
                <w:lang w:val="es-ES_tradnl"/>
              </w:rPr>
              <w:t>$1,662.40</w:t>
            </w:r>
          </w:p>
        </w:tc>
      </w:tr>
      <w:tr w:rsidR="00A256AB" w:rsidRPr="00B0621E" w:rsidTr="00B0621E">
        <w:tc>
          <w:tcPr>
            <w:tcW w:w="4289" w:type="pct"/>
            <w:gridSpan w:val="6"/>
          </w:tcPr>
          <w:p w:rsidR="00A256AB" w:rsidRPr="00B0621E" w:rsidRDefault="00A256AB" w:rsidP="00A256AB">
            <w:pPr>
              <w:jc w:val="center"/>
              <w:rPr>
                <w:rFonts w:ascii="Arial" w:hAnsi="Arial" w:cs="Arial"/>
                <w:b/>
                <w:sz w:val="18"/>
                <w:szCs w:val="18"/>
                <w:lang w:val="es-ES_tradnl"/>
              </w:rPr>
            </w:pPr>
            <w:r w:rsidRPr="00B0621E">
              <w:rPr>
                <w:rFonts w:ascii="Arial" w:hAnsi="Arial" w:cs="Arial"/>
                <w:b/>
                <w:sz w:val="18"/>
                <w:szCs w:val="18"/>
                <w:lang w:val="es-ES_tradnl"/>
              </w:rPr>
              <w:t>TOTAL</w:t>
            </w:r>
          </w:p>
        </w:tc>
        <w:tc>
          <w:tcPr>
            <w:tcW w:w="711" w:type="pct"/>
            <w:vAlign w:val="center"/>
          </w:tcPr>
          <w:p w:rsidR="00A256AB" w:rsidRPr="00B0621E" w:rsidRDefault="00A256AB" w:rsidP="00A256AB">
            <w:pPr>
              <w:jc w:val="right"/>
              <w:rPr>
                <w:rFonts w:ascii="Arial" w:hAnsi="Arial" w:cs="Arial"/>
                <w:b/>
                <w:sz w:val="18"/>
                <w:szCs w:val="18"/>
                <w:lang w:val="es-ES_tradnl"/>
              </w:rPr>
            </w:pPr>
            <w:r w:rsidRPr="00B0621E">
              <w:rPr>
                <w:rFonts w:ascii="Arial" w:hAnsi="Arial" w:cs="Arial"/>
                <w:b/>
                <w:sz w:val="18"/>
                <w:szCs w:val="18"/>
                <w:lang w:val="es-ES_tradnl"/>
              </w:rPr>
              <w:t>$83,255.07</w:t>
            </w:r>
          </w:p>
        </w:tc>
      </w:tr>
    </w:tbl>
    <w:p w:rsidR="00E02D32" w:rsidRPr="00D54922" w:rsidRDefault="00A256AB" w:rsidP="00A256AB">
      <w:pPr>
        <w:jc w:val="both"/>
        <w:rPr>
          <w:rFonts w:ascii="Arial" w:hAnsi="Arial" w:cs="Arial"/>
          <w:i/>
          <w:iCs/>
          <w:sz w:val="16"/>
          <w:szCs w:val="16"/>
        </w:rPr>
      </w:pPr>
      <w:r w:rsidRPr="00D54922">
        <w:rPr>
          <w:rFonts w:ascii="Arial" w:hAnsi="Arial" w:cs="Arial"/>
          <w:b/>
          <w:bCs/>
          <w:i/>
          <w:iCs/>
          <w:sz w:val="16"/>
          <w:szCs w:val="16"/>
        </w:rPr>
        <w:t>Fuente:</w:t>
      </w:r>
      <w:r w:rsidRPr="00D54922">
        <w:rPr>
          <w:rFonts w:ascii="Arial" w:hAnsi="Arial" w:cs="Arial"/>
          <w:i/>
          <w:iCs/>
          <w:sz w:val="16"/>
          <w:szCs w:val="16"/>
        </w:rPr>
        <w:t xml:space="preserve"> Elaboración propia con base en el acuerdo IEEM/CG/151/2009, disponible en http://www.ieem.org.mx/consejo_general/cg/2009/a151_09.html</w:t>
      </w:r>
    </w:p>
    <w:p w:rsidR="00D54922" w:rsidRPr="00E02D32" w:rsidRDefault="00D54922" w:rsidP="00A256AB">
      <w:pPr>
        <w:jc w:val="both"/>
        <w:rPr>
          <w:rFonts w:ascii="Arial" w:hAnsi="Arial" w:cs="Arial"/>
          <w:sz w:val="20"/>
          <w:szCs w:val="20"/>
        </w:rPr>
      </w:pPr>
    </w:p>
    <w:p w:rsidR="00A256AB" w:rsidRPr="00A85D78" w:rsidRDefault="00A256AB" w:rsidP="00B0621E">
      <w:pPr>
        <w:spacing w:line="360" w:lineRule="auto"/>
        <w:jc w:val="both"/>
        <w:rPr>
          <w:rFonts w:ascii="Arial" w:hAnsi="Arial" w:cs="Arial"/>
          <w:sz w:val="24"/>
          <w:szCs w:val="24"/>
        </w:rPr>
      </w:pPr>
      <w:r w:rsidRPr="00A85D78">
        <w:rPr>
          <w:rFonts w:ascii="Arial" w:hAnsi="Arial" w:cs="Arial"/>
          <w:sz w:val="24"/>
          <w:szCs w:val="24"/>
        </w:rPr>
        <w:t xml:space="preserve">En la tabla 4.1, se puede observar que durante el periodo de revisión precautoria llevado a cabo por el Instituto Electoral del Estado de México en la campaña local de 2009, únicamente fueron detectadas 4 faltas que ameritaron una medida de apremio, en esta ocasión el PRI y sus aliados presentaron los informes con posterioridad al termino establecido por la Ley, el costo de la multa impuesta ascendió </w:t>
      </w:r>
      <w:r w:rsidR="00F52EDB" w:rsidRPr="00A85D78">
        <w:rPr>
          <w:rFonts w:ascii="Arial" w:hAnsi="Arial" w:cs="Arial"/>
          <w:sz w:val="24"/>
          <w:szCs w:val="24"/>
        </w:rPr>
        <w:t>a un</w:t>
      </w:r>
      <w:r w:rsidRPr="00A85D78">
        <w:rPr>
          <w:rFonts w:ascii="Arial" w:hAnsi="Arial" w:cs="Arial"/>
          <w:sz w:val="24"/>
          <w:szCs w:val="24"/>
        </w:rPr>
        <w:t xml:space="preserve"> total de $83,255.07.</w:t>
      </w:r>
    </w:p>
    <w:p w:rsidR="00A256AB" w:rsidRDefault="00A256AB" w:rsidP="00A256AB">
      <w:pPr>
        <w:jc w:val="both"/>
        <w:rPr>
          <w:rFonts w:ascii="Arial" w:hAnsi="Arial" w:cs="Arial"/>
          <w:sz w:val="24"/>
          <w:szCs w:val="24"/>
        </w:rPr>
      </w:pPr>
    </w:p>
    <w:p w:rsidR="000130C0" w:rsidRPr="00A85D78" w:rsidRDefault="000130C0" w:rsidP="00A256AB">
      <w:pPr>
        <w:jc w:val="both"/>
        <w:rPr>
          <w:rFonts w:ascii="Arial" w:hAnsi="Arial" w:cs="Arial"/>
          <w:sz w:val="24"/>
          <w:szCs w:val="24"/>
        </w:rPr>
      </w:pPr>
    </w:p>
    <w:p w:rsidR="00A256AB" w:rsidRPr="00A85D78" w:rsidRDefault="00A256AB" w:rsidP="00A256AB">
      <w:pPr>
        <w:jc w:val="both"/>
        <w:rPr>
          <w:rFonts w:ascii="Arial" w:hAnsi="Arial" w:cs="Arial"/>
          <w:b/>
          <w:sz w:val="24"/>
          <w:szCs w:val="24"/>
        </w:rPr>
      </w:pPr>
      <w:r w:rsidRPr="00A85D78">
        <w:rPr>
          <w:rFonts w:ascii="Arial" w:hAnsi="Arial" w:cs="Arial"/>
          <w:b/>
          <w:sz w:val="24"/>
          <w:szCs w:val="24"/>
        </w:rPr>
        <w:t xml:space="preserve">4.1.1.3. Revisión de </w:t>
      </w:r>
      <w:r w:rsidR="003D1A3D">
        <w:rPr>
          <w:rFonts w:ascii="Arial" w:hAnsi="Arial" w:cs="Arial"/>
          <w:b/>
          <w:sz w:val="24"/>
          <w:szCs w:val="24"/>
        </w:rPr>
        <w:t>c</w:t>
      </w:r>
      <w:r w:rsidRPr="00A85D78">
        <w:rPr>
          <w:rFonts w:ascii="Arial" w:hAnsi="Arial" w:cs="Arial"/>
          <w:b/>
          <w:sz w:val="24"/>
          <w:szCs w:val="24"/>
        </w:rPr>
        <w:t>ampaña.</w:t>
      </w: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Como puede observarse la revisión precautoria form</w:t>
      </w:r>
      <w:r w:rsidR="00E02D32">
        <w:rPr>
          <w:rFonts w:ascii="Arial" w:hAnsi="Arial" w:cs="Arial"/>
          <w:sz w:val="24"/>
          <w:szCs w:val="24"/>
        </w:rPr>
        <w:t>ó</w:t>
      </w:r>
      <w:r w:rsidRPr="00A85D78">
        <w:rPr>
          <w:rFonts w:ascii="Arial" w:hAnsi="Arial" w:cs="Arial"/>
          <w:sz w:val="24"/>
          <w:szCs w:val="24"/>
        </w:rPr>
        <w:t xml:space="preserve"> parte inicial del proceso para la recepción, revisión y dictaminación de los informes de campaña; sin </w:t>
      </w:r>
      <w:proofErr w:type="gramStart"/>
      <w:r w:rsidRPr="00A85D78">
        <w:rPr>
          <w:rFonts w:ascii="Arial" w:hAnsi="Arial" w:cs="Arial"/>
          <w:sz w:val="24"/>
          <w:szCs w:val="24"/>
        </w:rPr>
        <w:lastRenderedPageBreak/>
        <w:t>embargo</w:t>
      </w:r>
      <w:proofErr w:type="gramEnd"/>
      <w:r w:rsidRPr="00A85D78">
        <w:rPr>
          <w:rFonts w:ascii="Arial" w:hAnsi="Arial" w:cs="Arial"/>
          <w:sz w:val="24"/>
          <w:szCs w:val="24"/>
        </w:rPr>
        <w:t xml:space="preserve"> los partidos políticos contarían con un periodo de hasta tres meses posteriores al día de la jornada electoral para entregar los informes de gastos de campaña finales.</w:t>
      </w:r>
    </w:p>
    <w:p w:rsidR="00B0621E" w:rsidRPr="00A85D78"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Cabe destacar que para efectos de la fiscalización de los gastos de campaña se toma como base la sentencia recaída al Recurso de Apelación identificado con la clave de identificación SUP-RAP-62/2005, de la Sala Superior del Tribunal Federal del Poder Judicial de la Federación en la que se establece que derivado de la revisión de los informes de origen y destino de los recursos de los partidos políticos nacionales, es posible que se localicen tanto faltas formales como sustantivas.</w:t>
      </w:r>
    </w:p>
    <w:p w:rsidR="00B0621E" w:rsidRPr="00A85D78"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La falta de entrega de documentación requerida por la Unidad de Fiscalización y los errores en la contabilidad y documentación soporte de los ingresos y egresos, derivados de la revisión de sus informes, constituyen por sí mismas meras faltas formales. No se sancionan de manera particular; es decir, no debe corresponder una sanción a cada una de las faltas acreditadas, sino la imposición de una sola por todo el conjunto.</w:t>
      </w:r>
    </w:p>
    <w:p w:rsidR="00B0621E" w:rsidRPr="00A85D78"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Por cuanto atañe a las faltas sustanciales o sustantivas, resulta conveniente destacar que se caracterizan por ser conductas de acción u omisión que obstaculizan o atentan contra el cumplimiento o verificación de uno o más principios, reglas, normas o valores constitucionales en cualquier circunstancia; por cada acto u omisión generan consecuencias particulares, por lo cual, a cada infracción de naturaleza sustancial corresponde una sanción; no obstante cuando un conjunto de faltas sustanciales estén encaminadas a la obtención de un fin concreto, se debe imponer una sola sanción.</w:t>
      </w:r>
    </w:p>
    <w:p w:rsidR="00B0621E" w:rsidRPr="00A85D78"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 xml:space="preserve">Una de las principales modificaciones y </w:t>
      </w:r>
      <w:r w:rsidR="00F52EDB" w:rsidRPr="00A85D78">
        <w:rPr>
          <w:rFonts w:ascii="Arial" w:hAnsi="Arial" w:cs="Arial"/>
          <w:sz w:val="24"/>
          <w:szCs w:val="24"/>
        </w:rPr>
        <w:t>aciertos que</w:t>
      </w:r>
      <w:r w:rsidRPr="00A85D78">
        <w:rPr>
          <w:rFonts w:ascii="Arial" w:hAnsi="Arial" w:cs="Arial"/>
          <w:sz w:val="24"/>
          <w:szCs w:val="24"/>
        </w:rPr>
        <w:t xml:space="preserve"> el Órgano Técnico de Fiscalización incorporó para un </w:t>
      </w:r>
      <w:r w:rsidR="00F52EDB" w:rsidRPr="00A85D78">
        <w:rPr>
          <w:rFonts w:ascii="Arial" w:hAnsi="Arial" w:cs="Arial"/>
          <w:sz w:val="24"/>
          <w:szCs w:val="24"/>
        </w:rPr>
        <w:t>cálculo más</w:t>
      </w:r>
      <w:r w:rsidRPr="00A85D78">
        <w:rPr>
          <w:rFonts w:ascii="Arial" w:hAnsi="Arial" w:cs="Arial"/>
          <w:sz w:val="24"/>
          <w:szCs w:val="24"/>
        </w:rPr>
        <w:t xml:space="preserve"> preciso de las sanciones económicas previstas en el artículo 355 fracción I incisos a) al g), del Código Electoral del Estado de México; fue la aplicación de la tesis de jurisprudencia S3ELJ 24/2003 “SANCIONES ADMINISTRATIVAS EN MATERIA ELECTORAL. ELEMENTOS PARA SU FIJACIÓN E INDIVIDUALIZACIÓN” emitida por la Sala </w:t>
      </w:r>
      <w:r w:rsidRPr="00A85D78">
        <w:rPr>
          <w:rFonts w:ascii="Arial" w:hAnsi="Arial" w:cs="Arial"/>
          <w:sz w:val="24"/>
          <w:szCs w:val="24"/>
        </w:rPr>
        <w:lastRenderedPageBreak/>
        <w:t>Superior del Tribunal Electoral del Poder Judicial de la Federación, establece que las faltas pueden calificarse como: levísimas, leves, graves ordinarias, graves especiales, graves mayores y particularmente graves.</w:t>
      </w:r>
    </w:p>
    <w:p w:rsidR="00B0621E" w:rsidRPr="00A85D78"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Con base a lo anterior, se estableció una escala de gradación que será explicada en la tabla 4.2, dentro del mínimo y el máximo establecido en la ley para el tipo de sanción en comento, incluye los seis tipos de faltas; mediante la aplicación de una fórmula matemática se obtiene un rango de 370 días de salario mínimo (DSM) constituyen el rango que corresponde a cada tipo de falta</w:t>
      </w:r>
      <w:r w:rsidR="00B0621E">
        <w:rPr>
          <w:rFonts w:ascii="Arial" w:hAnsi="Arial" w:cs="Arial"/>
          <w:sz w:val="24"/>
          <w:szCs w:val="24"/>
        </w:rPr>
        <w:t>.</w:t>
      </w:r>
    </w:p>
    <w:p w:rsidR="00B0621E" w:rsidRPr="00A85D78" w:rsidRDefault="00B0621E" w:rsidP="00B0621E">
      <w:pPr>
        <w:spacing w:line="360" w:lineRule="auto"/>
        <w:jc w:val="both"/>
        <w:rPr>
          <w:rFonts w:ascii="Arial" w:hAnsi="Arial" w:cs="Arial"/>
          <w:sz w:val="24"/>
          <w:szCs w:val="24"/>
        </w:rPr>
      </w:pPr>
    </w:p>
    <w:p w:rsidR="00A256AB" w:rsidRDefault="00A256AB" w:rsidP="00B0621E">
      <w:pPr>
        <w:tabs>
          <w:tab w:val="left" w:pos="5070"/>
        </w:tabs>
        <w:jc w:val="both"/>
        <w:rPr>
          <w:rStyle w:val="Ttulodellibro"/>
          <w:rFonts w:ascii="Arial" w:hAnsi="Arial" w:cs="Arial"/>
          <w:b/>
          <w:i/>
          <w:color w:val="auto"/>
          <w:sz w:val="20"/>
          <w:szCs w:val="20"/>
        </w:rPr>
      </w:pPr>
      <w:r w:rsidRPr="00B0621E">
        <w:rPr>
          <w:rStyle w:val="Ttulodellibro"/>
          <w:rFonts w:ascii="Arial" w:hAnsi="Arial" w:cs="Arial"/>
          <w:b/>
          <w:i/>
          <w:color w:val="auto"/>
          <w:sz w:val="20"/>
          <w:szCs w:val="20"/>
        </w:rPr>
        <w:t>Tabla 4.2 Escala de gradación de faltas y su sanción correspondiente en días de salario mínimo.</w:t>
      </w:r>
    </w:p>
    <w:p w:rsidR="00B0621E" w:rsidRPr="00B0621E" w:rsidRDefault="00B0621E" w:rsidP="00B0621E">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331"/>
        <w:gridCol w:w="1197"/>
        <w:gridCol w:w="1361"/>
        <w:gridCol w:w="1330"/>
        <w:gridCol w:w="1259"/>
        <w:gridCol w:w="2016"/>
      </w:tblGrid>
      <w:tr w:rsidR="00A256AB" w:rsidRPr="00A85D78" w:rsidTr="00B0621E">
        <w:trPr>
          <w:trHeight w:val="518"/>
        </w:trPr>
        <w:tc>
          <w:tcPr>
            <w:tcW w:w="784"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Levísima</w:t>
            </w:r>
          </w:p>
        </w:tc>
        <w:tc>
          <w:tcPr>
            <w:tcW w:w="705"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Leve</w:t>
            </w:r>
          </w:p>
        </w:tc>
        <w:tc>
          <w:tcPr>
            <w:tcW w:w="801"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Grave</w:t>
            </w:r>
          </w:p>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ordinaria</w:t>
            </w:r>
          </w:p>
        </w:tc>
        <w:tc>
          <w:tcPr>
            <w:tcW w:w="783"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Grave</w:t>
            </w:r>
          </w:p>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especial</w:t>
            </w:r>
          </w:p>
        </w:tc>
        <w:tc>
          <w:tcPr>
            <w:tcW w:w="741"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Grave</w:t>
            </w:r>
          </w:p>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mayor</w:t>
            </w:r>
          </w:p>
        </w:tc>
        <w:tc>
          <w:tcPr>
            <w:tcW w:w="1187" w:type="pct"/>
            <w:shd w:val="clear" w:color="auto" w:fill="FBE4D5" w:themeFill="accent2" w:themeFillTint="33"/>
            <w:vAlign w:val="center"/>
          </w:tcPr>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Particularmente</w:t>
            </w:r>
          </w:p>
          <w:p w:rsidR="00A256AB" w:rsidRPr="00693770" w:rsidRDefault="00A256AB" w:rsidP="00693770">
            <w:pPr>
              <w:jc w:val="center"/>
              <w:rPr>
                <w:rFonts w:ascii="Arial" w:hAnsi="Arial" w:cs="Arial"/>
                <w:b/>
                <w:caps/>
                <w:sz w:val="18"/>
                <w:szCs w:val="18"/>
                <w:lang w:val="es-ES_tradnl"/>
              </w:rPr>
            </w:pPr>
            <w:r w:rsidRPr="00693770">
              <w:rPr>
                <w:rFonts w:ascii="Arial" w:hAnsi="Arial" w:cs="Arial"/>
                <w:b/>
                <w:caps/>
                <w:sz w:val="18"/>
                <w:szCs w:val="18"/>
                <w:lang w:val="es-ES_tradnl"/>
              </w:rPr>
              <w:t>grave</w:t>
            </w:r>
          </w:p>
        </w:tc>
      </w:tr>
      <w:tr w:rsidR="00A256AB" w:rsidRPr="00A85D78" w:rsidTr="00B0621E">
        <w:tc>
          <w:tcPr>
            <w:tcW w:w="784"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150-519</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DSM</w:t>
            </w:r>
          </w:p>
          <w:p w:rsidR="00A256AB" w:rsidRPr="00693770" w:rsidRDefault="00A256AB" w:rsidP="00A256AB">
            <w:pPr>
              <w:jc w:val="center"/>
              <w:rPr>
                <w:rFonts w:ascii="Arial" w:hAnsi="Arial" w:cs="Arial"/>
                <w:sz w:val="18"/>
                <w:szCs w:val="18"/>
                <w:lang w:val="es-ES_tradnl"/>
              </w:rPr>
            </w:pPr>
          </w:p>
        </w:tc>
        <w:tc>
          <w:tcPr>
            <w:tcW w:w="705"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520-889</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DSM</w:t>
            </w:r>
          </w:p>
          <w:p w:rsidR="00A256AB" w:rsidRPr="00693770" w:rsidRDefault="00A256AB" w:rsidP="00A256AB">
            <w:pPr>
              <w:jc w:val="center"/>
              <w:rPr>
                <w:rFonts w:ascii="Arial" w:hAnsi="Arial" w:cs="Arial"/>
                <w:sz w:val="18"/>
                <w:szCs w:val="18"/>
                <w:lang w:val="es-ES_tradnl"/>
              </w:rPr>
            </w:pPr>
          </w:p>
        </w:tc>
        <w:tc>
          <w:tcPr>
            <w:tcW w:w="801"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890-1,259</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DSM</w:t>
            </w:r>
          </w:p>
          <w:p w:rsidR="00A256AB" w:rsidRPr="00693770" w:rsidRDefault="00A256AB" w:rsidP="00A256AB">
            <w:pPr>
              <w:jc w:val="center"/>
              <w:rPr>
                <w:rFonts w:ascii="Arial" w:hAnsi="Arial" w:cs="Arial"/>
                <w:sz w:val="18"/>
                <w:szCs w:val="18"/>
                <w:lang w:val="es-ES_tradnl"/>
              </w:rPr>
            </w:pPr>
          </w:p>
        </w:tc>
        <w:tc>
          <w:tcPr>
            <w:tcW w:w="783"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1,260-</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1,629 DSM</w:t>
            </w:r>
          </w:p>
        </w:tc>
        <w:tc>
          <w:tcPr>
            <w:tcW w:w="741"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1,630-</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1999</w:t>
            </w:r>
          </w:p>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DSM</w:t>
            </w:r>
          </w:p>
        </w:tc>
        <w:tc>
          <w:tcPr>
            <w:tcW w:w="1187" w:type="pct"/>
            <w:vAlign w:val="center"/>
          </w:tcPr>
          <w:p w:rsidR="00A256AB" w:rsidRPr="00693770" w:rsidRDefault="00A256AB" w:rsidP="00A256AB">
            <w:pPr>
              <w:jc w:val="center"/>
              <w:rPr>
                <w:rFonts w:ascii="Arial" w:hAnsi="Arial" w:cs="Arial"/>
                <w:sz w:val="18"/>
                <w:szCs w:val="18"/>
                <w:lang w:val="es-ES_tradnl"/>
              </w:rPr>
            </w:pPr>
            <w:r w:rsidRPr="00693770">
              <w:rPr>
                <w:rFonts w:ascii="Arial" w:hAnsi="Arial" w:cs="Arial"/>
                <w:sz w:val="18"/>
                <w:szCs w:val="18"/>
                <w:lang w:val="es-ES_tradnl"/>
              </w:rPr>
              <w:t>2000 DSM</w:t>
            </w:r>
          </w:p>
        </w:tc>
      </w:tr>
    </w:tbl>
    <w:p w:rsidR="00A256AB" w:rsidRPr="00B0621E" w:rsidRDefault="00A256AB" w:rsidP="00A256AB">
      <w:pPr>
        <w:jc w:val="both"/>
        <w:rPr>
          <w:rFonts w:ascii="Arial" w:hAnsi="Arial" w:cs="Arial"/>
          <w:i/>
          <w:iCs/>
          <w:sz w:val="16"/>
          <w:szCs w:val="16"/>
        </w:rPr>
      </w:pPr>
      <w:r w:rsidRPr="00B0621E">
        <w:rPr>
          <w:rFonts w:ascii="Arial" w:hAnsi="Arial" w:cs="Arial"/>
          <w:b/>
          <w:bCs/>
          <w:i/>
          <w:iCs/>
          <w:sz w:val="16"/>
          <w:szCs w:val="16"/>
        </w:rPr>
        <w:t>Fuente:</w:t>
      </w:r>
      <w:r w:rsidRPr="00B0621E">
        <w:rPr>
          <w:rFonts w:ascii="Arial" w:hAnsi="Arial" w:cs="Arial"/>
          <w:i/>
          <w:iCs/>
          <w:sz w:val="16"/>
          <w:szCs w:val="16"/>
        </w:rPr>
        <w:t xml:space="preserve"> Acuerdo IEEM/CG/18/2010 pp. 30 y 31</w:t>
      </w:r>
    </w:p>
    <w:p w:rsidR="00B0621E" w:rsidRDefault="00B0621E" w:rsidP="00B0621E">
      <w:pPr>
        <w:spacing w:line="360" w:lineRule="auto"/>
        <w:jc w:val="both"/>
        <w:rPr>
          <w:rFonts w:ascii="Arial" w:hAnsi="Arial" w:cs="Arial"/>
          <w:sz w:val="24"/>
          <w:szCs w:val="24"/>
        </w:rPr>
      </w:pPr>
    </w:p>
    <w:p w:rsidR="00A256AB" w:rsidRDefault="00A256AB" w:rsidP="00B0621E">
      <w:pPr>
        <w:spacing w:line="360" w:lineRule="auto"/>
        <w:jc w:val="both"/>
        <w:rPr>
          <w:rFonts w:ascii="Arial" w:hAnsi="Arial" w:cs="Arial"/>
          <w:sz w:val="24"/>
          <w:szCs w:val="24"/>
        </w:rPr>
      </w:pPr>
      <w:r w:rsidRPr="00A85D78">
        <w:rPr>
          <w:rFonts w:ascii="Arial" w:hAnsi="Arial" w:cs="Arial"/>
          <w:sz w:val="24"/>
          <w:szCs w:val="24"/>
        </w:rPr>
        <w:t xml:space="preserve">El </w:t>
      </w:r>
      <w:r w:rsidR="00693770">
        <w:rPr>
          <w:rFonts w:ascii="Arial" w:hAnsi="Arial" w:cs="Arial"/>
          <w:sz w:val="24"/>
          <w:szCs w:val="24"/>
        </w:rPr>
        <w:t>Ó</w:t>
      </w:r>
      <w:r w:rsidRPr="00A85D78">
        <w:rPr>
          <w:rFonts w:ascii="Arial" w:hAnsi="Arial" w:cs="Arial"/>
          <w:sz w:val="24"/>
          <w:szCs w:val="24"/>
        </w:rPr>
        <w:t>rgano Técnico de Fiscalización definió con mayor precisión, los criterios para calificar las conductas infractoras cometidas por los partidos en materia de fiscalización. Las faltas y su correspondiente sanción pueden apreciarse en la siguiente tabla</w:t>
      </w:r>
      <w:r w:rsidR="00B0621E">
        <w:rPr>
          <w:rFonts w:ascii="Arial" w:hAnsi="Arial" w:cs="Arial"/>
          <w:sz w:val="24"/>
          <w:szCs w:val="24"/>
        </w:rPr>
        <w:t>.</w:t>
      </w:r>
    </w:p>
    <w:p w:rsidR="00B0621E" w:rsidRPr="00A85D78" w:rsidRDefault="00B0621E" w:rsidP="00B0621E">
      <w:pPr>
        <w:spacing w:line="360" w:lineRule="auto"/>
        <w:jc w:val="both"/>
        <w:rPr>
          <w:rFonts w:ascii="Arial" w:hAnsi="Arial" w:cs="Arial"/>
          <w:sz w:val="24"/>
          <w:szCs w:val="24"/>
        </w:rPr>
      </w:pPr>
    </w:p>
    <w:p w:rsidR="00A256AB" w:rsidRPr="00F31368" w:rsidRDefault="00A256AB" w:rsidP="00B0621E">
      <w:pPr>
        <w:tabs>
          <w:tab w:val="left" w:pos="5070"/>
        </w:tabs>
        <w:jc w:val="both"/>
        <w:rPr>
          <w:rStyle w:val="Ttulodellibro"/>
          <w:rFonts w:ascii="Arial" w:hAnsi="Arial" w:cs="Arial"/>
          <w:b/>
          <w:i/>
          <w:color w:val="auto"/>
          <w:sz w:val="20"/>
          <w:szCs w:val="20"/>
        </w:rPr>
      </w:pPr>
      <w:r w:rsidRPr="00B0621E">
        <w:rPr>
          <w:rStyle w:val="Ttulodellibro"/>
          <w:rFonts w:ascii="Arial" w:hAnsi="Arial" w:cs="Arial"/>
          <w:b/>
          <w:i/>
          <w:color w:val="auto"/>
          <w:sz w:val="20"/>
          <w:szCs w:val="20"/>
        </w:rPr>
        <w:t>Tabla 4.3 Faltas sustanciales sancionadas por el OTF, en la campaña</w:t>
      </w:r>
      <w:r w:rsidRPr="00F31368">
        <w:rPr>
          <w:rStyle w:val="Ttulodellibro"/>
          <w:rFonts w:ascii="Arial" w:hAnsi="Arial" w:cs="Arial"/>
          <w:b/>
          <w:i/>
          <w:color w:val="auto"/>
          <w:sz w:val="20"/>
          <w:szCs w:val="20"/>
        </w:rPr>
        <w:t xml:space="preserve"> 2009</w:t>
      </w:r>
      <w:r w:rsidR="00693770" w:rsidRPr="00F31368">
        <w:rPr>
          <w:rStyle w:val="Ttulodellibro"/>
          <w:rFonts w:ascii="Arial" w:hAnsi="Arial" w:cs="Arial"/>
          <w:b/>
          <w:i/>
          <w:color w:val="auto"/>
          <w:sz w:val="20"/>
          <w:szCs w:val="20"/>
        </w:rPr>
        <w:t>.</w:t>
      </w:r>
    </w:p>
    <w:p w:rsidR="00B0621E" w:rsidRPr="00B0621E" w:rsidRDefault="00B0621E" w:rsidP="00B0621E">
      <w:pPr>
        <w:tabs>
          <w:tab w:val="left" w:pos="5070"/>
        </w:tabs>
        <w:jc w:val="both"/>
        <w:rPr>
          <w:rStyle w:val="Ttulodellibro"/>
          <w:b/>
          <w:i/>
          <w:color w:val="auto"/>
          <w:sz w:val="20"/>
          <w:szCs w:val="20"/>
        </w:rPr>
      </w:pPr>
    </w:p>
    <w:tbl>
      <w:tblPr>
        <w:tblStyle w:val="Tablaconcuadrcula"/>
        <w:tblW w:w="5000" w:type="pct"/>
        <w:tblLook w:val="04A0" w:firstRow="1" w:lastRow="0" w:firstColumn="1" w:lastColumn="0" w:noHBand="0" w:noVBand="1"/>
      </w:tblPr>
      <w:tblGrid>
        <w:gridCol w:w="1027"/>
        <w:gridCol w:w="1016"/>
        <w:gridCol w:w="1719"/>
        <w:gridCol w:w="1587"/>
        <w:gridCol w:w="1473"/>
        <w:gridCol w:w="1672"/>
      </w:tblGrid>
      <w:tr w:rsidR="00A256AB" w:rsidRPr="00F31368" w:rsidTr="00F31368">
        <w:tc>
          <w:tcPr>
            <w:tcW w:w="604"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PARTIDO</w:t>
            </w:r>
          </w:p>
        </w:tc>
        <w:tc>
          <w:tcPr>
            <w:tcW w:w="598"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NÚMERO</w:t>
            </w:r>
          </w:p>
        </w:tc>
        <w:tc>
          <w:tcPr>
            <w:tcW w:w="1012"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CALIFICACION</w:t>
            </w:r>
          </w:p>
        </w:tc>
        <w:tc>
          <w:tcPr>
            <w:tcW w:w="934"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SANCION (DSM)</w:t>
            </w:r>
          </w:p>
        </w:tc>
        <w:tc>
          <w:tcPr>
            <w:tcW w:w="867"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MULTA</w:t>
            </w:r>
          </w:p>
        </w:tc>
        <w:tc>
          <w:tcPr>
            <w:tcW w:w="984" w:type="pct"/>
            <w:shd w:val="clear" w:color="auto" w:fill="FBE4D5" w:themeFill="accent2" w:themeFillTint="33"/>
            <w:vAlign w:val="center"/>
          </w:tcPr>
          <w:p w:rsidR="00A256AB" w:rsidRPr="00F31368" w:rsidRDefault="00A256AB" w:rsidP="00693770">
            <w:pPr>
              <w:jc w:val="center"/>
              <w:rPr>
                <w:rFonts w:ascii="Arial" w:hAnsi="Arial" w:cs="Arial"/>
                <w:b/>
                <w:sz w:val="18"/>
                <w:szCs w:val="18"/>
                <w:lang w:val="es-ES_tradnl"/>
              </w:rPr>
            </w:pPr>
            <w:r w:rsidRPr="00F31368">
              <w:rPr>
                <w:rFonts w:ascii="Arial" w:hAnsi="Arial" w:cs="Arial"/>
                <w:b/>
                <w:sz w:val="18"/>
                <w:szCs w:val="18"/>
                <w:lang w:val="es-ES_tradnl"/>
              </w:rPr>
              <w:t>PRECEPTO LEGAL*</w:t>
            </w:r>
          </w:p>
        </w:tc>
      </w:tr>
      <w:tr w:rsidR="00A256AB" w:rsidRPr="00F31368"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PRI</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LEVE</w:t>
            </w:r>
          </w:p>
        </w:tc>
        <w:tc>
          <w:tcPr>
            <w:tcW w:w="934"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1,075</w:t>
            </w:r>
            <w:r w:rsidRPr="00F31368">
              <w:rPr>
                <w:rStyle w:val="Refdenotaalpie"/>
                <w:rFonts w:ascii="Arial" w:hAnsi="Arial" w:cs="Arial"/>
                <w:sz w:val="18"/>
                <w:szCs w:val="18"/>
                <w:lang w:val="es-ES_tradnl"/>
              </w:rPr>
              <w:footnoteReference w:id="22"/>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$55,846.25***</w:t>
            </w:r>
          </w:p>
        </w:tc>
        <w:tc>
          <w:tcPr>
            <w:tcW w:w="98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PRD</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1 GRAVE ORDINARIA</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2 GRAVE ORDINARIA</w:t>
            </w:r>
          </w:p>
        </w:tc>
        <w:tc>
          <w:tcPr>
            <w:tcW w:w="93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El doble del monto por el que se rebaso el tope de gastos</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$130,799.84</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$131,438.08***</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PT</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13**</w:t>
            </w:r>
          </w:p>
        </w:tc>
        <w:tc>
          <w:tcPr>
            <w:tcW w:w="1012"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1 </w:t>
            </w:r>
            <w:r w:rsidR="00693770" w:rsidRPr="00F31368">
              <w:rPr>
                <w:rFonts w:ascii="Arial" w:hAnsi="Arial" w:cs="Arial"/>
                <w:sz w:val="18"/>
                <w:szCs w:val="18"/>
                <w:lang w:val="en-US"/>
              </w:rPr>
              <w:t>a</w:t>
            </w:r>
            <w:r w:rsidRPr="00F31368">
              <w:rPr>
                <w:rFonts w:ascii="Arial" w:hAnsi="Arial" w:cs="Arial"/>
                <w:sz w:val="18"/>
                <w:szCs w:val="18"/>
                <w:lang w:val="en-US"/>
              </w:rPr>
              <w:t xml:space="preserve"> 5 LEVES</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6 </w:t>
            </w:r>
            <w:proofErr w:type="gramStart"/>
            <w:r w:rsidR="00693770" w:rsidRPr="00F31368">
              <w:rPr>
                <w:rFonts w:ascii="Arial" w:hAnsi="Arial" w:cs="Arial"/>
                <w:sz w:val="18"/>
                <w:szCs w:val="18"/>
                <w:lang w:val="en-US"/>
              </w:rPr>
              <w:t>a</w:t>
            </w:r>
            <w:proofErr w:type="gramEnd"/>
            <w:r w:rsidRPr="00F31368">
              <w:rPr>
                <w:rFonts w:ascii="Arial" w:hAnsi="Arial" w:cs="Arial"/>
                <w:sz w:val="18"/>
                <w:szCs w:val="18"/>
                <w:lang w:val="en-US"/>
              </w:rPr>
              <w:t xml:space="preserve"> 8 LEVES</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9 </w:t>
            </w:r>
            <w:r w:rsidR="00693770" w:rsidRPr="00F31368">
              <w:rPr>
                <w:rFonts w:ascii="Arial" w:hAnsi="Arial" w:cs="Arial"/>
                <w:sz w:val="18"/>
                <w:szCs w:val="18"/>
                <w:lang w:val="en-US"/>
              </w:rPr>
              <w:t>a</w:t>
            </w:r>
            <w:r w:rsidRPr="00F31368">
              <w:rPr>
                <w:rFonts w:ascii="Arial" w:hAnsi="Arial" w:cs="Arial"/>
                <w:sz w:val="18"/>
                <w:szCs w:val="18"/>
                <w:lang w:val="en-US"/>
              </w:rPr>
              <w:t xml:space="preserve"> 10 LEVES</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11 GRAVE ORDINARIA</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12 GRAVE ORDINARIA</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lastRenderedPageBreak/>
              <w:t>13 GRAVE ORDINARIA</w:t>
            </w:r>
          </w:p>
        </w:tc>
        <w:tc>
          <w:tcPr>
            <w:tcW w:w="934"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lastRenderedPageBreak/>
              <w:t>355</w:t>
            </w:r>
          </w:p>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355</w:t>
            </w:r>
          </w:p>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355</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El doble del monto por el que se rebas</w:t>
            </w:r>
            <w:r w:rsidR="00693770" w:rsidRPr="00F31368">
              <w:rPr>
                <w:rFonts w:ascii="Arial" w:hAnsi="Arial" w:cs="Arial"/>
                <w:sz w:val="18"/>
                <w:szCs w:val="18"/>
                <w:lang w:val="es-ES_tradnl"/>
              </w:rPr>
              <w:t>ó</w:t>
            </w:r>
            <w:r w:rsidRPr="00F31368">
              <w:rPr>
                <w:rFonts w:ascii="Arial" w:hAnsi="Arial" w:cs="Arial"/>
                <w:sz w:val="18"/>
                <w:szCs w:val="18"/>
                <w:lang w:val="es-ES_tradnl"/>
              </w:rPr>
              <w:t xml:space="preserve"> el tope de gastos</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$18,442.25</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$18,442.25</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$18,442.25</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$77,489.52</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$139,131.96***</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$78,530.82***</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ART. 355 FRACC 1 A)  </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lastRenderedPageBreak/>
              <w:t>ART. 355 FRACC 1 G)</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PVEM</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1 GRAVE ORDINARIA</w:t>
            </w:r>
          </w:p>
          <w:p w:rsidR="00A256AB" w:rsidRPr="00F31368" w:rsidRDefault="00A256AB" w:rsidP="00A256AB">
            <w:pPr>
              <w:rPr>
                <w:rFonts w:ascii="Arial" w:hAnsi="Arial" w:cs="Arial"/>
                <w:sz w:val="18"/>
                <w:szCs w:val="18"/>
                <w:lang w:val="es-ES_tradnl"/>
              </w:rPr>
            </w:pP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2 GRAVE ORDINARIA</w:t>
            </w:r>
          </w:p>
          <w:p w:rsidR="00A256AB" w:rsidRPr="00F31368" w:rsidRDefault="00A256AB" w:rsidP="00A256AB">
            <w:pPr>
              <w:rPr>
                <w:rFonts w:ascii="Arial" w:hAnsi="Arial" w:cs="Arial"/>
                <w:sz w:val="18"/>
                <w:szCs w:val="18"/>
                <w:lang w:val="es-ES_tradnl"/>
              </w:rPr>
            </w:pPr>
          </w:p>
        </w:tc>
        <w:tc>
          <w:tcPr>
            <w:tcW w:w="93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 xml:space="preserve">53.3 </w:t>
            </w:r>
            <w:r w:rsidR="00F52EDB" w:rsidRPr="00F31368">
              <w:rPr>
                <w:rFonts w:ascii="Arial" w:hAnsi="Arial" w:cs="Arial"/>
                <w:sz w:val="18"/>
                <w:szCs w:val="18"/>
                <w:lang w:val="es-ES_tradnl"/>
              </w:rPr>
              <w:t>DSM elevados</w:t>
            </w:r>
            <w:r w:rsidRPr="00F31368">
              <w:rPr>
                <w:rFonts w:ascii="Arial" w:hAnsi="Arial" w:cs="Arial"/>
                <w:sz w:val="18"/>
                <w:szCs w:val="18"/>
                <w:lang w:val="es-ES_tradnl"/>
              </w:rPr>
              <w:t xml:space="preserve"> al año 2009</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El doble del monto por el que se rebaso el tope de gastos</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$1´010,656.57</w:t>
            </w:r>
          </w:p>
          <w:p w:rsidR="00A256AB" w:rsidRPr="00F31368" w:rsidRDefault="00A256AB" w:rsidP="00A256AB">
            <w:pPr>
              <w:jc w:val="right"/>
              <w:rPr>
                <w:rFonts w:ascii="Arial" w:hAnsi="Arial" w:cs="Arial"/>
                <w:sz w:val="18"/>
                <w:szCs w:val="18"/>
                <w:lang w:val="es-ES_tradnl"/>
              </w:rPr>
            </w:pP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$282,973.60***</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ART. 355 FRACC 1 D) </w:t>
            </w:r>
          </w:p>
          <w:p w:rsidR="00A256AB" w:rsidRPr="00F31368" w:rsidRDefault="00A256AB" w:rsidP="00A256AB">
            <w:pPr>
              <w:rPr>
                <w:rFonts w:ascii="Arial" w:hAnsi="Arial" w:cs="Arial"/>
                <w:sz w:val="18"/>
                <w:szCs w:val="18"/>
                <w:lang w:val="en-US"/>
              </w:rPr>
            </w:pP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CONV.</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 xml:space="preserve">1 </w:t>
            </w:r>
            <w:r w:rsidR="00F52EDB" w:rsidRPr="00F31368">
              <w:rPr>
                <w:rFonts w:ascii="Arial" w:hAnsi="Arial" w:cs="Arial"/>
                <w:sz w:val="18"/>
                <w:szCs w:val="18"/>
                <w:lang w:val="es-ES_tradnl"/>
              </w:rPr>
              <w:t>a</w:t>
            </w:r>
            <w:r w:rsidRPr="00F31368">
              <w:rPr>
                <w:rFonts w:ascii="Arial" w:hAnsi="Arial" w:cs="Arial"/>
                <w:sz w:val="18"/>
                <w:szCs w:val="18"/>
                <w:lang w:val="es-ES_tradnl"/>
              </w:rPr>
              <w:t xml:space="preserve"> 4 GRAVE ORDINARIA</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5 GRAVE ORDINARIA</w:t>
            </w:r>
          </w:p>
        </w:tc>
        <w:tc>
          <w:tcPr>
            <w:tcW w:w="934"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1696</w:t>
            </w:r>
          </w:p>
          <w:p w:rsidR="00A256AB" w:rsidRPr="00F31368" w:rsidRDefault="00A256AB" w:rsidP="00A256AB">
            <w:pPr>
              <w:rPr>
                <w:rFonts w:ascii="Arial" w:hAnsi="Arial" w:cs="Arial"/>
                <w:sz w:val="18"/>
                <w:szCs w:val="18"/>
                <w:lang w:val="es-ES_tradnl"/>
              </w:rPr>
            </w:pP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El doble del monto por el que se rebaso el tope de gastos</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$88,131.46</w:t>
            </w:r>
          </w:p>
          <w:p w:rsidR="00A256AB" w:rsidRPr="00F31368" w:rsidRDefault="00A256AB" w:rsidP="00A256AB">
            <w:pPr>
              <w:jc w:val="right"/>
              <w:rPr>
                <w:rFonts w:ascii="Arial" w:hAnsi="Arial" w:cs="Arial"/>
                <w:sz w:val="18"/>
                <w:szCs w:val="18"/>
                <w:lang w:val="es-ES_tradnl"/>
              </w:rPr>
            </w:pP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$4,835.24***</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 xml:space="preserve">ART. 355 FRACC 1 A) </w:t>
            </w:r>
          </w:p>
          <w:p w:rsidR="00A256AB" w:rsidRPr="00F31368" w:rsidRDefault="00A256AB" w:rsidP="00A256AB">
            <w:pPr>
              <w:rPr>
                <w:rFonts w:ascii="Arial" w:hAnsi="Arial" w:cs="Arial"/>
                <w:sz w:val="18"/>
                <w:szCs w:val="18"/>
                <w:lang w:val="en-US"/>
              </w:rPr>
            </w:pP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G)</w:t>
            </w:r>
          </w:p>
          <w:p w:rsidR="00A256AB" w:rsidRPr="00F31368" w:rsidRDefault="00A256AB" w:rsidP="00A256AB">
            <w:pPr>
              <w:rPr>
                <w:rFonts w:ascii="Arial" w:hAnsi="Arial" w:cs="Arial"/>
                <w:sz w:val="18"/>
                <w:szCs w:val="18"/>
                <w:lang w:val="en-US"/>
              </w:rPr>
            </w:pP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NA</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6**</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 xml:space="preserve">1 </w:t>
            </w:r>
            <w:r w:rsidR="00F52EDB" w:rsidRPr="00F31368">
              <w:rPr>
                <w:rFonts w:ascii="Arial" w:hAnsi="Arial" w:cs="Arial"/>
                <w:sz w:val="18"/>
                <w:szCs w:val="18"/>
                <w:lang w:val="es-ES_tradnl"/>
              </w:rPr>
              <w:t>a</w:t>
            </w:r>
            <w:r w:rsidRPr="00F31368">
              <w:rPr>
                <w:rFonts w:ascii="Arial" w:hAnsi="Arial" w:cs="Arial"/>
                <w:sz w:val="18"/>
                <w:szCs w:val="18"/>
                <w:lang w:val="es-ES_tradnl"/>
              </w:rPr>
              <w:t xml:space="preserve"> 5 LEVE</w:t>
            </w:r>
          </w:p>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6 LEVE</w:t>
            </w:r>
          </w:p>
        </w:tc>
        <w:tc>
          <w:tcPr>
            <w:tcW w:w="934"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520</w:t>
            </w:r>
          </w:p>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750</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$27,014.00</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$38,962.50***</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tc>
      </w:tr>
      <w:tr w:rsidR="00A256AB" w:rsidRPr="000F71DB"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PSD</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 xml:space="preserve">1 </w:t>
            </w:r>
            <w:r w:rsidR="00F52EDB" w:rsidRPr="00F31368">
              <w:rPr>
                <w:rFonts w:ascii="Arial" w:hAnsi="Arial" w:cs="Arial"/>
                <w:sz w:val="18"/>
                <w:szCs w:val="18"/>
                <w:lang w:val="es-ES_tradnl"/>
              </w:rPr>
              <w:t>a</w:t>
            </w:r>
            <w:r w:rsidRPr="00F31368">
              <w:rPr>
                <w:rFonts w:ascii="Arial" w:hAnsi="Arial" w:cs="Arial"/>
                <w:sz w:val="18"/>
                <w:szCs w:val="18"/>
                <w:lang w:val="es-ES_tradnl"/>
              </w:rPr>
              <w:t xml:space="preserve"> 4 LEVES</w:t>
            </w:r>
          </w:p>
          <w:p w:rsidR="00A256AB" w:rsidRPr="00F31368" w:rsidRDefault="00A256AB" w:rsidP="00A256AB">
            <w:pPr>
              <w:tabs>
                <w:tab w:val="center" w:pos="840"/>
              </w:tabs>
              <w:rPr>
                <w:rFonts w:ascii="Arial" w:hAnsi="Arial" w:cs="Arial"/>
                <w:sz w:val="18"/>
                <w:szCs w:val="18"/>
                <w:lang w:val="es-ES_tradnl"/>
              </w:rPr>
            </w:pPr>
            <w:r w:rsidRPr="00F31368">
              <w:rPr>
                <w:rFonts w:ascii="Arial" w:hAnsi="Arial" w:cs="Arial"/>
                <w:sz w:val="18"/>
                <w:szCs w:val="18"/>
                <w:lang w:val="es-ES_tradnl"/>
              </w:rPr>
              <w:t>5 LEVE</w:t>
            </w:r>
            <w:r w:rsidRPr="00F31368">
              <w:rPr>
                <w:rFonts w:ascii="Arial" w:hAnsi="Arial" w:cs="Arial"/>
                <w:sz w:val="18"/>
                <w:szCs w:val="18"/>
                <w:lang w:val="es-ES_tradnl"/>
              </w:rPr>
              <w:tab/>
            </w:r>
          </w:p>
        </w:tc>
        <w:tc>
          <w:tcPr>
            <w:tcW w:w="934"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570</w:t>
            </w:r>
          </w:p>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500</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$29,195.90</w:t>
            </w:r>
          </w:p>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$25,975.00</w:t>
            </w:r>
          </w:p>
        </w:tc>
        <w:tc>
          <w:tcPr>
            <w:tcW w:w="984" w:type="pct"/>
            <w:vAlign w:val="center"/>
          </w:tcPr>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p w:rsidR="00A256AB" w:rsidRPr="00F31368" w:rsidRDefault="00A256AB" w:rsidP="00A256AB">
            <w:pPr>
              <w:rPr>
                <w:rFonts w:ascii="Arial" w:hAnsi="Arial" w:cs="Arial"/>
                <w:sz w:val="18"/>
                <w:szCs w:val="18"/>
                <w:lang w:val="en-US"/>
              </w:rPr>
            </w:pPr>
            <w:r w:rsidRPr="00F31368">
              <w:rPr>
                <w:rFonts w:ascii="Arial" w:hAnsi="Arial" w:cs="Arial"/>
                <w:sz w:val="18"/>
                <w:szCs w:val="18"/>
                <w:lang w:val="en-US"/>
              </w:rPr>
              <w:t>ART. 355 FRACC 1 A)</w:t>
            </w:r>
          </w:p>
        </w:tc>
      </w:tr>
      <w:tr w:rsidR="00A256AB" w:rsidRPr="00F31368" w:rsidTr="00F31368">
        <w:tc>
          <w:tcPr>
            <w:tcW w:w="60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PFD</w:t>
            </w:r>
          </w:p>
        </w:tc>
        <w:tc>
          <w:tcPr>
            <w:tcW w:w="598" w:type="pct"/>
            <w:vAlign w:val="center"/>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w:t>
            </w:r>
          </w:p>
        </w:tc>
        <w:tc>
          <w:tcPr>
            <w:tcW w:w="1012"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GRAVE ORDINARIA</w:t>
            </w:r>
          </w:p>
        </w:tc>
        <w:tc>
          <w:tcPr>
            <w:tcW w:w="93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El doble del monto por el que se rebaso el tope de gastos</w:t>
            </w:r>
          </w:p>
        </w:tc>
        <w:tc>
          <w:tcPr>
            <w:tcW w:w="867" w:type="pct"/>
            <w:vAlign w:val="center"/>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$503,064.19***</w:t>
            </w:r>
          </w:p>
        </w:tc>
        <w:tc>
          <w:tcPr>
            <w:tcW w:w="984" w:type="pct"/>
            <w:vAlign w:val="center"/>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ART. 355 FRACC 1 G)</w:t>
            </w:r>
          </w:p>
        </w:tc>
      </w:tr>
    </w:tbl>
    <w:p w:rsidR="00A256AB" w:rsidRDefault="00A256AB" w:rsidP="00A256AB">
      <w:pPr>
        <w:rPr>
          <w:rFonts w:ascii="Arial" w:hAnsi="Arial" w:cs="Arial"/>
          <w:sz w:val="16"/>
          <w:szCs w:val="16"/>
        </w:rPr>
      </w:pPr>
      <w:r w:rsidRPr="00B0621E">
        <w:rPr>
          <w:rFonts w:ascii="Arial" w:hAnsi="Arial" w:cs="Arial"/>
          <w:b/>
          <w:bCs/>
          <w:i/>
          <w:iCs/>
          <w:sz w:val="16"/>
          <w:szCs w:val="16"/>
        </w:rPr>
        <w:t>Fuente:</w:t>
      </w:r>
      <w:r w:rsidRPr="00B0621E">
        <w:rPr>
          <w:rFonts w:ascii="Arial" w:hAnsi="Arial" w:cs="Arial"/>
          <w:i/>
          <w:iCs/>
          <w:sz w:val="16"/>
          <w:szCs w:val="16"/>
        </w:rPr>
        <w:t xml:space="preserve"> Elaboración propia en base al Acuerdo IEEM/CG/18/2010 del Consejo General del IEEM</w:t>
      </w:r>
      <w:r w:rsidRPr="00A85D78">
        <w:rPr>
          <w:rFonts w:ascii="Arial" w:hAnsi="Arial" w:cs="Arial"/>
          <w:sz w:val="16"/>
          <w:szCs w:val="16"/>
        </w:rPr>
        <w:t>.                                                                                                                                                                     * Corresponde al Código Electoral del Estado de México.                                                                                                                  ** El OTF, consider</w:t>
      </w:r>
      <w:r w:rsidR="00295A74">
        <w:rPr>
          <w:rFonts w:ascii="Arial" w:hAnsi="Arial" w:cs="Arial"/>
          <w:sz w:val="16"/>
          <w:szCs w:val="16"/>
        </w:rPr>
        <w:t>ó</w:t>
      </w:r>
      <w:r w:rsidRPr="00A85D78">
        <w:rPr>
          <w:rFonts w:ascii="Arial" w:hAnsi="Arial" w:cs="Arial"/>
          <w:sz w:val="16"/>
          <w:szCs w:val="16"/>
        </w:rPr>
        <w:t xml:space="preserve"> que las faltas orientadas a un mismo fin, deberían ser incluidas en grupos para efectos de sancionar, conforme lo establecido en la sentencia SUP-RAP-62/2005                                                                                                                                                                                         *** Las multas son en atención a su participación en los gastos de campaña, en las candidaturas comunes.</w:t>
      </w:r>
    </w:p>
    <w:p w:rsidR="00B0621E" w:rsidRDefault="00B0621E" w:rsidP="00A256AB">
      <w:pPr>
        <w:rPr>
          <w:rFonts w:ascii="Arial" w:hAnsi="Arial" w:cs="Arial"/>
          <w:sz w:val="16"/>
          <w:szCs w:val="16"/>
        </w:rPr>
      </w:pPr>
    </w:p>
    <w:p w:rsidR="00B0621E" w:rsidRPr="00A85D78" w:rsidRDefault="00B0621E" w:rsidP="00A256AB">
      <w:pPr>
        <w:rPr>
          <w:rFonts w:ascii="Arial" w:hAnsi="Arial" w:cs="Arial"/>
          <w:sz w:val="16"/>
          <w:szCs w:val="16"/>
        </w:rPr>
      </w:pPr>
    </w:p>
    <w:p w:rsidR="00A256AB" w:rsidRDefault="00A256AB" w:rsidP="00F31368">
      <w:pPr>
        <w:spacing w:line="360" w:lineRule="auto"/>
        <w:jc w:val="both"/>
        <w:rPr>
          <w:rFonts w:ascii="Arial" w:hAnsi="Arial" w:cs="Arial"/>
          <w:sz w:val="24"/>
          <w:szCs w:val="24"/>
        </w:rPr>
      </w:pPr>
      <w:r w:rsidRPr="00A85D78">
        <w:rPr>
          <w:rFonts w:ascii="Arial" w:hAnsi="Arial" w:cs="Arial"/>
          <w:sz w:val="24"/>
          <w:szCs w:val="24"/>
        </w:rPr>
        <w:t>Los preceptos legales que más transgredieron los partidos durante la campaña 2009, fueron los artículos 52 Fracciones II, XIII y XIV, 60 Fracción IV, 61 Fracción III, 76 Fracción IV y 160 párrafo tercero del Código Electoral del Estado de México; 18 inciso b), 72, 71, 74 párrafo primero, 102, 108 párrafo segundo, 119 y 139 inciso b) del Reglamento de Fiscalización a las Actividades de los Partidos y Coaliciones del Estado de México; de esta manera el OTF sancion</w:t>
      </w:r>
      <w:r w:rsidR="00295A74">
        <w:rPr>
          <w:rFonts w:ascii="Arial" w:hAnsi="Arial" w:cs="Arial"/>
          <w:sz w:val="24"/>
          <w:szCs w:val="24"/>
        </w:rPr>
        <w:t>ó</w:t>
      </w:r>
      <w:r w:rsidRPr="00A85D78">
        <w:rPr>
          <w:rFonts w:ascii="Arial" w:hAnsi="Arial" w:cs="Arial"/>
          <w:sz w:val="24"/>
          <w:szCs w:val="24"/>
        </w:rPr>
        <w:t xml:space="preserve"> un total 56 faltas:  21 faltas formales y 35 faltas sustanciales a los 9 institutos políticos con registro en la </w:t>
      </w:r>
      <w:r w:rsidR="00295A74">
        <w:rPr>
          <w:rFonts w:ascii="Arial" w:hAnsi="Arial" w:cs="Arial"/>
          <w:sz w:val="24"/>
          <w:szCs w:val="24"/>
        </w:rPr>
        <w:t>e</w:t>
      </w:r>
      <w:r w:rsidRPr="00A85D78">
        <w:rPr>
          <w:rFonts w:ascii="Arial" w:hAnsi="Arial" w:cs="Arial"/>
          <w:sz w:val="24"/>
          <w:szCs w:val="24"/>
        </w:rPr>
        <w:t>ntidad. Con la finalidad de proporcionar mayores elementos de análisis al lector en el Anexo I de esta investigación, pueden localizarse a mayor detalle las conductas infractoras cometidas por cada partido.</w:t>
      </w:r>
    </w:p>
    <w:p w:rsidR="00F31368" w:rsidRPr="00A85D78" w:rsidRDefault="00F31368" w:rsidP="00F31368">
      <w:pPr>
        <w:spacing w:line="360" w:lineRule="auto"/>
        <w:jc w:val="both"/>
        <w:rPr>
          <w:rFonts w:ascii="Arial" w:hAnsi="Arial" w:cs="Arial"/>
          <w:sz w:val="24"/>
          <w:szCs w:val="24"/>
        </w:rPr>
      </w:pPr>
    </w:p>
    <w:p w:rsidR="00A256AB" w:rsidRDefault="00A256AB" w:rsidP="00F31368">
      <w:pPr>
        <w:spacing w:line="360" w:lineRule="auto"/>
        <w:jc w:val="both"/>
        <w:rPr>
          <w:rFonts w:ascii="Arial" w:hAnsi="Arial" w:cs="Arial"/>
          <w:sz w:val="24"/>
          <w:szCs w:val="24"/>
        </w:rPr>
      </w:pPr>
      <w:r w:rsidRPr="00A85D78">
        <w:rPr>
          <w:rFonts w:ascii="Arial" w:hAnsi="Arial" w:cs="Arial"/>
          <w:sz w:val="24"/>
          <w:szCs w:val="24"/>
        </w:rPr>
        <w:t xml:space="preserve">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w:t>
      </w:r>
      <w:r w:rsidR="00295A74">
        <w:rPr>
          <w:rFonts w:ascii="Arial" w:hAnsi="Arial" w:cs="Arial"/>
          <w:sz w:val="24"/>
          <w:szCs w:val="24"/>
        </w:rPr>
        <w:t xml:space="preserve">en </w:t>
      </w:r>
      <w:r w:rsidRPr="00A85D78">
        <w:rPr>
          <w:rFonts w:ascii="Arial" w:hAnsi="Arial" w:cs="Arial"/>
          <w:sz w:val="24"/>
          <w:szCs w:val="24"/>
        </w:rPr>
        <w:t>el rubro de faltas formales sancionadas, se detectaron 21 infracciones a la normatividad, como se detalla en la Tabla 4.4.</w:t>
      </w:r>
    </w:p>
    <w:p w:rsidR="00F31368" w:rsidRPr="00A85D78" w:rsidRDefault="00F31368" w:rsidP="00F31368">
      <w:pPr>
        <w:spacing w:line="360" w:lineRule="auto"/>
        <w:jc w:val="both"/>
        <w:rPr>
          <w:rFonts w:ascii="Arial" w:hAnsi="Arial" w:cs="Arial"/>
          <w:sz w:val="24"/>
          <w:szCs w:val="24"/>
        </w:rPr>
      </w:pPr>
    </w:p>
    <w:p w:rsidR="000130C0" w:rsidRDefault="000130C0">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Pr="00F31368" w:rsidRDefault="00A256AB" w:rsidP="00F31368">
      <w:pPr>
        <w:tabs>
          <w:tab w:val="left" w:pos="5070"/>
        </w:tabs>
        <w:jc w:val="both"/>
        <w:rPr>
          <w:rStyle w:val="Ttulodellibro"/>
          <w:rFonts w:ascii="Arial" w:hAnsi="Arial" w:cs="Arial"/>
          <w:b/>
          <w:i/>
          <w:color w:val="auto"/>
          <w:sz w:val="20"/>
          <w:szCs w:val="20"/>
        </w:rPr>
      </w:pPr>
      <w:r w:rsidRPr="00F31368">
        <w:rPr>
          <w:rStyle w:val="Ttulodellibro"/>
          <w:rFonts w:ascii="Arial" w:hAnsi="Arial" w:cs="Arial"/>
          <w:b/>
          <w:i/>
          <w:color w:val="auto"/>
          <w:sz w:val="20"/>
          <w:szCs w:val="20"/>
        </w:rPr>
        <w:lastRenderedPageBreak/>
        <w:t>Tabla 4.4 Faltas formales sancionadas por el OTF, en la campaña 2009</w:t>
      </w:r>
      <w:r w:rsidR="00F31368">
        <w:rPr>
          <w:rStyle w:val="Ttulodellibro"/>
          <w:rFonts w:ascii="Arial" w:hAnsi="Arial" w:cs="Arial"/>
          <w:b/>
          <w:i/>
          <w:color w:val="auto"/>
          <w:sz w:val="20"/>
          <w:szCs w:val="20"/>
        </w:rPr>
        <w:t>.</w:t>
      </w:r>
    </w:p>
    <w:p w:rsidR="00F31368" w:rsidRPr="00F31368" w:rsidRDefault="00F31368" w:rsidP="00F31368">
      <w:pPr>
        <w:tabs>
          <w:tab w:val="left" w:pos="5070"/>
        </w:tabs>
        <w:jc w:val="both"/>
        <w:rPr>
          <w:rStyle w:val="Ttulodellibro"/>
          <w:b/>
          <w:i/>
          <w:color w:val="auto"/>
          <w:sz w:val="20"/>
          <w:szCs w:val="20"/>
        </w:rPr>
      </w:pPr>
    </w:p>
    <w:tbl>
      <w:tblPr>
        <w:tblStyle w:val="Tablaconcuadrcula"/>
        <w:tblW w:w="5000" w:type="pct"/>
        <w:jc w:val="center"/>
        <w:tblLook w:val="04A0" w:firstRow="1" w:lastRow="0" w:firstColumn="1" w:lastColumn="0" w:noHBand="0" w:noVBand="1"/>
      </w:tblPr>
      <w:tblGrid>
        <w:gridCol w:w="1058"/>
        <w:gridCol w:w="1046"/>
        <w:gridCol w:w="1549"/>
        <w:gridCol w:w="1510"/>
        <w:gridCol w:w="1238"/>
        <w:gridCol w:w="2093"/>
      </w:tblGrid>
      <w:tr w:rsidR="00A256AB" w:rsidRPr="00F31368" w:rsidTr="00F31368">
        <w:trPr>
          <w:jc w:val="center"/>
        </w:trPr>
        <w:tc>
          <w:tcPr>
            <w:tcW w:w="622"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PARTIDO</w:t>
            </w:r>
          </w:p>
        </w:tc>
        <w:tc>
          <w:tcPr>
            <w:tcW w:w="616"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NÚMERO</w:t>
            </w:r>
          </w:p>
        </w:tc>
        <w:tc>
          <w:tcPr>
            <w:tcW w:w="912"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CALIFICACION</w:t>
            </w:r>
          </w:p>
        </w:tc>
        <w:tc>
          <w:tcPr>
            <w:tcW w:w="889"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SANCION (DSM)</w:t>
            </w:r>
          </w:p>
        </w:tc>
        <w:tc>
          <w:tcPr>
            <w:tcW w:w="729"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MULTA</w:t>
            </w:r>
          </w:p>
        </w:tc>
        <w:tc>
          <w:tcPr>
            <w:tcW w:w="1232" w:type="pct"/>
            <w:shd w:val="clear" w:color="auto" w:fill="FBE4D5" w:themeFill="accent2" w:themeFillTint="33"/>
          </w:tcPr>
          <w:p w:rsidR="00A256AB" w:rsidRPr="00F31368" w:rsidRDefault="00A256AB" w:rsidP="00A256AB">
            <w:pPr>
              <w:jc w:val="center"/>
              <w:rPr>
                <w:rFonts w:ascii="Arial" w:hAnsi="Arial" w:cs="Arial"/>
                <w:b/>
                <w:sz w:val="18"/>
                <w:szCs w:val="18"/>
                <w:lang w:val="es-ES_tradnl"/>
              </w:rPr>
            </w:pPr>
            <w:r w:rsidRPr="00F31368">
              <w:rPr>
                <w:rFonts w:ascii="Arial" w:hAnsi="Arial" w:cs="Arial"/>
                <w:b/>
                <w:sz w:val="18"/>
                <w:szCs w:val="18"/>
                <w:lang w:val="es-ES_tradnl"/>
              </w:rPr>
              <w:t>PRECEPTO LEGAL*</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PAN</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LEVE</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520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$27,014.00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PRD</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4</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LEVISIMAS</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200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$10,390.00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PT</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4</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LEVISIMAS</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200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$10,390.00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PVEM</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1</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LEVE</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520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$27,014.00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CONV</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3</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LEVISIMAS</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200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$10,390.00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PSD</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5</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LEVISIMAS</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200</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$10,390.00</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r w:rsidR="00A256AB" w:rsidRPr="00F31368" w:rsidTr="00F31368">
        <w:trPr>
          <w:jc w:val="center"/>
        </w:trPr>
        <w:tc>
          <w:tcPr>
            <w:tcW w:w="62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PFD</w:t>
            </w:r>
          </w:p>
        </w:tc>
        <w:tc>
          <w:tcPr>
            <w:tcW w:w="616"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2</w:t>
            </w:r>
          </w:p>
        </w:tc>
        <w:tc>
          <w:tcPr>
            <w:tcW w:w="912" w:type="pct"/>
          </w:tcPr>
          <w:p w:rsidR="00A256AB" w:rsidRPr="00F31368" w:rsidRDefault="00A256AB" w:rsidP="00A256AB">
            <w:pPr>
              <w:rPr>
                <w:rFonts w:ascii="Arial" w:hAnsi="Arial" w:cs="Arial"/>
                <w:sz w:val="18"/>
                <w:szCs w:val="18"/>
                <w:lang w:val="es-ES_tradnl"/>
              </w:rPr>
            </w:pPr>
            <w:r w:rsidRPr="00F31368">
              <w:rPr>
                <w:rFonts w:ascii="Arial" w:hAnsi="Arial" w:cs="Arial"/>
                <w:sz w:val="18"/>
                <w:szCs w:val="18"/>
                <w:lang w:val="es-ES_tradnl"/>
              </w:rPr>
              <w:t>LEVISIMAS</w:t>
            </w:r>
          </w:p>
        </w:tc>
        <w:tc>
          <w:tcPr>
            <w:tcW w:w="889"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335</w:t>
            </w:r>
          </w:p>
        </w:tc>
        <w:tc>
          <w:tcPr>
            <w:tcW w:w="729" w:type="pct"/>
          </w:tcPr>
          <w:p w:rsidR="00A256AB" w:rsidRPr="00F31368" w:rsidRDefault="00A256AB" w:rsidP="00A256AB">
            <w:pPr>
              <w:jc w:val="right"/>
              <w:rPr>
                <w:rFonts w:ascii="Arial" w:hAnsi="Arial" w:cs="Arial"/>
                <w:sz w:val="18"/>
                <w:szCs w:val="18"/>
                <w:lang w:val="es-ES_tradnl"/>
              </w:rPr>
            </w:pPr>
            <w:r w:rsidRPr="00F31368">
              <w:rPr>
                <w:rFonts w:ascii="Arial" w:hAnsi="Arial" w:cs="Arial"/>
                <w:sz w:val="18"/>
                <w:szCs w:val="18"/>
                <w:lang w:val="es-ES_tradnl"/>
              </w:rPr>
              <w:t>$17,403.25</w:t>
            </w:r>
          </w:p>
        </w:tc>
        <w:tc>
          <w:tcPr>
            <w:tcW w:w="1232" w:type="pct"/>
          </w:tcPr>
          <w:p w:rsidR="00A256AB" w:rsidRPr="00F31368" w:rsidRDefault="00A256AB" w:rsidP="00A256AB">
            <w:pPr>
              <w:jc w:val="center"/>
              <w:rPr>
                <w:rFonts w:ascii="Arial" w:hAnsi="Arial" w:cs="Arial"/>
                <w:sz w:val="18"/>
                <w:szCs w:val="18"/>
                <w:lang w:val="es-ES_tradnl"/>
              </w:rPr>
            </w:pPr>
            <w:r w:rsidRPr="00F31368">
              <w:rPr>
                <w:rFonts w:ascii="Arial" w:hAnsi="Arial" w:cs="Arial"/>
                <w:sz w:val="18"/>
                <w:szCs w:val="18"/>
                <w:lang w:val="es-ES_tradnl"/>
              </w:rPr>
              <w:t>ART. 355 FRACC 1 A)</w:t>
            </w:r>
          </w:p>
        </w:tc>
      </w:tr>
    </w:tbl>
    <w:p w:rsidR="00A256AB" w:rsidRPr="00A85D78" w:rsidRDefault="00A256AB" w:rsidP="00A256AB">
      <w:pPr>
        <w:rPr>
          <w:rFonts w:ascii="Arial" w:hAnsi="Arial" w:cs="Arial"/>
          <w:sz w:val="16"/>
          <w:szCs w:val="16"/>
        </w:rPr>
      </w:pPr>
      <w:r w:rsidRPr="00F31368">
        <w:rPr>
          <w:rFonts w:ascii="Arial" w:hAnsi="Arial" w:cs="Arial"/>
          <w:b/>
          <w:bCs/>
          <w:i/>
          <w:iCs/>
          <w:sz w:val="16"/>
          <w:szCs w:val="16"/>
        </w:rPr>
        <w:t>Fuente:</w:t>
      </w:r>
      <w:r w:rsidRPr="00F31368">
        <w:rPr>
          <w:rFonts w:ascii="Arial" w:hAnsi="Arial" w:cs="Arial"/>
          <w:i/>
          <w:iCs/>
          <w:sz w:val="16"/>
          <w:szCs w:val="16"/>
        </w:rPr>
        <w:t xml:space="preserve"> Elaboración propia en base al Acuerdo CG/18/2010 del Consejo General del IEEM                                                                                                                                                                 </w:t>
      </w:r>
      <w:r w:rsidRPr="00A85D78">
        <w:rPr>
          <w:rFonts w:ascii="Arial" w:hAnsi="Arial" w:cs="Arial"/>
          <w:sz w:val="16"/>
          <w:szCs w:val="16"/>
        </w:rPr>
        <w:t xml:space="preserve">* Corresponde al Código Electoral del Estado de México. </w:t>
      </w:r>
    </w:p>
    <w:p w:rsidR="00F31368" w:rsidRDefault="00F31368" w:rsidP="00F31368">
      <w:pPr>
        <w:spacing w:line="360" w:lineRule="auto"/>
        <w:jc w:val="both"/>
        <w:rPr>
          <w:rFonts w:ascii="Arial" w:hAnsi="Arial" w:cs="Arial"/>
          <w:sz w:val="24"/>
          <w:szCs w:val="24"/>
        </w:rPr>
      </w:pPr>
    </w:p>
    <w:p w:rsidR="00A256AB" w:rsidRDefault="00A256AB" w:rsidP="00F31368">
      <w:pPr>
        <w:spacing w:line="360" w:lineRule="auto"/>
        <w:jc w:val="both"/>
        <w:rPr>
          <w:rFonts w:ascii="Arial" w:hAnsi="Arial" w:cs="Arial"/>
          <w:sz w:val="24"/>
          <w:szCs w:val="24"/>
        </w:rPr>
      </w:pPr>
      <w:r w:rsidRPr="00A85D78">
        <w:rPr>
          <w:rFonts w:ascii="Arial" w:hAnsi="Arial" w:cs="Arial"/>
          <w:sz w:val="24"/>
          <w:szCs w:val="24"/>
        </w:rPr>
        <w:t>El partido político que menos faltas tuvo fue el Partido Revolucionario Institucional con una; mientras que el instituto político con mayor número de faltas fue el Partido del Trabajo con 17. El Partido Verde Ecologista de México fue el más sancionado con $1,320,644.17 y el menos sancionado fue el Partido Acción Nacional con $27,014.00.</w:t>
      </w:r>
    </w:p>
    <w:p w:rsidR="00F31368" w:rsidRPr="00A85D78" w:rsidRDefault="00F31368" w:rsidP="00F31368">
      <w:pPr>
        <w:spacing w:line="360" w:lineRule="auto"/>
        <w:jc w:val="both"/>
        <w:rPr>
          <w:rFonts w:ascii="Arial" w:hAnsi="Arial" w:cs="Arial"/>
          <w:sz w:val="24"/>
          <w:szCs w:val="24"/>
        </w:rPr>
      </w:pPr>
    </w:p>
    <w:p w:rsidR="00A256AB" w:rsidRDefault="00A256AB" w:rsidP="00F31368">
      <w:pPr>
        <w:spacing w:line="360" w:lineRule="auto"/>
        <w:jc w:val="both"/>
        <w:rPr>
          <w:rFonts w:ascii="Arial" w:hAnsi="Arial" w:cs="Arial"/>
          <w:sz w:val="24"/>
          <w:szCs w:val="24"/>
        </w:rPr>
      </w:pPr>
      <w:r w:rsidRPr="00A85D78">
        <w:rPr>
          <w:rFonts w:ascii="Arial" w:hAnsi="Arial" w:cs="Arial"/>
          <w:sz w:val="24"/>
          <w:szCs w:val="24"/>
        </w:rPr>
        <w:t xml:space="preserve">En </w:t>
      </w:r>
      <w:r w:rsidR="00F52EDB" w:rsidRPr="00A85D78">
        <w:rPr>
          <w:rFonts w:ascii="Arial" w:hAnsi="Arial" w:cs="Arial"/>
          <w:sz w:val="24"/>
          <w:szCs w:val="24"/>
        </w:rPr>
        <w:t>resumen,</w:t>
      </w:r>
      <w:r w:rsidRPr="00A85D78">
        <w:rPr>
          <w:rFonts w:ascii="Arial" w:hAnsi="Arial" w:cs="Arial"/>
          <w:sz w:val="24"/>
          <w:szCs w:val="24"/>
        </w:rPr>
        <w:t xml:space="preserve"> las conductas más castigadas fueron en orden de relevancia de la sanción en primera instancia la aportación de recursos prohibidos a la campaña en el caso de la aportación de una empresa mercantil al PVEM; seguido de los rebases de topes de gastos de campaña con 8 casos; y la duplicidad de comprobación de gastos con la misma factura, todas ellas calificadas como faltas graves ordinarias.</w:t>
      </w:r>
    </w:p>
    <w:p w:rsidR="00F31368" w:rsidRPr="00A85D78" w:rsidRDefault="00F31368" w:rsidP="00F31368">
      <w:pPr>
        <w:spacing w:line="360" w:lineRule="auto"/>
        <w:jc w:val="both"/>
        <w:rPr>
          <w:rFonts w:ascii="Arial" w:hAnsi="Arial" w:cs="Arial"/>
          <w:sz w:val="24"/>
          <w:szCs w:val="24"/>
        </w:rPr>
      </w:pPr>
    </w:p>
    <w:p w:rsidR="00A256AB" w:rsidRPr="00A85D78" w:rsidRDefault="00A256AB" w:rsidP="00F31368">
      <w:pPr>
        <w:spacing w:line="360" w:lineRule="auto"/>
        <w:jc w:val="both"/>
        <w:rPr>
          <w:rFonts w:ascii="Arial" w:hAnsi="Arial" w:cs="Arial"/>
          <w:sz w:val="24"/>
          <w:szCs w:val="24"/>
        </w:rPr>
      </w:pPr>
      <w:r w:rsidRPr="00A85D78">
        <w:rPr>
          <w:rFonts w:ascii="Arial" w:hAnsi="Arial" w:cs="Arial"/>
          <w:sz w:val="24"/>
          <w:szCs w:val="24"/>
        </w:rPr>
        <w:t>El saldo total de las multas autorizadas por el OTF, ascendió a 2 millones, 792 mil 362 pesos con 93 centavos; más los $83,255.07 de sanciones producto de la revisión precautoria dan una cifra final de $2,875,618.00 en multas después de culminar la revisión de gastos de campaña y precampaña del proceso electoral 2009.</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b/>
          <w:sz w:val="24"/>
          <w:szCs w:val="24"/>
        </w:rPr>
      </w:pPr>
      <w:r w:rsidRPr="00A85D78">
        <w:rPr>
          <w:rFonts w:ascii="Arial" w:hAnsi="Arial" w:cs="Arial"/>
          <w:b/>
          <w:sz w:val="24"/>
          <w:szCs w:val="24"/>
        </w:rPr>
        <w:t>4.1.2. Elección de Gobernador 2011.</w:t>
      </w:r>
    </w:p>
    <w:p w:rsidR="00A256AB" w:rsidRPr="00A85D78" w:rsidRDefault="00A256AB" w:rsidP="00A256AB">
      <w:pPr>
        <w:jc w:val="both"/>
        <w:rPr>
          <w:rFonts w:ascii="Arial" w:hAnsi="Arial" w:cs="Arial"/>
          <w:b/>
          <w:sz w:val="24"/>
          <w:szCs w:val="24"/>
        </w:rPr>
      </w:pPr>
      <w:r w:rsidRPr="00A85D78">
        <w:rPr>
          <w:rFonts w:ascii="Arial" w:hAnsi="Arial" w:cs="Arial"/>
          <w:b/>
          <w:sz w:val="24"/>
          <w:szCs w:val="24"/>
        </w:rPr>
        <w:t>4.1.2.1 Precampaña</w:t>
      </w:r>
      <w:r w:rsidR="003D1A3D">
        <w:rPr>
          <w:rFonts w:ascii="Arial" w:hAnsi="Arial" w:cs="Arial"/>
          <w:b/>
          <w:sz w:val="24"/>
          <w:szCs w:val="24"/>
        </w:rPr>
        <w:t>.</w:t>
      </w:r>
    </w:p>
    <w:p w:rsidR="00A256AB" w:rsidRPr="00A85D78" w:rsidRDefault="00A256AB" w:rsidP="00F31368">
      <w:pPr>
        <w:spacing w:line="360" w:lineRule="auto"/>
        <w:jc w:val="both"/>
        <w:rPr>
          <w:rFonts w:ascii="Arial" w:hAnsi="Arial" w:cs="Arial"/>
          <w:sz w:val="24"/>
          <w:szCs w:val="24"/>
        </w:rPr>
      </w:pPr>
      <w:r w:rsidRPr="00A85D78">
        <w:rPr>
          <w:rFonts w:ascii="Arial" w:hAnsi="Arial" w:cs="Arial"/>
          <w:sz w:val="24"/>
          <w:szCs w:val="24"/>
        </w:rPr>
        <w:t xml:space="preserve">El tiempo de precampaña para los procesos de selección interna de los Partidos, fue muy acotado, las precampañas fueron desarrolladas en un tiempo máximo de diez días,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legislación en su momento brindó la apertura para que estas precampañas se desarrollaran en un lapso de 21 días comprendidos </w:t>
      </w:r>
      <w:r w:rsidRPr="00A85D78">
        <w:rPr>
          <w:rFonts w:ascii="Arial" w:hAnsi="Arial" w:cs="Arial"/>
          <w:sz w:val="24"/>
          <w:szCs w:val="24"/>
        </w:rPr>
        <w:lastRenderedPageBreak/>
        <w:t>entre el 17 de marzo y el 06 de abril de 2011, en la tabla 4.5, se desglosa el calendario de las actividades de fiscalización correspondientes a precampaña.</w:t>
      </w:r>
    </w:p>
    <w:p w:rsidR="002F2580" w:rsidRDefault="002F2580" w:rsidP="00F31368">
      <w:pPr>
        <w:tabs>
          <w:tab w:val="left" w:pos="5070"/>
        </w:tabs>
        <w:jc w:val="both"/>
        <w:rPr>
          <w:rStyle w:val="Ttulodellibro"/>
          <w:rFonts w:ascii="Arial" w:hAnsi="Arial" w:cs="Arial"/>
          <w:b/>
          <w:i/>
          <w:color w:val="auto"/>
          <w:sz w:val="20"/>
          <w:szCs w:val="20"/>
        </w:rPr>
      </w:pPr>
    </w:p>
    <w:p w:rsidR="00A256AB" w:rsidRDefault="00A256AB" w:rsidP="00F31368">
      <w:pPr>
        <w:tabs>
          <w:tab w:val="left" w:pos="5070"/>
        </w:tabs>
        <w:jc w:val="both"/>
        <w:rPr>
          <w:rStyle w:val="Ttulodellibro"/>
          <w:b/>
          <w:i/>
          <w:color w:val="auto"/>
          <w:sz w:val="20"/>
          <w:szCs w:val="20"/>
        </w:rPr>
      </w:pPr>
      <w:r w:rsidRPr="00F31368">
        <w:rPr>
          <w:rStyle w:val="Ttulodellibro"/>
          <w:rFonts w:ascii="Arial" w:hAnsi="Arial" w:cs="Arial"/>
          <w:b/>
          <w:i/>
          <w:color w:val="auto"/>
          <w:sz w:val="20"/>
          <w:szCs w:val="20"/>
        </w:rPr>
        <w:t>Tabla 4.5 Cronograma de Fiscalización precampaña Gobernador 2011</w:t>
      </w:r>
      <w:r w:rsidRPr="00F31368">
        <w:rPr>
          <w:rStyle w:val="Ttulodellibro"/>
          <w:b/>
          <w:i/>
          <w:color w:val="auto"/>
          <w:sz w:val="20"/>
          <w:szCs w:val="20"/>
        </w:rPr>
        <w:t>.</w:t>
      </w:r>
    </w:p>
    <w:p w:rsidR="00F31368" w:rsidRPr="00F31368" w:rsidRDefault="00F31368" w:rsidP="00F31368">
      <w:pPr>
        <w:tabs>
          <w:tab w:val="left" w:pos="5070"/>
        </w:tabs>
        <w:jc w:val="both"/>
        <w:rPr>
          <w:rStyle w:val="Ttulodellibro"/>
          <w:b/>
          <w:i/>
          <w:color w:val="auto"/>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67"/>
        <w:gridCol w:w="1274"/>
        <w:gridCol w:w="1038"/>
        <w:gridCol w:w="962"/>
        <w:gridCol w:w="1023"/>
        <w:gridCol w:w="1099"/>
        <w:gridCol w:w="1046"/>
        <w:gridCol w:w="885"/>
      </w:tblGrid>
      <w:tr w:rsidR="00A256AB" w:rsidRPr="00F31368" w:rsidTr="00F31368">
        <w:trPr>
          <w:trHeight w:val="701"/>
          <w:tblHeader/>
        </w:trPr>
        <w:tc>
          <w:tcPr>
            <w:tcW w:w="687"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PERIODO DE PRECAMPAÑA</w:t>
            </w:r>
          </w:p>
        </w:tc>
        <w:tc>
          <w:tcPr>
            <w:tcW w:w="750"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PRESENTACIÓN INFORME</w:t>
            </w:r>
          </w:p>
        </w:tc>
        <w:tc>
          <w:tcPr>
            <w:tcW w:w="611"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REVISIÓN PRELIMINAR Y EN GABINETE</w:t>
            </w:r>
          </w:p>
        </w:tc>
        <w:tc>
          <w:tcPr>
            <w:tcW w:w="566"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ERRORES Y OMISIONES</w:t>
            </w:r>
          </w:p>
        </w:tc>
        <w:tc>
          <w:tcPr>
            <w:tcW w:w="602"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RESPUESTA A ERRORES Y OMISIONES</w:t>
            </w:r>
          </w:p>
        </w:tc>
        <w:tc>
          <w:tcPr>
            <w:tcW w:w="647"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DICTAMEN Y RESOLUCIÓN</w:t>
            </w:r>
          </w:p>
        </w:tc>
        <w:tc>
          <w:tcPr>
            <w:tcW w:w="616" w:type="pct"/>
            <w:shd w:val="clear" w:color="auto" w:fill="FBE4D5" w:themeFill="accent2" w:themeFillTint="33"/>
            <w:tcMar>
              <w:top w:w="120" w:type="dxa"/>
              <w:left w:w="120" w:type="dxa"/>
              <w:bottom w:w="120" w:type="dxa"/>
              <w:right w:w="120" w:type="dxa"/>
            </w:tcMar>
            <w:vAlign w:val="center"/>
            <w:hideMark/>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CG APRUEBA PROYECTOS DE UTF</w:t>
            </w:r>
          </w:p>
        </w:tc>
        <w:tc>
          <w:tcPr>
            <w:tcW w:w="521" w:type="pct"/>
            <w:shd w:val="clear" w:color="auto" w:fill="FBE4D5" w:themeFill="accent2" w:themeFillTint="33"/>
            <w:vAlign w:val="center"/>
          </w:tcPr>
          <w:p w:rsidR="00A256AB" w:rsidRPr="00F31368" w:rsidRDefault="00295A74" w:rsidP="00A256AB">
            <w:pPr>
              <w:jc w:val="center"/>
              <w:rPr>
                <w:rFonts w:ascii="Arial" w:hAnsi="Arial" w:cs="Arial"/>
                <w:b/>
                <w:bCs/>
                <w:sz w:val="12"/>
                <w:szCs w:val="12"/>
              </w:rPr>
            </w:pPr>
            <w:r w:rsidRPr="00F31368">
              <w:rPr>
                <w:rFonts w:ascii="Arial" w:hAnsi="Arial" w:cs="Arial"/>
                <w:b/>
                <w:bCs/>
                <w:sz w:val="12"/>
                <w:szCs w:val="12"/>
              </w:rPr>
              <w:t>C.G. APRUEBA PROYECTOS DE SANCIONES</w:t>
            </w:r>
          </w:p>
        </w:tc>
      </w:tr>
      <w:tr w:rsidR="00A256AB" w:rsidRPr="00F31368" w:rsidTr="00F31368">
        <w:tc>
          <w:tcPr>
            <w:tcW w:w="687" w:type="pct"/>
            <w:shd w:val="clear" w:color="auto" w:fill="auto"/>
            <w:tcMar>
              <w:top w:w="120" w:type="dxa"/>
              <w:left w:w="120" w:type="dxa"/>
              <w:bottom w:w="120" w:type="dxa"/>
              <w:right w:w="120" w:type="dxa"/>
            </w:tcMar>
            <w:vAlign w:val="center"/>
            <w:hideMark/>
          </w:tcPr>
          <w:p w:rsidR="00A256AB" w:rsidRPr="00F31368" w:rsidRDefault="00A256AB" w:rsidP="00A256AB">
            <w:pPr>
              <w:jc w:val="center"/>
              <w:rPr>
                <w:rFonts w:ascii="Arial" w:hAnsi="Arial" w:cs="Arial"/>
                <w:sz w:val="18"/>
                <w:szCs w:val="18"/>
              </w:rPr>
            </w:pPr>
            <w:r w:rsidRPr="00F31368">
              <w:rPr>
                <w:rFonts w:ascii="Arial" w:hAnsi="Arial" w:cs="Arial"/>
                <w:sz w:val="18"/>
                <w:szCs w:val="18"/>
              </w:rPr>
              <w:t>Máximo 10 días</w:t>
            </w:r>
          </w:p>
        </w:tc>
        <w:tc>
          <w:tcPr>
            <w:tcW w:w="750" w:type="pct"/>
            <w:shd w:val="clear" w:color="auto" w:fill="auto"/>
            <w:tcMar>
              <w:top w:w="120" w:type="dxa"/>
              <w:left w:w="120" w:type="dxa"/>
              <w:bottom w:w="120" w:type="dxa"/>
              <w:right w:w="120" w:type="dxa"/>
            </w:tcMar>
            <w:vAlign w:val="center"/>
            <w:hideMark/>
          </w:tcPr>
          <w:p w:rsidR="00A256AB" w:rsidRPr="00F31368" w:rsidRDefault="00A256AB" w:rsidP="00A256AB">
            <w:pPr>
              <w:jc w:val="center"/>
              <w:rPr>
                <w:rFonts w:ascii="Arial" w:hAnsi="Arial" w:cs="Arial"/>
                <w:sz w:val="18"/>
                <w:szCs w:val="18"/>
              </w:rPr>
            </w:pPr>
            <w:r w:rsidRPr="00F31368">
              <w:rPr>
                <w:rFonts w:ascii="Arial" w:hAnsi="Arial" w:cs="Arial"/>
                <w:sz w:val="18"/>
                <w:szCs w:val="18"/>
              </w:rPr>
              <w:t>15 días</w:t>
            </w:r>
          </w:p>
        </w:tc>
        <w:tc>
          <w:tcPr>
            <w:tcW w:w="611"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 días</w:t>
            </w:r>
          </w:p>
        </w:tc>
        <w:tc>
          <w:tcPr>
            <w:tcW w:w="566"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 días</w:t>
            </w:r>
          </w:p>
        </w:tc>
        <w:tc>
          <w:tcPr>
            <w:tcW w:w="602"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1 día</w:t>
            </w:r>
          </w:p>
        </w:tc>
        <w:tc>
          <w:tcPr>
            <w:tcW w:w="647"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 días</w:t>
            </w:r>
          </w:p>
        </w:tc>
        <w:tc>
          <w:tcPr>
            <w:tcW w:w="616"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 días</w:t>
            </w:r>
          </w:p>
        </w:tc>
        <w:tc>
          <w:tcPr>
            <w:tcW w:w="521" w:type="pct"/>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10 días</w:t>
            </w:r>
          </w:p>
        </w:tc>
      </w:tr>
      <w:tr w:rsidR="00A256AB" w:rsidRPr="00F31368" w:rsidTr="00F31368">
        <w:tc>
          <w:tcPr>
            <w:tcW w:w="687"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Entre 17 marzo al 06 de abril</w:t>
            </w:r>
          </w:p>
        </w:tc>
        <w:tc>
          <w:tcPr>
            <w:tcW w:w="750"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18-21 abril</w:t>
            </w:r>
          </w:p>
        </w:tc>
        <w:tc>
          <w:tcPr>
            <w:tcW w:w="611"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23 abril</w:t>
            </w:r>
          </w:p>
        </w:tc>
        <w:tc>
          <w:tcPr>
            <w:tcW w:w="566"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25 abril</w:t>
            </w:r>
          </w:p>
        </w:tc>
        <w:tc>
          <w:tcPr>
            <w:tcW w:w="602"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26 abril</w:t>
            </w:r>
          </w:p>
        </w:tc>
        <w:tc>
          <w:tcPr>
            <w:tcW w:w="647"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28 abril</w:t>
            </w:r>
          </w:p>
        </w:tc>
        <w:tc>
          <w:tcPr>
            <w:tcW w:w="616" w:type="pct"/>
            <w:shd w:val="clear" w:color="auto" w:fill="auto"/>
            <w:tcMar>
              <w:top w:w="120" w:type="dxa"/>
              <w:left w:w="120" w:type="dxa"/>
              <w:bottom w:w="120" w:type="dxa"/>
              <w:right w:w="120" w:type="dxa"/>
            </w:tcMar>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30 abril</w:t>
            </w:r>
          </w:p>
        </w:tc>
        <w:tc>
          <w:tcPr>
            <w:tcW w:w="521" w:type="pct"/>
            <w:vAlign w:val="center"/>
          </w:tcPr>
          <w:p w:rsidR="00A256AB" w:rsidRPr="00F31368" w:rsidRDefault="00A256AB" w:rsidP="00A256AB">
            <w:pPr>
              <w:jc w:val="center"/>
              <w:rPr>
                <w:rFonts w:ascii="Arial" w:hAnsi="Arial" w:cs="Arial"/>
                <w:sz w:val="18"/>
                <w:szCs w:val="18"/>
              </w:rPr>
            </w:pPr>
            <w:r w:rsidRPr="00F31368">
              <w:rPr>
                <w:rFonts w:ascii="Arial" w:hAnsi="Arial" w:cs="Arial"/>
                <w:sz w:val="18"/>
                <w:szCs w:val="18"/>
              </w:rPr>
              <w:t>10 mayo</w:t>
            </w:r>
          </w:p>
        </w:tc>
      </w:tr>
    </w:tbl>
    <w:p w:rsidR="00A256AB" w:rsidRPr="00F31368" w:rsidRDefault="00A256AB" w:rsidP="00A256AB">
      <w:pPr>
        <w:jc w:val="both"/>
        <w:rPr>
          <w:rFonts w:ascii="Arial" w:hAnsi="Arial" w:cs="Arial"/>
          <w:i/>
          <w:iCs/>
          <w:sz w:val="16"/>
          <w:szCs w:val="16"/>
        </w:rPr>
      </w:pPr>
      <w:r w:rsidRPr="00F31368">
        <w:rPr>
          <w:rFonts w:ascii="Arial" w:hAnsi="Arial" w:cs="Arial"/>
          <w:b/>
          <w:bCs/>
          <w:i/>
          <w:iCs/>
          <w:sz w:val="16"/>
          <w:szCs w:val="16"/>
        </w:rPr>
        <w:t>Fuente:</w:t>
      </w:r>
      <w:r w:rsidRPr="00F31368">
        <w:rPr>
          <w:rFonts w:ascii="Arial" w:hAnsi="Arial" w:cs="Arial"/>
          <w:i/>
          <w:iCs/>
          <w:sz w:val="16"/>
          <w:szCs w:val="16"/>
        </w:rPr>
        <w:t xml:space="preserve"> Elaboración propia con datos del Acuerdos IEEM/CG050/2011 e IEEM/CG063/2011.</w:t>
      </w:r>
    </w:p>
    <w:p w:rsidR="00F31368" w:rsidRPr="00A85D78" w:rsidRDefault="00F31368" w:rsidP="00A256AB">
      <w:pPr>
        <w:jc w:val="both"/>
        <w:rPr>
          <w:rFonts w:ascii="Arial" w:hAnsi="Arial" w:cs="Arial"/>
        </w:rPr>
      </w:pPr>
    </w:p>
    <w:p w:rsidR="00A256AB" w:rsidRPr="00A85D78" w:rsidRDefault="00A256AB" w:rsidP="00F31368">
      <w:pPr>
        <w:spacing w:line="360" w:lineRule="auto"/>
        <w:jc w:val="both"/>
        <w:rPr>
          <w:rFonts w:ascii="Arial" w:hAnsi="Arial" w:cs="Arial"/>
          <w:sz w:val="24"/>
          <w:szCs w:val="24"/>
        </w:rPr>
      </w:pPr>
      <w:r w:rsidRPr="00A85D78">
        <w:rPr>
          <w:rFonts w:ascii="Arial" w:hAnsi="Arial" w:cs="Arial"/>
          <w:sz w:val="24"/>
          <w:szCs w:val="24"/>
        </w:rPr>
        <w:t>El proceso de revisión de los ingresos y gastos que los partidos realizaron durante los procesos internos de selección de candidatos se desarrolló a marchas forzadas, pues desde que los partidos presentaron sus informes de campaña, hasta que el Consejo General del IEEM, aprobó las sanciones correspondientes transcurrieron 22 días, cabe destacar que el proceso de revisión fue exprés dado que la autoridad únicamente tuvo 4 días para auditar las contabilidades de los partidos políticos. Derivado de esta revisión se detectaron tres irregularidades que derivaron en una multa de carácter económico para los institutos políticos, mismas que se plasman en la tabla 4.6.</w:t>
      </w:r>
    </w:p>
    <w:p w:rsidR="00A256AB" w:rsidRPr="00A85D78" w:rsidRDefault="00A256AB" w:rsidP="00A256AB">
      <w:pPr>
        <w:jc w:val="both"/>
        <w:rPr>
          <w:rFonts w:ascii="Arial" w:hAnsi="Arial" w:cs="Arial"/>
          <w:sz w:val="24"/>
          <w:szCs w:val="24"/>
        </w:rPr>
      </w:pPr>
    </w:p>
    <w:p w:rsidR="00A256AB" w:rsidRDefault="00A256AB" w:rsidP="00F31368">
      <w:pPr>
        <w:tabs>
          <w:tab w:val="left" w:pos="5070"/>
        </w:tabs>
        <w:jc w:val="both"/>
        <w:rPr>
          <w:rStyle w:val="Ttulodellibro"/>
          <w:rFonts w:ascii="Arial" w:hAnsi="Arial" w:cs="Arial"/>
          <w:b/>
          <w:i/>
          <w:color w:val="auto"/>
          <w:sz w:val="20"/>
          <w:szCs w:val="20"/>
        </w:rPr>
      </w:pPr>
      <w:r w:rsidRPr="00F31368">
        <w:rPr>
          <w:rStyle w:val="Ttulodellibro"/>
          <w:rFonts w:ascii="Arial" w:hAnsi="Arial" w:cs="Arial"/>
          <w:b/>
          <w:i/>
          <w:color w:val="auto"/>
          <w:sz w:val="20"/>
          <w:szCs w:val="20"/>
        </w:rPr>
        <w:t>Tabla 4.6 Multas derivadas del Proceso de Fiscalización de Precampaña Gobernador 2011.</w:t>
      </w:r>
    </w:p>
    <w:p w:rsidR="00F31368" w:rsidRPr="00F31368" w:rsidRDefault="00F31368" w:rsidP="00F31368">
      <w:pPr>
        <w:tabs>
          <w:tab w:val="left" w:pos="5070"/>
        </w:tabs>
        <w:jc w:val="both"/>
        <w:rPr>
          <w:rStyle w:val="Ttulodellibro"/>
          <w:rFonts w:ascii="Arial" w:hAnsi="Arial" w:cs="Arial"/>
          <w:b/>
          <w:i/>
          <w:color w:val="auto"/>
          <w:sz w:val="20"/>
          <w:szCs w:val="20"/>
        </w:rPr>
      </w:pPr>
    </w:p>
    <w:tbl>
      <w:tblPr>
        <w:tblStyle w:val="Tablaconcuadrcula"/>
        <w:tblW w:w="0" w:type="auto"/>
        <w:tblLook w:val="04A0" w:firstRow="1" w:lastRow="0" w:firstColumn="1" w:lastColumn="0" w:noHBand="0" w:noVBand="1"/>
      </w:tblPr>
      <w:tblGrid>
        <w:gridCol w:w="1677"/>
        <w:gridCol w:w="1753"/>
        <w:gridCol w:w="1263"/>
        <w:gridCol w:w="1506"/>
        <w:gridCol w:w="1119"/>
        <w:gridCol w:w="1176"/>
      </w:tblGrid>
      <w:tr w:rsidR="00A256AB" w:rsidRPr="00A85D78" w:rsidTr="00A256AB">
        <w:tc>
          <w:tcPr>
            <w:tcW w:w="1678"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PARTIDO</w:t>
            </w:r>
          </w:p>
        </w:tc>
        <w:tc>
          <w:tcPr>
            <w:tcW w:w="1854"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CONDUCTA INFRACTORA</w:t>
            </w:r>
          </w:p>
        </w:tc>
        <w:tc>
          <w:tcPr>
            <w:tcW w:w="1349"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TIPO FALTA</w:t>
            </w:r>
          </w:p>
        </w:tc>
        <w:tc>
          <w:tcPr>
            <w:tcW w:w="1506"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CALIFICACION DE LA FALTA</w:t>
            </w:r>
          </w:p>
        </w:tc>
        <w:tc>
          <w:tcPr>
            <w:tcW w:w="1140"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SANCIÓN</w:t>
            </w:r>
          </w:p>
        </w:tc>
        <w:tc>
          <w:tcPr>
            <w:tcW w:w="1193"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MULTA</w:t>
            </w:r>
          </w:p>
        </w:tc>
      </w:tr>
      <w:tr w:rsidR="00A256AB" w:rsidRPr="00A85D78" w:rsidTr="00A256AB">
        <w:tc>
          <w:tcPr>
            <w:tcW w:w="1678"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PAN</w:t>
            </w:r>
          </w:p>
        </w:tc>
        <w:tc>
          <w:tcPr>
            <w:tcW w:w="1854" w:type="dxa"/>
          </w:tcPr>
          <w:p w:rsidR="00A256AB" w:rsidRPr="00A85D78" w:rsidRDefault="00A256AB" w:rsidP="00F52EDB">
            <w:pPr>
              <w:jc w:val="both"/>
              <w:rPr>
                <w:rFonts w:ascii="Arial" w:hAnsi="Arial" w:cs="Arial"/>
                <w:sz w:val="18"/>
                <w:szCs w:val="18"/>
                <w:lang w:val="es-ES_tradnl"/>
              </w:rPr>
            </w:pPr>
            <w:r w:rsidRPr="00A85D78">
              <w:rPr>
                <w:rFonts w:ascii="Arial" w:hAnsi="Arial" w:cs="Arial"/>
                <w:sz w:val="18"/>
                <w:szCs w:val="18"/>
                <w:lang w:val="es-ES_tradnl"/>
              </w:rPr>
              <w:t>Reportó de forma extemporánea la pinta de 10 bardas por 1119.94m2 valuadas en $27,000.00</w:t>
            </w:r>
          </w:p>
        </w:tc>
        <w:tc>
          <w:tcPr>
            <w:tcW w:w="1349"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FORMAL</w:t>
            </w:r>
          </w:p>
        </w:tc>
        <w:tc>
          <w:tcPr>
            <w:tcW w:w="1506"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1140"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300 DSM</w:t>
            </w:r>
          </w:p>
        </w:tc>
        <w:tc>
          <w:tcPr>
            <w:tcW w:w="1193" w:type="dxa"/>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$17,010.00</w:t>
            </w:r>
          </w:p>
        </w:tc>
      </w:tr>
      <w:tr w:rsidR="00A256AB" w:rsidRPr="00A85D78" w:rsidTr="00A256AB">
        <w:tc>
          <w:tcPr>
            <w:tcW w:w="1678"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CONVERGENCIA</w:t>
            </w:r>
          </w:p>
        </w:tc>
        <w:tc>
          <w:tcPr>
            <w:tcW w:w="1854" w:type="dxa"/>
          </w:tcPr>
          <w:p w:rsidR="00A256AB" w:rsidRPr="00A85D78" w:rsidRDefault="00A256AB" w:rsidP="00F52EDB">
            <w:pPr>
              <w:jc w:val="both"/>
              <w:rPr>
                <w:rFonts w:ascii="Arial" w:hAnsi="Arial" w:cs="Arial"/>
                <w:sz w:val="18"/>
                <w:szCs w:val="18"/>
                <w:lang w:val="es-ES_tradnl"/>
              </w:rPr>
            </w:pPr>
            <w:r w:rsidRPr="00A85D78">
              <w:rPr>
                <w:rFonts w:ascii="Arial" w:hAnsi="Arial" w:cs="Arial"/>
                <w:sz w:val="18"/>
                <w:szCs w:val="18"/>
                <w:lang w:val="es-ES_tradnl"/>
              </w:rPr>
              <w:t>Prorrateo extemporáneo de propaganda entre sus precandidatos por un monto de $761,328.11</w:t>
            </w:r>
          </w:p>
        </w:tc>
        <w:tc>
          <w:tcPr>
            <w:tcW w:w="1349"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FORMAL</w:t>
            </w:r>
          </w:p>
        </w:tc>
        <w:tc>
          <w:tcPr>
            <w:tcW w:w="1506"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1140"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300 DSM</w:t>
            </w:r>
          </w:p>
        </w:tc>
        <w:tc>
          <w:tcPr>
            <w:tcW w:w="1193" w:type="dxa"/>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$17,010.00</w:t>
            </w:r>
          </w:p>
        </w:tc>
      </w:tr>
      <w:tr w:rsidR="00A256AB" w:rsidRPr="00A85D78" w:rsidTr="00A256AB">
        <w:tc>
          <w:tcPr>
            <w:tcW w:w="1678"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NUEVA ALIANZA</w:t>
            </w:r>
          </w:p>
        </w:tc>
        <w:tc>
          <w:tcPr>
            <w:tcW w:w="1854" w:type="dxa"/>
            <w:vAlign w:val="center"/>
          </w:tcPr>
          <w:p w:rsidR="00A256AB" w:rsidRPr="00A85D78" w:rsidRDefault="00A256AB" w:rsidP="00F52EDB">
            <w:pPr>
              <w:jc w:val="both"/>
              <w:rPr>
                <w:rFonts w:ascii="Arial" w:hAnsi="Arial" w:cs="Arial"/>
                <w:sz w:val="18"/>
                <w:szCs w:val="18"/>
                <w:lang w:val="es-ES_tradnl"/>
              </w:rPr>
            </w:pPr>
            <w:r w:rsidRPr="00A85D78">
              <w:rPr>
                <w:rFonts w:ascii="Arial" w:hAnsi="Arial" w:cs="Arial"/>
                <w:sz w:val="18"/>
                <w:szCs w:val="18"/>
                <w:lang w:val="es-ES_tradnl"/>
              </w:rPr>
              <w:t xml:space="preserve">Elaboración de propaganda de </w:t>
            </w:r>
            <w:r w:rsidR="00F52EDB" w:rsidRPr="00A85D78">
              <w:rPr>
                <w:rFonts w:ascii="Arial" w:hAnsi="Arial" w:cs="Arial"/>
                <w:sz w:val="18"/>
                <w:szCs w:val="18"/>
                <w:lang w:val="es-ES_tradnl"/>
              </w:rPr>
              <w:t>las precampañas</w:t>
            </w:r>
            <w:r w:rsidRPr="00A85D78">
              <w:rPr>
                <w:rFonts w:ascii="Arial" w:hAnsi="Arial" w:cs="Arial"/>
                <w:sz w:val="18"/>
                <w:szCs w:val="18"/>
                <w:lang w:val="es-ES_tradnl"/>
              </w:rPr>
              <w:t xml:space="preserve"> sin señalar de manera expresa la calidad de precandidato</w:t>
            </w:r>
          </w:p>
        </w:tc>
        <w:tc>
          <w:tcPr>
            <w:tcW w:w="1349"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FORMAL</w:t>
            </w:r>
          </w:p>
        </w:tc>
        <w:tc>
          <w:tcPr>
            <w:tcW w:w="1506"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LEVISIMA</w:t>
            </w:r>
          </w:p>
        </w:tc>
        <w:tc>
          <w:tcPr>
            <w:tcW w:w="1140" w:type="dxa"/>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200 DSM</w:t>
            </w:r>
          </w:p>
        </w:tc>
        <w:tc>
          <w:tcPr>
            <w:tcW w:w="1193" w:type="dxa"/>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$11,340.00</w:t>
            </w:r>
          </w:p>
        </w:tc>
      </w:tr>
      <w:tr w:rsidR="00A256AB" w:rsidRPr="00A85D78" w:rsidTr="00A256AB">
        <w:tc>
          <w:tcPr>
            <w:tcW w:w="7527" w:type="dxa"/>
            <w:gridSpan w:val="5"/>
          </w:tcPr>
          <w:p w:rsidR="00A256AB" w:rsidRPr="00A85D78" w:rsidRDefault="00A256AB" w:rsidP="00A256AB">
            <w:pPr>
              <w:jc w:val="right"/>
              <w:rPr>
                <w:rFonts w:ascii="Arial" w:hAnsi="Arial" w:cs="Arial"/>
                <w:b/>
                <w:sz w:val="18"/>
                <w:szCs w:val="18"/>
                <w:lang w:val="es-ES_tradnl"/>
              </w:rPr>
            </w:pPr>
            <w:r w:rsidRPr="00A85D78">
              <w:rPr>
                <w:rFonts w:ascii="Arial" w:hAnsi="Arial" w:cs="Arial"/>
                <w:b/>
                <w:sz w:val="18"/>
                <w:szCs w:val="18"/>
                <w:lang w:val="es-ES_tradnl"/>
              </w:rPr>
              <w:t>TOTAL</w:t>
            </w:r>
          </w:p>
        </w:tc>
        <w:tc>
          <w:tcPr>
            <w:tcW w:w="1193" w:type="dxa"/>
            <w:vAlign w:val="center"/>
          </w:tcPr>
          <w:p w:rsidR="00A256AB" w:rsidRPr="00A85D78" w:rsidRDefault="00A256AB" w:rsidP="00A256AB">
            <w:pPr>
              <w:jc w:val="right"/>
              <w:rPr>
                <w:rFonts w:ascii="Arial" w:hAnsi="Arial" w:cs="Arial"/>
                <w:b/>
                <w:sz w:val="18"/>
                <w:szCs w:val="18"/>
                <w:lang w:val="es-ES_tradnl"/>
              </w:rPr>
            </w:pPr>
            <w:r w:rsidRPr="00A85D78">
              <w:rPr>
                <w:rFonts w:ascii="Arial" w:hAnsi="Arial" w:cs="Arial"/>
                <w:b/>
                <w:sz w:val="18"/>
                <w:szCs w:val="18"/>
                <w:lang w:val="es-ES_tradnl"/>
              </w:rPr>
              <w:t>$45,360.00</w:t>
            </w:r>
          </w:p>
        </w:tc>
      </w:tr>
    </w:tbl>
    <w:p w:rsidR="00A256AB" w:rsidRPr="00F31368" w:rsidRDefault="00A256AB" w:rsidP="00A256AB">
      <w:pPr>
        <w:jc w:val="both"/>
        <w:rPr>
          <w:rFonts w:ascii="Arial" w:hAnsi="Arial" w:cs="Arial"/>
          <w:i/>
          <w:iCs/>
          <w:sz w:val="16"/>
          <w:szCs w:val="16"/>
        </w:rPr>
      </w:pPr>
      <w:r w:rsidRPr="00F31368">
        <w:rPr>
          <w:rFonts w:ascii="Arial" w:hAnsi="Arial" w:cs="Arial"/>
          <w:b/>
          <w:bCs/>
          <w:i/>
          <w:iCs/>
          <w:sz w:val="16"/>
          <w:szCs w:val="16"/>
        </w:rPr>
        <w:t>Fuente:</w:t>
      </w:r>
      <w:r w:rsidRPr="00F31368">
        <w:rPr>
          <w:rFonts w:ascii="Arial" w:hAnsi="Arial" w:cs="Arial"/>
          <w:i/>
          <w:iCs/>
          <w:sz w:val="16"/>
          <w:szCs w:val="16"/>
        </w:rPr>
        <w:t xml:space="preserve"> Elaboración propia con datos del Acuerdo IEEM/CG063/2011.</w:t>
      </w:r>
    </w:p>
    <w:p w:rsidR="00F31368" w:rsidRPr="00A85D78" w:rsidRDefault="00F31368" w:rsidP="00A256AB">
      <w:pPr>
        <w:jc w:val="both"/>
        <w:rPr>
          <w:rFonts w:ascii="Arial" w:hAnsi="Arial" w:cs="Arial"/>
        </w:rPr>
      </w:pPr>
    </w:p>
    <w:p w:rsidR="00A256AB" w:rsidRDefault="00A256AB" w:rsidP="00A256AB">
      <w:pPr>
        <w:jc w:val="both"/>
        <w:rPr>
          <w:rFonts w:ascii="Arial" w:hAnsi="Arial" w:cs="Arial"/>
          <w:sz w:val="24"/>
          <w:szCs w:val="24"/>
        </w:rPr>
      </w:pPr>
      <w:r w:rsidRPr="00A85D78">
        <w:rPr>
          <w:rFonts w:ascii="Arial" w:hAnsi="Arial" w:cs="Arial"/>
          <w:sz w:val="24"/>
          <w:szCs w:val="24"/>
        </w:rPr>
        <w:t>En términos generales los partidos políticos respetaron lo establecido en la legislación y normativa en la materia, ya que únicamente 3 fueron sancionados por infracciones leves, en este caso los involucrados si bien durante la entrega de informes de precampaña cometieron errores, estos fueron subsanados durante el ejercicio constitucional de su derecho de audiencia; sin embargo esta subsanación de los yerros fuera de tiempo les hizo acreedores a una medida de apremio por parte de la autoridad electoral.</w:t>
      </w:r>
    </w:p>
    <w:p w:rsidR="00F31368" w:rsidRDefault="00F31368" w:rsidP="00A256AB">
      <w:pPr>
        <w:jc w:val="both"/>
        <w:rPr>
          <w:rFonts w:ascii="Arial" w:hAnsi="Arial" w:cs="Arial"/>
          <w:sz w:val="24"/>
          <w:szCs w:val="24"/>
        </w:rPr>
      </w:pPr>
    </w:p>
    <w:p w:rsidR="00F31368" w:rsidRPr="00A85D78" w:rsidRDefault="00F31368" w:rsidP="00A256AB">
      <w:pPr>
        <w:jc w:val="both"/>
        <w:rPr>
          <w:rFonts w:ascii="Arial" w:hAnsi="Arial" w:cs="Arial"/>
          <w:sz w:val="24"/>
          <w:szCs w:val="24"/>
        </w:rPr>
      </w:pPr>
    </w:p>
    <w:p w:rsidR="00A256AB" w:rsidRPr="00A85D78" w:rsidRDefault="00A256AB" w:rsidP="00A256AB">
      <w:pPr>
        <w:jc w:val="both"/>
        <w:rPr>
          <w:rFonts w:ascii="Arial" w:hAnsi="Arial" w:cs="Arial"/>
          <w:b/>
          <w:sz w:val="24"/>
          <w:szCs w:val="24"/>
        </w:rPr>
      </w:pPr>
      <w:r w:rsidRPr="00A85D78">
        <w:rPr>
          <w:rFonts w:ascii="Arial" w:hAnsi="Arial" w:cs="Arial"/>
          <w:b/>
          <w:sz w:val="24"/>
          <w:szCs w:val="24"/>
        </w:rPr>
        <w:t>4.1.2.2 Campaña Gobernador</w:t>
      </w:r>
      <w:r w:rsidR="003D1A3D">
        <w:rPr>
          <w:rFonts w:ascii="Arial" w:hAnsi="Arial" w:cs="Arial"/>
          <w:b/>
          <w:sz w:val="24"/>
          <w:szCs w:val="24"/>
        </w:rPr>
        <w:t>.</w:t>
      </w:r>
    </w:p>
    <w:p w:rsidR="00A256AB" w:rsidRDefault="00A256AB" w:rsidP="00F31368">
      <w:pPr>
        <w:spacing w:line="360" w:lineRule="auto"/>
        <w:jc w:val="both"/>
        <w:rPr>
          <w:rFonts w:ascii="Arial" w:hAnsi="Arial" w:cs="Arial"/>
          <w:sz w:val="24"/>
          <w:szCs w:val="24"/>
        </w:rPr>
      </w:pPr>
      <w:r w:rsidRPr="00A85D78">
        <w:rPr>
          <w:rFonts w:ascii="Arial" w:hAnsi="Arial" w:cs="Arial"/>
          <w:sz w:val="24"/>
          <w:szCs w:val="24"/>
        </w:rPr>
        <w:t>El cronograma de revisión de gastos de campaña fue el extremo opuesto al realizado para la etapa previa de precampaña, llevándose todo el proceso de fiscalización un total de 247 días, como puede observarse en la Tabla 4.7.</w:t>
      </w:r>
    </w:p>
    <w:p w:rsidR="00F31368" w:rsidRPr="00A85D78" w:rsidRDefault="00F31368" w:rsidP="00F31368">
      <w:pPr>
        <w:spacing w:line="360" w:lineRule="auto"/>
        <w:jc w:val="both"/>
        <w:rPr>
          <w:rFonts w:ascii="Arial" w:hAnsi="Arial" w:cs="Arial"/>
          <w:sz w:val="24"/>
          <w:szCs w:val="24"/>
        </w:rPr>
      </w:pPr>
    </w:p>
    <w:p w:rsidR="00A256AB" w:rsidRDefault="00A256AB" w:rsidP="00F31368">
      <w:pPr>
        <w:tabs>
          <w:tab w:val="left" w:pos="5070"/>
        </w:tabs>
        <w:jc w:val="both"/>
        <w:rPr>
          <w:rStyle w:val="Ttulodellibro"/>
          <w:b/>
          <w:i/>
          <w:color w:val="auto"/>
          <w:sz w:val="20"/>
          <w:szCs w:val="20"/>
        </w:rPr>
      </w:pPr>
      <w:r w:rsidRPr="00F31368">
        <w:rPr>
          <w:rStyle w:val="Ttulodellibro"/>
          <w:rFonts w:ascii="Arial" w:hAnsi="Arial" w:cs="Arial"/>
          <w:b/>
          <w:i/>
          <w:color w:val="auto"/>
          <w:sz w:val="20"/>
          <w:szCs w:val="20"/>
        </w:rPr>
        <w:t>Tabla 4.7 Cronograma de Fiscalización Campaña Gobernador 2011</w:t>
      </w:r>
      <w:r w:rsidRPr="00F31368">
        <w:rPr>
          <w:rStyle w:val="Ttulodellibro"/>
          <w:b/>
          <w:i/>
          <w:color w:val="auto"/>
          <w:sz w:val="20"/>
          <w:szCs w:val="20"/>
        </w:rPr>
        <w:t>.</w:t>
      </w:r>
    </w:p>
    <w:p w:rsidR="00F31368" w:rsidRPr="00F31368" w:rsidRDefault="00F31368" w:rsidP="00F31368">
      <w:pPr>
        <w:tabs>
          <w:tab w:val="left" w:pos="5070"/>
        </w:tabs>
        <w:jc w:val="both"/>
        <w:rPr>
          <w:rStyle w:val="Ttulodellibro"/>
          <w:b/>
          <w:i/>
          <w:color w:val="auto"/>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07"/>
        <w:gridCol w:w="1432"/>
        <w:gridCol w:w="1384"/>
        <w:gridCol w:w="1091"/>
        <w:gridCol w:w="1157"/>
        <w:gridCol w:w="1241"/>
        <w:gridCol w:w="1182"/>
      </w:tblGrid>
      <w:tr w:rsidR="00A256AB" w:rsidRPr="00A85D78" w:rsidTr="00A256AB">
        <w:trPr>
          <w:trHeight w:val="701"/>
          <w:tblHeader/>
        </w:trPr>
        <w:tc>
          <w:tcPr>
            <w:tcW w:w="701"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PERIODO DE CAMPAÑA</w:t>
            </w:r>
          </w:p>
        </w:tc>
        <w:tc>
          <w:tcPr>
            <w:tcW w:w="724"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PRESENTACIÓN INFORME</w:t>
            </w:r>
          </w:p>
        </w:tc>
        <w:tc>
          <w:tcPr>
            <w:tcW w:w="1151"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REVISIÓN PRELIMINAR Y EN GABINETE</w:t>
            </w:r>
          </w:p>
        </w:tc>
        <w:tc>
          <w:tcPr>
            <w:tcW w:w="599"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ERRORES Y OMISIONES</w:t>
            </w:r>
          </w:p>
        </w:tc>
        <w:tc>
          <w:tcPr>
            <w:tcW w:w="606"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RESPUESTA A ERRORES Y OMISIONES</w:t>
            </w:r>
          </w:p>
        </w:tc>
        <w:tc>
          <w:tcPr>
            <w:tcW w:w="631"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DICTAMEN Y RESOLUCIÓN</w:t>
            </w:r>
          </w:p>
        </w:tc>
        <w:tc>
          <w:tcPr>
            <w:tcW w:w="588" w:type="pct"/>
            <w:shd w:val="clear" w:color="auto" w:fill="FBE4D5" w:themeFill="accent2" w:themeFillTint="33"/>
            <w:tcMar>
              <w:top w:w="120" w:type="dxa"/>
              <w:left w:w="120" w:type="dxa"/>
              <w:bottom w:w="120" w:type="dxa"/>
              <w:right w:w="120" w:type="dxa"/>
            </w:tcMar>
            <w:vAlign w:val="bottom"/>
            <w:hideMark/>
          </w:tcPr>
          <w:p w:rsidR="00A256AB" w:rsidRPr="00295A74" w:rsidRDefault="00295A74" w:rsidP="00295A74">
            <w:pPr>
              <w:jc w:val="center"/>
              <w:rPr>
                <w:rFonts w:ascii="Arial" w:hAnsi="Arial" w:cs="Arial"/>
                <w:b/>
                <w:bCs/>
                <w:sz w:val="15"/>
                <w:szCs w:val="15"/>
              </w:rPr>
            </w:pPr>
            <w:r w:rsidRPr="00295A74">
              <w:rPr>
                <w:rFonts w:ascii="Arial" w:hAnsi="Arial" w:cs="Arial"/>
                <w:b/>
                <w:bCs/>
                <w:sz w:val="15"/>
                <w:szCs w:val="15"/>
              </w:rPr>
              <w:t>CG APRUEBA PROYECTOS DE UTF</w:t>
            </w:r>
          </w:p>
        </w:tc>
      </w:tr>
      <w:tr w:rsidR="00A256AB" w:rsidRPr="00A85D78" w:rsidTr="00A256AB">
        <w:tc>
          <w:tcPr>
            <w:tcW w:w="701" w:type="pct"/>
            <w:shd w:val="clear" w:color="auto" w:fill="auto"/>
            <w:tcMar>
              <w:top w:w="120" w:type="dxa"/>
              <w:left w:w="120" w:type="dxa"/>
              <w:bottom w:w="120" w:type="dxa"/>
              <w:right w:w="120" w:type="dxa"/>
            </w:tcMar>
            <w:vAlign w:val="center"/>
            <w:hideMark/>
          </w:tcPr>
          <w:p w:rsidR="00A256AB" w:rsidRPr="00A85D78" w:rsidRDefault="00A256AB" w:rsidP="00A256AB">
            <w:pPr>
              <w:jc w:val="center"/>
              <w:rPr>
                <w:rFonts w:ascii="Arial" w:hAnsi="Arial" w:cs="Arial"/>
                <w:sz w:val="16"/>
                <w:szCs w:val="16"/>
              </w:rPr>
            </w:pPr>
            <w:r w:rsidRPr="00A85D78">
              <w:rPr>
                <w:rFonts w:ascii="Arial" w:hAnsi="Arial" w:cs="Arial"/>
                <w:sz w:val="16"/>
                <w:szCs w:val="16"/>
              </w:rPr>
              <w:t>45 días</w:t>
            </w:r>
          </w:p>
        </w:tc>
        <w:tc>
          <w:tcPr>
            <w:tcW w:w="724" w:type="pct"/>
            <w:shd w:val="clear" w:color="auto" w:fill="auto"/>
            <w:tcMar>
              <w:top w:w="120" w:type="dxa"/>
              <w:left w:w="120" w:type="dxa"/>
              <w:bottom w:w="120" w:type="dxa"/>
              <w:right w:w="120" w:type="dxa"/>
            </w:tcMar>
            <w:vAlign w:val="center"/>
            <w:hideMark/>
          </w:tcPr>
          <w:p w:rsidR="00A256AB" w:rsidRPr="00A85D78" w:rsidRDefault="00A256AB" w:rsidP="00A256AB">
            <w:pPr>
              <w:jc w:val="center"/>
              <w:rPr>
                <w:rFonts w:ascii="Arial" w:hAnsi="Arial" w:cs="Arial"/>
                <w:sz w:val="16"/>
                <w:szCs w:val="16"/>
              </w:rPr>
            </w:pPr>
            <w:r w:rsidRPr="00A85D78">
              <w:rPr>
                <w:rFonts w:ascii="Arial" w:hAnsi="Arial" w:cs="Arial"/>
                <w:sz w:val="16"/>
                <w:szCs w:val="16"/>
              </w:rPr>
              <w:t>97 días</w:t>
            </w:r>
          </w:p>
        </w:tc>
        <w:tc>
          <w:tcPr>
            <w:tcW w:w="1151"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63 días</w:t>
            </w:r>
          </w:p>
        </w:tc>
        <w:tc>
          <w:tcPr>
            <w:tcW w:w="599"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11 días</w:t>
            </w:r>
          </w:p>
        </w:tc>
        <w:tc>
          <w:tcPr>
            <w:tcW w:w="606"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35 días</w:t>
            </w:r>
          </w:p>
        </w:tc>
        <w:tc>
          <w:tcPr>
            <w:tcW w:w="631"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27 días</w:t>
            </w:r>
          </w:p>
        </w:tc>
        <w:tc>
          <w:tcPr>
            <w:tcW w:w="588"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14 días</w:t>
            </w:r>
          </w:p>
        </w:tc>
      </w:tr>
      <w:tr w:rsidR="00A256AB" w:rsidRPr="00A85D78" w:rsidTr="00A256AB">
        <w:tc>
          <w:tcPr>
            <w:tcW w:w="701"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16 de mayo al 29 junio</w:t>
            </w:r>
          </w:p>
        </w:tc>
        <w:tc>
          <w:tcPr>
            <w:tcW w:w="724"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3-4 octubre</w:t>
            </w:r>
          </w:p>
        </w:tc>
        <w:tc>
          <w:tcPr>
            <w:tcW w:w="1151"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7 noviembre al 5 diciembre</w:t>
            </w:r>
          </w:p>
        </w:tc>
        <w:tc>
          <w:tcPr>
            <w:tcW w:w="599"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16 de diciembre</w:t>
            </w:r>
          </w:p>
        </w:tc>
        <w:tc>
          <w:tcPr>
            <w:tcW w:w="606"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20 enero 2012</w:t>
            </w:r>
          </w:p>
        </w:tc>
        <w:tc>
          <w:tcPr>
            <w:tcW w:w="631"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16 de febrero 2012</w:t>
            </w:r>
          </w:p>
        </w:tc>
        <w:tc>
          <w:tcPr>
            <w:tcW w:w="588" w:type="pct"/>
            <w:shd w:val="clear" w:color="auto" w:fill="auto"/>
            <w:tcMar>
              <w:top w:w="120" w:type="dxa"/>
              <w:left w:w="120" w:type="dxa"/>
              <w:bottom w:w="120" w:type="dxa"/>
              <w:right w:w="120" w:type="dxa"/>
            </w:tcMar>
            <w:vAlign w:val="center"/>
          </w:tcPr>
          <w:p w:rsidR="00A256AB" w:rsidRPr="00A85D78" w:rsidRDefault="00A256AB" w:rsidP="00A256AB">
            <w:pPr>
              <w:jc w:val="center"/>
              <w:rPr>
                <w:rFonts w:ascii="Arial" w:hAnsi="Arial" w:cs="Arial"/>
                <w:sz w:val="16"/>
                <w:szCs w:val="16"/>
              </w:rPr>
            </w:pPr>
            <w:r w:rsidRPr="00A85D78">
              <w:rPr>
                <w:rFonts w:ascii="Arial" w:hAnsi="Arial" w:cs="Arial"/>
                <w:sz w:val="16"/>
                <w:szCs w:val="16"/>
              </w:rPr>
              <w:t>02 de marzo</w:t>
            </w:r>
          </w:p>
        </w:tc>
      </w:tr>
    </w:tbl>
    <w:p w:rsidR="00A256AB" w:rsidRPr="00F31368" w:rsidRDefault="00A256AB" w:rsidP="00A256AB">
      <w:pPr>
        <w:jc w:val="both"/>
        <w:rPr>
          <w:rFonts w:ascii="Arial" w:hAnsi="Arial" w:cs="Arial"/>
          <w:i/>
          <w:iCs/>
          <w:sz w:val="16"/>
          <w:szCs w:val="16"/>
        </w:rPr>
      </w:pPr>
      <w:r w:rsidRPr="00F31368">
        <w:rPr>
          <w:rFonts w:ascii="Arial" w:hAnsi="Arial" w:cs="Arial"/>
          <w:b/>
          <w:bCs/>
          <w:i/>
          <w:iCs/>
          <w:sz w:val="16"/>
          <w:szCs w:val="16"/>
        </w:rPr>
        <w:t>Fuente:</w:t>
      </w:r>
      <w:r w:rsidRPr="00F31368">
        <w:rPr>
          <w:rFonts w:ascii="Arial" w:hAnsi="Arial" w:cs="Arial"/>
          <w:i/>
          <w:iCs/>
          <w:sz w:val="16"/>
          <w:szCs w:val="16"/>
        </w:rPr>
        <w:t xml:space="preserve"> Elaboración propia con datos del Acuerdos IEEM/CG090/2012 e IEEM/CG091/2012.</w:t>
      </w:r>
    </w:p>
    <w:p w:rsidR="00F31368" w:rsidRPr="00A85D78" w:rsidRDefault="00F31368" w:rsidP="00A256AB">
      <w:pPr>
        <w:jc w:val="both"/>
        <w:rPr>
          <w:rFonts w:ascii="Arial" w:hAnsi="Arial" w:cs="Arial"/>
        </w:rPr>
      </w:pPr>
    </w:p>
    <w:p w:rsidR="00A256AB" w:rsidRPr="00A85D78" w:rsidRDefault="00A256AB" w:rsidP="00F31368">
      <w:pPr>
        <w:spacing w:line="360" w:lineRule="auto"/>
        <w:jc w:val="both"/>
        <w:rPr>
          <w:rFonts w:ascii="Arial" w:hAnsi="Arial" w:cs="Arial"/>
          <w:sz w:val="24"/>
          <w:szCs w:val="24"/>
        </w:rPr>
      </w:pPr>
      <w:r w:rsidRPr="00A85D78">
        <w:rPr>
          <w:rFonts w:ascii="Arial" w:hAnsi="Arial" w:cs="Arial"/>
          <w:sz w:val="24"/>
          <w:szCs w:val="24"/>
        </w:rPr>
        <w:t>Derivado de la revisión de la tabla, deducimos que el periodo dedicado a la revisión de las contabilidades de los diferentes partidos fue sumamente prolongado, está se llevó a cabo por más de dos meses, de la misma forma los partidos contaron con más de 90 días para elaborar sus informes de campaña. La exhaustiva revisión realizada por el Órgano Técnico de Fiscalización trajo como resultado únicamente 3 multas económicas, mismas que observamos en la tabla 4.8.</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Default="00A256AB" w:rsidP="00F31368">
      <w:pPr>
        <w:tabs>
          <w:tab w:val="left" w:pos="5070"/>
        </w:tabs>
        <w:jc w:val="both"/>
        <w:rPr>
          <w:rStyle w:val="Ttulodellibro"/>
          <w:rFonts w:ascii="Arial" w:hAnsi="Arial" w:cs="Arial"/>
          <w:b/>
          <w:i/>
          <w:color w:val="auto"/>
          <w:sz w:val="20"/>
          <w:szCs w:val="20"/>
        </w:rPr>
      </w:pPr>
      <w:r w:rsidRPr="00F31368">
        <w:rPr>
          <w:rStyle w:val="Ttulodellibro"/>
          <w:rFonts w:ascii="Arial" w:hAnsi="Arial" w:cs="Arial"/>
          <w:b/>
          <w:i/>
          <w:color w:val="auto"/>
          <w:sz w:val="20"/>
          <w:szCs w:val="20"/>
        </w:rPr>
        <w:t>Tabla 4.8 Multas económicas campaña Gobernador 2011.</w:t>
      </w:r>
    </w:p>
    <w:p w:rsidR="00F31368" w:rsidRPr="00A85D78" w:rsidRDefault="00F31368" w:rsidP="00F31368">
      <w:pPr>
        <w:tabs>
          <w:tab w:val="left" w:pos="5070"/>
        </w:tabs>
        <w:jc w:val="both"/>
        <w:rPr>
          <w:rFonts w:ascii="Arial" w:hAnsi="Arial" w:cs="Arial"/>
          <w:sz w:val="24"/>
          <w:szCs w:val="24"/>
        </w:rPr>
      </w:pPr>
    </w:p>
    <w:tbl>
      <w:tblPr>
        <w:tblStyle w:val="Tablaconcuadrcula"/>
        <w:tblW w:w="5000" w:type="pct"/>
        <w:tblLayout w:type="fixed"/>
        <w:tblLook w:val="04A0" w:firstRow="1" w:lastRow="0" w:firstColumn="1" w:lastColumn="0" w:noHBand="0" w:noVBand="1"/>
      </w:tblPr>
      <w:tblGrid>
        <w:gridCol w:w="724"/>
        <w:gridCol w:w="746"/>
        <w:gridCol w:w="2557"/>
        <w:gridCol w:w="883"/>
        <w:gridCol w:w="1507"/>
        <w:gridCol w:w="1092"/>
        <w:gridCol w:w="985"/>
      </w:tblGrid>
      <w:tr w:rsidR="00A256AB" w:rsidRPr="00D77DA7" w:rsidTr="00D77DA7">
        <w:tc>
          <w:tcPr>
            <w:tcW w:w="865" w:type="pct"/>
            <w:gridSpan w:val="2"/>
            <w:shd w:val="clear" w:color="auto" w:fill="FBE4D5" w:themeFill="accent2" w:themeFillTint="33"/>
            <w:vAlign w:val="center"/>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PARTIDO</w:t>
            </w:r>
          </w:p>
        </w:tc>
        <w:tc>
          <w:tcPr>
            <w:tcW w:w="1505" w:type="pct"/>
            <w:shd w:val="clear" w:color="auto" w:fill="FBE4D5" w:themeFill="accent2" w:themeFillTint="33"/>
            <w:vAlign w:val="center"/>
          </w:tcPr>
          <w:p w:rsidR="00A256AB" w:rsidRPr="00D77DA7" w:rsidRDefault="00A256AB" w:rsidP="00D77DA7">
            <w:pPr>
              <w:jc w:val="both"/>
              <w:rPr>
                <w:rFonts w:ascii="Arial" w:hAnsi="Arial" w:cs="Arial"/>
                <w:b/>
                <w:sz w:val="18"/>
                <w:szCs w:val="18"/>
                <w:lang w:val="es-ES_tradnl"/>
              </w:rPr>
            </w:pPr>
            <w:r w:rsidRPr="00D77DA7">
              <w:rPr>
                <w:rFonts w:ascii="Arial" w:hAnsi="Arial" w:cs="Arial"/>
                <w:b/>
                <w:sz w:val="18"/>
                <w:szCs w:val="18"/>
                <w:lang w:val="es-ES_tradnl"/>
              </w:rPr>
              <w:t>CONDUCTA INFRACTORA</w:t>
            </w:r>
          </w:p>
        </w:tc>
        <w:tc>
          <w:tcPr>
            <w:tcW w:w="520" w:type="pct"/>
            <w:shd w:val="clear" w:color="auto" w:fill="FBE4D5" w:themeFill="accent2" w:themeFillTint="33"/>
            <w:vAlign w:val="center"/>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TIPO FALTA</w:t>
            </w:r>
          </w:p>
        </w:tc>
        <w:tc>
          <w:tcPr>
            <w:tcW w:w="887" w:type="pct"/>
            <w:shd w:val="clear" w:color="auto" w:fill="FBE4D5" w:themeFill="accent2" w:themeFillTint="33"/>
            <w:vAlign w:val="center"/>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CALIFICACI</w:t>
            </w:r>
            <w:r w:rsidR="00295A74" w:rsidRPr="00D77DA7">
              <w:rPr>
                <w:rFonts w:ascii="Arial" w:hAnsi="Arial" w:cs="Arial"/>
                <w:b/>
                <w:sz w:val="18"/>
                <w:szCs w:val="18"/>
                <w:lang w:val="es-ES_tradnl"/>
              </w:rPr>
              <w:t>Ó</w:t>
            </w:r>
            <w:r w:rsidRPr="00D77DA7">
              <w:rPr>
                <w:rFonts w:ascii="Arial" w:hAnsi="Arial" w:cs="Arial"/>
                <w:b/>
                <w:sz w:val="18"/>
                <w:szCs w:val="18"/>
                <w:lang w:val="es-ES_tradnl"/>
              </w:rPr>
              <w:t>N DE LA FALTA</w:t>
            </w:r>
          </w:p>
        </w:tc>
        <w:tc>
          <w:tcPr>
            <w:tcW w:w="642" w:type="pct"/>
            <w:shd w:val="clear" w:color="auto" w:fill="FBE4D5" w:themeFill="accent2" w:themeFillTint="33"/>
            <w:vAlign w:val="center"/>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SANCIÓN</w:t>
            </w:r>
          </w:p>
        </w:tc>
        <w:tc>
          <w:tcPr>
            <w:tcW w:w="580" w:type="pct"/>
            <w:shd w:val="clear" w:color="auto" w:fill="FBE4D5" w:themeFill="accent2" w:themeFillTint="33"/>
            <w:vAlign w:val="center"/>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MULTA</w:t>
            </w:r>
          </w:p>
        </w:tc>
      </w:tr>
      <w:tr w:rsidR="00A256AB" w:rsidRPr="00D77DA7" w:rsidTr="00D77DA7">
        <w:tc>
          <w:tcPr>
            <w:tcW w:w="426" w:type="pct"/>
            <w:vMerge w:val="restart"/>
            <w:textDirection w:val="btLr"/>
            <w:vAlign w:val="center"/>
          </w:tcPr>
          <w:p w:rsidR="00A256AB" w:rsidRPr="00D77DA7" w:rsidRDefault="00A256AB" w:rsidP="00A256AB">
            <w:pPr>
              <w:ind w:left="113" w:right="113"/>
              <w:jc w:val="center"/>
              <w:rPr>
                <w:rFonts w:ascii="Arial" w:hAnsi="Arial" w:cs="Arial"/>
                <w:sz w:val="16"/>
                <w:szCs w:val="16"/>
                <w:lang w:val="es-ES_tradnl"/>
              </w:rPr>
            </w:pPr>
            <w:r w:rsidRPr="00D77DA7">
              <w:rPr>
                <w:rFonts w:ascii="Arial" w:hAnsi="Arial" w:cs="Arial"/>
                <w:sz w:val="16"/>
                <w:szCs w:val="16"/>
                <w:lang w:val="es-ES_tradnl"/>
              </w:rPr>
              <w:t>UNIDOS PODEMO MÁS</w:t>
            </w:r>
          </w:p>
        </w:tc>
        <w:tc>
          <w:tcPr>
            <w:tcW w:w="439" w:type="pc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PRD</w:t>
            </w:r>
          </w:p>
        </w:tc>
        <w:tc>
          <w:tcPr>
            <w:tcW w:w="1505" w:type="pct"/>
            <w:vMerge w:val="restart"/>
            <w:vAlign w:val="center"/>
          </w:tcPr>
          <w:p w:rsidR="00A256AB" w:rsidRPr="00D77DA7" w:rsidRDefault="00F52EDB" w:rsidP="00D77DA7">
            <w:pPr>
              <w:jc w:val="both"/>
              <w:rPr>
                <w:rFonts w:ascii="Arial" w:hAnsi="Arial" w:cs="Arial"/>
                <w:sz w:val="16"/>
                <w:szCs w:val="16"/>
                <w:lang w:val="es-ES_tradnl"/>
              </w:rPr>
            </w:pPr>
            <w:r w:rsidRPr="00D77DA7">
              <w:rPr>
                <w:rFonts w:ascii="Arial" w:hAnsi="Arial" w:cs="Arial"/>
                <w:sz w:val="16"/>
                <w:szCs w:val="16"/>
                <w:lang w:val="es-ES_tradnl"/>
              </w:rPr>
              <w:t>N</w:t>
            </w:r>
            <w:r w:rsidR="00A256AB" w:rsidRPr="00D77DA7">
              <w:rPr>
                <w:rFonts w:ascii="Arial" w:hAnsi="Arial" w:cs="Arial"/>
                <w:sz w:val="16"/>
                <w:szCs w:val="16"/>
                <w:lang w:val="es-ES_tradnl"/>
              </w:rPr>
              <w:t xml:space="preserve">o </w:t>
            </w:r>
            <w:proofErr w:type="spellStart"/>
            <w:r w:rsidR="00A256AB" w:rsidRPr="00D77DA7">
              <w:rPr>
                <w:rFonts w:ascii="Arial" w:hAnsi="Arial" w:cs="Arial"/>
                <w:sz w:val="16"/>
                <w:szCs w:val="16"/>
                <w:lang w:val="es-ES_tradnl"/>
              </w:rPr>
              <w:t>apertur</w:t>
            </w:r>
            <w:r w:rsidRPr="00D77DA7">
              <w:rPr>
                <w:rFonts w:ascii="Arial" w:hAnsi="Arial" w:cs="Arial"/>
                <w:sz w:val="16"/>
                <w:szCs w:val="16"/>
                <w:lang w:val="es-ES_tradnl"/>
              </w:rPr>
              <w:t>ó</w:t>
            </w:r>
            <w:proofErr w:type="spellEnd"/>
            <w:r w:rsidR="00A256AB" w:rsidRPr="00D77DA7">
              <w:rPr>
                <w:rFonts w:ascii="Arial" w:hAnsi="Arial" w:cs="Arial"/>
                <w:sz w:val="16"/>
                <w:szCs w:val="16"/>
                <w:lang w:val="es-ES_tradnl"/>
              </w:rPr>
              <w:t xml:space="preserve"> la cuenta bancaria única para el depósito del financiamiento de campaña</w:t>
            </w:r>
          </w:p>
        </w:tc>
        <w:tc>
          <w:tcPr>
            <w:tcW w:w="520"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FORMAL</w:t>
            </w:r>
          </w:p>
        </w:tc>
        <w:tc>
          <w:tcPr>
            <w:tcW w:w="887"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LEVISIMA</w:t>
            </w:r>
          </w:p>
        </w:tc>
        <w:tc>
          <w:tcPr>
            <w:tcW w:w="642"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150 DSM</w:t>
            </w:r>
          </w:p>
        </w:tc>
        <w:tc>
          <w:tcPr>
            <w:tcW w:w="580" w:type="pc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$4,444.20</w:t>
            </w:r>
          </w:p>
          <w:p w:rsidR="00A256AB" w:rsidRPr="00D77DA7" w:rsidRDefault="00A256AB" w:rsidP="00A256AB">
            <w:pPr>
              <w:jc w:val="center"/>
              <w:rPr>
                <w:rFonts w:ascii="Arial" w:hAnsi="Arial" w:cs="Arial"/>
                <w:sz w:val="16"/>
                <w:szCs w:val="16"/>
                <w:lang w:val="es-ES_tradnl"/>
              </w:rPr>
            </w:pPr>
          </w:p>
        </w:tc>
      </w:tr>
      <w:tr w:rsidR="00A256AB" w:rsidRPr="00D77DA7" w:rsidTr="00D77DA7">
        <w:tc>
          <w:tcPr>
            <w:tcW w:w="426" w:type="pct"/>
            <w:vMerge/>
            <w:vAlign w:val="center"/>
          </w:tcPr>
          <w:p w:rsidR="00A256AB" w:rsidRPr="00D77DA7" w:rsidRDefault="00A256AB" w:rsidP="00A256AB">
            <w:pPr>
              <w:jc w:val="center"/>
              <w:rPr>
                <w:rFonts w:ascii="Arial" w:hAnsi="Arial" w:cs="Arial"/>
                <w:sz w:val="16"/>
                <w:szCs w:val="16"/>
                <w:lang w:val="es-ES_tradnl"/>
              </w:rPr>
            </w:pPr>
          </w:p>
        </w:tc>
        <w:tc>
          <w:tcPr>
            <w:tcW w:w="439" w:type="pc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PT</w:t>
            </w:r>
          </w:p>
        </w:tc>
        <w:tc>
          <w:tcPr>
            <w:tcW w:w="1505" w:type="pct"/>
            <w:vMerge/>
            <w:vAlign w:val="center"/>
          </w:tcPr>
          <w:p w:rsidR="00A256AB" w:rsidRPr="00D77DA7" w:rsidRDefault="00A256AB" w:rsidP="00D77DA7">
            <w:pPr>
              <w:jc w:val="both"/>
              <w:rPr>
                <w:rFonts w:ascii="Arial" w:hAnsi="Arial" w:cs="Arial"/>
                <w:sz w:val="16"/>
                <w:szCs w:val="16"/>
                <w:lang w:val="es-ES_tradnl"/>
              </w:rPr>
            </w:pPr>
          </w:p>
        </w:tc>
        <w:tc>
          <w:tcPr>
            <w:tcW w:w="520" w:type="pct"/>
            <w:vMerge/>
            <w:vAlign w:val="center"/>
          </w:tcPr>
          <w:p w:rsidR="00A256AB" w:rsidRPr="00D77DA7" w:rsidRDefault="00A256AB" w:rsidP="00A256AB">
            <w:pPr>
              <w:jc w:val="center"/>
              <w:rPr>
                <w:rFonts w:ascii="Arial" w:hAnsi="Arial" w:cs="Arial"/>
                <w:sz w:val="16"/>
                <w:szCs w:val="16"/>
                <w:lang w:val="es-ES_tradnl"/>
              </w:rPr>
            </w:pPr>
          </w:p>
        </w:tc>
        <w:tc>
          <w:tcPr>
            <w:tcW w:w="887" w:type="pct"/>
            <w:vMerge/>
            <w:vAlign w:val="center"/>
          </w:tcPr>
          <w:p w:rsidR="00A256AB" w:rsidRPr="00D77DA7" w:rsidRDefault="00A256AB" w:rsidP="00A256AB">
            <w:pPr>
              <w:jc w:val="center"/>
              <w:rPr>
                <w:rFonts w:ascii="Arial" w:hAnsi="Arial" w:cs="Arial"/>
                <w:sz w:val="16"/>
                <w:szCs w:val="16"/>
                <w:lang w:val="es-ES_tradnl"/>
              </w:rPr>
            </w:pPr>
          </w:p>
        </w:tc>
        <w:tc>
          <w:tcPr>
            <w:tcW w:w="642" w:type="pct"/>
            <w:vMerge/>
            <w:vAlign w:val="center"/>
          </w:tcPr>
          <w:p w:rsidR="00A256AB" w:rsidRPr="00D77DA7" w:rsidRDefault="00A256AB" w:rsidP="00A256AB">
            <w:pPr>
              <w:jc w:val="center"/>
              <w:rPr>
                <w:rFonts w:ascii="Arial" w:hAnsi="Arial" w:cs="Arial"/>
                <w:sz w:val="16"/>
                <w:szCs w:val="16"/>
                <w:lang w:val="es-ES_tradnl"/>
              </w:rPr>
            </w:pPr>
          </w:p>
        </w:tc>
        <w:tc>
          <w:tcPr>
            <w:tcW w:w="580" w:type="pc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$2,031.17</w:t>
            </w:r>
          </w:p>
          <w:p w:rsidR="00A256AB" w:rsidRPr="00D77DA7" w:rsidRDefault="00A256AB" w:rsidP="00A256AB">
            <w:pPr>
              <w:jc w:val="center"/>
              <w:rPr>
                <w:rFonts w:ascii="Arial" w:hAnsi="Arial" w:cs="Arial"/>
                <w:sz w:val="16"/>
                <w:szCs w:val="16"/>
                <w:lang w:val="es-ES_tradnl"/>
              </w:rPr>
            </w:pPr>
          </w:p>
        </w:tc>
      </w:tr>
      <w:tr w:rsidR="00A256AB" w:rsidRPr="00D77DA7" w:rsidTr="00D77DA7">
        <w:tc>
          <w:tcPr>
            <w:tcW w:w="426" w:type="pct"/>
            <w:vMerge/>
            <w:vAlign w:val="center"/>
          </w:tcPr>
          <w:p w:rsidR="00A256AB" w:rsidRPr="00D77DA7" w:rsidRDefault="00A256AB" w:rsidP="00A256AB">
            <w:pPr>
              <w:jc w:val="center"/>
              <w:rPr>
                <w:rFonts w:ascii="Arial" w:hAnsi="Arial" w:cs="Arial"/>
                <w:sz w:val="16"/>
                <w:szCs w:val="16"/>
                <w:lang w:val="es-ES_tradnl"/>
              </w:rPr>
            </w:pPr>
          </w:p>
        </w:tc>
        <w:tc>
          <w:tcPr>
            <w:tcW w:w="439" w:type="pc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M.C.</w:t>
            </w:r>
          </w:p>
        </w:tc>
        <w:tc>
          <w:tcPr>
            <w:tcW w:w="1505" w:type="pct"/>
            <w:vMerge/>
            <w:vAlign w:val="center"/>
          </w:tcPr>
          <w:p w:rsidR="00A256AB" w:rsidRPr="00D77DA7" w:rsidRDefault="00A256AB" w:rsidP="00D77DA7">
            <w:pPr>
              <w:jc w:val="both"/>
              <w:rPr>
                <w:rFonts w:ascii="Arial" w:hAnsi="Arial" w:cs="Arial"/>
                <w:sz w:val="16"/>
                <w:szCs w:val="16"/>
                <w:lang w:val="es-ES_tradnl"/>
              </w:rPr>
            </w:pPr>
          </w:p>
        </w:tc>
        <w:tc>
          <w:tcPr>
            <w:tcW w:w="520" w:type="pct"/>
            <w:vMerge/>
            <w:vAlign w:val="center"/>
          </w:tcPr>
          <w:p w:rsidR="00A256AB" w:rsidRPr="00D77DA7" w:rsidRDefault="00A256AB" w:rsidP="00A256AB">
            <w:pPr>
              <w:jc w:val="center"/>
              <w:rPr>
                <w:rFonts w:ascii="Arial" w:hAnsi="Arial" w:cs="Arial"/>
                <w:sz w:val="16"/>
                <w:szCs w:val="16"/>
                <w:lang w:val="es-ES_tradnl"/>
              </w:rPr>
            </w:pPr>
          </w:p>
        </w:tc>
        <w:tc>
          <w:tcPr>
            <w:tcW w:w="887" w:type="pct"/>
            <w:vMerge/>
            <w:vAlign w:val="center"/>
          </w:tcPr>
          <w:p w:rsidR="00A256AB" w:rsidRPr="00D77DA7" w:rsidRDefault="00A256AB" w:rsidP="00A256AB">
            <w:pPr>
              <w:jc w:val="center"/>
              <w:rPr>
                <w:rFonts w:ascii="Arial" w:hAnsi="Arial" w:cs="Arial"/>
                <w:sz w:val="16"/>
                <w:szCs w:val="16"/>
                <w:lang w:val="es-ES_tradnl"/>
              </w:rPr>
            </w:pPr>
          </w:p>
        </w:tc>
        <w:tc>
          <w:tcPr>
            <w:tcW w:w="642" w:type="pct"/>
            <w:vMerge/>
            <w:vAlign w:val="center"/>
          </w:tcPr>
          <w:p w:rsidR="00A256AB" w:rsidRPr="00D77DA7" w:rsidRDefault="00A256AB" w:rsidP="00A256AB">
            <w:pPr>
              <w:jc w:val="center"/>
              <w:rPr>
                <w:rFonts w:ascii="Arial" w:hAnsi="Arial" w:cs="Arial"/>
                <w:sz w:val="16"/>
                <w:szCs w:val="16"/>
                <w:lang w:val="es-ES_tradnl"/>
              </w:rPr>
            </w:pPr>
          </w:p>
        </w:tc>
        <w:tc>
          <w:tcPr>
            <w:tcW w:w="580" w:type="pct"/>
            <w:vAlign w:val="center"/>
          </w:tcPr>
          <w:p w:rsidR="00A256AB" w:rsidRPr="00D77DA7" w:rsidRDefault="00A256AB" w:rsidP="00A256AB">
            <w:pPr>
              <w:jc w:val="right"/>
              <w:rPr>
                <w:rFonts w:ascii="Arial" w:hAnsi="Arial" w:cs="Arial"/>
                <w:sz w:val="16"/>
                <w:szCs w:val="16"/>
                <w:lang w:val="es-ES_tradnl"/>
              </w:rPr>
            </w:pPr>
            <w:r w:rsidRPr="00D77DA7">
              <w:rPr>
                <w:rFonts w:ascii="Arial" w:hAnsi="Arial" w:cs="Arial"/>
                <w:sz w:val="16"/>
                <w:szCs w:val="16"/>
                <w:lang w:val="es-ES_tradnl"/>
              </w:rPr>
              <w:t>$2,029.63</w:t>
            </w:r>
          </w:p>
        </w:tc>
      </w:tr>
      <w:tr w:rsidR="00A256AB" w:rsidRPr="00D77DA7" w:rsidTr="00D77DA7">
        <w:tc>
          <w:tcPr>
            <w:tcW w:w="865" w:type="pct"/>
            <w:gridSpan w:val="2"/>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PARTIDO DEL TRABAJO</w:t>
            </w:r>
          </w:p>
        </w:tc>
        <w:tc>
          <w:tcPr>
            <w:tcW w:w="1505" w:type="pct"/>
            <w:vAlign w:val="center"/>
          </w:tcPr>
          <w:p w:rsidR="00A256AB" w:rsidRPr="00D77DA7" w:rsidRDefault="00F52EDB" w:rsidP="00D77DA7">
            <w:pPr>
              <w:jc w:val="both"/>
              <w:rPr>
                <w:rFonts w:ascii="Arial" w:hAnsi="Arial" w:cs="Arial"/>
                <w:sz w:val="16"/>
                <w:szCs w:val="16"/>
                <w:lang w:val="es-ES_tradnl"/>
              </w:rPr>
            </w:pPr>
            <w:r w:rsidRPr="00D77DA7">
              <w:rPr>
                <w:rFonts w:ascii="Arial" w:hAnsi="Arial" w:cs="Arial"/>
                <w:sz w:val="16"/>
                <w:szCs w:val="16"/>
                <w:lang w:val="es-ES_tradnl"/>
              </w:rPr>
              <w:t>S</w:t>
            </w:r>
            <w:r w:rsidR="00A256AB" w:rsidRPr="00D77DA7">
              <w:rPr>
                <w:rFonts w:ascii="Arial" w:hAnsi="Arial" w:cs="Arial"/>
                <w:sz w:val="16"/>
                <w:szCs w:val="16"/>
                <w:lang w:val="es-ES_tradnl"/>
              </w:rPr>
              <w:t>e reconocieron gastos operativos que corresponden a fechas</w:t>
            </w:r>
            <w:r w:rsidR="00295A74" w:rsidRPr="00D77DA7">
              <w:rPr>
                <w:rFonts w:ascii="Arial" w:hAnsi="Arial" w:cs="Arial"/>
                <w:sz w:val="16"/>
                <w:szCs w:val="16"/>
                <w:lang w:val="es-ES_tradnl"/>
              </w:rPr>
              <w:t xml:space="preserve"> </w:t>
            </w:r>
            <w:r w:rsidR="00A256AB" w:rsidRPr="00D77DA7">
              <w:rPr>
                <w:rFonts w:ascii="Arial" w:hAnsi="Arial" w:cs="Arial"/>
                <w:sz w:val="16"/>
                <w:szCs w:val="16"/>
                <w:lang w:val="es-ES_tradnl"/>
              </w:rPr>
              <w:t xml:space="preserve">fueras del periodo de </w:t>
            </w:r>
            <w:r w:rsidR="00A256AB" w:rsidRPr="00D77DA7">
              <w:rPr>
                <w:rFonts w:ascii="Arial" w:hAnsi="Arial" w:cs="Arial"/>
                <w:sz w:val="16"/>
                <w:szCs w:val="16"/>
                <w:lang w:val="es-ES_tradnl"/>
              </w:rPr>
              <w:lastRenderedPageBreak/>
              <w:t>campaña por un monto de $23,033.13</w:t>
            </w:r>
          </w:p>
        </w:tc>
        <w:tc>
          <w:tcPr>
            <w:tcW w:w="520"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lastRenderedPageBreak/>
              <w:t>FORMAL</w:t>
            </w:r>
          </w:p>
        </w:tc>
        <w:tc>
          <w:tcPr>
            <w:tcW w:w="887"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LEVISIMA</w:t>
            </w:r>
          </w:p>
        </w:tc>
        <w:tc>
          <w:tcPr>
            <w:tcW w:w="642"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150 DSM</w:t>
            </w:r>
          </w:p>
        </w:tc>
        <w:tc>
          <w:tcPr>
            <w:tcW w:w="580"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$8,505.00</w:t>
            </w:r>
          </w:p>
        </w:tc>
      </w:tr>
      <w:tr w:rsidR="00A256AB" w:rsidRPr="00D77DA7" w:rsidTr="00D77DA7">
        <w:tc>
          <w:tcPr>
            <w:tcW w:w="865" w:type="pct"/>
            <w:gridSpan w:val="2"/>
            <w:vMerge/>
            <w:vAlign w:val="center"/>
          </w:tcPr>
          <w:p w:rsidR="00A256AB" w:rsidRPr="00D77DA7" w:rsidRDefault="00A256AB" w:rsidP="00A256AB">
            <w:pPr>
              <w:jc w:val="center"/>
              <w:rPr>
                <w:rFonts w:ascii="Arial" w:hAnsi="Arial" w:cs="Arial"/>
                <w:sz w:val="16"/>
                <w:szCs w:val="16"/>
                <w:lang w:val="es-ES_tradnl"/>
              </w:rPr>
            </w:pPr>
          </w:p>
        </w:tc>
        <w:tc>
          <w:tcPr>
            <w:tcW w:w="1505" w:type="pct"/>
            <w:vAlign w:val="center"/>
          </w:tcPr>
          <w:p w:rsidR="00A256AB" w:rsidRPr="00D77DA7" w:rsidRDefault="00A256AB" w:rsidP="00D77DA7">
            <w:pPr>
              <w:jc w:val="both"/>
              <w:rPr>
                <w:rFonts w:ascii="Arial" w:hAnsi="Arial" w:cs="Arial"/>
                <w:sz w:val="16"/>
                <w:szCs w:val="16"/>
                <w:lang w:val="es-ES_tradnl"/>
              </w:rPr>
            </w:pPr>
            <w:r w:rsidRPr="00D77DA7">
              <w:rPr>
                <w:rFonts w:ascii="Arial" w:hAnsi="Arial" w:cs="Arial"/>
                <w:sz w:val="16"/>
                <w:szCs w:val="16"/>
                <w:lang w:val="es-ES_tradnl"/>
              </w:rPr>
              <w:t>El partido presentó una muestra que no</w:t>
            </w:r>
            <w:r w:rsidR="00295A74" w:rsidRPr="00D77DA7">
              <w:rPr>
                <w:rFonts w:ascii="Arial" w:hAnsi="Arial" w:cs="Arial"/>
                <w:sz w:val="16"/>
                <w:szCs w:val="16"/>
                <w:lang w:val="es-ES_tradnl"/>
              </w:rPr>
              <w:t xml:space="preserve"> </w:t>
            </w:r>
            <w:r w:rsidRPr="00D77DA7">
              <w:rPr>
                <w:rFonts w:ascii="Arial" w:hAnsi="Arial" w:cs="Arial"/>
                <w:sz w:val="16"/>
                <w:szCs w:val="16"/>
                <w:lang w:val="es-ES_tradnl"/>
              </w:rPr>
              <w:t>correspondía al gasto que por dicho concepto se pretendía acreditar por un monto de $1,978,612.00</w:t>
            </w:r>
          </w:p>
        </w:tc>
        <w:tc>
          <w:tcPr>
            <w:tcW w:w="520" w:type="pct"/>
            <w:vMerge/>
            <w:vAlign w:val="center"/>
          </w:tcPr>
          <w:p w:rsidR="00A256AB" w:rsidRPr="00D77DA7" w:rsidRDefault="00A256AB" w:rsidP="00A256AB">
            <w:pPr>
              <w:rPr>
                <w:rFonts w:ascii="Arial" w:hAnsi="Arial" w:cs="Arial"/>
                <w:sz w:val="16"/>
                <w:szCs w:val="16"/>
                <w:lang w:val="es-ES_tradnl"/>
              </w:rPr>
            </w:pPr>
          </w:p>
        </w:tc>
        <w:tc>
          <w:tcPr>
            <w:tcW w:w="887" w:type="pct"/>
            <w:vMerge/>
            <w:vAlign w:val="center"/>
          </w:tcPr>
          <w:p w:rsidR="00A256AB" w:rsidRPr="00D77DA7" w:rsidRDefault="00A256AB" w:rsidP="00A256AB">
            <w:pPr>
              <w:rPr>
                <w:rFonts w:ascii="Arial" w:hAnsi="Arial" w:cs="Arial"/>
                <w:sz w:val="16"/>
                <w:szCs w:val="16"/>
                <w:lang w:val="es-ES_tradnl"/>
              </w:rPr>
            </w:pPr>
          </w:p>
        </w:tc>
        <w:tc>
          <w:tcPr>
            <w:tcW w:w="642" w:type="pct"/>
            <w:vMerge/>
            <w:vAlign w:val="center"/>
          </w:tcPr>
          <w:p w:rsidR="00A256AB" w:rsidRPr="00D77DA7" w:rsidRDefault="00A256AB" w:rsidP="00A256AB">
            <w:pPr>
              <w:rPr>
                <w:rFonts w:ascii="Arial" w:hAnsi="Arial" w:cs="Arial"/>
                <w:sz w:val="16"/>
                <w:szCs w:val="16"/>
                <w:lang w:val="es-ES_tradnl"/>
              </w:rPr>
            </w:pPr>
          </w:p>
        </w:tc>
        <w:tc>
          <w:tcPr>
            <w:tcW w:w="580" w:type="pct"/>
            <w:vMerge/>
            <w:vAlign w:val="center"/>
          </w:tcPr>
          <w:p w:rsidR="00A256AB" w:rsidRPr="00D77DA7" w:rsidRDefault="00A256AB" w:rsidP="00A256AB">
            <w:pPr>
              <w:rPr>
                <w:rFonts w:ascii="Arial" w:hAnsi="Arial" w:cs="Arial"/>
                <w:sz w:val="16"/>
                <w:szCs w:val="16"/>
                <w:lang w:val="es-ES_tradnl"/>
              </w:rPr>
            </w:pPr>
          </w:p>
        </w:tc>
      </w:tr>
      <w:tr w:rsidR="00A256AB" w:rsidRPr="00D77DA7" w:rsidTr="00D77DA7">
        <w:tc>
          <w:tcPr>
            <w:tcW w:w="865" w:type="pct"/>
            <w:gridSpan w:val="2"/>
            <w:vMerge/>
            <w:vAlign w:val="center"/>
          </w:tcPr>
          <w:p w:rsidR="00A256AB" w:rsidRPr="00D77DA7" w:rsidRDefault="00A256AB" w:rsidP="00A256AB">
            <w:pPr>
              <w:jc w:val="center"/>
              <w:rPr>
                <w:rFonts w:ascii="Arial" w:hAnsi="Arial" w:cs="Arial"/>
                <w:sz w:val="16"/>
                <w:szCs w:val="16"/>
                <w:lang w:val="es-ES_tradnl"/>
              </w:rPr>
            </w:pPr>
          </w:p>
        </w:tc>
        <w:tc>
          <w:tcPr>
            <w:tcW w:w="1505" w:type="pct"/>
            <w:vAlign w:val="center"/>
          </w:tcPr>
          <w:p w:rsidR="00A256AB" w:rsidRPr="00D77DA7" w:rsidRDefault="00A256AB" w:rsidP="00D77DA7">
            <w:pPr>
              <w:jc w:val="both"/>
              <w:rPr>
                <w:rFonts w:ascii="Arial" w:hAnsi="Arial" w:cs="Arial"/>
                <w:sz w:val="16"/>
                <w:szCs w:val="16"/>
                <w:lang w:val="es-ES_tradnl"/>
              </w:rPr>
            </w:pPr>
            <w:r w:rsidRPr="00D77DA7">
              <w:rPr>
                <w:rFonts w:ascii="Arial" w:hAnsi="Arial" w:cs="Arial"/>
                <w:sz w:val="16"/>
                <w:szCs w:val="16"/>
                <w:lang w:val="es-ES_tradnl"/>
              </w:rPr>
              <w:t>El partido presentó una muestra que no</w:t>
            </w:r>
            <w:r w:rsidR="00295A74" w:rsidRPr="00D77DA7">
              <w:rPr>
                <w:rFonts w:ascii="Arial" w:hAnsi="Arial" w:cs="Arial"/>
                <w:sz w:val="16"/>
                <w:szCs w:val="16"/>
                <w:lang w:val="es-ES_tradnl"/>
              </w:rPr>
              <w:t xml:space="preserve"> </w:t>
            </w:r>
            <w:r w:rsidRPr="00D77DA7">
              <w:rPr>
                <w:rFonts w:ascii="Arial" w:hAnsi="Arial" w:cs="Arial"/>
                <w:sz w:val="16"/>
                <w:szCs w:val="16"/>
                <w:lang w:val="es-ES_tradnl"/>
              </w:rPr>
              <w:t>correspondía al gasto que por dicho concepto se pretendía acreditar por un monto de $10,672.00</w:t>
            </w:r>
          </w:p>
        </w:tc>
        <w:tc>
          <w:tcPr>
            <w:tcW w:w="520" w:type="pct"/>
            <w:vMerge/>
            <w:vAlign w:val="center"/>
          </w:tcPr>
          <w:p w:rsidR="00A256AB" w:rsidRPr="00D77DA7" w:rsidRDefault="00A256AB" w:rsidP="00A256AB">
            <w:pPr>
              <w:rPr>
                <w:rFonts w:ascii="Arial" w:hAnsi="Arial" w:cs="Arial"/>
                <w:sz w:val="16"/>
                <w:szCs w:val="16"/>
                <w:lang w:val="es-ES_tradnl"/>
              </w:rPr>
            </w:pPr>
          </w:p>
        </w:tc>
        <w:tc>
          <w:tcPr>
            <w:tcW w:w="887" w:type="pct"/>
            <w:vMerge/>
            <w:vAlign w:val="center"/>
          </w:tcPr>
          <w:p w:rsidR="00A256AB" w:rsidRPr="00D77DA7" w:rsidRDefault="00A256AB" w:rsidP="00A256AB">
            <w:pPr>
              <w:rPr>
                <w:rFonts w:ascii="Arial" w:hAnsi="Arial" w:cs="Arial"/>
                <w:sz w:val="16"/>
                <w:szCs w:val="16"/>
                <w:lang w:val="es-ES_tradnl"/>
              </w:rPr>
            </w:pPr>
          </w:p>
        </w:tc>
        <w:tc>
          <w:tcPr>
            <w:tcW w:w="642" w:type="pct"/>
            <w:vMerge/>
            <w:vAlign w:val="center"/>
          </w:tcPr>
          <w:p w:rsidR="00A256AB" w:rsidRPr="00D77DA7" w:rsidRDefault="00A256AB" w:rsidP="00A256AB">
            <w:pPr>
              <w:rPr>
                <w:rFonts w:ascii="Arial" w:hAnsi="Arial" w:cs="Arial"/>
                <w:sz w:val="16"/>
                <w:szCs w:val="16"/>
                <w:lang w:val="es-ES_tradnl"/>
              </w:rPr>
            </w:pPr>
          </w:p>
        </w:tc>
        <w:tc>
          <w:tcPr>
            <w:tcW w:w="580" w:type="pct"/>
            <w:vMerge/>
            <w:vAlign w:val="center"/>
          </w:tcPr>
          <w:p w:rsidR="00A256AB" w:rsidRPr="00D77DA7" w:rsidRDefault="00A256AB" w:rsidP="00A256AB">
            <w:pPr>
              <w:rPr>
                <w:rFonts w:ascii="Arial" w:hAnsi="Arial" w:cs="Arial"/>
                <w:sz w:val="16"/>
                <w:szCs w:val="16"/>
                <w:lang w:val="es-ES_tradnl"/>
              </w:rPr>
            </w:pPr>
          </w:p>
        </w:tc>
      </w:tr>
      <w:tr w:rsidR="00A256AB" w:rsidRPr="00D77DA7" w:rsidTr="00D77DA7">
        <w:tc>
          <w:tcPr>
            <w:tcW w:w="865" w:type="pct"/>
            <w:gridSpan w:val="2"/>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MOVIMIENTO CIUDADANO</w:t>
            </w:r>
          </w:p>
        </w:tc>
        <w:tc>
          <w:tcPr>
            <w:tcW w:w="1505" w:type="pct"/>
            <w:vAlign w:val="center"/>
          </w:tcPr>
          <w:p w:rsidR="00A256AB" w:rsidRPr="00D77DA7" w:rsidRDefault="00A256AB" w:rsidP="00D77DA7">
            <w:pPr>
              <w:jc w:val="both"/>
              <w:rPr>
                <w:rFonts w:ascii="Arial" w:hAnsi="Arial" w:cs="Arial"/>
                <w:sz w:val="16"/>
                <w:szCs w:val="16"/>
                <w:lang w:val="es-ES_tradnl"/>
              </w:rPr>
            </w:pPr>
            <w:r w:rsidRPr="00D77DA7">
              <w:rPr>
                <w:rFonts w:ascii="Arial" w:hAnsi="Arial" w:cs="Arial"/>
                <w:sz w:val="16"/>
                <w:szCs w:val="16"/>
                <w:lang w:val="es-ES_tradnl"/>
              </w:rPr>
              <w:t>Omisión técnica al librar un cheque sin la leyenda “Para abono en</w:t>
            </w:r>
            <w:r w:rsidR="00295A74" w:rsidRPr="00D77DA7">
              <w:rPr>
                <w:rFonts w:ascii="Arial" w:hAnsi="Arial" w:cs="Arial"/>
                <w:sz w:val="16"/>
                <w:szCs w:val="16"/>
                <w:lang w:val="es-ES_tradnl"/>
              </w:rPr>
              <w:t xml:space="preserve"> </w:t>
            </w:r>
            <w:r w:rsidRPr="00D77DA7">
              <w:rPr>
                <w:rFonts w:ascii="Arial" w:hAnsi="Arial" w:cs="Arial"/>
                <w:sz w:val="16"/>
                <w:szCs w:val="16"/>
                <w:lang w:val="es-ES_tradnl"/>
              </w:rPr>
              <w:t>cuenta del beneficiario”, por la cantidad de $20,000.00</w:t>
            </w:r>
          </w:p>
        </w:tc>
        <w:tc>
          <w:tcPr>
            <w:tcW w:w="520"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FORMAL</w:t>
            </w:r>
          </w:p>
        </w:tc>
        <w:tc>
          <w:tcPr>
            <w:tcW w:w="887"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LEVISIMA</w:t>
            </w:r>
          </w:p>
        </w:tc>
        <w:tc>
          <w:tcPr>
            <w:tcW w:w="642"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150 DSM</w:t>
            </w:r>
          </w:p>
        </w:tc>
        <w:tc>
          <w:tcPr>
            <w:tcW w:w="580" w:type="pct"/>
            <w:vMerge w:val="restart"/>
            <w:vAlign w:val="center"/>
          </w:tcPr>
          <w:p w:rsidR="00A256AB" w:rsidRPr="00D77DA7" w:rsidRDefault="00A256AB" w:rsidP="00A256AB">
            <w:pPr>
              <w:jc w:val="center"/>
              <w:rPr>
                <w:rFonts w:ascii="Arial" w:hAnsi="Arial" w:cs="Arial"/>
                <w:sz w:val="16"/>
                <w:szCs w:val="16"/>
                <w:lang w:val="es-ES_tradnl"/>
              </w:rPr>
            </w:pPr>
            <w:r w:rsidRPr="00D77DA7">
              <w:rPr>
                <w:rFonts w:ascii="Arial" w:hAnsi="Arial" w:cs="Arial"/>
                <w:sz w:val="16"/>
                <w:szCs w:val="16"/>
                <w:lang w:val="es-ES_tradnl"/>
              </w:rPr>
              <w:t>$8,505.00</w:t>
            </w:r>
          </w:p>
        </w:tc>
      </w:tr>
      <w:tr w:rsidR="00A256AB" w:rsidRPr="00D77DA7" w:rsidTr="00D77DA7">
        <w:tc>
          <w:tcPr>
            <w:tcW w:w="865" w:type="pct"/>
            <w:gridSpan w:val="2"/>
            <w:vMerge/>
            <w:vAlign w:val="center"/>
          </w:tcPr>
          <w:p w:rsidR="00A256AB" w:rsidRPr="00D77DA7" w:rsidRDefault="00A256AB" w:rsidP="00A256AB">
            <w:pPr>
              <w:jc w:val="center"/>
              <w:rPr>
                <w:rFonts w:ascii="Arial" w:hAnsi="Arial" w:cs="Arial"/>
                <w:sz w:val="16"/>
                <w:szCs w:val="16"/>
                <w:lang w:val="es-ES_tradnl"/>
              </w:rPr>
            </w:pPr>
          </w:p>
        </w:tc>
        <w:tc>
          <w:tcPr>
            <w:tcW w:w="1505" w:type="pct"/>
            <w:vAlign w:val="center"/>
          </w:tcPr>
          <w:p w:rsidR="00A256AB" w:rsidRPr="00D77DA7" w:rsidRDefault="00E02940" w:rsidP="00D77DA7">
            <w:pPr>
              <w:jc w:val="both"/>
              <w:rPr>
                <w:rFonts w:ascii="Arial" w:hAnsi="Arial" w:cs="Arial"/>
                <w:sz w:val="16"/>
                <w:szCs w:val="16"/>
                <w:lang w:val="es-ES_tradnl"/>
              </w:rPr>
            </w:pPr>
            <w:r w:rsidRPr="00D77DA7">
              <w:rPr>
                <w:rFonts w:ascii="Arial" w:hAnsi="Arial" w:cs="Arial"/>
                <w:sz w:val="16"/>
                <w:szCs w:val="16"/>
                <w:lang w:val="es-ES_tradnl"/>
              </w:rPr>
              <w:t>P</w:t>
            </w:r>
            <w:r w:rsidR="00A256AB" w:rsidRPr="00D77DA7">
              <w:rPr>
                <w:rFonts w:ascii="Arial" w:hAnsi="Arial" w:cs="Arial"/>
                <w:sz w:val="16"/>
                <w:szCs w:val="16"/>
                <w:lang w:val="es-ES_tradnl"/>
              </w:rPr>
              <w:t>resentó salidas de recursos por la</w:t>
            </w:r>
            <w:r w:rsidR="00F52EDB" w:rsidRPr="00D77DA7">
              <w:rPr>
                <w:rFonts w:ascii="Arial" w:hAnsi="Arial" w:cs="Arial"/>
                <w:sz w:val="16"/>
                <w:szCs w:val="16"/>
                <w:lang w:val="es-ES_tradnl"/>
              </w:rPr>
              <w:t xml:space="preserve"> </w:t>
            </w:r>
            <w:r w:rsidR="00A256AB" w:rsidRPr="00D77DA7">
              <w:rPr>
                <w:rFonts w:ascii="Arial" w:hAnsi="Arial" w:cs="Arial"/>
                <w:sz w:val="16"/>
                <w:szCs w:val="16"/>
                <w:lang w:val="es-ES_tradnl"/>
              </w:rPr>
              <w:t>cantidad de $222,400.00</w:t>
            </w:r>
            <w:r w:rsidR="00F52EDB" w:rsidRPr="00D77DA7">
              <w:rPr>
                <w:rFonts w:ascii="Arial" w:hAnsi="Arial" w:cs="Arial"/>
                <w:sz w:val="16"/>
                <w:szCs w:val="16"/>
                <w:lang w:val="es-ES_tradnl"/>
              </w:rPr>
              <w:t xml:space="preserve"> </w:t>
            </w:r>
            <w:r w:rsidR="00A256AB" w:rsidRPr="00D77DA7">
              <w:rPr>
                <w:rFonts w:ascii="Arial" w:hAnsi="Arial" w:cs="Arial"/>
                <w:sz w:val="16"/>
                <w:szCs w:val="16"/>
                <w:lang w:val="es-ES_tradnl"/>
              </w:rPr>
              <w:t xml:space="preserve">por </w:t>
            </w:r>
            <w:r w:rsidR="00F52EDB" w:rsidRPr="00D77DA7">
              <w:rPr>
                <w:rFonts w:ascii="Arial" w:hAnsi="Arial" w:cs="Arial"/>
                <w:sz w:val="16"/>
                <w:szCs w:val="16"/>
                <w:lang w:val="es-ES_tradnl"/>
              </w:rPr>
              <w:t>c</w:t>
            </w:r>
            <w:r w:rsidR="00A256AB" w:rsidRPr="00D77DA7">
              <w:rPr>
                <w:rFonts w:ascii="Arial" w:hAnsi="Arial" w:cs="Arial"/>
                <w:sz w:val="16"/>
                <w:szCs w:val="16"/>
                <w:lang w:val="es-ES_tradnl"/>
              </w:rPr>
              <w:t xml:space="preserve">oncepto de </w:t>
            </w:r>
            <w:r w:rsidR="00F52EDB" w:rsidRPr="00D77DA7">
              <w:rPr>
                <w:rFonts w:ascii="Arial" w:hAnsi="Arial" w:cs="Arial"/>
                <w:sz w:val="16"/>
                <w:szCs w:val="16"/>
                <w:lang w:val="es-ES_tradnl"/>
              </w:rPr>
              <w:t>p</w:t>
            </w:r>
            <w:r w:rsidR="00A256AB" w:rsidRPr="00D77DA7">
              <w:rPr>
                <w:rFonts w:ascii="Arial" w:hAnsi="Arial" w:cs="Arial"/>
                <w:sz w:val="16"/>
                <w:szCs w:val="16"/>
                <w:lang w:val="es-ES_tradnl"/>
              </w:rPr>
              <w:t>asajes y no presentó la documentación</w:t>
            </w:r>
            <w:r w:rsidR="00F52EDB" w:rsidRPr="00D77DA7">
              <w:rPr>
                <w:rFonts w:ascii="Arial" w:hAnsi="Arial" w:cs="Arial"/>
                <w:sz w:val="16"/>
                <w:szCs w:val="16"/>
                <w:lang w:val="es-ES_tradnl"/>
              </w:rPr>
              <w:t xml:space="preserve"> </w:t>
            </w:r>
            <w:r w:rsidR="00A256AB" w:rsidRPr="00D77DA7">
              <w:rPr>
                <w:rFonts w:ascii="Arial" w:hAnsi="Arial" w:cs="Arial"/>
                <w:sz w:val="16"/>
                <w:szCs w:val="16"/>
                <w:lang w:val="es-ES_tradnl"/>
              </w:rPr>
              <w:t>comprobatoria mínima correspondiente.</w:t>
            </w:r>
          </w:p>
        </w:tc>
        <w:tc>
          <w:tcPr>
            <w:tcW w:w="520" w:type="pct"/>
            <w:vMerge/>
            <w:vAlign w:val="center"/>
          </w:tcPr>
          <w:p w:rsidR="00A256AB" w:rsidRPr="00D77DA7" w:rsidRDefault="00A256AB" w:rsidP="00A256AB">
            <w:pPr>
              <w:jc w:val="center"/>
              <w:rPr>
                <w:rFonts w:ascii="Arial" w:hAnsi="Arial" w:cs="Arial"/>
                <w:sz w:val="16"/>
                <w:szCs w:val="16"/>
                <w:lang w:val="es-ES_tradnl"/>
              </w:rPr>
            </w:pPr>
          </w:p>
        </w:tc>
        <w:tc>
          <w:tcPr>
            <w:tcW w:w="887" w:type="pct"/>
            <w:vMerge/>
            <w:vAlign w:val="center"/>
          </w:tcPr>
          <w:p w:rsidR="00A256AB" w:rsidRPr="00D77DA7" w:rsidRDefault="00A256AB" w:rsidP="00A256AB">
            <w:pPr>
              <w:jc w:val="center"/>
              <w:rPr>
                <w:rFonts w:ascii="Arial" w:hAnsi="Arial" w:cs="Arial"/>
                <w:sz w:val="16"/>
                <w:szCs w:val="16"/>
                <w:lang w:val="es-ES_tradnl"/>
              </w:rPr>
            </w:pPr>
          </w:p>
        </w:tc>
        <w:tc>
          <w:tcPr>
            <w:tcW w:w="642" w:type="pct"/>
            <w:vMerge/>
            <w:vAlign w:val="center"/>
          </w:tcPr>
          <w:p w:rsidR="00A256AB" w:rsidRPr="00D77DA7" w:rsidRDefault="00A256AB" w:rsidP="00A256AB">
            <w:pPr>
              <w:jc w:val="center"/>
              <w:rPr>
                <w:rFonts w:ascii="Arial" w:hAnsi="Arial" w:cs="Arial"/>
                <w:sz w:val="16"/>
                <w:szCs w:val="16"/>
                <w:lang w:val="es-ES_tradnl"/>
              </w:rPr>
            </w:pPr>
          </w:p>
        </w:tc>
        <w:tc>
          <w:tcPr>
            <w:tcW w:w="580" w:type="pct"/>
            <w:vMerge/>
            <w:vAlign w:val="center"/>
          </w:tcPr>
          <w:p w:rsidR="00A256AB" w:rsidRPr="00D77DA7" w:rsidRDefault="00A256AB" w:rsidP="00A256AB">
            <w:pPr>
              <w:jc w:val="center"/>
              <w:rPr>
                <w:rFonts w:ascii="Arial" w:hAnsi="Arial" w:cs="Arial"/>
                <w:sz w:val="16"/>
                <w:szCs w:val="16"/>
                <w:lang w:val="es-ES_tradnl"/>
              </w:rPr>
            </w:pPr>
          </w:p>
        </w:tc>
      </w:tr>
      <w:tr w:rsidR="00A256AB" w:rsidRPr="00D77DA7" w:rsidTr="00D77DA7">
        <w:tc>
          <w:tcPr>
            <w:tcW w:w="865" w:type="pct"/>
            <w:gridSpan w:val="2"/>
            <w:vMerge/>
            <w:vAlign w:val="center"/>
          </w:tcPr>
          <w:p w:rsidR="00A256AB" w:rsidRPr="00D77DA7" w:rsidRDefault="00A256AB" w:rsidP="00A256AB">
            <w:pPr>
              <w:jc w:val="center"/>
              <w:rPr>
                <w:rFonts w:ascii="Arial" w:hAnsi="Arial" w:cs="Arial"/>
                <w:sz w:val="16"/>
                <w:szCs w:val="16"/>
                <w:lang w:val="es-ES_tradnl"/>
              </w:rPr>
            </w:pPr>
          </w:p>
        </w:tc>
        <w:tc>
          <w:tcPr>
            <w:tcW w:w="1505" w:type="pct"/>
            <w:vAlign w:val="center"/>
          </w:tcPr>
          <w:p w:rsidR="00A256AB" w:rsidRPr="00D77DA7" w:rsidRDefault="00F52EDB" w:rsidP="00D77DA7">
            <w:pPr>
              <w:jc w:val="both"/>
              <w:rPr>
                <w:rFonts w:ascii="Arial" w:hAnsi="Arial" w:cs="Arial"/>
                <w:sz w:val="16"/>
                <w:szCs w:val="16"/>
                <w:lang w:val="es-ES_tradnl"/>
              </w:rPr>
            </w:pPr>
            <w:r w:rsidRPr="00D77DA7">
              <w:rPr>
                <w:rFonts w:ascii="Arial" w:hAnsi="Arial" w:cs="Arial"/>
                <w:sz w:val="16"/>
                <w:szCs w:val="16"/>
                <w:lang w:val="es-ES_tradnl"/>
              </w:rPr>
              <w:t>O</w:t>
            </w:r>
            <w:r w:rsidR="00A256AB" w:rsidRPr="00D77DA7">
              <w:rPr>
                <w:rFonts w:ascii="Arial" w:hAnsi="Arial" w:cs="Arial"/>
                <w:sz w:val="16"/>
                <w:szCs w:val="16"/>
                <w:lang w:val="es-ES_tradnl"/>
              </w:rPr>
              <w:t xml:space="preserve">mitió </w:t>
            </w:r>
            <w:r w:rsidRPr="00D77DA7">
              <w:rPr>
                <w:rFonts w:ascii="Arial" w:hAnsi="Arial" w:cs="Arial"/>
                <w:sz w:val="16"/>
                <w:szCs w:val="16"/>
                <w:lang w:val="es-ES_tradnl"/>
              </w:rPr>
              <w:t>presentar recibos</w:t>
            </w:r>
            <w:r w:rsidR="00A256AB" w:rsidRPr="00D77DA7">
              <w:rPr>
                <w:rFonts w:ascii="Arial" w:hAnsi="Arial" w:cs="Arial"/>
                <w:sz w:val="16"/>
                <w:szCs w:val="16"/>
                <w:lang w:val="es-ES_tradnl"/>
              </w:rPr>
              <w:t xml:space="preserve"> de </w:t>
            </w:r>
            <w:r w:rsidRPr="00D77DA7">
              <w:rPr>
                <w:rFonts w:ascii="Arial" w:hAnsi="Arial" w:cs="Arial"/>
                <w:sz w:val="16"/>
                <w:szCs w:val="16"/>
                <w:lang w:val="es-ES_tradnl"/>
              </w:rPr>
              <w:t>r</w:t>
            </w:r>
            <w:r w:rsidR="00A256AB" w:rsidRPr="00D77DA7">
              <w:rPr>
                <w:rFonts w:ascii="Arial" w:hAnsi="Arial" w:cs="Arial"/>
                <w:sz w:val="16"/>
                <w:szCs w:val="16"/>
                <w:lang w:val="es-ES_tradnl"/>
              </w:rPr>
              <w:t xml:space="preserve">econocimientos por </w:t>
            </w:r>
            <w:r w:rsidR="00E02940" w:rsidRPr="00D77DA7">
              <w:rPr>
                <w:rFonts w:ascii="Arial" w:hAnsi="Arial" w:cs="Arial"/>
                <w:sz w:val="16"/>
                <w:szCs w:val="16"/>
                <w:lang w:val="es-ES_tradnl"/>
              </w:rPr>
              <w:t>a</w:t>
            </w:r>
            <w:r w:rsidR="00A256AB" w:rsidRPr="00D77DA7">
              <w:rPr>
                <w:rFonts w:ascii="Arial" w:hAnsi="Arial" w:cs="Arial"/>
                <w:sz w:val="16"/>
                <w:szCs w:val="16"/>
                <w:lang w:val="es-ES_tradnl"/>
              </w:rPr>
              <w:t xml:space="preserve">ctividades </w:t>
            </w:r>
            <w:r w:rsidR="00E02940" w:rsidRPr="00D77DA7">
              <w:rPr>
                <w:rFonts w:ascii="Arial" w:hAnsi="Arial" w:cs="Arial"/>
                <w:sz w:val="16"/>
                <w:szCs w:val="16"/>
                <w:lang w:val="es-ES_tradnl"/>
              </w:rPr>
              <w:t>p</w:t>
            </w:r>
            <w:r w:rsidR="00A256AB" w:rsidRPr="00D77DA7">
              <w:rPr>
                <w:rFonts w:ascii="Arial" w:hAnsi="Arial" w:cs="Arial"/>
                <w:sz w:val="16"/>
                <w:szCs w:val="16"/>
                <w:lang w:val="es-ES_tradnl"/>
              </w:rPr>
              <w:t>olíticas y las</w:t>
            </w:r>
            <w:r w:rsidRPr="00D77DA7">
              <w:rPr>
                <w:rFonts w:ascii="Arial" w:hAnsi="Arial" w:cs="Arial"/>
                <w:sz w:val="16"/>
                <w:szCs w:val="16"/>
                <w:lang w:val="es-ES_tradnl"/>
              </w:rPr>
              <w:t xml:space="preserve"> </w:t>
            </w:r>
            <w:r w:rsidR="00A256AB" w:rsidRPr="00D77DA7">
              <w:rPr>
                <w:rFonts w:ascii="Arial" w:hAnsi="Arial" w:cs="Arial"/>
                <w:sz w:val="16"/>
                <w:szCs w:val="16"/>
                <w:lang w:val="es-ES_tradnl"/>
              </w:rPr>
              <w:t>copias de la credencial para votar por $27,200</w:t>
            </w:r>
          </w:p>
        </w:tc>
        <w:tc>
          <w:tcPr>
            <w:tcW w:w="520" w:type="pct"/>
            <w:vMerge/>
            <w:vAlign w:val="center"/>
          </w:tcPr>
          <w:p w:rsidR="00A256AB" w:rsidRPr="00D77DA7" w:rsidRDefault="00A256AB" w:rsidP="00A256AB">
            <w:pPr>
              <w:jc w:val="center"/>
              <w:rPr>
                <w:rFonts w:ascii="Arial" w:hAnsi="Arial" w:cs="Arial"/>
                <w:sz w:val="16"/>
                <w:szCs w:val="16"/>
                <w:lang w:val="es-ES_tradnl"/>
              </w:rPr>
            </w:pPr>
          </w:p>
        </w:tc>
        <w:tc>
          <w:tcPr>
            <w:tcW w:w="887" w:type="pct"/>
            <w:vMerge/>
            <w:vAlign w:val="center"/>
          </w:tcPr>
          <w:p w:rsidR="00A256AB" w:rsidRPr="00D77DA7" w:rsidRDefault="00A256AB" w:rsidP="00A256AB">
            <w:pPr>
              <w:jc w:val="center"/>
              <w:rPr>
                <w:rFonts w:ascii="Arial" w:hAnsi="Arial" w:cs="Arial"/>
                <w:sz w:val="16"/>
                <w:szCs w:val="16"/>
                <w:lang w:val="es-ES_tradnl"/>
              </w:rPr>
            </w:pPr>
          </w:p>
        </w:tc>
        <w:tc>
          <w:tcPr>
            <w:tcW w:w="642" w:type="pct"/>
            <w:vMerge/>
            <w:vAlign w:val="center"/>
          </w:tcPr>
          <w:p w:rsidR="00A256AB" w:rsidRPr="00D77DA7" w:rsidRDefault="00A256AB" w:rsidP="00A256AB">
            <w:pPr>
              <w:jc w:val="center"/>
              <w:rPr>
                <w:rFonts w:ascii="Arial" w:hAnsi="Arial" w:cs="Arial"/>
                <w:sz w:val="16"/>
                <w:szCs w:val="16"/>
                <w:lang w:val="es-ES_tradnl"/>
              </w:rPr>
            </w:pPr>
          </w:p>
        </w:tc>
        <w:tc>
          <w:tcPr>
            <w:tcW w:w="580" w:type="pct"/>
            <w:vMerge/>
            <w:vAlign w:val="center"/>
          </w:tcPr>
          <w:p w:rsidR="00A256AB" w:rsidRPr="00D77DA7" w:rsidRDefault="00A256AB" w:rsidP="00A256AB">
            <w:pPr>
              <w:jc w:val="center"/>
              <w:rPr>
                <w:rFonts w:ascii="Arial" w:hAnsi="Arial" w:cs="Arial"/>
                <w:sz w:val="16"/>
                <w:szCs w:val="16"/>
                <w:lang w:val="es-ES_tradnl"/>
              </w:rPr>
            </w:pPr>
          </w:p>
        </w:tc>
      </w:tr>
      <w:tr w:rsidR="00A256AB" w:rsidRPr="00D77DA7" w:rsidTr="00D77DA7">
        <w:tc>
          <w:tcPr>
            <w:tcW w:w="4420" w:type="pct"/>
            <w:gridSpan w:val="6"/>
            <w:vAlign w:val="center"/>
          </w:tcPr>
          <w:p w:rsidR="00A256AB" w:rsidRPr="00D77DA7" w:rsidRDefault="00A256AB" w:rsidP="00D77DA7">
            <w:pPr>
              <w:jc w:val="both"/>
              <w:rPr>
                <w:rFonts w:ascii="Arial" w:hAnsi="Arial" w:cs="Arial"/>
                <w:b/>
                <w:sz w:val="16"/>
                <w:szCs w:val="16"/>
                <w:lang w:val="es-ES_tradnl"/>
              </w:rPr>
            </w:pPr>
            <w:r w:rsidRPr="00D77DA7">
              <w:rPr>
                <w:rFonts w:ascii="Arial" w:hAnsi="Arial" w:cs="Arial"/>
                <w:b/>
                <w:sz w:val="16"/>
                <w:szCs w:val="16"/>
                <w:lang w:val="es-ES_tradnl"/>
              </w:rPr>
              <w:t>TOTAL</w:t>
            </w:r>
          </w:p>
        </w:tc>
        <w:tc>
          <w:tcPr>
            <w:tcW w:w="580" w:type="pct"/>
            <w:vAlign w:val="center"/>
          </w:tcPr>
          <w:p w:rsidR="00A256AB" w:rsidRPr="00D77DA7" w:rsidRDefault="00A256AB" w:rsidP="00A256AB">
            <w:pPr>
              <w:jc w:val="right"/>
              <w:rPr>
                <w:rFonts w:ascii="Arial" w:hAnsi="Arial" w:cs="Arial"/>
                <w:b/>
                <w:sz w:val="16"/>
                <w:szCs w:val="16"/>
                <w:lang w:val="es-ES_tradnl"/>
              </w:rPr>
            </w:pPr>
            <w:r w:rsidRPr="00D77DA7">
              <w:rPr>
                <w:rFonts w:ascii="Arial" w:hAnsi="Arial" w:cs="Arial"/>
                <w:b/>
                <w:sz w:val="16"/>
                <w:szCs w:val="16"/>
                <w:lang w:val="es-ES_tradnl"/>
              </w:rPr>
              <w:t>$25,515.00</w:t>
            </w:r>
          </w:p>
        </w:tc>
      </w:tr>
    </w:tbl>
    <w:p w:rsidR="00A256AB" w:rsidRPr="00D77DA7" w:rsidRDefault="00A256AB" w:rsidP="00A256AB">
      <w:pPr>
        <w:rPr>
          <w:rFonts w:ascii="Arial" w:hAnsi="Arial" w:cs="Arial"/>
          <w:i/>
          <w:iCs/>
          <w:sz w:val="16"/>
          <w:szCs w:val="16"/>
        </w:rPr>
      </w:pPr>
      <w:r w:rsidRPr="00D77DA7">
        <w:rPr>
          <w:rFonts w:ascii="Arial" w:hAnsi="Arial" w:cs="Arial"/>
          <w:b/>
          <w:bCs/>
          <w:i/>
          <w:iCs/>
          <w:sz w:val="16"/>
          <w:szCs w:val="16"/>
        </w:rPr>
        <w:t>Fuente:</w:t>
      </w:r>
      <w:r w:rsidRPr="00D77DA7">
        <w:rPr>
          <w:rFonts w:ascii="Arial" w:hAnsi="Arial" w:cs="Arial"/>
          <w:i/>
          <w:iCs/>
          <w:sz w:val="16"/>
          <w:szCs w:val="16"/>
        </w:rPr>
        <w:t xml:space="preserve"> Elaboración propia con datos del Acuerdos IEEM/CG090/2012 e IEEM/CG091/2012.</w:t>
      </w:r>
    </w:p>
    <w:p w:rsidR="00F31368" w:rsidRPr="00A85D78" w:rsidRDefault="00F31368" w:rsidP="00A256AB">
      <w:pPr>
        <w:rPr>
          <w:rFonts w:ascii="Arial" w:hAnsi="Arial" w:cs="Arial"/>
        </w:rPr>
      </w:pPr>
    </w:p>
    <w:p w:rsidR="00D77DA7" w:rsidRDefault="00A256AB" w:rsidP="00D77DA7">
      <w:pPr>
        <w:spacing w:line="360" w:lineRule="auto"/>
        <w:jc w:val="both"/>
        <w:rPr>
          <w:rFonts w:ascii="Arial" w:hAnsi="Arial" w:cs="Arial"/>
          <w:sz w:val="24"/>
          <w:szCs w:val="24"/>
        </w:rPr>
      </w:pPr>
      <w:r w:rsidRPr="00A85D78">
        <w:rPr>
          <w:rFonts w:ascii="Arial" w:hAnsi="Arial" w:cs="Arial"/>
          <w:sz w:val="24"/>
          <w:szCs w:val="24"/>
        </w:rPr>
        <w:t xml:space="preserve">Después, de una minuciosa revisión de más de 8 meses el Órgano de Fiscalización del IEEM, únicamente se detectaron 7 conductas infractoras mismas de carácter formal, cometidas todas por la Coalición “Unidos Podemos Más” conformada por el Partido de la Revolución Democrática, </w:t>
      </w:r>
      <w:r w:rsidR="00E02940">
        <w:rPr>
          <w:rFonts w:ascii="Arial" w:hAnsi="Arial" w:cs="Arial"/>
          <w:sz w:val="24"/>
          <w:szCs w:val="24"/>
        </w:rPr>
        <w:t>e</w:t>
      </w:r>
      <w:r w:rsidRPr="00A85D78">
        <w:rPr>
          <w:rFonts w:ascii="Arial" w:hAnsi="Arial" w:cs="Arial"/>
          <w:sz w:val="24"/>
          <w:szCs w:val="24"/>
        </w:rPr>
        <w:t>l Partido del Trabajo y Movimiento Ciudadano (antes Convergencia). El principal error cometido por esta coalición radicó en no tener una cuenta concentradora que recabara los ingresos de los tres partidos, en virtud de lo anterior cada partido administro equivocadamente sus recursos, dando pie a 3 sanciones de carácter económico.</w:t>
      </w:r>
    </w:p>
    <w:p w:rsidR="00D77DA7" w:rsidRDefault="00D77DA7" w:rsidP="00D77DA7">
      <w:pPr>
        <w:spacing w:line="360" w:lineRule="auto"/>
        <w:jc w:val="both"/>
        <w:rPr>
          <w:rFonts w:ascii="Arial" w:hAnsi="Arial" w:cs="Arial"/>
          <w:sz w:val="24"/>
          <w:szCs w:val="24"/>
        </w:rPr>
      </w:pPr>
    </w:p>
    <w:p w:rsidR="00A256AB" w:rsidRPr="00A85D78" w:rsidRDefault="00A256AB" w:rsidP="00D77DA7">
      <w:pPr>
        <w:spacing w:line="360" w:lineRule="auto"/>
        <w:jc w:val="both"/>
        <w:rPr>
          <w:rFonts w:ascii="Arial" w:hAnsi="Arial" w:cs="Arial"/>
          <w:sz w:val="24"/>
          <w:szCs w:val="24"/>
        </w:rPr>
      </w:pPr>
      <w:r w:rsidRPr="00A85D78">
        <w:rPr>
          <w:rFonts w:ascii="Arial" w:hAnsi="Arial" w:cs="Arial"/>
          <w:sz w:val="24"/>
          <w:szCs w:val="24"/>
        </w:rPr>
        <w:t xml:space="preserve"> </w:t>
      </w:r>
    </w:p>
    <w:p w:rsidR="00A256AB" w:rsidRPr="00A85D78" w:rsidRDefault="00A256AB" w:rsidP="00A256AB">
      <w:pPr>
        <w:jc w:val="both"/>
        <w:rPr>
          <w:rFonts w:ascii="Arial" w:hAnsi="Arial" w:cs="Arial"/>
          <w:b/>
          <w:sz w:val="24"/>
          <w:szCs w:val="24"/>
        </w:rPr>
      </w:pPr>
      <w:r w:rsidRPr="00A85D78">
        <w:rPr>
          <w:rFonts w:ascii="Arial" w:hAnsi="Arial" w:cs="Arial"/>
          <w:b/>
          <w:sz w:val="24"/>
          <w:szCs w:val="24"/>
        </w:rPr>
        <w:t>4.1.3 Proceso Electoral Diputados Locales y Ayuntamientos 2012</w:t>
      </w:r>
      <w:r w:rsidR="003D1A3D">
        <w:rPr>
          <w:rFonts w:ascii="Arial" w:hAnsi="Arial" w:cs="Arial"/>
          <w:b/>
          <w:sz w:val="24"/>
          <w:szCs w:val="24"/>
        </w:rPr>
        <w:t>.</w:t>
      </w:r>
    </w:p>
    <w:p w:rsidR="00A256AB" w:rsidRPr="00A85D78" w:rsidRDefault="00A256AB" w:rsidP="00A256AB">
      <w:pPr>
        <w:jc w:val="both"/>
        <w:rPr>
          <w:rFonts w:ascii="Arial" w:hAnsi="Arial" w:cs="Arial"/>
          <w:b/>
          <w:sz w:val="24"/>
          <w:szCs w:val="24"/>
        </w:rPr>
      </w:pPr>
      <w:r w:rsidRPr="00A85D78">
        <w:rPr>
          <w:rFonts w:ascii="Arial" w:hAnsi="Arial" w:cs="Arial"/>
          <w:b/>
          <w:sz w:val="24"/>
          <w:szCs w:val="24"/>
        </w:rPr>
        <w:t>4.1.3.1 Precampaña</w:t>
      </w:r>
      <w:r w:rsidR="003D1A3D">
        <w:rPr>
          <w:rFonts w:ascii="Arial" w:hAnsi="Arial" w:cs="Arial"/>
          <w:b/>
          <w:sz w:val="24"/>
          <w:szCs w:val="24"/>
        </w:rPr>
        <w:t>.</w:t>
      </w: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 xml:space="preserve">La precampaña de 2012 comprendió de 10 días únicamente para el caso de los Ayuntamientos, comprendidos del 20 de </w:t>
      </w:r>
      <w:r w:rsidR="00F52EDB" w:rsidRPr="00A85D78">
        <w:rPr>
          <w:rFonts w:ascii="Arial" w:hAnsi="Arial" w:cs="Arial"/>
          <w:sz w:val="24"/>
          <w:szCs w:val="24"/>
        </w:rPr>
        <w:t>marzo</w:t>
      </w:r>
      <w:r w:rsidRPr="00A85D78">
        <w:rPr>
          <w:rFonts w:ascii="Arial" w:hAnsi="Arial" w:cs="Arial"/>
          <w:sz w:val="24"/>
          <w:szCs w:val="24"/>
        </w:rPr>
        <w:t xml:space="preserve"> al 16 de </w:t>
      </w:r>
      <w:r w:rsidR="00F52EDB" w:rsidRPr="00A85D78">
        <w:rPr>
          <w:rFonts w:ascii="Arial" w:hAnsi="Arial" w:cs="Arial"/>
          <w:sz w:val="24"/>
          <w:szCs w:val="24"/>
        </w:rPr>
        <w:t>abril</w:t>
      </w:r>
      <w:r w:rsidRPr="00A85D78">
        <w:rPr>
          <w:rFonts w:ascii="Arial" w:hAnsi="Arial" w:cs="Arial"/>
          <w:sz w:val="24"/>
          <w:szCs w:val="24"/>
        </w:rPr>
        <w:t xml:space="preserve"> del año en comento. Para la revisión de los gastos de precampaña se utilizó el mismo proceso de fiscalización que en 2009, ya descrito con oportunidad. A diferencia del proceso electoral inmediato anterior la calendarización del proceso de fiscalización se dividió ahora para Ayuntamientos y Diputados Locales, como se establece en la Tabla 4.9</w:t>
      </w:r>
      <w:r w:rsidR="00D77DA7">
        <w:rPr>
          <w:rFonts w:ascii="Arial" w:hAnsi="Arial" w:cs="Arial"/>
          <w:sz w:val="24"/>
          <w:szCs w:val="24"/>
        </w:rPr>
        <w:t>.</w:t>
      </w:r>
    </w:p>
    <w:p w:rsidR="00D77DA7" w:rsidRPr="00A85D78" w:rsidRDefault="00D77DA7" w:rsidP="00A256AB">
      <w:pPr>
        <w:jc w:val="both"/>
        <w:rPr>
          <w:rFonts w:ascii="Arial" w:hAnsi="Arial" w:cs="Arial"/>
          <w:sz w:val="24"/>
          <w:szCs w:val="24"/>
        </w:rPr>
      </w:pPr>
    </w:p>
    <w:p w:rsidR="00A256AB" w:rsidRDefault="00A256AB" w:rsidP="00D77DA7">
      <w:pPr>
        <w:tabs>
          <w:tab w:val="left" w:pos="5070"/>
        </w:tabs>
        <w:jc w:val="both"/>
        <w:rPr>
          <w:rStyle w:val="Ttulodellibro"/>
          <w:rFonts w:ascii="Arial" w:hAnsi="Arial" w:cs="Arial"/>
          <w:b/>
          <w:i/>
          <w:color w:val="auto"/>
          <w:sz w:val="20"/>
          <w:szCs w:val="20"/>
        </w:rPr>
      </w:pPr>
      <w:r w:rsidRPr="00D77DA7">
        <w:rPr>
          <w:rStyle w:val="Ttulodellibro"/>
          <w:rFonts w:ascii="Arial" w:hAnsi="Arial" w:cs="Arial"/>
          <w:b/>
          <w:i/>
          <w:color w:val="auto"/>
          <w:sz w:val="20"/>
          <w:szCs w:val="20"/>
        </w:rPr>
        <w:t>Tabla 4.9. Calendario del proceso de fiscalización de precampaña 2012</w:t>
      </w:r>
      <w:r w:rsidR="00D77DA7">
        <w:rPr>
          <w:rStyle w:val="Ttulodellibro"/>
          <w:rFonts w:ascii="Arial" w:hAnsi="Arial" w:cs="Arial"/>
          <w:b/>
          <w:i/>
          <w:color w:val="auto"/>
          <w:sz w:val="20"/>
          <w:szCs w:val="20"/>
        </w:rPr>
        <w:t>.</w:t>
      </w:r>
    </w:p>
    <w:p w:rsidR="00D77DA7" w:rsidRPr="00D77DA7" w:rsidRDefault="00D77DA7" w:rsidP="00D77DA7">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163"/>
        <w:gridCol w:w="1266"/>
        <w:gridCol w:w="1036"/>
        <w:gridCol w:w="899"/>
        <w:gridCol w:w="965"/>
        <w:gridCol w:w="1023"/>
        <w:gridCol w:w="1097"/>
        <w:gridCol w:w="1045"/>
      </w:tblGrid>
      <w:tr w:rsidR="00A256AB" w:rsidRPr="00D77DA7" w:rsidTr="00D77DA7">
        <w:tc>
          <w:tcPr>
            <w:tcW w:w="685"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PERIODO DE PRECAMPAÑA</w:t>
            </w:r>
          </w:p>
        </w:tc>
        <w:tc>
          <w:tcPr>
            <w:tcW w:w="745"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PRESENTACIÓN INFORME</w:t>
            </w:r>
          </w:p>
        </w:tc>
        <w:tc>
          <w:tcPr>
            <w:tcW w:w="610"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REVISIÓN PRELIMINAR</w:t>
            </w:r>
          </w:p>
        </w:tc>
        <w:tc>
          <w:tcPr>
            <w:tcW w:w="529"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REVISIÓN EN GABINETE</w:t>
            </w:r>
          </w:p>
        </w:tc>
        <w:tc>
          <w:tcPr>
            <w:tcW w:w="568"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ERRORES Y OMISIONES</w:t>
            </w:r>
          </w:p>
        </w:tc>
        <w:tc>
          <w:tcPr>
            <w:tcW w:w="602"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RESPUESTA A ERRORES Y OMISIONES</w:t>
            </w:r>
          </w:p>
        </w:tc>
        <w:tc>
          <w:tcPr>
            <w:tcW w:w="646"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DICTAMEN Y RESOLUCIÓN</w:t>
            </w:r>
          </w:p>
        </w:tc>
        <w:tc>
          <w:tcPr>
            <w:tcW w:w="615" w:type="pct"/>
            <w:shd w:val="clear" w:color="auto" w:fill="FBE4D5" w:themeFill="accent2" w:themeFillTint="33"/>
            <w:vAlign w:val="center"/>
          </w:tcPr>
          <w:p w:rsidR="00A256AB" w:rsidRPr="00D77DA7" w:rsidRDefault="00E02940" w:rsidP="00A256AB">
            <w:pPr>
              <w:jc w:val="center"/>
              <w:rPr>
                <w:rFonts w:ascii="Arial" w:hAnsi="Arial" w:cs="Arial"/>
                <w:b/>
                <w:bCs/>
                <w:sz w:val="12"/>
                <w:szCs w:val="12"/>
                <w:lang w:val="es-ES_tradnl"/>
              </w:rPr>
            </w:pPr>
            <w:r w:rsidRPr="00D77DA7">
              <w:rPr>
                <w:rFonts w:ascii="Arial" w:hAnsi="Arial" w:cs="Arial"/>
                <w:b/>
                <w:bCs/>
                <w:sz w:val="12"/>
                <w:szCs w:val="12"/>
                <w:lang w:val="es-ES_tradnl"/>
              </w:rPr>
              <w:t>CG APRUEBA PROYECTOS DE UTF</w:t>
            </w:r>
          </w:p>
        </w:tc>
      </w:tr>
      <w:tr w:rsidR="00A256AB" w:rsidRPr="00D77DA7" w:rsidTr="00D77DA7">
        <w:tc>
          <w:tcPr>
            <w:tcW w:w="68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10 días</w:t>
            </w:r>
          </w:p>
        </w:tc>
        <w:tc>
          <w:tcPr>
            <w:tcW w:w="74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15 días</w:t>
            </w:r>
          </w:p>
        </w:tc>
        <w:tc>
          <w:tcPr>
            <w:tcW w:w="610"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3 días</w:t>
            </w:r>
          </w:p>
        </w:tc>
        <w:tc>
          <w:tcPr>
            <w:tcW w:w="529"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 días</w:t>
            </w:r>
          </w:p>
        </w:tc>
        <w:tc>
          <w:tcPr>
            <w:tcW w:w="568"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2 días</w:t>
            </w:r>
          </w:p>
        </w:tc>
        <w:tc>
          <w:tcPr>
            <w:tcW w:w="602"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 día</w:t>
            </w:r>
          </w:p>
        </w:tc>
        <w:tc>
          <w:tcPr>
            <w:tcW w:w="646"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8 días</w:t>
            </w:r>
          </w:p>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24 días D.L.</w:t>
            </w:r>
          </w:p>
        </w:tc>
        <w:tc>
          <w:tcPr>
            <w:tcW w:w="61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 días</w:t>
            </w:r>
          </w:p>
        </w:tc>
      </w:tr>
      <w:tr w:rsidR="00A256AB" w:rsidRPr="00D77DA7" w:rsidTr="00D77DA7">
        <w:tc>
          <w:tcPr>
            <w:tcW w:w="68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27 de </w:t>
            </w:r>
            <w:r w:rsidR="00F52EDB" w:rsidRPr="00D77DA7">
              <w:rPr>
                <w:rFonts w:ascii="Arial" w:hAnsi="Arial" w:cs="Arial"/>
                <w:sz w:val="18"/>
                <w:szCs w:val="18"/>
                <w:lang w:val="es-ES_tradnl"/>
              </w:rPr>
              <w:t>marzo</w:t>
            </w:r>
            <w:r w:rsidRPr="00D77DA7">
              <w:rPr>
                <w:rFonts w:ascii="Arial" w:hAnsi="Arial" w:cs="Arial"/>
                <w:sz w:val="18"/>
                <w:szCs w:val="18"/>
                <w:lang w:val="es-ES_tradnl"/>
              </w:rPr>
              <w:t xml:space="preserve"> a 16 de </w:t>
            </w:r>
            <w:r w:rsidR="00F52EDB" w:rsidRPr="00D77DA7">
              <w:rPr>
                <w:rFonts w:ascii="Arial" w:hAnsi="Arial" w:cs="Arial"/>
                <w:sz w:val="18"/>
                <w:szCs w:val="18"/>
                <w:lang w:val="es-ES_tradnl"/>
              </w:rPr>
              <w:t>abril</w:t>
            </w:r>
          </w:p>
        </w:tc>
        <w:tc>
          <w:tcPr>
            <w:tcW w:w="74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01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w:t>
            </w:r>
            <w:r w:rsidR="00F52EDB" w:rsidRPr="00D77DA7">
              <w:rPr>
                <w:rFonts w:ascii="Arial" w:hAnsi="Arial" w:cs="Arial"/>
                <w:sz w:val="18"/>
                <w:szCs w:val="18"/>
                <w:lang w:val="es-ES_tradnl"/>
              </w:rPr>
              <w:t>Ayto.</w:t>
            </w:r>
          </w:p>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29 de </w:t>
            </w:r>
            <w:r w:rsidR="00F52EDB" w:rsidRPr="00D77DA7">
              <w:rPr>
                <w:rFonts w:ascii="Arial" w:hAnsi="Arial" w:cs="Arial"/>
                <w:sz w:val="18"/>
                <w:szCs w:val="18"/>
                <w:lang w:val="es-ES_tradnl"/>
              </w:rPr>
              <w:t>abril</w:t>
            </w:r>
            <w:r w:rsidRPr="00D77DA7">
              <w:rPr>
                <w:rFonts w:ascii="Arial" w:hAnsi="Arial" w:cs="Arial"/>
                <w:sz w:val="18"/>
                <w:szCs w:val="18"/>
                <w:lang w:val="es-ES_tradnl"/>
              </w:rPr>
              <w:t xml:space="preserve"> D.L.</w:t>
            </w:r>
          </w:p>
        </w:tc>
        <w:tc>
          <w:tcPr>
            <w:tcW w:w="610" w:type="pct"/>
            <w:vAlign w:val="center"/>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 xml:space="preserve">01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D.L.</w:t>
            </w:r>
          </w:p>
        </w:tc>
        <w:tc>
          <w:tcPr>
            <w:tcW w:w="529"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02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D.L.</w:t>
            </w:r>
          </w:p>
        </w:tc>
        <w:tc>
          <w:tcPr>
            <w:tcW w:w="568"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04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D.L.</w:t>
            </w:r>
          </w:p>
        </w:tc>
        <w:tc>
          <w:tcPr>
            <w:tcW w:w="602"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05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D.L.</w:t>
            </w:r>
          </w:p>
        </w:tc>
        <w:tc>
          <w:tcPr>
            <w:tcW w:w="646"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09 de mayo </w:t>
            </w:r>
            <w:r w:rsidR="00F52EDB" w:rsidRPr="00D77DA7">
              <w:rPr>
                <w:rFonts w:ascii="Arial" w:hAnsi="Arial" w:cs="Arial"/>
                <w:sz w:val="18"/>
                <w:szCs w:val="18"/>
                <w:lang w:val="es-ES_tradnl"/>
              </w:rPr>
              <w:t>Ayto.</w:t>
            </w:r>
          </w:p>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29 de </w:t>
            </w:r>
            <w:r w:rsidR="00F52EDB" w:rsidRPr="00D77DA7">
              <w:rPr>
                <w:rFonts w:ascii="Arial" w:hAnsi="Arial" w:cs="Arial"/>
                <w:sz w:val="18"/>
                <w:szCs w:val="18"/>
                <w:lang w:val="es-ES_tradnl"/>
              </w:rPr>
              <w:t>mayo</w:t>
            </w:r>
            <w:r w:rsidRPr="00D77DA7">
              <w:rPr>
                <w:rFonts w:ascii="Arial" w:hAnsi="Arial" w:cs="Arial"/>
                <w:sz w:val="18"/>
                <w:szCs w:val="18"/>
                <w:lang w:val="es-ES_tradnl"/>
              </w:rPr>
              <w:t xml:space="preserve"> D.L.</w:t>
            </w:r>
          </w:p>
        </w:tc>
        <w:tc>
          <w:tcPr>
            <w:tcW w:w="615"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10 de mayo</w:t>
            </w:r>
          </w:p>
          <w:p w:rsidR="00A256AB" w:rsidRPr="00D77DA7" w:rsidRDefault="00F52EDB" w:rsidP="00A256AB">
            <w:pPr>
              <w:jc w:val="center"/>
              <w:rPr>
                <w:rFonts w:ascii="Arial" w:hAnsi="Arial" w:cs="Arial"/>
                <w:sz w:val="18"/>
                <w:szCs w:val="18"/>
                <w:lang w:val="es-ES_tradnl"/>
              </w:rPr>
            </w:pPr>
            <w:r w:rsidRPr="00D77DA7">
              <w:rPr>
                <w:rFonts w:ascii="Arial" w:hAnsi="Arial" w:cs="Arial"/>
                <w:sz w:val="18"/>
                <w:szCs w:val="18"/>
                <w:lang w:val="es-ES_tradnl"/>
              </w:rPr>
              <w:t>Ayto.</w:t>
            </w:r>
          </w:p>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 xml:space="preserve">14 de </w:t>
            </w:r>
            <w:r w:rsidR="00F52EDB" w:rsidRPr="00D77DA7">
              <w:rPr>
                <w:rFonts w:ascii="Arial" w:hAnsi="Arial" w:cs="Arial"/>
                <w:sz w:val="18"/>
                <w:szCs w:val="18"/>
                <w:lang w:val="es-ES_tradnl"/>
              </w:rPr>
              <w:t>junio</w:t>
            </w:r>
            <w:r w:rsidRPr="00D77DA7">
              <w:rPr>
                <w:rFonts w:ascii="Arial" w:hAnsi="Arial" w:cs="Arial"/>
                <w:sz w:val="18"/>
                <w:szCs w:val="18"/>
                <w:lang w:val="es-ES_tradnl"/>
              </w:rPr>
              <w:t xml:space="preserve"> D.L.</w:t>
            </w:r>
          </w:p>
        </w:tc>
      </w:tr>
    </w:tbl>
    <w:p w:rsidR="00A256AB" w:rsidRPr="00D77DA7" w:rsidRDefault="00A256AB" w:rsidP="00A256AB">
      <w:pPr>
        <w:jc w:val="both"/>
        <w:rPr>
          <w:rFonts w:ascii="Arial" w:hAnsi="Arial" w:cs="Arial"/>
          <w:i/>
          <w:iCs/>
          <w:sz w:val="16"/>
          <w:szCs w:val="16"/>
        </w:rPr>
      </w:pPr>
      <w:r w:rsidRPr="00D77DA7">
        <w:rPr>
          <w:rFonts w:ascii="Arial" w:hAnsi="Arial" w:cs="Arial"/>
          <w:b/>
          <w:bCs/>
          <w:i/>
          <w:iCs/>
          <w:sz w:val="16"/>
          <w:szCs w:val="16"/>
        </w:rPr>
        <w:t>Fuente:</w:t>
      </w:r>
      <w:r w:rsidRPr="00D77DA7">
        <w:rPr>
          <w:rFonts w:ascii="Arial" w:hAnsi="Arial" w:cs="Arial"/>
          <w:i/>
          <w:iCs/>
          <w:sz w:val="16"/>
          <w:szCs w:val="16"/>
        </w:rPr>
        <w:t xml:space="preserve"> Elaboración propia en base al Acuerdo IEEM/CG/146/2012</w:t>
      </w:r>
      <w:r w:rsidR="00D77DA7" w:rsidRPr="00D77DA7">
        <w:rPr>
          <w:rFonts w:ascii="Arial" w:hAnsi="Arial" w:cs="Arial"/>
          <w:i/>
          <w:iCs/>
          <w:sz w:val="16"/>
          <w:szCs w:val="16"/>
        </w:rPr>
        <w:t>.</w:t>
      </w:r>
    </w:p>
    <w:p w:rsidR="00D77DA7" w:rsidRPr="00A85D78" w:rsidRDefault="00D77DA7" w:rsidP="00A256AB">
      <w:pPr>
        <w:jc w:val="both"/>
        <w:rPr>
          <w:rFonts w:ascii="Arial" w:hAnsi="Arial" w:cs="Arial"/>
          <w:sz w:val="24"/>
          <w:szCs w:val="24"/>
        </w:rPr>
      </w:pPr>
    </w:p>
    <w:p w:rsidR="00A256AB" w:rsidRDefault="00A256AB" w:rsidP="00A256AB">
      <w:pPr>
        <w:jc w:val="both"/>
        <w:rPr>
          <w:rFonts w:ascii="Arial" w:hAnsi="Arial" w:cs="Arial"/>
          <w:sz w:val="24"/>
          <w:szCs w:val="24"/>
        </w:rPr>
      </w:pPr>
      <w:r w:rsidRPr="00A85D78">
        <w:rPr>
          <w:rFonts w:ascii="Arial" w:hAnsi="Arial" w:cs="Arial"/>
          <w:sz w:val="24"/>
          <w:szCs w:val="24"/>
        </w:rPr>
        <w:t xml:space="preserve">En este contexto los procesos de selección interna de candidatos a Diputados Locales y Ayuntamientos tuvieron fechas distintas, por </w:t>
      </w:r>
      <w:proofErr w:type="gramStart"/>
      <w:r w:rsidRPr="00A85D78">
        <w:rPr>
          <w:rFonts w:ascii="Arial" w:hAnsi="Arial" w:cs="Arial"/>
          <w:sz w:val="24"/>
          <w:szCs w:val="24"/>
        </w:rPr>
        <w:t>tanto</w:t>
      </w:r>
      <w:proofErr w:type="gramEnd"/>
      <w:r w:rsidRPr="00A85D78">
        <w:rPr>
          <w:rFonts w:ascii="Arial" w:hAnsi="Arial" w:cs="Arial"/>
          <w:sz w:val="24"/>
          <w:szCs w:val="24"/>
        </w:rPr>
        <w:t xml:space="preserve"> la fiscalización fue realizada por separado, es decir se elaboraron dos </w:t>
      </w:r>
      <w:r w:rsidR="00E02940">
        <w:rPr>
          <w:rFonts w:ascii="Arial" w:hAnsi="Arial" w:cs="Arial"/>
          <w:sz w:val="24"/>
          <w:szCs w:val="24"/>
        </w:rPr>
        <w:t>d</w:t>
      </w:r>
      <w:r w:rsidRPr="00A85D78">
        <w:rPr>
          <w:rFonts w:ascii="Arial" w:hAnsi="Arial" w:cs="Arial"/>
          <w:sz w:val="24"/>
          <w:szCs w:val="24"/>
        </w:rPr>
        <w:t>ictámenes distintos. En el primero de ellos correspondiente a la revisión sobre el origen, monto, volumen, aplicación y destino del financiamiento público y privado que ejercieron los partidos políticos en las precampañas de los procesos internos de candidatos a miembros de Ayuntamientos no fueron detectadas conductas infractoras:</w:t>
      </w:r>
    </w:p>
    <w:p w:rsidR="00D77DA7" w:rsidRPr="00A85D78" w:rsidRDefault="00D77DA7" w:rsidP="00A256AB">
      <w:pPr>
        <w:jc w:val="both"/>
        <w:rPr>
          <w:rFonts w:ascii="Arial" w:hAnsi="Arial" w:cs="Arial"/>
          <w:sz w:val="24"/>
          <w:szCs w:val="24"/>
        </w:rPr>
      </w:pPr>
    </w:p>
    <w:p w:rsidR="00A256AB" w:rsidRDefault="00A256AB" w:rsidP="00A256AB">
      <w:pPr>
        <w:ind w:left="284" w:right="284"/>
        <w:jc w:val="both"/>
        <w:rPr>
          <w:rFonts w:ascii="Arial" w:hAnsi="Arial" w:cs="Arial"/>
          <w:i/>
        </w:rPr>
      </w:pPr>
      <w:r w:rsidRPr="00A85D78">
        <w:rPr>
          <w:rFonts w:ascii="Arial" w:hAnsi="Arial" w:cs="Arial"/>
          <w:i/>
        </w:rPr>
        <w:t xml:space="preserve"> “los partidos políticos Acción Nacional, Revolucionario Institucional, de la Revolución Democrática, del Trabajo, Verde Ecologista de México, Nueva Alianza y Movimiento Ciudadano, no cometieron irregularidades en materia de fiscalización susceptibles de ser sancionadas</w:t>
      </w:r>
      <w:r w:rsidR="00F52EDB" w:rsidRPr="00A85D78">
        <w:rPr>
          <w:rFonts w:ascii="Arial" w:hAnsi="Arial" w:cs="Arial"/>
          <w:i/>
        </w:rPr>
        <w:t>”. (</w:t>
      </w:r>
      <w:r w:rsidRPr="00A85D78">
        <w:rPr>
          <w:rFonts w:ascii="Arial" w:hAnsi="Arial" w:cs="Arial"/>
          <w:i/>
        </w:rPr>
        <w:t>IEEM/CG146/2012, p.16)</w:t>
      </w:r>
      <w:r w:rsidR="00D77DA7">
        <w:rPr>
          <w:rFonts w:ascii="Arial" w:hAnsi="Arial" w:cs="Arial"/>
          <w:i/>
        </w:rPr>
        <w:t>.</w:t>
      </w:r>
    </w:p>
    <w:p w:rsidR="00D77DA7" w:rsidRPr="00A85D78" w:rsidRDefault="00D77DA7" w:rsidP="00A256AB">
      <w:pPr>
        <w:ind w:left="284" w:right="284"/>
        <w:jc w:val="both"/>
        <w:rPr>
          <w:rFonts w:ascii="Arial" w:hAnsi="Arial" w:cs="Arial"/>
          <w:i/>
        </w:rPr>
      </w:pP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 xml:space="preserve">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en el Dictamen correspondiente a la fiscalización de las precampañas de Diputados Locales, mediante el acuerdo CG/199/2012, se aprobaron las siguientes sanciones: </w:t>
      </w:r>
    </w:p>
    <w:p w:rsidR="00D77DA7" w:rsidRPr="00A85D78" w:rsidRDefault="00D77DA7" w:rsidP="00D77DA7">
      <w:pPr>
        <w:spacing w:line="360" w:lineRule="auto"/>
        <w:jc w:val="both"/>
        <w:rPr>
          <w:rFonts w:ascii="Arial" w:hAnsi="Arial" w:cs="Arial"/>
          <w:sz w:val="24"/>
          <w:szCs w:val="24"/>
        </w:rPr>
      </w:pPr>
    </w:p>
    <w:p w:rsidR="00A256AB" w:rsidRPr="00D77DA7" w:rsidRDefault="00A256AB" w:rsidP="00FA50A9">
      <w:pPr>
        <w:pStyle w:val="Prrafodelista"/>
        <w:numPr>
          <w:ilvl w:val="0"/>
          <w:numId w:val="90"/>
        </w:numPr>
        <w:spacing w:line="360" w:lineRule="auto"/>
        <w:jc w:val="both"/>
        <w:rPr>
          <w:rFonts w:ascii="Arial" w:hAnsi="Arial" w:cs="Arial"/>
          <w:sz w:val="24"/>
          <w:szCs w:val="24"/>
        </w:rPr>
      </w:pPr>
      <w:r w:rsidRPr="00D77DA7">
        <w:rPr>
          <w:rFonts w:ascii="Arial" w:hAnsi="Arial" w:cs="Arial"/>
          <w:sz w:val="24"/>
          <w:szCs w:val="24"/>
        </w:rPr>
        <w:t>El PAN incurrió en una falta formal al realizar traspasos de la cuenta bancaria de precampaña a la cuenta de actividad ordinaría por un monto de $4,300,000.00; infringiendo con esto lo dispuesto en los artículos 52, fracciones II, XIII y XVIII, del Código Electoral del Estado de México; y 31 del Reglamento de Fiscalización a las Actividades de los Partidos Políticos y Coaliciones del Instituto Electoral del Estado México. Dicha falta fue calificada como “</w:t>
      </w:r>
      <w:proofErr w:type="gramStart"/>
      <w:r w:rsidRPr="00D77DA7">
        <w:rPr>
          <w:rFonts w:ascii="Arial" w:hAnsi="Arial" w:cs="Arial"/>
          <w:sz w:val="24"/>
          <w:szCs w:val="24"/>
        </w:rPr>
        <w:t>levísima”  y</w:t>
      </w:r>
      <w:proofErr w:type="gramEnd"/>
      <w:r w:rsidRPr="00D77DA7">
        <w:rPr>
          <w:rFonts w:ascii="Arial" w:hAnsi="Arial" w:cs="Arial"/>
          <w:sz w:val="24"/>
          <w:szCs w:val="24"/>
        </w:rPr>
        <w:t xml:space="preserve">  sancionada conforme a lo estipulado por el artículo 355 fracción I, inciso a) del CEEM; con 150 días de salario mínimo equivalentes a $8,862.00. </w:t>
      </w:r>
    </w:p>
    <w:p w:rsidR="00A256AB" w:rsidRPr="00A85D78" w:rsidRDefault="00A256AB" w:rsidP="00D77DA7">
      <w:pPr>
        <w:spacing w:line="360" w:lineRule="auto"/>
        <w:jc w:val="both"/>
        <w:rPr>
          <w:rFonts w:ascii="Arial" w:hAnsi="Arial" w:cs="Arial"/>
          <w:sz w:val="24"/>
          <w:szCs w:val="24"/>
        </w:rPr>
      </w:pPr>
    </w:p>
    <w:p w:rsidR="00A256AB" w:rsidRPr="00D77DA7" w:rsidRDefault="00A256AB" w:rsidP="00FA50A9">
      <w:pPr>
        <w:pStyle w:val="Prrafodelista"/>
        <w:numPr>
          <w:ilvl w:val="0"/>
          <w:numId w:val="90"/>
        </w:numPr>
        <w:spacing w:line="360" w:lineRule="auto"/>
        <w:jc w:val="both"/>
        <w:rPr>
          <w:rFonts w:ascii="Arial" w:hAnsi="Arial" w:cs="Arial"/>
          <w:sz w:val="24"/>
          <w:szCs w:val="24"/>
        </w:rPr>
      </w:pPr>
      <w:r w:rsidRPr="00D77DA7">
        <w:rPr>
          <w:rFonts w:ascii="Arial" w:hAnsi="Arial" w:cs="Arial"/>
          <w:sz w:val="24"/>
          <w:szCs w:val="24"/>
        </w:rPr>
        <w:t xml:space="preserve">Por parte del Partido Movimiento Ciudadano; se cometió una falta formal consistente en no ajustar la propaganda consistente en banderas, vinilonas, adheribles y microperforados, a los requisitos legales que </w:t>
      </w:r>
      <w:r w:rsidRPr="00D77DA7">
        <w:rPr>
          <w:rFonts w:ascii="Arial" w:hAnsi="Arial" w:cs="Arial"/>
          <w:sz w:val="24"/>
          <w:szCs w:val="24"/>
        </w:rPr>
        <w:lastRenderedPageBreak/>
        <w:t>establecen la obligatoriedad de señalar de manera expresa la calidad de precandidato. Por tal situación M.C. omitió lo estipulado en el artículo 144 C, párrafo segundo, del Código Electoral del Estado de México; tipificándose la falta como “levísima” y acreedora a una multa económica de 150 DSM lo que traducido a moneda nacional significó $8,862.00.</w:t>
      </w:r>
    </w:p>
    <w:p w:rsidR="00D77DA7" w:rsidRPr="00D77DA7" w:rsidRDefault="00D77DA7" w:rsidP="00D77DA7">
      <w:pPr>
        <w:spacing w:line="360" w:lineRule="auto"/>
        <w:jc w:val="both"/>
        <w:rPr>
          <w:rFonts w:ascii="Arial" w:hAnsi="Arial" w:cs="Arial"/>
          <w:sz w:val="24"/>
          <w:szCs w:val="24"/>
        </w:rPr>
      </w:pP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La revisión de los gastos correspondientes a la precampaña del proceso electoral 2012, incluyendo Ayuntamientos y Diputados Locales, arrojó como saldo 2 faltas formales que significaron 17 mil 724 pesos en multas.</w:t>
      </w:r>
    </w:p>
    <w:p w:rsidR="00D77DA7" w:rsidRDefault="00D77DA7" w:rsidP="00D77DA7">
      <w:pPr>
        <w:spacing w:line="360" w:lineRule="auto"/>
        <w:jc w:val="both"/>
        <w:rPr>
          <w:rFonts w:ascii="Arial" w:hAnsi="Arial" w:cs="Arial"/>
          <w:sz w:val="24"/>
          <w:szCs w:val="24"/>
        </w:rPr>
      </w:pPr>
    </w:p>
    <w:p w:rsidR="00D77DA7" w:rsidRPr="00A85D78" w:rsidRDefault="00D77DA7" w:rsidP="00D77DA7">
      <w:pPr>
        <w:spacing w:line="360" w:lineRule="auto"/>
        <w:jc w:val="both"/>
        <w:rPr>
          <w:rFonts w:ascii="Arial" w:hAnsi="Arial" w:cs="Arial"/>
          <w:sz w:val="24"/>
          <w:szCs w:val="24"/>
        </w:rPr>
      </w:pPr>
    </w:p>
    <w:p w:rsidR="00A256AB" w:rsidRPr="00A85D78" w:rsidRDefault="00A256AB" w:rsidP="00D77DA7">
      <w:pPr>
        <w:spacing w:line="360" w:lineRule="auto"/>
        <w:jc w:val="both"/>
        <w:rPr>
          <w:rFonts w:ascii="Arial" w:hAnsi="Arial" w:cs="Arial"/>
          <w:b/>
          <w:sz w:val="24"/>
          <w:szCs w:val="24"/>
        </w:rPr>
      </w:pPr>
      <w:r w:rsidRPr="00A85D78">
        <w:rPr>
          <w:rFonts w:ascii="Arial" w:hAnsi="Arial" w:cs="Arial"/>
          <w:b/>
          <w:sz w:val="24"/>
          <w:szCs w:val="24"/>
        </w:rPr>
        <w:t>4.1.3.2 Campaña</w:t>
      </w:r>
      <w:r w:rsidR="00927E74">
        <w:rPr>
          <w:rFonts w:ascii="Arial" w:hAnsi="Arial" w:cs="Arial"/>
          <w:b/>
          <w:sz w:val="24"/>
          <w:szCs w:val="24"/>
        </w:rPr>
        <w:t>.</w:t>
      </w: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Para el cronograma de campaña de los Diputados Locales y Ayuntamientos, se regresó al formato de un solo dictamen para ambos cargos, como puede observarse en la Tabla 4.10</w:t>
      </w:r>
      <w:r w:rsidR="00D77DA7">
        <w:rPr>
          <w:rFonts w:ascii="Arial" w:hAnsi="Arial" w:cs="Arial"/>
          <w:sz w:val="24"/>
          <w:szCs w:val="24"/>
        </w:rPr>
        <w:t>.</w:t>
      </w:r>
    </w:p>
    <w:p w:rsidR="00D77DA7" w:rsidRPr="00A85D78" w:rsidRDefault="00D77DA7" w:rsidP="00D77DA7">
      <w:pPr>
        <w:spacing w:line="360" w:lineRule="auto"/>
        <w:jc w:val="both"/>
        <w:rPr>
          <w:rFonts w:ascii="Arial" w:hAnsi="Arial" w:cs="Arial"/>
          <w:sz w:val="24"/>
          <w:szCs w:val="24"/>
        </w:rPr>
      </w:pPr>
    </w:p>
    <w:p w:rsidR="00A256AB" w:rsidRDefault="00A256AB" w:rsidP="00D77DA7">
      <w:pPr>
        <w:tabs>
          <w:tab w:val="left" w:pos="5070"/>
        </w:tabs>
        <w:jc w:val="both"/>
        <w:rPr>
          <w:rStyle w:val="Ttulodellibro"/>
          <w:rFonts w:ascii="Arial" w:hAnsi="Arial" w:cs="Arial"/>
          <w:b/>
          <w:i/>
          <w:color w:val="auto"/>
          <w:sz w:val="20"/>
          <w:szCs w:val="20"/>
        </w:rPr>
      </w:pPr>
      <w:r w:rsidRPr="00D77DA7">
        <w:rPr>
          <w:rStyle w:val="Ttulodellibro"/>
          <w:rFonts w:ascii="Arial" w:hAnsi="Arial" w:cs="Arial"/>
          <w:b/>
          <w:i/>
          <w:color w:val="auto"/>
          <w:sz w:val="20"/>
          <w:szCs w:val="20"/>
        </w:rPr>
        <w:t>Tabla 4.10 Calendario de fiscalización campaña 2012</w:t>
      </w:r>
      <w:r w:rsidR="00D77DA7">
        <w:rPr>
          <w:rStyle w:val="Ttulodellibro"/>
          <w:rFonts w:ascii="Arial" w:hAnsi="Arial" w:cs="Arial"/>
          <w:b/>
          <w:i/>
          <w:color w:val="auto"/>
          <w:sz w:val="20"/>
          <w:szCs w:val="20"/>
        </w:rPr>
        <w:t>.</w:t>
      </w:r>
    </w:p>
    <w:p w:rsidR="00D77DA7" w:rsidRPr="00D77DA7" w:rsidRDefault="00D77DA7" w:rsidP="00D77DA7">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557"/>
        <w:gridCol w:w="1390"/>
        <w:gridCol w:w="1385"/>
        <w:gridCol w:w="1386"/>
        <w:gridCol w:w="1386"/>
        <w:gridCol w:w="1390"/>
      </w:tblGrid>
      <w:tr w:rsidR="00A256AB" w:rsidRPr="00A85D78" w:rsidTr="00D77DA7">
        <w:tc>
          <w:tcPr>
            <w:tcW w:w="917"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PRESENTACIÓN INFORME</w:t>
            </w:r>
          </w:p>
        </w:tc>
        <w:tc>
          <w:tcPr>
            <w:tcW w:w="818"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REVISIÓN PRELIMINAR</w:t>
            </w:r>
          </w:p>
        </w:tc>
        <w:tc>
          <w:tcPr>
            <w:tcW w:w="815"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REVISIÓN EN GABINETE</w:t>
            </w:r>
          </w:p>
        </w:tc>
        <w:tc>
          <w:tcPr>
            <w:tcW w:w="816"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ERRORES Y OMISIONES</w:t>
            </w:r>
          </w:p>
        </w:tc>
        <w:tc>
          <w:tcPr>
            <w:tcW w:w="816"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RESPUESTA A ERRORES Y OMISIONES</w:t>
            </w:r>
          </w:p>
        </w:tc>
        <w:tc>
          <w:tcPr>
            <w:tcW w:w="818" w:type="pct"/>
            <w:shd w:val="clear" w:color="auto" w:fill="FBE4D5" w:themeFill="accent2" w:themeFillTint="33"/>
            <w:vAlign w:val="center"/>
          </w:tcPr>
          <w:p w:rsidR="00A256AB" w:rsidRPr="00A85D78" w:rsidRDefault="00E02940" w:rsidP="00A256AB">
            <w:pPr>
              <w:jc w:val="center"/>
              <w:rPr>
                <w:rFonts w:ascii="Arial" w:hAnsi="Arial" w:cs="Arial"/>
                <w:b/>
                <w:sz w:val="16"/>
                <w:szCs w:val="16"/>
                <w:lang w:val="es-ES_tradnl"/>
              </w:rPr>
            </w:pPr>
            <w:r w:rsidRPr="00A85D78">
              <w:rPr>
                <w:rFonts w:ascii="Arial" w:hAnsi="Arial" w:cs="Arial"/>
                <w:b/>
                <w:sz w:val="16"/>
                <w:szCs w:val="16"/>
                <w:lang w:val="es-ES_tradnl"/>
              </w:rPr>
              <w:t>DICTAMEN Y RESOLUCIÓN</w:t>
            </w:r>
          </w:p>
        </w:tc>
      </w:tr>
      <w:tr w:rsidR="00A256AB" w:rsidRPr="00A85D78" w:rsidTr="00D77DA7">
        <w:tc>
          <w:tcPr>
            <w:tcW w:w="917"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107 días</w:t>
            </w:r>
          </w:p>
        </w:tc>
        <w:tc>
          <w:tcPr>
            <w:tcW w:w="818"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30 días</w:t>
            </w:r>
          </w:p>
        </w:tc>
        <w:tc>
          <w:tcPr>
            <w:tcW w:w="8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 días</w:t>
            </w:r>
          </w:p>
        </w:tc>
        <w:tc>
          <w:tcPr>
            <w:tcW w:w="81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47 días</w:t>
            </w:r>
          </w:p>
        </w:tc>
        <w:tc>
          <w:tcPr>
            <w:tcW w:w="81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42 días</w:t>
            </w:r>
          </w:p>
        </w:tc>
        <w:tc>
          <w:tcPr>
            <w:tcW w:w="818"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 día</w:t>
            </w:r>
          </w:p>
        </w:tc>
      </w:tr>
      <w:tr w:rsidR="00A256AB" w:rsidRPr="00A85D78" w:rsidTr="00D77DA7">
        <w:tc>
          <w:tcPr>
            <w:tcW w:w="917"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A </w:t>
            </w:r>
            <w:r w:rsidR="00F52EDB" w:rsidRPr="00A85D78">
              <w:rPr>
                <w:rFonts w:ascii="Arial" w:hAnsi="Arial" w:cs="Arial"/>
                <w:sz w:val="16"/>
                <w:szCs w:val="16"/>
                <w:lang w:val="es-ES_tradnl"/>
              </w:rPr>
              <w:t>más tardar</w:t>
            </w:r>
            <w:r w:rsidRPr="00A85D78">
              <w:rPr>
                <w:rFonts w:ascii="Arial" w:hAnsi="Arial" w:cs="Arial"/>
                <w:sz w:val="16"/>
                <w:szCs w:val="16"/>
                <w:lang w:val="es-ES_tradnl"/>
              </w:rPr>
              <w:t xml:space="preserve"> 21 </w:t>
            </w:r>
            <w:r w:rsidR="00F52EDB" w:rsidRPr="00A85D78">
              <w:rPr>
                <w:rFonts w:ascii="Arial" w:hAnsi="Arial" w:cs="Arial"/>
                <w:sz w:val="16"/>
                <w:szCs w:val="16"/>
                <w:lang w:val="es-ES_tradnl"/>
              </w:rPr>
              <w:t>octubre</w:t>
            </w:r>
          </w:p>
        </w:tc>
        <w:tc>
          <w:tcPr>
            <w:tcW w:w="818"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22 de </w:t>
            </w:r>
            <w:r w:rsidR="00F52EDB" w:rsidRPr="00A85D78">
              <w:rPr>
                <w:rFonts w:ascii="Arial" w:hAnsi="Arial" w:cs="Arial"/>
                <w:sz w:val="16"/>
                <w:szCs w:val="16"/>
                <w:lang w:val="es-ES_tradnl"/>
              </w:rPr>
              <w:t>octubre</w:t>
            </w:r>
            <w:r w:rsidRPr="00A85D78">
              <w:rPr>
                <w:rFonts w:ascii="Arial" w:hAnsi="Arial" w:cs="Arial"/>
                <w:sz w:val="16"/>
                <w:szCs w:val="16"/>
                <w:lang w:val="es-ES_tradnl"/>
              </w:rPr>
              <w:t xml:space="preserve"> al 21 de </w:t>
            </w:r>
            <w:r w:rsidR="00F52EDB" w:rsidRPr="00A85D78">
              <w:rPr>
                <w:rFonts w:ascii="Arial" w:hAnsi="Arial" w:cs="Arial"/>
                <w:sz w:val="16"/>
                <w:szCs w:val="16"/>
                <w:lang w:val="es-ES_tradnl"/>
              </w:rPr>
              <w:t>noviembre</w:t>
            </w:r>
          </w:p>
        </w:tc>
        <w:tc>
          <w:tcPr>
            <w:tcW w:w="8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03 de </w:t>
            </w:r>
            <w:r w:rsidR="00F52EDB" w:rsidRPr="00A85D78">
              <w:rPr>
                <w:rFonts w:ascii="Arial" w:hAnsi="Arial" w:cs="Arial"/>
                <w:sz w:val="16"/>
                <w:szCs w:val="16"/>
                <w:lang w:val="es-ES_tradnl"/>
              </w:rPr>
              <w:t>diciembre</w:t>
            </w:r>
          </w:p>
        </w:tc>
        <w:tc>
          <w:tcPr>
            <w:tcW w:w="81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04 de </w:t>
            </w:r>
            <w:r w:rsidR="00F52EDB" w:rsidRPr="00A85D78">
              <w:rPr>
                <w:rFonts w:ascii="Arial" w:hAnsi="Arial" w:cs="Arial"/>
                <w:sz w:val="16"/>
                <w:szCs w:val="16"/>
                <w:lang w:val="es-ES_tradnl"/>
              </w:rPr>
              <w:t>diciembre</w:t>
            </w:r>
            <w:r w:rsidRPr="00A85D78">
              <w:rPr>
                <w:rFonts w:ascii="Arial" w:hAnsi="Arial" w:cs="Arial"/>
                <w:sz w:val="16"/>
                <w:szCs w:val="16"/>
                <w:lang w:val="es-ES_tradnl"/>
              </w:rPr>
              <w:t xml:space="preserve"> al 21 de </w:t>
            </w:r>
            <w:r w:rsidR="00F52EDB" w:rsidRPr="00A85D78">
              <w:rPr>
                <w:rFonts w:ascii="Arial" w:hAnsi="Arial" w:cs="Arial"/>
                <w:sz w:val="16"/>
                <w:szCs w:val="16"/>
                <w:lang w:val="es-ES_tradnl"/>
              </w:rPr>
              <w:t>enero</w:t>
            </w:r>
          </w:p>
        </w:tc>
        <w:tc>
          <w:tcPr>
            <w:tcW w:w="81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02 de </w:t>
            </w:r>
            <w:r w:rsidR="00F52EDB" w:rsidRPr="00A85D78">
              <w:rPr>
                <w:rFonts w:ascii="Arial" w:hAnsi="Arial" w:cs="Arial"/>
                <w:sz w:val="16"/>
                <w:szCs w:val="16"/>
                <w:lang w:val="es-ES_tradnl"/>
              </w:rPr>
              <w:t>mayo</w:t>
            </w:r>
          </w:p>
        </w:tc>
        <w:tc>
          <w:tcPr>
            <w:tcW w:w="818"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03 de </w:t>
            </w:r>
            <w:r w:rsidR="00F52EDB" w:rsidRPr="00A85D78">
              <w:rPr>
                <w:rFonts w:ascii="Arial" w:hAnsi="Arial" w:cs="Arial"/>
                <w:sz w:val="16"/>
                <w:szCs w:val="16"/>
                <w:lang w:val="es-ES_tradnl"/>
              </w:rPr>
              <w:t>mayo</w:t>
            </w:r>
          </w:p>
        </w:tc>
      </w:tr>
    </w:tbl>
    <w:p w:rsidR="00A256AB" w:rsidRPr="00D77DA7" w:rsidRDefault="00A256AB" w:rsidP="00A256AB">
      <w:pPr>
        <w:jc w:val="both"/>
        <w:rPr>
          <w:rFonts w:ascii="Arial" w:hAnsi="Arial" w:cs="Arial"/>
          <w:i/>
          <w:iCs/>
          <w:sz w:val="16"/>
          <w:szCs w:val="16"/>
        </w:rPr>
      </w:pPr>
      <w:r w:rsidRPr="00D77DA7">
        <w:rPr>
          <w:rFonts w:ascii="Arial" w:hAnsi="Arial" w:cs="Arial"/>
          <w:b/>
          <w:bCs/>
          <w:i/>
          <w:iCs/>
          <w:sz w:val="16"/>
          <w:szCs w:val="16"/>
        </w:rPr>
        <w:t>Fuente:</w:t>
      </w:r>
      <w:r w:rsidRPr="00D77DA7">
        <w:rPr>
          <w:rFonts w:ascii="Arial" w:hAnsi="Arial" w:cs="Arial"/>
          <w:i/>
          <w:iCs/>
          <w:sz w:val="16"/>
          <w:szCs w:val="16"/>
        </w:rPr>
        <w:t xml:space="preserve"> Elaboración propia en base al acuerdo IEEM/CG/09/2013</w:t>
      </w:r>
      <w:r w:rsidR="00D77DA7" w:rsidRPr="00D77DA7">
        <w:rPr>
          <w:rFonts w:ascii="Arial" w:hAnsi="Arial" w:cs="Arial"/>
          <w:i/>
          <w:iCs/>
          <w:sz w:val="16"/>
          <w:szCs w:val="16"/>
        </w:rPr>
        <w:t>.</w:t>
      </w:r>
    </w:p>
    <w:p w:rsidR="00D77DA7" w:rsidRPr="00A85D78" w:rsidRDefault="00D77DA7" w:rsidP="00A256AB">
      <w:pPr>
        <w:jc w:val="both"/>
        <w:rPr>
          <w:rFonts w:ascii="Arial" w:hAnsi="Arial" w:cs="Arial"/>
          <w:sz w:val="16"/>
          <w:szCs w:val="16"/>
        </w:rPr>
      </w:pPr>
    </w:p>
    <w:p w:rsidR="00D77DA7" w:rsidRDefault="00D77DA7" w:rsidP="00D77DA7">
      <w:pPr>
        <w:spacing w:line="360" w:lineRule="auto"/>
        <w:jc w:val="both"/>
        <w:rPr>
          <w:rFonts w:ascii="Arial" w:hAnsi="Arial" w:cs="Arial"/>
          <w:sz w:val="24"/>
          <w:szCs w:val="24"/>
        </w:rPr>
      </w:pP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El proceso de fiscalización de campaña alcanz</w:t>
      </w:r>
      <w:r w:rsidR="00E02940">
        <w:rPr>
          <w:rFonts w:ascii="Arial" w:hAnsi="Arial" w:cs="Arial"/>
          <w:sz w:val="24"/>
          <w:szCs w:val="24"/>
        </w:rPr>
        <w:t>ó</w:t>
      </w:r>
      <w:r w:rsidRPr="00A85D78">
        <w:rPr>
          <w:rFonts w:ascii="Arial" w:hAnsi="Arial" w:cs="Arial"/>
          <w:sz w:val="24"/>
          <w:szCs w:val="24"/>
        </w:rPr>
        <w:t xml:space="preserve"> los 240 días, en los que la revisión de los informes de campaña de los diferentes partidos y coaliciones arrojaron como resultado de conformidad con el acuerdo IEEM/CG/09/2013, en el que se desprenden las conductas que fueron sancionadas por el Consejo General; en términos generales se detectaron menos faltas que en el proceso electoral del 2009, 15 faltas en total fueron detectadas 11 formales y 4 sustanciales</w:t>
      </w:r>
      <w:r w:rsidRPr="00D77DA7">
        <w:footnoteReference w:id="23"/>
      </w:r>
      <w:r w:rsidRPr="00A85D78">
        <w:rPr>
          <w:rFonts w:ascii="Arial" w:hAnsi="Arial" w:cs="Arial"/>
          <w:sz w:val="24"/>
          <w:szCs w:val="24"/>
        </w:rPr>
        <w:t xml:space="preserve">. A </w:t>
      </w:r>
      <w:proofErr w:type="gramStart"/>
      <w:r w:rsidRPr="00A85D78">
        <w:rPr>
          <w:rFonts w:ascii="Arial" w:hAnsi="Arial" w:cs="Arial"/>
          <w:sz w:val="24"/>
          <w:szCs w:val="24"/>
        </w:rPr>
        <w:t>continuación</w:t>
      </w:r>
      <w:proofErr w:type="gramEnd"/>
      <w:r w:rsidRPr="00A85D78">
        <w:rPr>
          <w:rFonts w:ascii="Arial" w:hAnsi="Arial" w:cs="Arial"/>
          <w:sz w:val="24"/>
          <w:szCs w:val="24"/>
        </w:rPr>
        <w:t xml:space="preserve"> en las tablas 4.11 y 4.12 se presenta de forma resumida la calificación, sanción correspondiente y precepto legal aplicado para sancionar las faltas de los partidos.</w:t>
      </w:r>
    </w:p>
    <w:p w:rsidR="00D77DA7" w:rsidRPr="00A85D78" w:rsidRDefault="00D77DA7" w:rsidP="00D77DA7">
      <w:pPr>
        <w:spacing w:line="360" w:lineRule="auto"/>
        <w:jc w:val="both"/>
        <w:rPr>
          <w:rFonts w:ascii="Arial" w:hAnsi="Arial" w:cs="Arial"/>
          <w:sz w:val="24"/>
          <w:szCs w:val="24"/>
        </w:rPr>
      </w:pPr>
    </w:p>
    <w:p w:rsidR="00A256AB" w:rsidRDefault="00A256AB" w:rsidP="00D77DA7">
      <w:pPr>
        <w:tabs>
          <w:tab w:val="left" w:pos="5070"/>
        </w:tabs>
        <w:jc w:val="both"/>
        <w:rPr>
          <w:rStyle w:val="Ttulodellibro"/>
          <w:rFonts w:ascii="Arial" w:hAnsi="Arial" w:cs="Arial"/>
          <w:b/>
          <w:i/>
          <w:color w:val="auto"/>
          <w:sz w:val="20"/>
          <w:szCs w:val="20"/>
        </w:rPr>
      </w:pPr>
      <w:r w:rsidRPr="00D77DA7">
        <w:rPr>
          <w:rStyle w:val="Ttulodellibro"/>
          <w:rFonts w:ascii="Arial" w:hAnsi="Arial" w:cs="Arial"/>
          <w:b/>
          <w:i/>
          <w:color w:val="auto"/>
          <w:sz w:val="20"/>
          <w:szCs w:val="20"/>
        </w:rPr>
        <w:lastRenderedPageBreak/>
        <w:t>Tabla 4.11 Faltas Formales sancionadas en la campaña electoral 2012</w:t>
      </w:r>
      <w:r w:rsidR="00D77DA7">
        <w:rPr>
          <w:rStyle w:val="Ttulodellibro"/>
          <w:rFonts w:ascii="Arial" w:hAnsi="Arial" w:cs="Arial"/>
          <w:b/>
          <w:i/>
          <w:color w:val="auto"/>
          <w:sz w:val="20"/>
          <w:szCs w:val="20"/>
        </w:rPr>
        <w:t>.</w:t>
      </w:r>
    </w:p>
    <w:p w:rsidR="00D77DA7" w:rsidRPr="00D77DA7" w:rsidRDefault="00D77DA7" w:rsidP="00D77DA7">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342"/>
        <w:gridCol w:w="156"/>
        <w:gridCol w:w="658"/>
        <w:gridCol w:w="236"/>
        <w:gridCol w:w="1253"/>
        <w:gridCol w:w="595"/>
        <w:gridCol w:w="442"/>
        <w:gridCol w:w="963"/>
        <w:gridCol w:w="351"/>
        <w:gridCol w:w="763"/>
        <w:gridCol w:w="465"/>
        <w:gridCol w:w="1270"/>
      </w:tblGrid>
      <w:tr w:rsidR="00A256AB" w:rsidRPr="00D77DA7" w:rsidTr="00D77DA7">
        <w:tc>
          <w:tcPr>
            <w:tcW w:w="5000" w:type="pct"/>
            <w:gridSpan w:val="12"/>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FALTAS FORMALES (PARTIDOS)</w:t>
            </w:r>
          </w:p>
        </w:tc>
      </w:tr>
      <w:tr w:rsidR="00E02940" w:rsidRPr="00D77DA7" w:rsidTr="00D77DA7">
        <w:tc>
          <w:tcPr>
            <w:tcW w:w="725" w:type="pct"/>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PARTIDO</w:t>
            </w:r>
          </w:p>
        </w:tc>
        <w:tc>
          <w:tcPr>
            <w:tcW w:w="606" w:type="pct"/>
            <w:gridSpan w:val="3"/>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NÚMERO</w:t>
            </w:r>
          </w:p>
        </w:tc>
        <w:tc>
          <w:tcPr>
            <w:tcW w:w="1050" w:type="pct"/>
            <w:gridSpan w:val="2"/>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CALIFICACI</w:t>
            </w:r>
            <w:r w:rsidR="00E02940" w:rsidRPr="00D77DA7">
              <w:rPr>
                <w:rFonts w:ascii="Arial" w:hAnsi="Arial" w:cs="Arial"/>
                <w:b/>
                <w:sz w:val="18"/>
                <w:szCs w:val="18"/>
                <w:lang w:val="es-ES_tradnl"/>
              </w:rPr>
              <w:t>Ó</w:t>
            </w:r>
            <w:r w:rsidRPr="00D77DA7">
              <w:rPr>
                <w:rFonts w:ascii="Arial" w:hAnsi="Arial" w:cs="Arial"/>
                <w:b/>
                <w:sz w:val="18"/>
                <w:szCs w:val="18"/>
                <w:lang w:val="es-ES_tradnl"/>
              </w:rPr>
              <w:t>N</w:t>
            </w:r>
          </w:p>
        </w:tc>
        <w:tc>
          <w:tcPr>
            <w:tcW w:w="849" w:type="pct"/>
            <w:gridSpan w:val="2"/>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SANCI</w:t>
            </w:r>
            <w:r w:rsidR="00E02940" w:rsidRPr="00D77DA7">
              <w:rPr>
                <w:rFonts w:ascii="Arial" w:hAnsi="Arial" w:cs="Arial"/>
                <w:b/>
                <w:sz w:val="18"/>
                <w:szCs w:val="18"/>
                <w:lang w:val="es-ES_tradnl"/>
              </w:rPr>
              <w:t>Ó</w:t>
            </w:r>
            <w:r w:rsidRPr="00D77DA7">
              <w:rPr>
                <w:rFonts w:ascii="Arial" w:hAnsi="Arial" w:cs="Arial"/>
                <w:b/>
                <w:sz w:val="18"/>
                <w:szCs w:val="18"/>
                <w:lang w:val="es-ES_tradnl"/>
              </w:rPr>
              <w:t>N (DSM)</w:t>
            </w:r>
          </w:p>
        </w:tc>
        <w:tc>
          <w:tcPr>
            <w:tcW w:w="671" w:type="pct"/>
            <w:gridSpan w:val="2"/>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MULTA</w:t>
            </w:r>
          </w:p>
        </w:tc>
        <w:tc>
          <w:tcPr>
            <w:tcW w:w="1100" w:type="pct"/>
            <w:gridSpan w:val="2"/>
            <w:shd w:val="clear" w:color="auto" w:fill="FBE4D5" w:themeFill="accent2" w:themeFillTint="33"/>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PRECEPTO LEGAL</w:t>
            </w:r>
          </w:p>
        </w:tc>
      </w:tr>
      <w:tr w:rsidR="00E02940" w:rsidRPr="00D77DA7" w:rsidTr="00D77DA7">
        <w:tc>
          <w:tcPr>
            <w:tcW w:w="725" w:type="pct"/>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PRD</w:t>
            </w:r>
          </w:p>
        </w:tc>
        <w:tc>
          <w:tcPr>
            <w:tcW w:w="606" w:type="pct"/>
            <w:gridSpan w:val="3"/>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w:t>
            </w:r>
          </w:p>
        </w:tc>
        <w:tc>
          <w:tcPr>
            <w:tcW w:w="1050"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LEVE</w:t>
            </w:r>
          </w:p>
        </w:tc>
        <w:tc>
          <w:tcPr>
            <w:tcW w:w="849"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500</w:t>
            </w:r>
          </w:p>
        </w:tc>
        <w:tc>
          <w:tcPr>
            <w:tcW w:w="671"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$29,540.00</w:t>
            </w:r>
          </w:p>
        </w:tc>
        <w:tc>
          <w:tcPr>
            <w:tcW w:w="1100" w:type="pct"/>
            <w:gridSpan w:val="2"/>
            <w:vMerge w:val="restart"/>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ART. 355 FRACC 1 A) DEL CÓDIGO ELECTORAL DEL ESTADO DE MÉXICO</w:t>
            </w:r>
          </w:p>
        </w:tc>
      </w:tr>
      <w:tr w:rsidR="00E02940" w:rsidRPr="00D77DA7" w:rsidTr="00D77DA7">
        <w:tc>
          <w:tcPr>
            <w:tcW w:w="725" w:type="pct"/>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PT</w:t>
            </w:r>
          </w:p>
        </w:tc>
        <w:tc>
          <w:tcPr>
            <w:tcW w:w="606" w:type="pct"/>
            <w:gridSpan w:val="3"/>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2</w:t>
            </w:r>
          </w:p>
        </w:tc>
        <w:tc>
          <w:tcPr>
            <w:tcW w:w="1050"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LEVE</w:t>
            </w:r>
          </w:p>
        </w:tc>
        <w:tc>
          <w:tcPr>
            <w:tcW w:w="849"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1250</w:t>
            </w:r>
          </w:p>
        </w:tc>
        <w:tc>
          <w:tcPr>
            <w:tcW w:w="671"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$73,850.00</w:t>
            </w:r>
          </w:p>
        </w:tc>
        <w:tc>
          <w:tcPr>
            <w:tcW w:w="1100" w:type="pct"/>
            <w:gridSpan w:val="2"/>
            <w:vMerge/>
          </w:tcPr>
          <w:p w:rsidR="00A256AB" w:rsidRPr="00D77DA7" w:rsidRDefault="00A256AB" w:rsidP="00A256AB">
            <w:pPr>
              <w:jc w:val="center"/>
              <w:rPr>
                <w:rFonts w:ascii="Arial" w:hAnsi="Arial" w:cs="Arial"/>
                <w:sz w:val="18"/>
                <w:szCs w:val="18"/>
                <w:lang w:val="es-ES_tradnl"/>
              </w:rPr>
            </w:pPr>
          </w:p>
        </w:tc>
      </w:tr>
      <w:tr w:rsidR="00E02940" w:rsidRPr="00D77DA7" w:rsidTr="00D77DA7">
        <w:tc>
          <w:tcPr>
            <w:tcW w:w="725" w:type="pct"/>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MC</w:t>
            </w:r>
          </w:p>
        </w:tc>
        <w:tc>
          <w:tcPr>
            <w:tcW w:w="606" w:type="pct"/>
            <w:gridSpan w:val="3"/>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3</w:t>
            </w:r>
          </w:p>
        </w:tc>
        <w:tc>
          <w:tcPr>
            <w:tcW w:w="1050"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LEVE</w:t>
            </w:r>
          </w:p>
        </w:tc>
        <w:tc>
          <w:tcPr>
            <w:tcW w:w="849"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1000</w:t>
            </w:r>
          </w:p>
        </w:tc>
        <w:tc>
          <w:tcPr>
            <w:tcW w:w="671"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$59,080.00</w:t>
            </w:r>
          </w:p>
        </w:tc>
        <w:tc>
          <w:tcPr>
            <w:tcW w:w="1100" w:type="pct"/>
            <w:gridSpan w:val="2"/>
            <w:vMerge/>
          </w:tcPr>
          <w:p w:rsidR="00A256AB" w:rsidRPr="00D77DA7" w:rsidRDefault="00A256AB" w:rsidP="00A256AB">
            <w:pPr>
              <w:jc w:val="center"/>
              <w:rPr>
                <w:rFonts w:ascii="Arial" w:hAnsi="Arial" w:cs="Arial"/>
                <w:sz w:val="18"/>
                <w:szCs w:val="18"/>
                <w:lang w:val="es-ES_tradnl"/>
              </w:rPr>
            </w:pPr>
          </w:p>
        </w:tc>
      </w:tr>
      <w:tr w:rsidR="00A256AB" w:rsidRPr="00D77DA7" w:rsidTr="00D77DA7">
        <w:tc>
          <w:tcPr>
            <w:tcW w:w="5000" w:type="pct"/>
            <w:gridSpan w:val="12"/>
            <w:shd w:val="clear" w:color="auto" w:fill="FBE4D5" w:themeFill="accent2" w:themeFillTint="33"/>
          </w:tcPr>
          <w:p w:rsidR="00A256AB" w:rsidRPr="00D77DA7" w:rsidRDefault="00A256AB" w:rsidP="00A256AB">
            <w:pPr>
              <w:jc w:val="center"/>
              <w:rPr>
                <w:rFonts w:ascii="Arial" w:hAnsi="Arial" w:cs="Arial"/>
                <w:b/>
                <w:sz w:val="18"/>
                <w:szCs w:val="18"/>
                <w:lang w:val="es-ES_tradnl"/>
              </w:rPr>
            </w:pPr>
            <w:r w:rsidRPr="00D77DA7">
              <w:rPr>
                <w:rFonts w:ascii="Arial" w:hAnsi="Arial" w:cs="Arial"/>
                <w:b/>
                <w:sz w:val="18"/>
                <w:szCs w:val="18"/>
                <w:lang w:val="es-ES_tradnl"/>
              </w:rPr>
              <w:t>FALTAS FORMALES (COALICIONES)</w:t>
            </w:r>
          </w:p>
        </w:tc>
      </w:tr>
      <w:tr w:rsidR="00E02940" w:rsidRPr="00D77DA7" w:rsidTr="00D77DA7">
        <w:tc>
          <w:tcPr>
            <w:tcW w:w="808" w:type="pct"/>
            <w:gridSpan w:val="2"/>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COALICION</w:t>
            </w:r>
          </w:p>
        </w:tc>
        <w:tc>
          <w:tcPr>
            <w:tcW w:w="397" w:type="pct"/>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NÚM</w:t>
            </w:r>
          </w:p>
        </w:tc>
        <w:tc>
          <w:tcPr>
            <w:tcW w:w="805" w:type="pct"/>
            <w:gridSpan w:val="2"/>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CALIFICAC</w:t>
            </w:r>
            <w:r w:rsidR="00E02940" w:rsidRPr="00D77DA7">
              <w:rPr>
                <w:rFonts w:ascii="Arial" w:hAnsi="Arial" w:cs="Arial"/>
                <w:b/>
                <w:sz w:val="18"/>
                <w:szCs w:val="18"/>
                <w:lang w:val="es-ES_tradnl"/>
              </w:rPr>
              <w:t>IÓ</w:t>
            </w:r>
            <w:r w:rsidRPr="00D77DA7">
              <w:rPr>
                <w:rFonts w:ascii="Arial" w:hAnsi="Arial" w:cs="Arial"/>
                <w:b/>
                <w:sz w:val="18"/>
                <w:szCs w:val="18"/>
                <w:lang w:val="es-ES_tradnl"/>
              </w:rPr>
              <w:t>N</w:t>
            </w:r>
          </w:p>
        </w:tc>
        <w:tc>
          <w:tcPr>
            <w:tcW w:w="646" w:type="pct"/>
            <w:gridSpan w:val="2"/>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SANCION (DSM)</w:t>
            </w:r>
          </w:p>
        </w:tc>
        <w:tc>
          <w:tcPr>
            <w:tcW w:w="782" w:type="pct"/>
            <w:gridSpan w:val="2"/>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MULTA</w:t>
            </w:r>
          </w:p>
        </w:tc>
        <w:tc>
          <w:tcPr>
            <w:tcW w:w="753" w:type="pct"/>
            <w:gridSpan w:val="2"/>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POR PARTIDO</w:t>
            </w:r>
          </w:p>
        </w:tc>
        <w:tc>
          <w:tcPr>
            <w:tcW w:w="809" w:type="pct"/>
            <w:shd w:val="clear" w:color="auto" w:fill="FBE4D5" w:themeFill="accent2" w:themeFillTint="33"/>
            <w:vAlign w:val="center"/>
          </w:tcPr>
          <w:p w:rsidR="00A256AB" w:rsidRPr="00D77DA7" w:rsidRDefault="00A256AB" w:rsidP="00E02940">
            <w:pPr>
              <w:jc w:val="center"/>
              <w:rPr>
                <w:rFonts w:ascii="Arial" w:hAnsi="Arial" w:cs="Arial"/>
                <w:b/>
                <w:sz w:val="18"/>
                <w:szCs w:val="18"/>
                <w:lang w:val="es-ES_tradnl"/>
              </w:rPr>
            </w:pPr>
            <w:r w:rsidRPr="00D77DA7">
              <w:rPr>
                <w:rFonts w:ascii="Arial" w:hAnsi="Arial" w:cs="Arial"/>
                <w:b/>
                <w:sz w:val="18"/>
                <w:szCs w:val="18"/>
                <w:lang w:val="es-ES_tradnl"/>
              </w:rPr>
              <w:t>PRECEPTO LEGAL</w:t>
            </w:r>
          </w:p>
        </w:tc>
      </w:tr>
      <w:tr w:rsidR="00E02940" w:rsidRPr="00D77DA7" w:rsidTr="00D77DA7">
        <w:tc>
          <w:tcPr>
            <w:tcW w:w="808" w:type="pct"/>
            <w:gridSpan w:val="2"/>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MORENA</w:t>
            </w:r>
          </w:p>
        </w:tc>
        <w:tc>
          <w:tcPr>
            <w:tcW w:w="397" w:type="pct"/>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w:t>
            </w:r>
          </w:p>
        </w:tc>
        <w:tc>
          <w:tcPr>
            <w:tcW w:w="805" w:type="pct"/>
            <w:gridSpan w:val="2"/>
          </w:tcPr>
          <w:p w:rsidR="00A256AB" w:rsidRPr="00D77DA7" w:rsidRDefault="00A256AB" w:rsidP="00A256AB">
            <w:pPr>
              <w:tabs>
                <w:tab w:val="left" w:pos="825"/>
              </w:tabs>
              <w:jc w:val="center"/>
              <w:rPr>
                <w:rFonts w:ascii="Arial" w:hAnsi="Arial" w:cs="Arial"/>
                <w:sz w:val="18"/>
                <w:szCs w:val="18"/>
                <w:lang w:val="es-ES_tradnl"/>
              </w:rPr>
            </w:pPr>
            <w:r w:rsidRPr="00D77DA7">
              <w:rPr>
                <w:rFonts w:ascii="Arial" w:hAnsi="Arial" w:cs="Arial"/>
                <w:sz w:val="18"/>
                <w:szCs w:val="18"/>
                <w:lang w:val="es-ES_tradnl"/>
              </w:rPr>
              <w:t>LEVE</w:t>
            </w:r>
          </w:p>
        </w:tc>
        <w:tc>
          <w:tcPr>
            <w:tcW w:w="646"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500</w:t>
            </w:r>
          </w:p>
        </w:tc>
        <w:tc>
          <w:tcPr>
            <w:tcW w:w="782"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$29,540.00*</w:t>
            </w:r>
          </w:p>
        </w:tc>
        <w:tc>
          <w:tcPr>
            <w:tcW w:w="753"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PT $14,775.908</w:t>
            </w:r>
          </w:p>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MC $14,764.092</w:t>
            </w:r>
          </w:p>
        </w:tc>
        <w:tc>
          <w:tcPr>
            <w:tcW w:w="809" w:type="pct"/>
            <w:vMerge w:val="restar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ART. 355 FRACC 1 A) DEL CÓDIGO ELECTORAL DEL ESTADO DE MÉXICO</w:t>
            </w:r>
          </w:p>
        </w:tc>
      </w:tr>
      <w:tr w:rsidR="00E02940" w:rsidRPr="00D77DA7" w:rsidTr="00D77DA7">
        <w:tc>
          <w:tcPr>
            <w:tcW w:w="808" w:type="pct"/>
            <w:gridSpan w:val="2"/>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MOVIMIENTO PROGRESISTA</w:t>
            </w:r>
          </w:p>
        </w:tc>
        <w:tc>
          <w:tcPr>
            <w:tcW w:w="397" w:type="pct"/>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w:t>
            </w:r>
          </w:p>
        </w:tc>
        <w:tc>
          <w:tcPr>
            <w:tcW w:w="805" w:type="pct"/>
            <w:gridSpan w:val="2"/>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LEVE</w:t>
            </w:r>
          </w:p>
        </w:tc>
        <w:tc>
          <w:tcPr>
            <w:tcW w:w="646" w:type="pct"/>
            <w:gridSpan w:val="2"/>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500</w:t>
            </w:r>
          </w:p>
        </w:tc>
        <w:tc>
          <w:tcPr>
            <w:tcW w:w="782" w:type="pct"/>
            <w:gridSpan w:val="2"/>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$29,540.00**</w:t>
            </w:r>
          </w:p>
        </w:tc>
        <w:tc>
          <w:tcPr>
            <w:tcW w:w="753" w:type="pct"/>
            <w:gridSpan w:val="2"/>
            <w:vAlign w:val="center"/>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MC $29,540.00</w:t>
            </w:r>
          </w:p>
        </w:tc>
        <w:tc>
          <w:tcPr>
            <w:tcW w:w="809" w:type="pct"/>
            <w:vMerge/>
            <w:vAlign w:val="center"/>
          </w:tcPr>
          <w:p w:rsidR="00A256AB" w:rsidRPr="00D77DA7" w:rsidRDefault="00A256AB" w:rsidP="00A256AB">
            <w:pPr>
              <w:jc w:val="center"/>
              <w:rPr>
                <w:rFonts w:ascii="Arial" w:hAnsi="Arial" w:cs="Arial"/>
                <w:sz w:val="18"/>
                <w:szCs w:val="18"/>
                <w:lang w:val="es-ES_tradnl"/>
              </w:rPr>
            </w:pPr>
          </w:p>
        </w:tc>
      </w:tr>
      <w:tr w:rsidR="00E02940" w:rsidRPr="00D77DA7" w:rsidTr="00D77DA7">
        <w:tc>
          <w:tcPr>
            <w:tcW w:w="808" w:type="pct"/>
            <w:gridSpan w:val="2"/>
          </w:tcPr>
          <w:p w:rsidR="00A256AB" w:rsidRPr="00D77DA7" w:rsidRDefault="00A256AB" w:rsidP="00A256AB">
            <w:pPr>
              <w:rPr>
                <w:rFonts w:ascii="Arial" w:hAnsi="Arial" w:cs="Arial"/>
                <w:sz w:val="18"/>
                <w:szCs w:val="18"/>
                <w:lang w:val="es-ES_tradnl"/>
              </w:rPr>
            </w:pPr>
            <w:r w:rsidRPr="00D77DA7">
              <w:rPr>
                <w:rFonts w:ascii="Arial" w:hAnsi="Arial" w:cs="Arial"/>
                <w:sz w:val="18"/>
                <w:szCs w:val="18"/>
                <w:lang w:val="es-ES_tradnl"/>
              </w:rPr>
              <w:t>UNIDOS ES POSIBLE</w:t>
            </w:r>
          </w:p>
        </w:tc>
        <w:tc>
          <w:tcPr>
            <w:tcW w:w="397" w:type="pct"/>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3</w:t>
            </w:r>
          </w:p>
        </w:tc>
        <w:tc>
          <w:tcPr>
            <w:tcW w:w="805"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LEVE</w:t>
            </w:r>
          </w:p>
        </w:tc>
        <w:tc>
          <w:tcPr>
            <w:tcW w:w="646" w:type="pct"/>
            <w:gridSpan w:val="2"/>
          </w:tcPr>
          <w:p w:rsidR="00A256AB" w:rsidRPr="00D77DA7" w:rsidRDefault="00A256AB" w:rsidP="00A256AB">
            <w:pPr>
              <w:jc w:val="center"/>
              <w:rPr>
                <w:rFonts w:ascii="Arial" w:hAnsi="Arial" w:cs="Arial"/>
                <w:sz w:val="18"/>
                <w:szCs w:val="18"/>
                <w:lang w:val="es-ES_tradnl"/>
              </w:rPr>
            </w:pPr>
            <w:r w:rsidRPr="00D77DA7">
              <w:rPr>
                <w:rFonts w:ascii="Arial" w:hAnsi="Arial" w:cs="Arial"/>
                <w:sz w:val="18"/>
                <w:szCs w:val="18"/>
                <w:lang w:val="es-ES_tradnl"/>
              </w:rPr>
              <w:t>1000</w:t>
            </w:r>
          </w:p>
        </w:tc>
        <w:tc>
          <w:tcPr>
            <w:tcW w:w="782"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$59,080.00***</w:t>
            </w:r>
          </w:p>
        </w:tc>
        <w:tc>
          <w:tcPr>
            <w:tcW w:w="753" w:type="pct"/>
            <w:gridSpan w:val="2"/>
          </w:tcPr>
          <w:p w:rsidR="00A256AB" w:rsidRPr="00D77DA7" w:rsidRDefault="00A256AB" w:rsidP="00A256AB">
            <w:pPr>
              <w:jc w:val="right"/>
              <w:rPr>
                <w:rFonts w:ascii="Arial" w:hAnsi="Arial" w:cs="Arial"/>
                <w:sz w:val="18"/>
                <w:szCs w:val="18"/>
                <w:lang w:val="es-ES_tradnl"/>
              </w:rPr>
            </w:pPr>
            <w:r w:rsidRPr="00D77DA7">
              <w:rPr>
                <w:rFonts w:ascii="Arial" w:hAnsi="Arial" w:cs="Arial"/>
                <w:sz w:val="18"/>
                <w:szCs w:val="18"/>
                <w:lang w:val="es-ES_tradnl"/>
              </w:rPr>
              <w:t>MC $59,080.00</w:t>
            </w:r>
          </w:p>
        </w:tc>
        <w:tc>
          <w:tcPr>
            <w:tcW w:w="809" w:type="pct"/>
            <w:vMerge/>
          </w:tcPr>
          <w:p w:rsidR="00A256AB" w:rsidRPr="00D77DA7" w:rsidRDefault="00A256AB" w:rsidP="00A256AB">
            <w:pPr>
              <w:jc w:val="center"/>
              <w:rPr>
                <w:rFonts w:ascii="Arial" w:hAnsi="Arial" w:cs="Arial"/>
                <w:sz w:val="18"/>
                <w:szCs w:val="18"/>
                <w:lang w:val="es-ES_tradnl"/>
              </w:rPr>
            </w:pPr>
          </w:p>
        </w:tc>
      </w:tr>
    </w:tbl>
    <w:p w:rsidR="00D77DA7" w:rsidRPr="00D77DA7" w:rsidRDefault="00A256AB" w:rsidP="00A256AB">
      <w:pPr>
        <w:rPr>
          <w:rFonts w:ascii="Arial" w:hAnsi="Arial" w:cs="Arial"/>
          <w:i/>
          <w:iCs/>
          <w:sz w:val="16"/>
          <w:szCs w:val="16"/>
        </w:rPr>
      </w:pPr>
      <w:r w:rsidRPr="00D77DA7">
        <w:rPr>
          <w:rFonts w:ascii="Arial" w:hAnsi="Arial" w:cs="Arial"/>
          <w:b/>
          <w:bCs/>
          <w:i/>
          <w:iCs/>
          <w:sz w:val="16"/>
          <w:szCs w:val="16"/>
        </w:rPr>
        <w:t xml:space="preserve">Fuente: </w:t>
      </w:r>
      <w:r w:rsidRPr="00D77DA7">
        <w:rPr>
          <w:rFonts w:ascii="Arial" w:hAnsi="Arial" w:cs="Arial"/>
          <w:i/>
          <w:iCs/>
          <w:sz w:val="16"/>
          <w:szCs w:val="16"/>
        </w:rPr>
        <w:t>Elaboración propia en base con el acuerdo IEEM/CG/009/2013</w:t>
      </w:r>
      <w:r w:rsidR="00D77DA7" w:rsidRPr="00D77DA7">
        <w:rPr>
          <w:rFonts w:ascii="Arial" w:hAnsi="Arial" w:cs="Arial"/>
          <w:i/>
          <w:iCs/>
          <w:sz w:val="16"/>
          <w:szCs w:val="16"/>
        </w:rPr>
        <w:t>.</w:t>
      </w:r>
    </w:p>
    <w:p w:rsidR="00D77DA7" w:rsidRDefault="00A256AB" w:rsidP="00A256AB">
      <w:pPr>
        <w:rPr>
          <w:rFonts w:ascii="Arial" w:hAnsi="Arial" w:cs="Arial"/>
          <w:sz w:val="16"/>
          <w:szCs w:val="16"/>
        </w:rPr>
      </w:pPr>
      <w:r w:rsidRPr="00A85D78">
        <w:rPr>
          <w:rFonts w:ascii="Arial" w:hAnsi="Arial" w:cs="Arial"/>
          <w:sz w:val="16"/>
          <w:szCs w:val="16"/>
        </w:rPr>
        <w:t xml:space="preserve">* De acuerdo con el convenio de coalición los porcentajes de participación de los partidos son PT 50.02% y MC 49.98%                                                                                                                                                                                        ** De acuerdo con el convenio de coalición el partido que debe asumir la totalidad de la sanción es M.C.                                          *** De acuerdo con el convenio de coalición el partido que debe asumir la totalidad de la sanción es M.C. </w:t>
      </w:r>
      <w:r w:rsidRPr="00A85D78">
        <w:rPr>
          <w:rStyle w:val="Refdenotaalpie"/>
          <w:rFonts w:ascii="Arial" w:hAnsi="Arial" w:cs="Arial"/>
          <w:sz w:val="16"/>
          <w:szCs w:val="16"/>
        </w:rPr>
        <w:footnoteReference w:id="24"/>
      </w:r>
    </w:p>
    <w:p w:rsidR="00A256AB" w:rsidRPr="00A85D78" w:rsidRDefault="00A256AB" w:rsidP="00A256AB">
      <w:pPr>
        <w:rPr>
          <w:rFonts w:ascii="Arial" w:hAnsi="Arial" w:cs="Arial"/>
          <w:sz w:val="16"/>
          <w:szCs w:val="16"/>
        </w:rPr>
      </w:pPr>
      <w:r w:rsidRPr="00A85D78">
        <w:rPr>
          <w:rFonts w:ascii="Arial" w:hAnsi="Arial" w:cs="Arial"/>
          <w:sz w:val="16"/>
          <w:szCs w:val="16"/>
        </w:rPr>
        <w:t xml:space="preserve">                             </w:t>
      </w:r>
    </w:p>
    <w:p w:rsidR="00A256AB" w:rsidRDefault="00A256AB" w:rsidP="00D77DA7">
      <w:pPr>
        <w:spacing w:line="360" w:lineRule="auto"/>
        <w:jc w:val="both"/>
        <w:rPr>
          <w:rFonts w:ascii="Arial" w:hAnsi="Arial" w:cs="Arial"/>
          <w:sz w:val="24"/>
          <w:szCs w:val="24"/>
        </w:rPr>
      </w:pPr>
      <w:r w:rsidRPr="00A85D78">
        <w:rPr>
          <w:rFonts w:ascii="Arial" w:hAnsi="Arial" w:cs="Arial"/>
          <w:sz w:val="24"/>
          <w:szCs w:val="24"/>
        </w:rPr>
        <w:t xml:space="preserve">Los preceptos legales más vulnerados con estas conductas de los partidos y coaliciones fueron el artículo 52 en sus fracciones XIII, XVIII y XXVII; 58 Fracción II, inciso b), primer párrafo; 61 Fracción III, inciso b), numerales 1 y </w:t>
      </w:r>
      <w:r w:rsidR="00F52EDB" w:rsidRPr="00A85D78">
        <w:rPr>
          <w:rFonts w:ascii="Arial" w:hAnsi="Arial" w:cs="Arial"/>
          <w:sz w:val="24"/>
          <w:szCs w:val="24"/>
        </w:rPr>
        <w:t>2; así</w:t>
      </w:r>
      <w:r w:rsidRPr="00A85D78">
        <w:rPr>
          <w:rFonts w:ascii="Arial" w:hAnsi="Arial" w:cs="Arial"/>
          <w:sz w:val="24"/>
          <w:szCs w:val="24"/>
        </w:rPr>
        <w:t xml:space="preserve"> como el 160 párrafo tercero del Código Electoral del Estado de México; 64,71,72,74,79 y 117 del Reglamento de Fiscalización de las Actividades de los Partidos Políticos y Coaliciones del Instituto Electoral del Estado de México.</w:t>
      </w:r>
    </w:p>
    <w:p w:rsidR="00D77DA7" w:rsidRPr="00A85D78" w:rsidRDefault="00D77DA7" w:rsidP="00D77DA7">
      <w:pPr>
        <w:spacing w:line="360" w:lineRule="auto"/>
        <w:jc w:val="both"/>
        <w:rPr>
          <w:rFonts w:ascii="Arial" w:hAnsi="Arial" w:cs="Arial"/>
          <w:sz w:val="24"/>
          <w:szCs w:val="24"/>
        </w:rPr>
      </w:pPr>
    </w:p>
    <w:p w:rsidR="00A256AB" w:rsidRPr="00D77DA7" w:rsidRDefault="00A256AB" w:rsidP="00D77DA7">
      <w:pPr>
        <w:tabs>
          <w:tab w:val="left" w:pos="5070"/>
        </w:tabs>
        <w:jc w:val="both"/>
        <w:rPr>
          <w:rStyle w:val="Ttulodellibro"/>
          <w:rFonts w:ascii="Arial" w:hAnsi="Arial" w:cs="Arial"/>
          <w:b/>
          <w:i/>
          <w:color w:val="auto"/>
          <w:sz w:val="20"/>
          <w:szCs w:val="20"/>
        </w:rPr>
      </w:pPr>
      <w:r w:rsidRPr="00D77DA7">
        <w:rPr>
          <w:rStyle w:val="Ttulodellibro"/>
          <w:rFonts w:ascii="Arial" w:hAnsi="Arial" w:cs="Arial"/>
          <w:b/>
          <w:i/>
          <w:color w:val="auto"/>
          <w:sz w:val="20"/>
          <w:szCs w:val="20"/>
        </w:rPr>
        <w:t>Tabla 4.12 Faltas Sustanciales sancionadas en la campaña electoral 2012</w:t>
      </w:r>
      <w:r w:rsidR="00D77DA7" w:rsidRPr="00D77DA7">
        <w:rPr>
          <w:rStyle w:val="Ttulodellibro"/>
          <w:rFonts w:ascii="Arial" w:hAnsi="Arial" w:cs="Arial"/>
          <w:b/>
          <w:i/>
          <w:color w:val="auto"/>
          <w:sz w:val="20"/>
          <w:szCs w:val="20"/>
        </w:rPr>
        <w:t>.</w:t>
      </w:r>
    </w:p>
    <w:p w:rsidR="00D77DA7" w:rsidRPr="00D77DA7" w:rsidRDefault="00D77DA7" w:rsidP="00D77DA7">
      <w:pPr>
        <w:tabs>
          <w:tab w:val="left" w:pos="5070"/>
        </w:tabs>
        <w:jc w:val="both"/>
        <w:rPr>
          <w:rStyle w:val="Ttulodellibro"/>
          <w:b/>
          <w:i/>
          <w:color w:val="auto"/>
          <w:sz w:val="20"/>
          <w:szCs w:val="20"/>
        </w:rPr>
      </w:pPr>
    </w:p>
    <w:tbl>
      <w:tblPr>
        <w:tblStyle w:val="Tablaconcuadrcula"/>
        <w:tblW w:w="5145" w:type="pct"/>
        <w:tblLook w:val="04A0" w:firstRow="1" w:lastRow="0" w:firstColumn="1" w:lastColumn="0" w:noHBand="0" w:noVBand="1"/>
      </w:tblPr>
      <w:tblGrid>
        <w:gridCol w:w="1372"/>
        <w:gridCol w:w="928"/>
        <w:gridCol w:w="1363"/>
        <w:gridCol w:w="1732"/>
        <w:gridCol w:w="1231"/>
        <w:gridCol w:w="1017"/>
        <w:gridCol w:w="1097"/>
      </w:tblGrid>
      <w:tr w:rsidR="00A256AB" w:rsidRPr="00D77DA7" w:rsidTr="000A4779">
        <w:tc>
          <w:tcPr>
            <w:tcW w:w="5000" w:type="pct"/>
            <w:gridSpan w:val="7"/>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FALTAS SUSTANCIALES (PARTIDOS)</w:t>
            </w:r>
          </w:p>
        </w:tc>
      </w:tr>
      <w:tr w:rsidR="000A4779" w:rsidRPr="00D77DA7" w:rsidTr="000A4779">
        <w:tc>
          <w:tcPr>
            <w:tcW w:w="785" w:type="pct"/>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PARTIDO</w:t>
            </w:r>
          </w:p>
        </w:tc>
        <w:tc>
          <w:tcPr>
            <w:tcW w:w="531" w:type="pct"/>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NÚMERO</w:t>
            </w:r>
          </w:p>
        </w:tc>
        <w:tc>
          <w:tcPr>
            <w:tcW w:w="780" w:type="pct"/>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CALIFICACI</w:t>
            </w:r>
            <w:r w:rsidR="003A0FB5" w:rsidRPr="00D77DA7">
              <w:rPr>
                <w:rFonts w:ascii="Arial" w:hAnsi="Arial" w:cs="Arial"/>
                <w:b/>
                <w:sz w:val="16"/>
                <w:szCs w:val="16"/>
                <w:lang w:val="es-ES_tradnl"/>
              </w:rPr>
              <w:t>Ó</w:t>
            </w:r>
            <w:r w:rsidRPr="00D77DA7">
              <w:rPr>
                <w:rFonts w:ascii="Arial" w:hAnsi="Arial" w:cs="Arial"/>
                <w:b/>
                <w:sz w:val="16"/>
                <w:szCs w:val="16"/>
                <w:lang w:val="es-ES_tradnl"/>
              </w:rPr>
              <w:t>N</w:t>
            </w:r>
          </w:p>
        </w:tc>
        <w:tc>
          <w:tcPr>
            <w:tcW w:w="1308" w:type="pct"/>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SANCION (DSM)</w:t>
            </w:r>
          </w:p>
        </w:tc>
        <w:tc>
          <w:tcPr>
            <w:tcW w:w="969" w:type="pct"/>
            <w:gridSpan w:val="2"/>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MULTA</w:t>
            </w:r>
          </w:p>
        </w:tc>
        <w:tc>
          <w:tcPr>
            <w:tcW w:w="628" w:type="pct"/>
            <w:shd w:val="clear" w:color="auto" w:fill="FBE4D5" w:themeFill="accent2" w:themeFillTint="33"/>
            <w:vAlign w:val="center"/>
          </w:tcPr>
          <w:p w:rsidR="00A256AB" w:rsidRPr="00D77DA7" w:rsidRDefault="00A256AB" w:rsidP="003A0FB5">
            <w:pPr>
              <w:jc w:val="center"/>
              <w:rPr>
                <w:rFonts w:ascii="Arial" w:hAnsi="Arial" w:cs="Arial"/>
                <w:b/>
                <w:sz w:val="16"/>
                <w:szCs w:val="16"/>
                <w:lang w:val="es-ES_tradnl"/>
              </w:rPr>
            </w:pPr>
            <w:r w:rsidRPr="00D77DA7">
              <w:rPr>
                <w:rFonts w:ascii="Arial" w:hAnsi="Arial" w:cs="Arial"/>
                <w:b/>
                <w:sz w:val="16"/>
                <w:szCs w:val="16"/>
                <w:lang w:val="es-ES_tradnl"/>
              </w:rPr>
              <w:t>PRECEPTO LEGAL*</w:t>
            </w:r>
          </w:p>
        </w:tc>
      </w:tr>
      <w:tr w:rsidR="000A4779" w:rsidRPr="00D77DA7" w:rsidTr="000A4779">
        <w:tc>
          <w:tcPr>
            <w:tcW w:w="785" w:type="pct"/>
            <w:vAlign w:val="center"/>
          </w:tcPr>
          <w:p w:rsidR="00A256AB" w:rsidRPr="00D77DA7" w:rsidRDefault="00A256AB" w:rsidP="003A0FB5">
            <w:pPr>
              <w:jc w:val="center"/>
              <w:rPr>
                <w:rFonts w:ascii="Arial" w:hAnsi="Arial" w:cs="Arial"/>
                <w:sz w:val="16"/>
                <w:szCs w:val="16"/>
                <w:lang w:val="es-ES_tradnl"/>
              </w:rPr>
            </w:pPr>
            <w:r w:rsidRPr="00D77DA7">
              <w:rPr>
                <w:rFonts w:ascii="Arial" w:hAnsi="Arial" w:cs="Arial"/>
                <w:sz w:val="16"/>
                <w:szCs w:val="16"/>
                <w:lang w:val="es-ES_tradnl"/>
              </w:rPr>
              <w:t>PT</w:t>
            </w:r>
          </w:p>
        </w:tc>
        <w:tc>
          <w:tcPr>
            <w:tcW w:w="531" w:type="pct"/>
            <w:vAlign w:val="center"/>
          </w:tcPr>
          <w:p w:rsidR="00A256AB" w:rsidRPr="00D77DA7" w:rsidRDefault="00A256AB" w:rsidP="003A0FB5">
            <w:pPr>
              <w:jc w:val="center"/>
              <w:rPr>
                <w:rFonts w:ascii="Arial" w:hAnsi="Arial" w:cs="Arial"/>
                <w:sz w:val="16"/>
                <w:szCs w:val="16"/>
                <w:lang w:val="es-ES_tradnl"/>
              </w:rPr>
            </w:pPr>
            <w:r w:rsidRPr="00D77DA7">
              <w:rPr>
                <w:rFonts w:ascii="Arial" w:hAnsi="Arial" w:cs="Arial"/>
                <w:sz w:val="16"/>
                <w:szCs w:val="16"/>
                <w:lang w:val="es-ES_tradnl"/>
              </w:rPr>
              <w:t>1</w:t>
            </w:r>
          </w:p>
        </w:tc>
        <w:tc>
          <w:tcPr>
            <w:tcW w:w="780" w:type="pct"/>
            <w:vAlign w:val="center"/>
          </w:tcPr>
          <w:p w:rsidR="00A256AB" w:rsidRPr="00D77DA7" w:rsidRDefault="00A256AB" w:rsidP="003A0FB5">
            <w:pPr>
              <w:jc w:val="center"/>
              <w:rPr>
                <w:rFonts w:ascii="Arial" w:hAnsi="Arial" w:cs="Arial"/>
                <w:sz w:val="16"/>
                <w:szCs w:val="16"/>
                <w:lang w:val="es-ES_tradnl"/>
              </w:rPr>
            </w:pPr>
            <w:r w:rsidRPr="00D77DA7">
              <w:rPr>
                <w:rFonts w:ascii="Arial" w:hAnsi="Arial" w:cs="Arial"/>
                <w:sz w:val="16"/>
                <w:szCs w:val="16"/>
                <w:lang w:val="es-ES_tradnl"/>
              </w:rPr>
              <w:t>GRAVE</w:t>
            </w:r>
          </w:p>
        </w:tc>
        <w:tc>
          <w:tcPr>
            <w:tcW w:w="1308" w:type="pct"/>
            <w:vAlign w:val="center"/>
          </w:tcPr>
          <w:p w:rsidR="00A256AB" w:rsidRPr="00D77DA7" w:rsidRDefault="00A256AB" w:rsidP="003A0FB5">
            <w:pPr>
              <w:jc w:val="both"/>
              <w:rPr>
                <w:rFonts w:ascii="Arial" w:hAnsi="Arial" w:cs="Arial"/>
                <w:sz w:val="16"/>
                <w:szCs w:val="16"/>
                <w:lang w:val="es-ES_tradnl"/>
              </w:rPr>
            </w:pPr>
            <w:r w:rsidRPr="00D77DA7">
              <w:rPr>
                <w:rFonts w:ascii="Arial" w:hAnsi="Arial" w:cs="Arial"/>
                <w:sz w:val="16"/>
                <w:szCs w:val="16"/>
                <w:lang w:val="es-ES_tradnl"/>
              </w:rPr>
              <w:t>equivalente a la cantidad por la que rebasó el tope de gastos de campaña</w:t>
            </w:r>
          </w:p>
        </w:tc>
        <w:tc>
          <w:tcPr>
            <w:tcW w:w="969" w:type="pct"/>
            <w:gridSpan w:val="2"/>
            <w:vAlign w:val="center"/>
          </w:tcPr>
          <w:p w:rsidR="00A256AB" w:rsidRPr="00D77DA7" w:rsidRDefault="00A256AB" w:rsidP="003A0FB5">
            <w:pPr>
              <w:jc w:val="center"/>
              <w:rPr>
                <w:rFonts w:ascii="Arial" w:hAnsi="Arial" w:cs="Arial"/>
                <w:sz w:val="16"/>
                <w:szCs w:val="16"/>
                <w:lang w:val="es-ES_tradnl"/>
              </w:rPr>
            </w:pPr>
            <w:r w:rsidRPr="00D77DA7">
              <w:rPr>
                <w:rFonts w:ascii="Arial" w:hAnsi="Arial" w:cs="Arial"/>
                <w:sz w:val="16"/>
                <w:szCs w:val="16"/>
                <w:lang w:val="es-ES_tradnl"/>
              </w:rPr>
              <w:t>$87,198.25</w:t>
            </w:r>
          </w:p>
        </w:tc>
        <w:tc>
          <w:tcPr>
            <w:tcW w:w="628" w:type="pct"/>
            <w:vAlign w:val="center"/>
          </w:tcPr>
          <w:p w:rsidR="00A256AB" w:rsidRPr="00D77DA7" w:rsidRDefault="00A256AB" w:rsidP="003A0FB5">
            <w:pPr>
              <w:jc w:val="both"/>
              <w:rPr>
                <w:rFonts w:ascii="Arial" w:hAnsi="Arial" w:cs="Arial"/>
                <w:sz w:val="16"/>
                <w:szCs w:val="16"/>
                <w:lang w:val="es-ES_tradnl"/>
              </w:rPr>
            </w:pPr>
            <w:r w:rsidRPr="00D77DA7">
              <w:rPr>
                <w:rFonts w:ascii="Arial" w:hAnsi="Arial" w:cs="Arial"/>
                <w:sz w:val="16"/>
                <w:szCs w:val="16"/>
                <w:lang w:val="es-ES_tradnl"/>
              </w:rPr>
              <w:t>A</w:t>
            </w:r>
            <w:r w:rsidR="00A94F5E" w:rsidRPr="00D77DA7">
              <w:rPr>
                <w:rFonts w:ascii="Arial" w:hAnsi="Arial" w:cs="Arial"/>
                <w:sz w:val="16"/>
                <w:szCs w:val="16"/>
                <w:lang w:val="es-ES_tradnl"/>
              </w:rPr>
              <w:t>rt</w:t>
            </w:r>
            <w:r w:rsidRPr="00D77DA7">
              <w:rPr>
                <w:rFonts w:ascii="Arial" w:hAnsi="Arial" w:cs="Arial"/>
                <w:sz w:val="16"/>
                <w:szCs w:val="16"/>
                <w:lang w:val="es-ES_tradnl"/>
              </w:rPr>
              <w:t>. 355 F</w:t>
            </w:r>
            <w:r w:rsidR="00A94F5E" w:rsidRPr="00D77DA7">
              <w:rPr>
                <w:rFonts w:ascii="Arial" w:hAnsi="Arial" w:cs="Arial"/>
                <w:sz w:val="16"/>
                <w:szCs w:val="16"/>
                <w:lang w:val="es-ES_tradnl"/>
              </w:rPr>
              <w:t>racc.</w:t>
            </w:r>
            <w:r w:rsidRPr="00D77DA7">
              <w:rPr>
                <w:rFonts w:ascii="Arial" w:hAnsi="Arial" w:cs="Arial"/>
                <w:sz w:val="16"/>
                <w:szCs w:val="16"/>
                <w:lang w:val="es-ES_tradnl"/>
              </w:rPr>
              <w:t xml:space="preserve"> 1 </w:t>
            </w:r>
            <w:proofErr w:type="gramStart"/>
            <w:r w:rsidRPr="00D77DA7">
              <w:rPr>
                <w:rFonts w:ascii="Arial" w:hAnsi="Arial" w:cs="Arial"/>
                <w:sz w:val="16"/>
                <w:szCs w:val="16"/>
                <w:lang w:val="es-ES_tradnl"/>
              </w:rPr>
              <w:t>G</w:t>
            </w:r>
            <w:proofErr w:type="gramEnd"/>
            <w:r w:rsidRPr="00D77DA7">
              <w:rPr>
                <w:rFonts w:ascii="Arial" w:hAnsi="Arial" w:cs="Arial"/>
                <w:sz w:val="16"/>
                <w:szCs w:val="16"/>
                <w:lang w:val="es-ES_tradnl"/>
              </w:rPr>
              <w:t xml:space="preserve">) </w:t>
            </w:r>
            <w:r w:rsidR="00A94F5E" w:rsidRPr="00D77DA7">
              <w:rPr>
                <w:rFonts w:ascii="Arial" w:hAnsi="Arial" w:cs="Arial"/>
                <w:sz w:val="16"/>
                <w:szCs w:val="16"/>
                <w:lang w:val="es-ES_tradnl"/>
              </w:rPr>
              <w:t>del</w:t>
            </w:r>
            <w:r w:rsidRPr="00D77DA7">
              <w:rPr>
                <w:rFonts w:ascii="Arial" w:hAnsi="Arial" w:cs="Arial"/>
                <w:sz w:val="16"/>
                <w:szCs w:val="16"/>
                <w:lang w:val="es-ES_tradnl"/>
              </w:rPr>
              <w:t xml:space="preserve"> C</w:t>
            </w:r>
            <w:r w:rsidR="00A94F5E" w:rsidRPr="00D77DA7">
              <w:rPr>
                <w:rFonts w:ascii="Arial" w:hAnsi="Arial" w:cs="Arial"/>
                <w:sz w:val="16"/>
                <w:szCs w:val="16"/>
                <w:lang w:val="es-ES_tradnl"/>
              </w:rPr>
              <w:t>ódigo</w:t>
            </w:r>
            <w:r w:rsidRPr="00D77DA7">
              <w:rPr>
                <w:rFonts w:ascii="Arial" w:hAnsi="Arial" w:cs="Arial"/>
                <w:sz w:val="16"/>
                <w:szCs w:val="16"/>
                <w:lang w:val="es-ES_tradnl"/>
              </w:rPr>
              <w:t xml:space="preserve"> E</w:t>
            </w:r>
            <w:r w:rsidR="00A94F5E" w:rsidRPr="00D77DA7">
              <w:rPr>
                <w:rFonts w:ascii="Arial" w:hAnsi="Arial" w:cs="Arial"/>
                <w:sz w:val="16"/>
                <w:szCs w:val="16"/>
                <w:lang w:val="es-ES_tradnl"/>
              </w:rPr>
              <w:t>lectoral</w:t>
            </w:r>
            <w:r w:rsidRPr="00D77DA7">
              <w:rPr>
                <w:rFonts w:ascii="Arial" w:hAnsi="Arial" w:cs="Arial"/>
                <w:sz w:val="16"/>
                <w:szCs w:val="16"/>
                <w:lang w:val="es-ES_tradnl"/>
              </w:rPr>
              <w:t xml:space="preserve"> </w:t>
            </w:r>
            <w:r w:rsidR="00A94F5E" w:rsidRPr="00D77DA7">
              <w:rPr>
                <w:rFonts w:ascii="Arial" w:hAnsi="Arial" w:cs="Arial"/>
                <w:sz w:val="16"/>
                <w:szCs w:val="16"/>
                <w:lang w:val="es-ES_tradnl"/>
              </w:rPr>
              <w:t>del</w:t>
            </w:r>
            <w:r w:rsidRPr="00D77DA7">
              <w:rPr>
                <w:rFonts w:ascii="Arial" w:hAnsi="Arial" w:cs="Arial"/>
                <w:sz w:val="16"/>
                <w:szCs w:val="16"/>
                <w:lang w:val="es-ES_tradnl"/>
              </w:rPr>
              <w:t xml:space="preserve"> E</w:t>
            </w:r>
            <w:r w:rsidR="00A94F5E" w:rsidRPr="00D77DA7">
              <w:rPr>
                <w:rFonts w:ascii="Arial" w:hAnsi="Arial" w:cs="Arial"/>
                <w:sz w:val="16"/>
                <w:szCs w:val="16"/>
                <w:lang w:val="es-ES_tradnl"/>
              </w:rPr>
              <w:t>stado</w:t>
            </w:r>
            <w:r w:rsidRPr="00D77DA7">
              <w:rPr>
                <w:rFonts w:ascii="Arial" w:hAnsi="Arial" w:cs="Arial"/>
                <w:sz w:val="16"/>
                <w:szCs w:val="16"/>
                <w:lang w:val="es-ES_tradnl"/>
              </w:rPr>
              <w:t xml:space="preserve"> </w:t>
            </w:r>
            <w:r w:rsidR="00A94F5E" w:rsidRPr="00D77DA7">
              <w:rPr>
                <w:rFonts w:ascii="Arial" w:hAnsi="Arial" w:cs="Arial"/>
                <w:sz w:val="16"/>
                <w:szCs w:val="16"/>
                <w:lang w:val="es-ES_tradnl"/>
              </w:rPr>
              <w:t>de</w:t>
            </w:r>
            <w:r w:rsidRPr="00D77DA7">
              <w:rPr>
                <w:rFonts w:ascii="Arial" w:hAnsi="Arial" w:cs="Arial"/>
                <w:sz w:val="16"/>
                <w:szCs w:val="16"/>
                <w:lang w:val="es-ES_tradnl"/>
              </w:rPr>
              <w:t xml:space="preserve"> M</w:t>
            </w:r>
            <w:r w:rsidR="00A94F5E" w:rsidRPr="00D77DA7">
              <w:rPr>
                <w:rFonts w:ascii="Arial" w:hAnsi="Arial" w:cs="Arial"/>
                <w:sz w:val="16"/>
                <w:szCs w:val="16"/>
                <w:lang w:val="es-ES_tradnl"/>
              </w:rPr>
              <w:t>éxico</w:t>
            </w:r>
          </w:p>
        </w:tc>
      </w:tr>
      <w:tr w:rsidR="00A256AB" w:rsidRPr="00D77DA7" w:rsidTr="000A4779">
        <w:tc>
          <w:tcPr>
            <w:tcW w:w="5000" w:type="pct"/>
            <w:gridSpan w:val="7"/>
            <w:shd w:val="clear" w:color="auto" w:fill="FBE4D5" w:themeFill="accent2" w:themeFillTint="33"/>
          </w:tcPr>
          <w:p w:rsidR="00A256AB" w:rsidRPr="00D77DA7" w:rsidRDefault="00A256AB" w:rsidP="00A256AB">
            <w:pPr>
              <w:jc w:val="center"/>
              <w:rPr>
                <w:rFonts w:ascii="Arial" w:hAnsi="Arial" w:cs="Arial"/>
                <w:b/>
                <w:sz w:val="16"/>
                <w:szCs w:val="16"/>
                <w:lang w:val="es-ES_tradnl"/>
              </w:rPr>
            </w:pPr>
            <w:r w:rsidRPr="00D77DA7">
              <w:rPr>
                <w:rFonts w:ascii="Arial" w:hAnsi="Arial" w:cs="Arial"/>
                <w:b/>
                <w:sz w:val="16"/>
                <w:szCs w:val="16"/>
                <w:lang w:val="es-ES_tradnl"/>
              </w:rPr>
              <w:t>FALTAS SUSTANCIALES (COALICIONES)</w:t>
            </w:r>
          </w:p>
        </w:tc>
      </w:tr>
      <w:tr w:rsidR="00D77DA7" w:rsidRPr="00D77DA7" w:rsidTr="000A4779">
        <w:tc>
          <w:tcPr>
            <w:tcW w:w="785"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COALICI</w:t>
            </w:r>
            <w:r w:rsidR="00A94F5E" w:rsidRPr="00D77DA7">
              <w:rPr>
                <w:rFonts w:ascii="Arial" w:hAnsi="Arial" w:cs="Arial"/>
                <w:b/>
                <w:sz w:val="16"/>
                <w:szCs w:val="16"/>
                <w:lang w:val="es-ES_tradnl"/>
              </w:rPr>
              <w:t>Ó</w:t>
            </w:r>
            <w:r w:rsidRPr="00D77DA7">
              <w:rPr>
                <w:rFonts w:ascii="Arial" w:hAnsi="Arial" w:cs="Arial"/>
                <w:b/>
                <w:sz w:val="16"/>
                <w:szCs w:val="16"/>
                <w:lang w:val="es-ES_tradnl"/>
              </w:rPr>
              <w:t>N</w:t>
            </w:r>
          </w:p>
        </w:tc>
        <w:tc>
          <w:tcPr>
            <w:tcW w:w="531"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NÚM</w:t>
            </w:r>
          </w:p>
        </w:tc>
        <w:tc>
          <w:tcPr>
            <w:tcW w:w="780"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CALIFICACI</w:t>
            </w:r>
            <w:r w:rsidR="00A94F5E" w:rsidRPr="00D77DA7">
              <w:rPr>
                <w:rFonts w:ascii="Arial" w:hAnsi="Arial" w:cs="Arial"/>
                <w:b/>
                <w:sz w:val="16"/>
                <w:szCs w:val="16"/>
                <w:lang w:val="es-ES_tradnl"/>
              </w:rPr>
              <w:t>Ó</w:t>
            </w:r>
            <w:r w:rsidRPr="00D77DA7">
              <w:rPr>
                <w:rFonts w:ascii="Arial" w:hAnsi="Arial" w:cs="Arial"/>
                <w:b/>
                <w:sz w:val="16"/>
                <w:szCs w:val="16"/>
                <w:lang w:val="es-ES_tradnl"/>
              </w:rPr>
              <w:t>N</w:t>
            </w:r>
          </w:p>
        </w:tc>
        <w:tc>
          <w:tcPr>
            <w:tcW w:w="1308"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SANCI</w:t>
            </w:r>
            <w:r w:rsidR="00A94F5E" w:rsidRPr="00D77DA7">
              <w:rPr>
                <w:rFonts w:ascii="Arial" w:hAnsi="Arial" w:cs="Arial"/>
                <w:b/>
                <w:sz w:val="16"/>
                <w:szCs w:val="16"/>
                <w:lang w:val="es-ES_tradnl"/>
              </w:rPr>
              <w:t>Ó</w:t>
            </w:r>
            <w:r w:rsidRPr="00D77DA7">
              <w:rPr>
                <w:rFonts w:ascii="Arial" w:hAnsi="Arial" w:cs="Arial"/>
                <w:b/>
                <w:sz w:val="16"/>
                <w:szCs w:val="16"/>
                <w:lang w:val="es-ES_tradnl"/>
              </w:rPr>
              <w:t>N (DSM)</w:t>
            </w:r>
          </w:p>
        </w:tc>
        <w:tc>
          <w:tcPr>
            <w:tcW w:w="315"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MULTA</w:t>
            </w:r>
          </w:p>
        </w:tc>
        <w:tc>
          <w:tcPr>
            <w:tcW w:w="654"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POR PARTIDO</w:t>
            </w:r>
          </w:p>
        </w:tc>
        <w:tc>
          <w:tcPr>
            <w:tcW w:w="628" w:type="pct"/>
            <w:shd w:val="clear" w:color="auto" w:fill="FBE4D5" w:themeFill="accent2" w:themeFillTint="33"/>
            <w:vAlign w:val="center"/>
          </w:tcPr>
          <w:p w:rsidR="00A256AB" w:rsidRPr="00D77DA7" w:rsidRDefault="00A256AB" w:rsidP="00A94F5E">
            <w:pPr>
              <w:jc w:val="center"/>
              <w:rPr>
                <w:rFonts w:ascii="Arial" w:hAnsi="Arial" w:cs="Arial"/>
                <w:b/>
                <w:sz w:val="16"/>
                <w:szCs w:val="16"/>
                <w:lang w:val="es-ES_tradnl"/>
              </w:rPr>
            </w:pPr>
            <w:r w:rsidRPr="00D77DA7">
              <w:rPr>
                <w:rFonts w:ascii="Arial" w:hAnsi="Arial" w:cs="Arial"/>
                <w:b/>
                <w:sz w:val="16"/>
                <w:szCs w:val="16"/>
                <w:lang w:val="es-ES_tradnl"/>
              </w:rPr>
              <w:t>PRECEPTO LEGAL*</w:t>
            </w:r>
          </w:p>
        </w:tc>
      </w:tr>
      <w:tr w:rsidR="00D77DA7" w:rsidRPr="00D77DA7" w:rsidTr="000A4779">
        <w:tc>
          <w:tcPr>
            <w:tcW w:w="78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MORENA</w:t>
            </w:r>
          </w:p>
        </w:tc>
        <w:tc>
          <w:tcPr>
            <w:tcW w:w="531"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1</w:t>
            </w:r>
          </w:p>
        </w:tc>
        <w:tc>
          <w:tcPr>
            <w:tcW w:w="780"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GRAVE</w:t>
            </w:r>
          </w:p>
        </w:tc>
        <w:tc>
          <w:tcPr>
            <w:tcW w:w="1308"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equivalente a la cantidad por la que rebasó el tope de gastos de campaña</w:t>
            </w:r>
          </w:p>
        </w:tc>
        <w:tc>
          <w:tcPr>
            <w:tcW w:w="31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$82,891.17*</w:t>
            </w:r>
          </w:p>
        </w:tc>
        <w:tc>
          <w:tcPr>
            <w:tcW w:w="654"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PT $41,462.16</w:t>
            </w:r>
          </w:p>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MC $41,429.01</w:t>
            </w:r>
          </w:p>
        </w:tc>
        <w:tc>
          <w:tcPr>
            <w:tcW w:w="628" w:type="pct"/>
            <w:vMerge w:val="restar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A</w:t>
            </w:r>
            <w:r w:rsidR="00A94F5E" w:rsidRPr="00D77DA7">
              <w:rPr>
                <w:rFonts w:ascii="Arial" w:hAnsi="Arial" w:cs="Arial"/>
                <w:sz w:val="16"/>
                <w:szCs w:val="16"/>
                <w:lang w:val="es-ES_tradnl"/>
              </w:rPr>
              <w:t>rt</w:t>
            </w:r>
            <w:r w:rsidRPr="00D77DA7">
              <w:rPr>
                <w:rFonts w:ascii="Arial" w:hAnsi="Arial" w:cs="Arial"/>
                <w:sz w:val="16"/>
                <w:szCs w:val="16"/>
                <w:lang w:val="es-ES_tradnl"/>
              </w:rPr>
              <w:t>. 355 F</w:t>
            </w:r>
            <w:r w:rsidR="00A94F5E" w:rsidRPr="00D77DA7">
              <w:rPr>
                <w:rFonts w:ascii="Arial" w:hAnsi="Arial" w:cs="Arial"/>
                <w:sz w:val="16"/>
                <w:szCs w:val="16"/>
                <w:lang w:val="es-ES_tradnl"/>
              </w:rPr>
              <w:t>racc.</w:t>
            </w:r>
            <w:r w:rsidRPr="00D77DA7">
              <w:rPr>
                <w:rFonts w:ascii="Arial" w:hAnsi="Arial" w:cs="Arial"/>
                <w:sz w:val="16"/>
                <w:szCs w:val="16"/>
                <w:lang w:val="es-ES_tradnl"/>
              </w:rPr>
              <w:t xml:space="preserve"> 1 </w:t>
            </w:r>
            <w:proofErr w:type="gramStart"/>
            <w:r w:rsidRPr="00D77DA7">
              <w:rPr>
                <w:rFonts w:ascii="Arial" w:hAnsi="Arial" w:cs="Arial"/>
                <w:sz w:val="16"/>
                <w:szCs w:val="16"/>
                <w:lang w:val="es-ES_tradnl"/>
              </w:rPr>
              <w:t>G</w:t>
            </w:r>
            <w:proofErr w:type="gramEnd"/>
            <w:r w:rsidRPr="00D77DA7">
              <w:rPr>
                <w:rFonts w:ascii="Arial" w:hAnsi="Arial" w:cs="Arial"/>
                <w:sz w:val="16"/>
                <w:szCs w:val="16"/>
                <w:lang w:val="es-ES_tradnl"/>
              </w:rPr>
              <w:t xml:space="preserve">) </w:t>
            </w:r>
            <w:r w:rsidR="00A94F5E" w:rsidRPr="00D77DA7">
              <w:rPr>
                <w:rFonts w:ascii="Arial" w:hAnsi="Arial" w:cs="Arial"/>
                <w:sz w:val="16"/>
                <w:szCs w:val="16"/>
                <w:lang w:val="es-ES_tradnl"/>
              </w:rPr>
              <w:t>del</w:t>
            </w:r>
            <w:r w:rsidRPr="00D77DA7">
              <w:rPr>
                <w:rFonts w:ascii="Arial" w:hAnsi="Arial" w:cs="Arial"/>
                <w:sz w:val="16"/>
                <w:szCs w:val="16"/>
                <w:lang w:val="es-ES_tradnl"/>
              </w:rPr>
              <w:t xml:space="preserve"> C</w:t>
            </w:r>
            <w:r w:rsidR="00A94F5E" w:rsidRPr="00D77DA7">
              <w:rPr>
                <w:rFonts w:ascii="Arial" w:hAnsi="Arial" w:cs="Arial"/>
                <w:sz w:val="16"/>
                <w:szCs w:val="16"/>
                <w:lang w:val="es-ES_tradnl"/>
              </w:rPr>
              <w:t>ódigo</w:t>
            </w:r>
            <w:r w:rsidRPr="00D77DA7">
              <w:rPr>
                <w:rFonts w:ascii="Arial" w:hAnsi="Arial" w:cs="Arial"/>
                <w:sz w:val="16"/>
                <w:szCs w:val="16"/>
                <w:lang w:val="es-ES_tradnl"/>
              </w:rPr>
              <w:t xml:space="preserve"> E</w:t>
            </w:r>
            <w:r w:rsidR="00A94F5E" w:rsidRPr="00D77DA7">
              <w:rPr>
                <w:rFonts w:ascii="Arial" w:hAnsi="Arial" w:cs="Arial"/>
                <w:sz w:val="16"/>
                <w:szCs w:val="16"/>
                <w:lang w:val="es-ES_tradnl"/>
              </w:rPr>
              <w:t>lectoral del Estado de México</w:t>
            </w:r>
          </w:p>
        </w:tc>
      </w:tr>
      <w:tr w:rsidR="00D77DA7" w:rsidRPr="00D77DA7" w:rsidTr="000A4779">
        <w:tc>
          <w:tcPr>
            <w:tcW w:w="78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MOVIMIENTO PROGRESISTA</w:t>
            </w:r>
          </w:p>
        </w:tc>
        <w:tc>
          <w:tcPr>
            <w:tcW w:w="531"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1</w:t>
            </w:r>
          </w:p>
        </w:tc>
        <w:tc>
          <w:tcPr>
            <w:tcW w:w="780"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GRAVE</w:t>
            </w:r>
          </w:p>
        </w:tc>
        <w:tc>
          <w:tcPr>
            <w:tcW w:w="1308"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equivalente a la cantidad por la que rebasó el tope de gastos de campaña</w:t>
            </w:r>
          </w:p>
        </w:tc>
        <w:tc>
          <w:tcPr>
            <w:tcW w:w="31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$110,549.17**</w:t>
            </w:r>
          </w:p>
        </w:tc>
        <w:tc>
          <w:tcPr>
            <w:tcW w:w="654"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PRD $57,761.94</w:t>
            </w:r>
          </w:p>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PT $26,399.14</w:t>
            </w:r>
          </w:p>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lastRenderedPageBreak/>
              <w:t>MC $26,388.09</w:t>
            </w:r>
          </w:p>
        </w:tc>
        <w:tc>
          <w:tcPr>
            <w:tcW w:w="628" w:type="pct"/>
            <w:vMerge/>
            <w:vAlign w:val="center"/>
          </w:tcPr>
          <w:p w:rsidR="00A256AB" w:rsidRPr="00D77DA7" w:rsidRDefault="00A256AB" w:rsidP="00A94F5E">
            <w:pPr>
              <w:jc w:val="center"/>
              <w:rPr>
                <w:rFonts w:ascii="Arial" w:hAnsi="Arial" w:cs="Arial"/>
                <w:sz w:val="16"/>
                <w:szCs w:val="16"/>
                <w:lang w:val="es-ES_tradnl"/>
              </w:rPr>
            </w:pPr>
          </w:p>
        </w:tc>
      </w:tr>
      <w:tr w:rsidR="00D77DA7" w:rsidRPr="00D77DA7" w:rsidTr="000A4779">
        <w:tc>
          <w:tcPr>
            <w:tcW w:w="78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EL CAMBIO VERDADERO</w:t>
            </w:r>
          </w:p>
        </w:tc>
        <w:tc>
          <w:tcPr>
            <w:tcW w:w="531"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1</w:t>
            </w:r>
          </w:p>
        </w:tc>
        <w:tc>
          <w:tcPr>
            <w:tcW w:w="780"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GRAVE</w:t>
            </w:r>
          </w:p>
        </w:tc>
        <w:tc>
          <w:tcPr>
            <w:tcW w:w="1308"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equivalente al doble de la cantidad por la que rebasó el tope de gastos de campaña</w:t>
            </w:r>
          </w:p>
        </w:tc>
        <w:tc>
          <w:tcPr>
            <w:tcW w:w="315"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$1,147.42***</w:t>
            </w:r>
          </w:p>
        </w:tc>
        <w:tc>
          <w:tcPr>
            <w:tcW w:w="654" w:type="pct"/>
            <w:vAlign w:val="center"/>
          </w:tcPr>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PRD $787.47.00</w:t>
            </w:r>
          </w:p>
          <w:p w:rsidR="00A256AB" w:rsidRPr="00D77DA7" w:rsidRDefault="00A256AB" w:rsidP="00A94F5E">
            <w:pPr>
              <w:jc w:val="center"/>
              <w:rPr>
                <w:rFonts w:ascii="Arial" w:hAnsi="Arial" w:cs="Arial"/>
                <w:sz w:val="16"/>
                <w:szCs w:val="16"/>
                <w:lang w:val="es-ES_tradnl"/>
              </w:rPr>
            </w:pPr>
            <w:r w:rsidRPr="00D77DA7">
              <w:rPr>
                <w:rFonts w:ascii="Arial" w:hAnsi="Arial" w:cs="Arial"/>
                <w:sz w:val="16"/>
                <w:szCs w:val="16"/>
                <w:lang w:val="es-ES_tradnl"/>
              </w:rPr>
              <w:t>PT $359.95.00</w:t>
            </w:r>
          </w:p>
        </w:tc>
        <w:tc>
          <w:tcPr>
            <w:tcW w:w="628" w:type="pct"/>
            <w:vMerge/>
            <w:vAlign w:val="center"/>
          </w:tcPr>
          <w:p w:rsidR="00A256AB" w:rsidRPr="00D77DA7" w:rsidRDefault="00A256AB" w:rsidP="00A94F5E">
            <w:pPr>
              <w:jc w:val="center"/>
              <w:rPr>
                <w:rFonts w:ascii="Arial" w:hAnsi="Arial" w:cs="Arial"/>
                <w:sz w:val="16"/>
                <w:szCs w:val="16"/>
                <w:lang w:val="es-ES_tradnl"/>
              </w:rPr>
            </w:pPr>
          </w:p>
        </w:tc>
      </w:tr>
    </w:tbl>
    <w:p w:rsidR="00A256AB" w:rsidRDefault="00A256AB" w:rsidP="00A256AB">
      <w:pPr>
        <w:rPr>
          <w:rFonts w:ascii="Arial" w:hAnsi="Arial" w:cs="Arial"/>
          <w:sz w:val="16"/>
          <w:szCs w:val="16"/>
        </w:rPr>
      </w:pPr>
      <w:r w:rsidRPr="00A85D78">
        <w:rPr>
          <w:rFonts w:ascii="Arial" w:hAnsi="Arial" w:cs="Arial"/>
          <w:sz w:val="16"/>
          <w:szCs w:val="16"/>
        </w:rPr>
        <w:t>Fuente: Elaboración propia en base con el acuerdo IEEM/CG/009/2013                                                                                              * De acuerdo con el convenio de coalición los porcentajes de participación de los partidos son PT 50.02% y MC 49.98%                                                                                                                                                                                        ** De acuerdo con el convenio de coalición los porcentajes de participación de los partidos son  PRD 52.25%, PT 23.88% y MC 23.87%                                                                                                                                                                         *** De acuerdo con el convenio de coalición los porcentajes de participación de los partidos son PRD 68.63% y PT 31.37%.</w:t>
      </w:r>
    </w:p>
    <w:p w:rsidR="000A4779" w:rsidRDefault="000A4779" w:rsidP="00A256AB">
      <w:pPr>
        <w:rPr>
          <w:rFonts w:ascii="Arial" w:hAnsi="Arial" w:cs="Arial"/>
          <w:sz w:val="16"/>
          <w:szCs w:val="16"/>
        </w:rPr>
      </w:pPr>
    </w:p>
    <w:p w:rsidR="000A4779" w:rsidRPr="00A85D78" w:rsidRDefault="000A4779" w:rsidP="00A256AB">
      <w:pPr>
        <w:rPr>
          <w:rFonts w:ascii="Arial" w:hAnsi="Arial" w:cs="Arial"/>
          <w:sz w:val="16"/>
          <w:szCs w:val="16"/>
        </w:rPr>
      </w:pPr>
    </w:p>
    <w:p w:rsidR="00A256AB" w:rsidRDefault="00A256AB" w:rsidP="000A4779">
      <w:pPr>
        <w:spacing w:line="360" w:lineRule="auto"/>
        <w:jc w:val="both"/>
        <w:rPr>
          <w:rFonts w:ascii="Arial" w:hAnsi="Arial" w:cs="Arial"/>
          <w:sz w:val="24"/>
          <w:szCs w:val="24"/>
        </w:rPr>
      </w:pPr>
      <w:r w:rsidRPr="00A85D78">
        <w:rPr>
          <w:rFonts w:ascii="Arial" w:hAnsi="Arial" w:cs="Arial"/>
          <w:sz w:val="24"/>
          <w:szCs w:val="24"/>
        </w:rPr>
        <w:t>De la lectura de las tablas anteriores podemos establecer una diferencia para calificar las faltas; mientras que el proceso electoral 2009 se calificaron y sancionaron en base a la tesis de jurisprudencia S3ELJ 24/2003 “emitida por la Sala Superior del Tribunal Electoral del Poder Judicial de la Federación, la cual califica las faltas en levísima, leve, grave ordinaria, grave especial, grave mayor y particularmente grave; y en base a la misma se estableció un intervalo de días de salario mínimo como sanción dependiendo de la gravedad establecida en la tesis de jurisprudencia mencionada.</w:t>
      </w:r>
    </w:p>
    <w:p w:rsidR="000A4779" w:rsidRPr="00A85D78" w:rsidRDefault="000A4779" w:rsidP="000A4779">
      <w:pPr>
        <w:spacing w:line="360" w:lineRule="auto"/>
        <w:jc w:val="both"/>
        <w:rPr>
          <w:rFonts w:ascii="Arial" w:hAnsi="Arial" w:cs="Arial"/>
          <w:sz w:val="24"/>
          <w:szCs w:val="24"/>
        </w:rPr>
      </w:pPr>
    </w:p>
    <w:p w:rsidR="00A256AB" w:rsidRDefault="00A256AB" w:rsidP="000A4779">
      <w:pPr>
        <w:spacing w:line="360" w:lineRule="auto"/>
        <w:jc w:val="both"/>
        <w:rPr>
          <w:rFonts w:ascii="Arial" w:hAnsi="Arial" w:cs="Arial"/>
          <w:sz w:val="24"/>
          <w:szCs w:val="24"/>
        </w:rPr>
      </w:pPr>
      <w:r w:rsidRPr="00A85D78">
        <w:rPr>
          <w:rFonts w:ascii="Arial" w:hAnsi="Arial" w:cs="Arial"/>
          <w:sz w:val="24"/>
          <w:szCs w:val="24"/>
        </w:rPr>
        <w:t xml:space="preserve">Para el proceso electoral 2012 , la calificación de las faltas se realizó </w:t>
      </w:r>
      <w:r w:rsidR="00A94F5E">
        <w:rPr>
          <w:rFonts w:ascii="Arial" w:hAnsi="Arial" w:cs="Arial"/>
          <w:sz w:val="24"/>
          <w:szCs w:val="24"/>
        </w:rPr>
        <w:t>con</w:t>
      </w:r>
      <w:r w:rsidRPr="00A85D78">
        <w:rPr>
          <w:rFonts w:ascii="Arial" w:hAnsi="Arial" w:cs="Arial"/>
          <w:sz w:val="24"/>
          <w:szCs w:val="24"/>
        </w:rPr>
        <w:t xml:space="preserve"> base </w:t>
      </w:r>
      <w:r w:rsidR="00A94F5E">
        <w:rPr>
          <w:rFonts w:ascii="Arial" w:hAnsi="Arial" w:cs="Arial"/>
          <w:sz w:val="24"/>
          <w:szCs w:val="24"/>
        </w:rPr>
        <w:t>en</w:t>
      </w:r>
      <w:r w:rsidRPr="00A85D78">
        <w:rPr>
          <w:rFonts w:ascii="Arial" w:hAnsi="Arial" w:cs="Arial"/>
          <w:sz w:val="24"/>
          <w:szCs w:val="24"/>
        </w:rPr>
        <w:t xml:space="preserve"> las sentencias identificadas con las claves SUP-RAP-029/2001, SUP-RAP-024/2002 y SUP-RAP-031/2002, en las que se establece que las faltas pueden calificarse como levísimas; leves; graves ordinarias; graves especiales; graves mayores y particularmente graves (IEEM/CG/199/2012, </w:t>
      </w:r>
      <w:proofErr w:type="spellStart"/>
      <w:r w:rsidRPr="00A85D78">
        <w:rPr>
          <w:rFonts w:ascii="Arial" w:hAnsi="Arial" w:cs="Arial"/>
          <w:sz w:val="24"/>
          <w:szCs w:val="24"/>
        </w:rPr>
        <w:t>pp</w:t>
      </w:r>
      <w:proofErr w:type="spellEnd"/>
      <w:r w:rsidRPr="00A85D78">
        <w:rPr>
          <w:rFonts w:ascii="Arial" w:hAnsi="Arial" w:cs="Arial"/>
          <w:sz w:val="24"/>
          <w:szCs w:val="24"/>
        </w:rPr>
        <w:t xml:space="preserve"> 11-12); no obstante para graduar la sanción se procedió a graduar un mínimo y un máximo con fundamento en las tesis S3EL 028/2003, S3EL 012/2004 y la tesis relevante VI/2009</w:t>
      </w:r>
      <w:r w:rsidR="000A4779">
        <w:rPr>
          <w:rFonts w:ascii="Arial" w:hAnsi="Arial" w:cs="Arial"/>
          <w:sz w:val="24"/>
          <w:szCs w:val="24"/>
        </w:rPr>
        <w:t>.</w:t>
      </w:r>
    </w:p>
    <w:p w:rsidR="000A4779" w:rsidRPr="00A85D78" w:rsidRDefault="000A4779" w:rsidP="000A4779">
      <w:pPr>
        <w:spacing w:line="360" w:lineRule="auto"/>
        <w:jc w:val="both"/>
        <w:rPr>
          <w:rFonts w:ascii="Arial" w:hAnsi="Arial" w:cs="Arial"/>
          <w:sz w:val="24"/>
          <w:szCs w:val="24"/>
        </w:rPr>
      </w:pPr>
    </w:p>
    <w:p w:rsidR="00A256AB" w:rsidRDefault="00A256AB" w:rsidP="000A4779">
      <w:pPr>
        <w:spacing w:line="360" w:lineRule="auto"/>
        <w:jc w:val="both"/>
        <w:rPr>
          <w:rFonts w:ascii="Arial" w:hAnsi="Arial" w:cs="Arial"/>
          <w:sz w:val="24"/>
          <w:szCs w:val="24"/>
        </w:rPr>
      </w:pPr>
      <w:r w:rsidRPr="00A85D78">
        <w:rPr>
          <w:rFonts w:ascii="Arial" w:hAnsi="Arial" w:cs="Arial"/>
          <w:sz w:val="24"/>
          <w:szCs w:val="24"/>
        </w:rPr>
        <w:t>Por tal razón observamos que en este proceso electoral faltas calificadas como “leves” fueron sancionadas con 1000 y 1250 DSM; cuando en el proceso electoral 2009, las faltas leves no excedieron los 889 DSM de multa.</w:t>
      </w:r>
    </w:p>
    <w:p w:rsidR="000A4779" w:rsidRPr="00A85D78" w:rsidRDefault="000A4779" w:rsidP="000A4779">
      <w:pPr>
        <w:spacing w:line="360" w:lineRule="auto"/>
        <w:jc w:val="both"/>
        <w:rPr>
          <w:rFonts w:ascii="Arial" w:hAnsi="Arial" w:cs="Arial"/>
          <w:sz w:val="24"/>
          <w:szCs w:val="24"/>
        </w:rPr>
      </w:pPr>
    </w:p>
    <w:p w:rsidR="00A256AB" w:rsidRDefault="00A256AB" w:rsidP="000A4779">
      <w:pPr>
        <w:spacing w:line="360" w:lineRule="auto"/>
        <w:jc w:val="both"/>
        <w:rPr>
          <w:rFonts w:ascii="Arial" w:hAnsi="Arial" w:cs="Arial"/>
          <w:sz w:val="24"/>
          <w:szCs w:val="24"/>
        </w:rPr>
      </w:pPr>
      <w:r w:rsidRPr="00A85D78">
        <w:rPr>
          <w:rFonts w:ascii="Arial" w:hAnsi="Arial" w:cs="Arial"/>
          <w:sz w:val="24"/>
          <w:szCs w:val="24"/>
        </w:rPr>
        <w:t>De esta manera el Órgano Técnico de Fiscalización, concluy</w:t>
      </w:r>
      <w:r w:rsidR="00A94F5E">
        <w:rPr>
          <w:rFonts w:ascii="Arial" w:hAnsi="Arial" w:cs="Arial"/>
          <w:sz w:val="24"/>
          <w:szCs w:val="24"/>
        </w:rPr>
        <w:t>ó</w:t>
      </w:r>
      <w:r w:rsidRPr="00A85D78">
        <w:rPr>
          <w:rFonts w:ascii="Arial" w:hAnsi="Arial" w:cs="Arial"/>
          <w:sz w:val="24"/>
          <w:szCs w:val="24"/>
        </w:rPr>
        <w:t xml:space="preserve"> con la fiscalización de los gastos de los comicios para renovar Ayuntamientos y Diputados Locales, correspondientes al año 2012; imponiendo una sanción global de campaña de $565,416.00 y de precampaña de $17,724.00; es decir un total de $583,140.00.</w:t>
      </w:r>
    </w:p>
    <w:p w:rsidR="000A4779" w:rsidRPr="00A85D78" w:rsidRDefault="000A4779" w:rsidP="000A4779">
      <w:pPr>
        <w:spacing w:line="360" w:lineRule="auto"/>
        <w:jc w:val="both"/>
        <w:rPr>
          <w:rFonts w:ascii="Arial" w:hAnsi="Arial" w:cs="Arial"/>
          <w:sz w:val="24"/>
          <w:szCs w:val="24"/>
        </w:rPr>
      </w:pPr>
    </w:p>
    <w:p w:rsidR="00A256AB" w:rsidRPr="00A85D78" w:rsidRDefault="00A256AB" w:rsidP="002D2D1E">
      <w:pPr>
        <w:spacing w:line="360" w:lineRule="auto"/>
        <w:jc w:val="both"/>
        <w:rPr>
          <w:rFonts w:ascii="Arial" w:hAnsi="Arial" w:cs="Arial"/>
          <w:b/>
          <w:sz w:val="24"/>
          <w:szCs w:val="24"/>
        </w:rPr>
      </w:pPr>
      <w:r w:rsidRPr="00A85D78">
        <w:rPr>
          <w:rFonts w:ascii="Arial" w:hAnsi="Arial" w:cs="Arial"/>
          <w:b/>
          <w:sz w:val="24"/>
          <w:szCs w:val="24"/>
        </w:rPr>
        <w:lastRenderedPageBreak/>
        <w:t>4.2 Fiscalización de procesos electorales locales por la Unidad Técnica de Fiscalización del Instituto Nacional Electoral.</w:t>
      </w:r>
    </w:p>
    <w:p w:rsidR="00A256AB" w:rsidRPr="00A85D78" w:rsidRDefault="00A256AB" w:rsidP="002D2D1E">
      <w:pPr>
        <w:spacing w:line="360" w:lineRule="auto"/>
        <w:jc w:val="both"/>
        <w:rPr>
          <w:rFonts w:ascii="Arial" w:hAnsi="Arial" w:cs="Arial"/>
          <w:sz w:val="24"/>
          <w:szCs w:val="24"/>
        </w:rPr>
      </w:pPr>
      <w:r w:rsidRPr="00A85D78">
        <w:rPr>
          <w:rFonts w:ascii="Arial" w:hAnsi="Arial" w:cs="Arial"/>
          <w:sz w:val="24"/>
          <w:szCs w:val="24"/>
        </w:rPr>
        <w:t xml:space="preserve">En los capítulos previos se ha comentado a detalle los pormenores de la reforma electoral 2014 y las facultades del INE para fiscalizar los procesos electorales locales, por lo </w:t>
      </w:r>
      <w:proofErr w:type="gramStart"/>
      <w:r w:rsidRPr="00A85D78">
        <w:rPr>
          <w:rFonts w:ascii="Arial" w:hAnsi="Arial" w:cs="Arial"/>
          <w:sz w:val="24"/>
          <w:szCs w:val="24"/>
        </w:rPr>
        <w:t>tanto</w:t>
      </w:r>
      <w:proofErr w:type="gramEnd"/>
      <w:r w:rsidRPr="00A85D78">
        <w:rPr>
          <w:rFonts w:ascii="Arial" w:hAnsi="Arial" w:cs="Arial"/>
          <w:sz w:val="24"/>
          <w:szCs w:val="24"/>
        </w:rPr>
        <w:t xml:space="preserve"> sin mayor preámbulo daremos paso al análisis de los resultados arrojados por esta autoridad electoral en materia de fiscalización en su primera intervención en la </w:t>
      </w:r>
      <w:r w:rsidR="00A94F5E">
        <w:rPr>
          <w:rFonts w:ascii="Arial" w:hAnsi="Arial" w:cs="Arial"/>
          <w:sz w:val="24"/>
          <w:szCs w:val="24"/>
        </w:rPr>
        <w:t>e</w:t>
      </w:r>
      <w:r w:rsidRPr="00A85D78">
        <w:rPr>
          <w:rFonts w:ascii="Arial" w:hAnsi="Arial" w:cs="Arial"/>
          <w:sz w:val="24"/>
          <w:szCs w:val="24"/>
        </w:rPr>
        <w:t xml:space="preserve">ntidad. </w:t>
      </w:r>
    </w:p>
    <w:p w:rsidR="00A256AB" w:rsidRPr="00A85D78" w:rsidRDefault="00A256AB" w:rsidP="00A256AB">
      <w:pPr>
        <w:jc w:val="both"/>
        <w:rPr>
          <w:rFonts w:ascii="Arial" w:hAnsi="Arial" w:cs="Arial"/>
          <w:sz w:val="24"/>
          <w:szCs w:val="24"/>
        </w:rPr>
      </w:pPr>
    </w:p>
    <w:p w:rsidR="00A256AB" w:rsidRPr="00927E74" w:rsidRDefault="00A256AB" w:rsidP="000A4779">
      <w:pPr>
        <w:spacing w:line="360" w:lineRule="auto"/>
        <w:jc w:val="both"/>
        <w:rPr>
          <w:rFonts w:ascii="Arial" w:hAnsi="Arial" w:cs="Arial"/>
          <w:b/>
        </w:rPr>
      </w:pPr>
      <w:r w:rsidRPr="00927E74">
        <w:rPr>
          <w:rFonts w:ascii="Arial" w:hAnsi="Arial" w:cs="Arial"/>
          <w:b/>
        </w:rPr>
        <w:t>4.2.1 Proceso Electoral Renovación de Ayuntamientos y Diputados Locales 2015.</w:t>
      </w:r>
    </w:p>
    <w:p w:rsidR="00A256AB" w:rsidRPr="00A85D78" w:rsidRDefault="00A256AB" w:rsidP="000A4779">
      <w:pPr>
        <w:spacing w:line="360" w:lineRule="auto"/>
        <w:jc w:val="both"/>
        <w:rPr>
          <w:rFonts w:ascii="Arial" w:hAnsi="Arial" w:cs="Arial"/>
          <w:b/>
          <w:sz w:val="24"/>
          <w:szCs w:val="24"/>
        </w:rPr>
      </w:pPr>
      <w:r w:rsidRPr="00A85D78">
        <w:rPr>
          <w:rFonts w:ascii="Arial" w:hAnsi="Arial" w:cs="Arial"/>
          <w:b/>
          <w:sz w:val="24"/>
          <w:szCs w:val="24"/>
        </w:rPr>
        <w:t>4.2.1.1 Precampaña</w:t>
      </w:r>
      <w:r w:rsidR="00927E74">
        <w:rPr>
          <w:rFonts w:ascii="Arial" w:hAnsi="Arial" w:cs="Arial"/>
          <w:b/>
          <w:sz w:val="24"/>
          <w:szCs w:val="24"/>
        </w:rPr>
        <w:t>.</w:t>
      </w:r>
    </w:p>
    <w:p w:rsidR="00A256AB" w:rsidRDefault="00A256AB" w:rsidP="000A4779">
      <w:pPr>
        <w:spacing w:line="360" w:lineRule="auto"/>
        <w:jc w:val="both"/>
        <w:rPr>
          <w:rFonts w:ascii="Arial" w:hAnsi="Arial" w:cs="Arial"/>
          <w:sz w:val="24"/>
          <w:szCs w:val="24"/>
        </w:rPr>
      </w:pPr>
      <w:r w:rsidRPr="00A85D78">
        <w:rPr>
          <w:rFonts w:ascii="Arial" w:hAnsi="Arial" w:cs="Arial"/>
          <w:sz w:val="24"/>
          <w:szCs w:val="24"/>
        </w:rPr>
        <w:t>El Instituto Nacional Electoral hizo frente a uno de sus principales desafíos en materia de fiscalización mediante la auditoria de los ingresos y gastos de los partidos en el Estado de México; con este objeto basado en los preceptos legales recién creados, calendariz</w:t>
      </w:r>
      <w:r w:rsidR="00A94F5E">
        <w:rPr>
          <w:rFonts w:ascii="Arial" w:hAnsi="Arial" w:cs="Arial"/>
          <w:sz w:val="24"/>
          <w:szCs w:val="24"/>
        </w:rPr>
        <w:t>ó</w:t>
      </w:r>
      <w:r w:rsidRPr="00A85D78">
        <w:rPr>
          <w:rFonts w:ascii="Arial" w:hAnsi="Arial" w:cs="Arial"/>
          <w:sz w:val="24"/>
          <w:szCs w:val="24"/>
        </w:rPr>
        <w:t xml:space="preserve"> la fiscalización de ayuntamientos y diputados locales por separado, como podemos observar en las tablas 4.13 y 4.14.</w:t>
      </w:r>
    </w:p>
    <w:p w:rsidR="000A4779" w:rsidRPr="00A85D78" w:rsidRDefault="000A4779" w:rsidP="00A256AB">
      <w:pPr>
        <w:jc w:val="both"/>
        <w:rPr>
          <w:rFonts w:ascii="Arial" w:hAnsi="Arial" w:cs="Arial"/>
          <w:sz w:val="24"/>
          <w:szCs w:val="24"/>
        </w:rPr>
      </w:pPr>
    </w:p>
    <w:p w:rsidR="00A256AB" w:rsidRPr="002D2D1E" w:rsidRDefault="00A256AB" w:rsidP="002D2D1E">
      <w:pPr>
        <w:tabs>
          <w:tab w:val="left" w:pos="5070"/>
        </w:tabs>
        <w:jc w:val="both"/>
        <w:rPr>
          <w:rStyle w:val="Ttulodellibro"/>
          <w:rFonts w:ascii="Arial" w:hAnsi="Arial" w:cs="Arial"/>
          <w:b/>
          <w:i/>
          <w:color w:val="auto"/>
          <w:sz w:val="20"/>
          <w:szCs w:val="20"/>
        </w:rPr>
      </w:pPr>
      <w:r w:rsidRPr="002D2D1E">
        <w:rPr>
          <w:rStyle w:val="Ttulodellibro"/>
          <w:rFonts w:ascii="Arial" w:hAnsi="Arial" w:cs="Arial"/>
          <w:b/>
          <w:i/>
          <w:color w:val="auto"/>
          <w:sz w:val="20"/>
          <w:szCs w:val="20"/>
        </w:rPr>
        <w:t>Tabla 4.13 Cronograma del proceso de fiscalización de precampaña para Diputados Locales</w:t>
      </w:r>
      <w:r w:rsidR="002D2D1E" w:rsidRPr="002D2D1E">
        <w:rPr>
          <w:rStyle w:val="Ttulodellibro"/>
          <w:rFonts w:ascii="Arial" w:hAnsi="Arial" w:cs="Arial"/>
          <w:b/>
          <w:i/>
          <w:color w:val="auto"/>
          <w:sz w:val="20"/>
          <w:szCs w:val="20"/>
        </w:rPr>
        <w:t>.</w:t>
      </w:r>
    </w:p>
    <w:p w:rsidR="002D2D1E" w:rsidRPr="00A85D78" w:rsidRDefault="002D2D1E" w:rsidP="00A256AB">
      <w:pPr>
        <w:jc w:val="both"/>
        <w:rPr>
          <w:rFonts w:ascii="Arial" w:hAnsi="Arial" w:cs="Arial"/>
          <w:sz w:val="24"/>
          <w:szCs w:val="24"/>
        </w:rPr>
      </w:pPr>
    </w:p>
    <w:tbl>
      <w:tblPr>
        <w:tblW w:w="5000" w:type="pct"/>
        <w:tblCellMar>
          <w:left w:w="0" w:type="dxa"/>
          <w:right w:w="0" w:type="dxa"/>
        </w:tblCellMar>
        <w:tblLook w:val="01E0" w:firstRow="1" w:lastRow="1" w:firstColumn="1" w:lastColumn="1" w:noHBand="0" w:noVBand="0"/>
      </w:tblPr>
      <w:tblGrid>
        <w:gridCol w:w="1216"/>
        <w:gridCol w:w="841"/>
        <w:gridCol w:w="1082"/>
        <w:gridCol w:w="973"/>
        <w:gridCol w:w="964"/>
        <w:gridCol w:w="1156"/>
        <w:gridCol w:w="1176"/>
        <w:gridCol w:w="1080"/>
      </w:tblGrid>
      <w:tr w:rsidR="00A94F5E" w:rsidRPr="00A85D78" w:rsidTr="00A94F5E">
        <w:trPr>
          <w:trHeight w:hRule="exact" w:val="952"/>
          <w:tblHeader/>
        </w:trPr>
        <w:tc>
          <w:tcPr>
            <w:tcW w:w="72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94F5E" w:rsidRDefault="00A94F5E" w:rsidP="00A94F5E">
            <w:pPr>
              <w:ind w:right="52"/>
              <w:jc w:val="center"/>
              <w:rPr>
                <w:rFonts w:ascii="Arial" w:eastAsia="Arial" w:hAnsi="Arial" w:cs="Arial"/>
                <w:b/>
                <w:sz w:val="14"/>
                <w:szCs w:val="14"/>
              </w:rPr>
            </w:pPr>
            <w:r w:rsidRPr="00A94F5E">
              <w:rPr>
                <w:rFonts w:ascii="Arial" w:eastAsia="Arial" w:hAnsi="Arial" w:cs="Arial"/>
                <w:b/>
                <w:spacing w:val="1"/>
                <w:sz w:val="14"/>
                <w:szCs w:val="14"/>
              </w:rPr>
              <w:t>P</w:t>
            </w:r>
            <w:r w:rsidRPr="00A94F5E">
              <w:rPr>
                <w:rFonts w:ascii="Arial" w:eastAsia="Arial" w:hAnsi="Arial" w:cs="Arial"/>
                <w:b/>
                <w:spacing w:val="-1"/>
                <w:sz w:val="14"/>
                <w:szCs w:val="14"/>
              </w:rPr>
              <w:t>E</w:t>
            </w:r>
            <w:r w:rsidRPr="00A94F5E">
              <w:rPr>
                <w:rFonts w:ascii="Arial" w:eastAsia="Arial" w:hAnsi="Arial" w:cs="Arial"/>
                <w:b/>
                <w:spacing w:val="1"/>
                <w:sz w:val="14"/>
                <w:szCs w:val="14"/>
              </w:rPr>
              <w:t>R</w:t>
            </w:r>
            <w:r w:rsidRPr="00A94F5E">
              <w:rPr>
                <w:rFonts w:ascii="Arial" w:eastAsia="Arial" w:hAnsi="Arial" w:cs="Arial"/>
                <w:b/>
                <w:sz w:val="14"/>
                <w:szCs w:val="14"/>
              </w:rPr>
              <w:t>I</w:t>
            </w:r>
            <w:r w:rsidRPr="00A94F5E">
              <w:rPr>
                <w:rFonts w:ascii="Arial" w:eastAsia="Arial" w:hAnsi="Arial" w:cs="Arial"/>
                <w:b/>
                <w:spacing w:val="1"/>
                <w:sz w:val="14"/>
                <w:szCs w:val="14"/>
              </w:rPr>
              <w:t>O</w:t>
            </w:r>
            <w:r w:rsidRPr="00A94F5E">
              <w:rPr>
                <w:rFonts w:ascii="Arial" w:eastAsia="Arial" w:hAnsi="Arial" w:cs="Arial"/>
                <w:b/>
                <w:spacing w:val="-1"/>
                <w:sz w:val="14"/>
                <w:szCs w:val="14"/>
              </w:rPr>
              <w:t>D</w:t>
            </w:r>
            <w:r w:rsidRPr="00A94F5E">
              <w:rPr>
                <w:rFonts w:ascii="Arial" w:eastAsia="Arial" w:hAnsi="Arial" w:cs="Arial"/>
                <w:b/>
                <w:sz w:val="14"/>
                <w:szCs w:val="14"/>
              </w:rPr>
              <w:t xml:space="preserve">O  </w:t>
            </w:r>
            <w:r w:rsidRPr="00A94F5E">
              <w:rPr>
                <w:rFonts w:ascii="Arial" w:eastAsia="Arial" w:hAnsi="Arial" w:cs="Arial"/>
                <w:b/>
                <w:spacing w:val="29"/>
                <w:sz w:val="14"/>
                <w:szCs w:val="14"/>
              </w:rPr>
              <w:t xml:space="preserve"> </w:t>
            </w:r>
            <w:r w:rsidRPr="00A94F5E">
              <w:rPr>
                <w:rFonts w:ascii="Arial" w:eastAsia="Arial" w:hAnsi="Arial" w:cs="Arial"/>
                <w:b/>
                <w:spacing w:val="1"/>
                <w:sz w:val="14"/>
                <w:szCs w:val="14"/>
              </w:rPr>
              <w:t>D</w:t>
            </w:r>
            <w:r w:rsidRPr="00A94F5E">
              <w:rPr>
                <w:rFonts w:ascii="Arial" w:eastAsia="Arial" w:hAnsi="Arial" w:cs="Arial"/>
                <w:b/>
                <w:sz w:val="14"/>
                <w:szCs w:val="14"/>
              </w:rPr>
              <w:t xml:space="preserve">E </w:t>
            </w:r>
            <w:r w:rsidRPr="00A94F5E">
              <w:rPr>
                <w:rFonts w:ascii="Arial" w:eastAsia="Arial" w:hAnsi="Arial" w:cs="Arial"/>
                <w:b/>
                <w:spacing w:val="-1"/>
                <w:sz w:val="14"/>
                <w:szCs w:val="14"/>
              </w:rPr>
              <w:t>P</w:t>
            </w:r>
            <w:r w:rsidRPr="00A94F5E">
              <w:rPr>
                <w:rFonts w:ascii="Arial" w:eastAsia="Arial" w:hAnsi="Arial" w:cs="Arial"/>
                <w:b/>
                <w:spacing w:val="1"/>
                <w:sz w:val="14"/>
                <w:szCs w:val="14"/>
              </w:rPr>
              <w:t>R</w:t>
            </w:r>
            <w:r w:rsidRPr="00A94F5E">
              <w:rPr>
                <w:rFonts w:ascii="Arial" w:eastAsia="Arial" w:hAnsi="Arial" w:cs="Arial"/>
                <w:b/>
                <w:spacing w:val="-1"/>
                <w:sz w:val="14"/>
                <w:szCs w:val="14"/>
              </w:rPr>
              <w:t>E</w:t>
            </w:r>
            <w:r w:rsidRPr="00A94F5E">
              <w:rPr>
                <w:rFonts w:ascii="Arial" w:eastAsia="Arial" w:hAnsi="Arial" w:cs="Arial"/>
                <w:b/>
                <w:spacing w:val="2"/>
                <w:sz w:val="14"/>
                <w:szCs w:val="14"/>
              </w:rPr>
              <w:t>C</w:t>
            </w:r>
            <w:r w:rsidRPr="00A94F5E">
              <w:rPr>
                <w:rFonts w:ascii="Arial" w:eastAsia="Arial" w:hAnsi="Arial" w:cs="Arial"/>
                <w:b/>
                <w:spacing w:val="-1"/>
                <w:sz w:val="14"/>
                <w:szCs w:val="14"/>
              </w:rPr>
              <w:t>A</w:t>
            </w:r>
            <w:r w:rsidRPr="00A94F5E">
              <w:rPr>
                <w:rFonts w:ascii="Arial" w:eastAsia="Arial" w:hAnsi="Arial" w:cs="Arial"/>
                <w:b/>
                <w:spacing w:val="1"/>
                <w:sz w:val="14"/>
                <w:szCs w:val="14"/>
              </w:rPr>
              <w:t>MP</w:t>
            </w:r>
            <w:r w:rsidRPr="00A94F5E">
              <w:rPr>
                <w:rFonts w:ascii="Arial" w:eastAsia="Arial" w:hAnsi="Arial" w:cs="Arial"/>
                <w:b/>
                <w:spacing w:val="-1"/>
                <w:sz w:val="14"/>
                <w:szCs w:val="14"/>
              </w:rPr>
              <w:t>A</w:t>
            </w:r>
            <w:r w:rsidRPr="00A94F5E">
              <w:rPr>
                <w:rFonts w:ascii="Arial" w:eastAsia="Arial" w:hAnsi="Arial" w:cs="Arial"/>
                <w:b/>
                <w:spacing w:val="1"/>
                <w:sz w:val="14"/>
                <w:szCs w:val="14"/>
              </w:rPr>
              <w:t>Ñ</w:t>
            </w:r>
            <w:r w:rsidRPr="00A94F5E">
              <w:rPr>
                <w:rFonts w:ascii="Arial" w:eastAsia="Arial" w:hAnsi="Arial" w:cs="Arial"/>
                <w:b/>
                <w:sz w:val="14"/>
                <w:szCs w:val="14"/>
              </w:rPr>
              <w:t>A</w:t>
            </w:r>
          </w:p>
        </w:tc>
        <w:tc>
          <w:tcPr>
            <w:tcW w:w="499"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94F5E" w:rsidRDefault="00A94F5E" w:rsidP="00A94F5E">
            <w:pPr>
              <w:ind w:right="50"/>
              <w:jc w:val="center"/>
              <w:rPr>
                <w:rFonts w:ascii="Arial" w:eastAsia="Arial" w:hAnsi="Arial" w:cs="Arial"/>
                <w:b/>
                <w:sz w:val="14"/>
                <w:szCs w:val="14"/>
              </w:rPr>
            </w:pPr>
            <w:r w:rsidRPr="00A94F5E">
              <w:rPr>
                <w:rFonts w:ascii="Arial" w:eastAsia="Arial" w:hAnsi="Arial" w:cs="Arial"/>
                <w:b/>
                <w:spacing w:val="-1"/>
                <w:sz w:val="14"/>
                <w:szCs w:val="14"/>
              </w:rPr>
              <w:t>F</w:t>
            </w:r>
            <w:r w:rsidRPr="00A94F5E">
              <w:rPr>
                <w:rFonts w:ascii="Arial" w:eastAsia="Arial" w:hAnsi="Arial" w:cs="Arial"/>
                <w:b/>
                <w:spacing w:val="2"/>
                <w:sz w:val="14"/>
                <w:szCs w:val="14"/>
              </w:rPr>
              <w:t>E</w:t>
            </w:r>
            <w:r w:rsidRPr="00A94F5E">
              <w:rPr>
                <w:rFonts w:ascii="Arial" w:eastAsia="Arial" w:hAnsi="Arial" w:cs="Arial"/>
                <w:b/>
                <w:spacing w:val="-1"/>
                <w:sz w:val="14"/>
                <w:szCs w:val="14"/>
              </w:rPr>
              <w:t>C</w:t>
            </w:r>
            <w:r w:rsidRPr="00A94F5E">
              <w:rPr>
                <w:rFonts w:ascii="Arial" w:eastAsia="Arial" w:hAnsi="Arial" w:cs="Arial"/>
                <w:b/>
                <w:spacing w:val="1"/>
                <w:sz w:val="14"/>
                <w:szCs w:val="14"/>
              </w:rPr>
              <w:t>H</w:t>
            </w:r>
            <w:r w:rsidRPr="00A94F5E">
              <w:rPr>
                <w:rFonts w:ascii="Arial" w:eastAsia="Arial" w:hAnsi="Arial" w:cs="Arial"/>
                <w:b/>
                <w:sz w:val="14"/>
                <w:szCs w:val="14"/>
              </w:rPr>
              <w:t>A LÍ</w:t>
            </w:r>
            <w:r w:rsidRPr="00A94F5E">
              <w:rPr>
                <w:rFonts w:ascii="Arial" w:eastAsia="Arial" w:hAnsi="Arial" w:cs="Arial"/>
                <w:b/>
                <w:spacing w:val="1"/>
                <w:sz w:val="14"/>
                <w:szCs w:val="14"/>
              </w:rPr>
              <w:t>M</w:t>
            </w:r>
            <w:r w:rsidRPr="00A94F5E">
              <w:rPr>
                <w:rFonts w:ascii="Arial" w:eastAsia="Arial" w:hAnsi="Arial" w:cs="Arial"/>
                <w:b/>
                <w:sz w:val="14"/>
                <w:szCs w:val="14"/>
              </w:rPr>
              <w:t>I</w:t>
            </w:r>
            <w:r w:rsidRPr="00A94F5E">
              <w:rPr>
                <w:rFonts w:ascii="Arial" w:eastAsia="Arial" w:hAnsi="Arial" w:cs="Arial"/>
                <w:b/>
                <w:spacing w:val="-1"/>
                <w:sz w:val="14"/>
                <w:szCs w:val="14"/>
              </w:rPr>
              <w:t>T</w:t>
            </w:r>
            <w:r w:rsidRPr="00A94F5E">
              <w:rPr>
                <w:rFonts w:ascii="Arial" w:eastAsia="Arial" w:hAnsi="Arial" w:cs="Arial"/>
                <w:b/>
                <w:sz w:val="14"/>
                <w:szCs w:val="14"/>
              </w:rPr>
              <w:t xml:space="preserve">E   </w:t>
            </w:r>
            <w:r w:rsidRPr="00A94F5E">
              <w:rPr>
                <w:rFonts w:ascii="Arial" w:eastAsia="Arial" w:hAnsi="Arial" w:cs="Arial"/>
                <w:b/>
                <w:spacing w:val="16"/>
                <w:sz w:val="14"/>
                <w:szCs w:val="14"/>
              </w:rPr>
              <w:t xml:space="preserve"> </w:t>
            </w:r>
            <w:r w:rsidRPr="00A94F5E">
              <w:rPr>
                <w:rFonts w:ascii="Arial" w:eastAsia="Arial" w:hAnsi="Arial" w:cs="Arial"/>
                <w:b/>
                <w:spacing w:val="-1"/>
                <w:sz w:val="14"/>
                <w:szCs w:val="14"/>
              </w:rPr>
              <w:t>D</w:t>
            </w:r>
            <w:r w:rsidRPr="00A94F5E">
              <w:rPr>
                <w:rFonts w:ascii="Arial" w:eastAsia="Arial" w:hAnsi="Arial" w:cs="Arial"/>
                <w:b/>
                <w:sz w:val="14"/>
                <w:szCs w:val="14"/>
              </w:rPr>
              <w:t xml:space="preserve">E </w:t>
            </w:r>
            <w:r w:rsidRPr="00A94F5E">
              <w:rPr>
                <w:rFonts w:ascii="Arial" w:eastAsia="Arial" w:hAnsi="Arial" w:cs="Arial"/>
                <w:b/>
                <w:spacing w:val="-1"/>
                <w:sz w:val="14"/>
                <w:szCs w:val="14"/>
              </w:rPr>
              <w:t>E</w:t>
            </w:r>
            <w:r w:rsidRPr="00A94F5E">
              <w:rPr>
                <w:rFonts w:ascii="Arial" w:eastAsia="Arial" w:hAnsi="Arial" w:cs="Arial"/>
                <w:b/>
                <w:spacing w:val="1"/>
                <w:sz w:val="14"/>
                <w:szCs w:val="14"/>
              </w:rPr>
              <w:t>N</w:t>
            </w:r>
            <w:r w:rsidRPr="00A94F5E">
              <w:rPr>
                <w:rFonts w:ascii="Arial" w:eastAsia="Arial" w:hAnsi="Arial" w:cs="Arial"/>
                <w:b/>
                <w:spacing w:val="-1"/>
                <w:sz w:val="14"/>
                <w:szCs w:val="14"/>
              </w:rPr>
              <w:t>T</w:t>
            </w:r>
            <w:r w:rsidRPr="00A94F5E">
              <w:rPr>
                <w:rFonts w:ascii="Arial" w:eastAsia="Arial" w:hAnsi="Arial" w:cs="Arial"/>
                <w:b/>
                <w:spacing w:val="1"/>
                <w:sz w:val="14"/>
                <w:szCs w:val="14"/>
              </w:rPr>
              <w:t>R</w:t>
            </w:r>
            <w:r w:rsidRPr="00A94F5E">
              <w:rPr>
                <w:rFonts w:ascii="Arial" w:eastAsia="Arial" w:hAnsi="Arial" w:cs="Arial"/>
                <w:b/>
                <w:spacing w:val="-1"/>
                <w:sz w:val="14"/>
                <w:szCs w:val="14"/>
              </w:rPr>
              <w:t>E</w:t>
            </w:r>
            <w:r w:rsidRPr="00A94F5E">
              <w:rPr>
                <w:rFonts w:ascii="Arial" w:eastAsia="Arial" w:hAnsi="Arial" w:cs="Arial"/>
                <w:b/>
                <w:spacing w:val="1"/>
                <w:sz w:val="14"/>
                <w:szCs w:val="14"/>
              </w:rPr>
              <w:t>G</w:t>
            </w:r>
            <w:r w:rsidRPr="00A94F5E">
              <w:rPr>
                <w:rFonts w:ascii="Arial" w:eastAsia="Arial" w:hAnsi="Arial" w:cs="Arial"/>
                <w:b/>
                <w:sz w:val="14"/>
                <w:szCs w:val="14"/>
              </w:rPr>
              <w:t xml:space="preserve">A </w:t>
            </w:r>
            <w:r w:rsidRPr="00A94F5E">
              <w:rPr>
                <w:rFonts w:ascii="Arial" w:eastAsia="Arial" w:hAnsi="Arial" w:cs="Arial"/>
                <w:b/>
                <w:spacing w:val="-1"/>
                <w:sz w:val="14"/>
                <w:szCs w:val="14"/>
              </w:rPr>
              <w:t>D</w:t>
            </w:r>
            <w:r w:rsidRPr="00A94F5E">
              <w:rPr>
                <w:rFonts w:ascii="Arial" w:eastAsia="Arial" w:hAnsi="Arial" w:cs="Arial"/>
                <w:b/>
                <w:sz w:val="14"/>
                <w:szCs w:val="14"/>
              </w:rPr>
              <w:t xml:space="preserve">E       </w:t>
            </w:r>
            <w:r w:rsidRPr="00A94F5E">
              <w:rPr>
                <w:rFonts w:ascii="Arial" w:eastAsia="Arial" w:hAnsi="Arial" w:cs="Arial"/>
                <w:b/>
                <w:spacing w:val="23"/>
                <w:sz w:val="14"/>
                <w:szCs w:val="14"/>
              </w:rPr>
              <w:t xml:space="preserve"> </w:t>
            </w:r>
            <w:r w:rsidRPr="00A94F5E">
              <w:rPr>
                <w:rFonts w:ascii="Arial" w:eastAsia="Arial" w:hAnsi="Arial" w:cs="Arial"/>
                <w:b/>
                <w:spacing w:val="2"/>
                <w:sz w:val="14"/>
                <w:szCs w:val="14"/>
              </w:rPr>
              <w:t>L</w:t>
            </w:r>
            <w:r w:rsidRPr="00A94F5E">
              <w:rPr>
                <w:rFonts w:ascii="Arial" w:eastAsia="Arial" w:hAnsi="Arial" w:cs="Arial"/>
                <w:b/>
                <w:spacing w:val="-1"/>
                <w:sz w:val="14"/>
                <w:szCs w:val="14"/>
              </w:rPr>
              <w:t>O</w:t>
            </w:r>
            <w:r w:rsidRPr="00A94F5E">
              <w:rPr>
                <w:rFonts w:ascii="Arial" w:eastAsia="Arial" w:hAnsi="Arial" w:cs="Arial"/>
                <w:b/>
                <w:sz w:val="14"/>
                <w:szCs w:val="14"/>
              </w:rPr>
              <w:t>S INFORMES</w:t>
            </w:r>
          </w:p>
          <w:p w:rsidR="00A94F5E" w:rsidRPr="00A94F5E" w:rsidRDefault="00A94F5E" w:rsidP="00A94F5E">
            <w:pPr>
              <w:spacing w:before="2"/>
              <w:ind w:left="58"/>
              <w:jc w:val="center"/>
              <w:rPr>
                <w:rFonts w:ascii="Arial" w:eastAsia="Arial" w:hAnsi="Arial" w:cs="Arial"/>
                <w:b/>
                <w:sz w:val="14"/>
                <w:szCs w:val="14"/>
              </w:rPr>
            </w:pPr>
          </w:p>
        </w:tc>
        <w:tc>
          <w:tcPr>
            <w:tcW w:w="641"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Default="00A94F5E" w:rsidP="00A94F5E">
            <w:pPr>
              <w:jc w:val="center"/>
            </w:pPr>
            <w:r w:rsidRPr="00B91E80">
              <w:rPr>
                <w:rFonts w:ascii="Arial" w:eastAsia="Arial" w:hAnsi="Arial" w:cs="Arial"/>
                <w:b/>
                <w:spacing w:val="-1"/>
                <w:sz w:val="13"/>
                <w:szCs w:val="13"/>
              </w:rPr>
              <w:t>F</w:t>
            </w:r>
            <w:r w:rsidRPr="00B91E80">
              <w:rPr>
                <w:rFonts w:ascii="Arial" w:eastAsia="Arial" w:hAnsi="Arial" w:cs="Arial"/>
                <w:b/>
                <w:spacing w:val="2"/>
                <w:sz w:val="13"/>
                <w:szCs w:val="13"/>
              </w:rPr>
              <w:t>E</w:t>
            </w:r>
            <w:r w:rsidRPr="00B91E80">
              <w:rPr>
                <w:rFonts w:ascii="Arial" w:eastAsia="Arial" w:hAnsi="Arial" w:cs="Arial"/>
                <w:b/>
                <w:spacing w:val="-1"/>
                <w:sz w:val="13"/>
                <w:szCs w:val="13"/>
              </w:rPr>
              <w:t>C</w:t>
            </w:r>
            <w:r w:rsidRPr="00B91E80">
              <w:rPr>
                <w:rFonts w:ascii="Arial" w:eastAsia="Arial" w:hAnsi="Arial" w:cs="Arial"/>
                <w:b/>
                <w:spacing w:val="1"/>
                <w:sz w:val="13"/>
                <w:szCs w:val="13"/>
              </w:rPr>
              <w:t>H</w:t>
            </w:r>
            <w:r w:rsidRPr="00B91E80">
              <w:rPr>
                <w:rFonts w:ascii="Arial" w:eastAsia="Arial" w:hAnsi="Arial" w:cs="Arial"/>
                <w:b/>
                <w:sz w:val="13"/>
                <w:szCs w:val="13"/>
              </w:rPr>
              <w:t>A LÍ</w:t>
            </w:r>
            <w:r w:rsidRPr="00B91E80">
              <w:rPr>
                <w:rFonts w:ascii="Arial" w:eastAsia="Arial" w:hAnsi="Arial" w:cs="Arial"/>
                <w:b/>
                <w:spacing w:val="1"/>
                <w:sz w:val="13"/>
                <w:szCs w:val="13"/>
              </w:rPr>
              <w:t>M</w:t>
            </w:r>
            <w:r w:rsidRPr="00B91E80">
              <w:rPr>
                <w:rFonts w:ascii="Arial" w:eastAsia="Arial" w:hAnsi="Arial" w:cs="Arial"/>
                <w:b/>
                <w:sz w:val="13"/>
                <w:szCs w:val="13"/>
              </w:rPr>
              <w:t>I</w:t>
            </w:r>
            <w:r w:rsidRPr="00B91E80">
              <w:rPr>
                <w:rFonts w:ascii="Arial" w:eastAsia="Arial" w:hAnsi="Arial" w:cs="Arial"/>
                <w:b/>
                <w:spacing w:val="-1"/>
                <w:sz w:val="13"/>
                <w:szCs w:val="13"/>
              </w:rPr>
              <w:t>T</w:t>
            </w:r>
            <w:r w:rsidRPr="00B91E80">
              <w:rPr>
                <w:rFonts w:ascii="Arial" w:eastAsia="Arial" w:hAnsi="Arial" w:cs="Arial"/>
                <w:b/>
                <w:sz w:val="13"/>
                <w:szCs w:val="13"/>
              </w:rPr>
              <w:t xml:space="preserve">E   </w:t>
            </w:r>
            <w:r w:rsidRPr="00B91E80">
              <w:rPr>
                <w:rFonts w:ascii="Arial" w:eastAsia="Arial" w:hAnsi="Arial" w:cs="Arial"/>
                <w:b/>
                <w:spacing w:val="16"/>
                <w:sz w:val="13"/>
                <w:szCs w:val="13"/>
              </w:rPr>
              <w:t xml:space="preserve"> </w:t>
            </w:r>
            <w:r w:rsidRPr="00B91E80">
              <w:rPr>
                <w:rFonts w:ascii="Arial" w:eastAsia="Arial" w:hAnsi="Arial" w:cs="Arial"/>
                <w:b/>
                <w:spacing w:val="-1"/>
                <w:sz w:val="13"/>
                <w:szCs w:val="13"/>
              </w:rPr>
              <w:t>D</w:t>
            </w:r>
            <w:r w:rsidRPr="00B91E80">
              <w:rPr>
                <w:rFonts w:ascii="Arial" w:eastAsia="Arial" w:hAnsi="Arial" w:cs="Arial"/>
                <w:b/>
                <w:sz w:val="13"/>
                <w:szCs w:val="13"/>
              </w:rPr>
              <w:t xml:space="preserve">E </w:t>
            </w:r>
            <w:r w:rsidRPr="00B91E80">
              <w:rPr>
                <w:rFonts w:ascii="Arial" w:eastAsia="Arial" w:hAnsi="Arial" w:cs="Arial"/>
                <w:b/>
                <w:spacing w:val="-1"/>
                <w:sz w:val="13"/>
                <w:szCs w:val="13"/>
              </w:rPr>
              <w:t>E</w:t>
            </w:r>
            <w:r w:rsidRPr="00B91E80">
              <w:rPr>
                <w:rFonts w:ascii="Arial" w:eastAsia="Arial" w:hAnsi="Arial" w:cs="Arial"/>
                <w:b/>
                <w:spacing w:val="1"/>
                <w:sz w:val="13"/>
                <w:szCs w:val="13"/>
              </w:rPr>
              <w:t>N</w:t>
            </w:r>
            <w:r w:rsidRPr="00B91E80">
              <w:rPr>
                <w:rFonts w:ascii="Arial" w:eastAsia="Arial" w:hAnsi="Arial" w:cs="Arial"/>
                <w:b/>
                <w:spacing w:val="-1"/>
                <w:sz w:val="13"/>
                <w:szCs w:val="13"/>
              </w:rPr>
              <w:t>T</w:t>
            </w:r>
            <w:r w:rsidRPr="00B91E80">
              <w:rPr>
                <w:rFonts w:ascii="Arial" w:eastAsia="Arial" w:hAnsi="Arial" w:cs="Arial"/>
                <w:b/>
                <w:spacing w:val="1"/>
                <w:sz w:val="13"/>
                <w:szCs w:val="13"/>
              </w:rPr>
              <w:t>R</w:t>
            </w:r>
            <w:r w:rsidRPr="00B91E80">
              <w:rPr>
                <w:rFonts w:ascii="Arial" w:eastAsia="Arial" w:hAnsi="Arial" w:cs="Arial"/>
                <w:b/>
                <w:spacing w:val="-1"/>
                <w:sz w:val="13"/>
                <w:szCs w:val="13"/>
              </w:rPr>
              <w:t>E</w:t>
            </w:r>
            <w:r w:rsidRPr="00B91E80">
              <w:rPr>
                <w:rFonts w:ascii="Arial" w:eastAsia="Arial" w:hAnsi="Arial" w:cs="Arial"/>
                <w:b/>
                <w:spacing w:val="1"/>
                <w:sz w:val="13"/>
                <w:szCs w:val="13"/>
              </w:rPr>
              <w:t>G</w:t>
            </w:r>
            <w:r w:rsidRPr="00B91E80">
              <w:rPr>
                <w:rFonts w:ascii="Arial" w:eastAsia="Arial" w:hAnsi="Arial" w:cs="Arial"/>
                <w:b/>
                <w:sz w:val="13"/>
                <w:szCs w:val="13"/>
              </w:rPr>
              <w:t xml:space="preserve">A </w:t>
            </w:r>
            <w:r w:rsidRPr="00B91E80">
              <w:rPr>
                <w:rFonts w:ascii="Arial" w:eastAsia="Arial" w:hAnsi="Arial" w:cs="Arial"/>
                <w:b/>
                <w:spacing w:val="-1"/>
                <w:sz w:val="13"/>
                <w:szCs w:val="13"/>
              </w:rPr>
              <w:t>D</w:t>
            </w:r>
            <w:r w:rsidRPr="00B91E80">
              <w:rPr>
                <w:rFonts w:ascii="Arial" w:eastAsia="Arial" w:hAnsi="Arial" w:cs="Arial"/>
                <w:b/>
                <w:sz w:val="13"/>
                <w:szCs w:val="13"/>
              </w:rPr>
              <w:t xml:space="preserve">E       </w:t>
            </w:r>
            <w:r w:rsidRPr="00B91E80">
              <w:rPr>
                <w:rFonts w:ascii="Arial" w:eastAsia="Arial" w:hAnsi="Arial" w:cs="Arial"/>
                <w:b/>
                <w:spacing w:val="23"/>
                <w:sz w:val="13"/>
                <w:szCs w:val="13"/>
              </w:rPr>
              <w:t xml:space="preserve"> </w:t>
            </w:r>
            <w:r w:rsidRPr="00B91E80">
              <w:rPr>
                <w:rFonts w:ascii="Arial" w:eastAsia="Arial" w:hAnsi="Arial" w:cs="Arial"/>
                <w:b/>
                <w:spacing w:val="2"/>
                <w:sz w:val="13"/>
                <w:szCs w:val="13"/>
              </w:rPr>
              <w:t>L</w:t>
            </w:r>
            <w:r w:rsidRPr="00B91E80">
              <w:rPr>
                <w:rFonts w:ascii="Arial" w:eastAsia="Arial" w:hAnsi="Arial" w:cs="Arial"/>
                <w:b/>
                <w:spacing w:val="-1"/>
                <w:sz w:val="13"/>
                <w:szCs w:val="13"/>
              </w:rPr>
              <w:t>O</w:t>
            </w:r>
            <w:r w:rsidRPr="00B91E80">
              <w:rPr>
                <w:rFonts w:ascii="Arial" w:eastAsia="Arial" w:hAnsi="Arial" w:cs="Arial"/>
                <w:b/>
                <w:sz w:val="13"/>
                <w:szCs w:val="13"/>
              </w:rPr>
              <w:t>S INFORMES</w:t>
            </w:r>
          </w:p>
        </w:tc>
        <w:tc>
          <w:tcPr>
            <w:tcW w:w="576"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Default="00A94F5E" w:rsidP="00A94F5E">
            <w:pPr>
              <w:jc w:val="center"/>
            </w:pPr>
            <w:r w:rsidRPr="00B91E80">
              <w:rPr>
                <w:rFonts w:ascii="Arial" w:eastAsia="Arial" w:hAnsi="Arial" w:cs="Arial"/>
                <w:b/>
                <w:spacing w:val="-1"/>
                <w:sz w:val="13"/>
                <w:szCs w:val="13"/>
              </w:rPr>
              <w:t>F</w:t>
            </w:r>
            <w:r w:rsidRPr="00B91E80">
              <w:rPr>
                <w:rFonts w:ascii="Arial" w:eastAsia="Arial" w:hAnsi="Arial" w:cs="Arial"/>
                <w:b/>
                <w:spacing w:val="2"/>
                <w:sz w:val="13"/>
                <w:szCs w:val="13"/>
              </w:rPr>
              <w:t>E</w:t>
            </w:r>
            <w:r w:rsidRPr="00B91E80">
              <w:rPr>
                <w:rFonts w:ascii="Arial" w:eastAsia="Arial" w:hAnsi="Arial" w:cs="Arial"/>
                <w:b/>
                <w:spacing w:val="-1"/>
                <w:sz w:val="13"/>
                <w:szCs w:val="13"/>
              </w:rPr>
              <w:t>C</w:t>
            </w:r>
            <w:r w:rsidRPr="00B91E80">
              <w:rPr>
                <w:rFonts w:ascii="Arial" w:eastAsia="Arial" w:hAnsi="Arial" w:cs="Arial"/>
                <w:b/>
                <w:spacing w:val="1"/>
                <w:sz w:val="13"/>
                <w:szCs w:val="13"/>
              </w:rPr>
              <w:t>H</w:t>
            </w:r>
            <w:r w:rsidRPr="00B91E80">
              <w:rPr>
                <w:rFonts w:ascii="Arial" w:eastAsia="Arial" w:hAnsi="Arial" w:cs="Arial"/>
                <w:b/>
                <w:sz w:val="13"/>
                <w:szCs w:val="13"/>
              </w:rPr>
              <w:t>A LÍ</w:t>
            </w:r>
            <w:r w:rsidRPr="00B91E80">
              <w:rPr>
                <w:rFonts w:ascii="Arial" w:eastAsia="Arial" w:hAnsi="Arial" w:cs="Arial"/>
                <w:b/>
                <w:spacing w:val="1"/>
                <w:sz w:val="13"/>
                <w:szCs w:val="13"/>
              </w:rPr>
              <w:t>M</w:t>
            </w:r>
            <w:r w:rsidRPr="00B91E80">
              <w:rPr>
                <w:rFonts w:ascii="Arial" w:eastAsia="Arial" w:hAnsi="Arial" w:cs="Arial"/>
                <w:b/>
                <w:sz w:val="13"/>
                <w:szCs w:val="13"/>
              </w:rPr>
              <w:t>I</w:t>
            </w:r>
            <w:r w:rsidRPr="00B91E80">
              <w:rPr>
                <w:rFonts w:ascii="Arial" w:eastAsia="Arial" w:hAnsi="Arial" w:cs="Arial"/>
                <w:b/>
                <w:spacing w:val="-1"/>
                <w:sz w:val="13"/>
                <w:szCs w:val="13"/>
              </w:rPr>
              <w:t>T</w:t>
            </w:r>
            <w:r w:rsidRPr="00B91E80">
              <w:rPr>
                <w:rFonts w:ascii="Arial" w:eastAsia="Arial" w:hAnsi="Arial" w:cs="Arial"/>
                <w:b/>
                <w:sz w:val="13"/>
                <w:szCs w:val="13"/>
              </w:rPr>
              <w:t xml:space="preserve">E   </w:t>
            </w:r>
            <w:r w:rsidRPr="00B91E80">
              <w:rPr>
                <w:rFonts w:ascii="Arial" w:eastAsia="Arial" w:hAnsi="Arial" w:cs="Arial"/>
                <w:b/>
                <w:spacing w:val="16"/>
                <w:sz w:val="13"/>
                <w:szCs w:val="13"/>
              </w:rPr>
              <w:t xml:space="preserve"> </w:t>
            </w:r>
            <w:r w:rsidRPr="00B91E80">
              <w:rPr>
                <w:rFonts w:ascii="Arial" w:eastAsia="Arial" w:hAnsi="Arial" w:cs="Arial"/>
                <w:b/>
                <w:spacing w:val="-1"/>
                <w:sz w:val="13"/>
                <w:szCs w:val="13"/>
              </w:rPr>
              <w:t>D</w:t>
            </w:r>
            <w:r w:rsidRPr="00B91E80">
              <w:rPr>
                <w:rFonts w:ascii="Arial" w:eastAsia="Arial" w:hAnsi="Arial" w:cs="Arial"/>
                <w:b/>
                <w:sz w:val="13"/>
                <w:szCs w:val="13"/>
              </w:rPr>
              <w:t xml:space="preserve">E </w:t>
            </w:r>
            <w:r w:rsidRPr="00B91E80">
              <w:rPr>
                <w:rFonts w:ascii="Arial" w:eastAsia="Arial" w:hAnsi="Arial" w:cs="Arial"/>
                <w:b/>
                <w:spacing w:val="-1"/>
                <w:sz w:val="13"/>
                <w:szCs w:val="13"/>
              </w:rPr>
              <w:t>E</w:t>
            </w:r>
            <w:r w:rsidRPr="00B91E80">
              <w:rPr>
                <w:rFonts w:ascii="Arial" w:eastAsia="Arial" w:hAnsi="Arial" w:cs="Arial"/>
                <w:b/>
                <w:spacing w:val="1"/>
                <w:sz w:val="13"/>
                <w:szCs w:val="13"/>
              </w:rPr>
              <w:t>N</w:t>
            </w:r>
            <w:r w:rsidRPr="00B91E80">
              <w:rPr>
                <w:rFonts w:ascii="Arial" w:eastAsia="Arial" w:hAnsi="Arial" w:cs="Arial"/>
                <w:b/>
                <w:spacing w:val="-1"/>
                <w:sz w:val="13"/>
                <w:szCs w:val="13"/>
              </w:rPr>
              <w:t>T</w:t>
            </w:r>
            <w:r w:rsidRPr="00B91E80">
              <w:rPr>
                <w:rFonts w:ascii="Arial" w:eastAsia="Arial" w:hAnsi="Arial" w:cs="Arial"/>
                <w:b/>
                <w:spacing w:val="1"/>
                <w:sz w:val="13"/>
                <w:szCs w:val="13"/>
              </w:rPr>
              <w:t>R</w:t>
            </w:r>
            <w:r w:rsidRPr="00B91E80">
              <w:rPr>
                <w:rFonts w:ascii="Arial" w:eastAsia="Arial" w:hAnsi="Arial" w:cs="Arial"/>
                <w:b/>
                <w:spacing w:val="-1"/>
                <w:sz w:val="13"/>
                <w:szCs w:val="13"/>
              </w:rPr>
              <w:t>E</w:t>
            </w:r>
            <w:r w:rsidRPr="00B91E80">
              <w:rPr>
                <w:rFonts w:ascii="Arial" w:eastAsia="Arial" w:hAnsi="Arial" w:cs="Arial"/>
                <w:b/>
                <w:spacing w:val="1"/>
                <w:sz w:val="13"/>
                <w:szCs w:val="13"/>
              </w:rPr>
              <w:t>G</w:t>
            </w:r>
            <w:r w:rsidRPr="00B91E80">
              <w:rPr>
                <w:rFonts w:ascii="Arial" w:eastAsia="Arial" w:hAnsi="Arial" w:cs="Arial"/>
                <w:b/>
                <w:sz w:val="13"/>
                <w:szCs w:val="13"/>
              </w:rPr>
              <w:t xml:space="preserve">A </w:t>
            </w:r>
            <w:r w:rsidRPr="00B91E80">
              <w:rPr>
                <w:rFonts w:ascii="Arial" w:eastAsia="Arial" w:hAnsi="Arial" w:cs="Arial"/>
                <w:b/>
                <w:spacing w:val="-1"/>
                <w:sz w:val="13"/>
                <w:szCs w:val="13"/>
              </w:rPr>
              <w:t>D</w:t>
            </w:r>
            <w:r w:rsidRPr="00B91E80">
              <w:rPr>
                <w:rFonts w:ascii="Arial" w:eastAsia="Arial" w:hAnsi="Arial" w:cs="Arial"/>
                <w:b/>
                <w:sz w:val="13"/>
                <w:szCs w:val="13"/>
              </w:rPr>
              <w:t xml:space="preserve">E       </w:t>
            </w:r>
            <w:r w:rsidRPr="00B91E80">
              <w:rPr>
                <w:rFonts w:ascii="Arial" w:eastAsia="Arial" w:hAnsi="Arial" w:cs="Arial"/>
                <w:b/>
                <w:spacing w:val="23"/>
                <w:sz w:val="13"/>
                <w:szCs w:val="13"/>
              </w:rPr>
              <w:t xml:space="preserve"> </w:t>
            </w:r>
            <w:r w:rsidRPr="00B91E80">
              <w:rPr>
                <w:rFonts w:ascii="Arial" w:eastAsia="Arial" w:hAnsi="Arial" w:cs="Arial"/>
                <w:b/>
                <w:spacing w:val="2"/>
                <w:sz w:val="13"/>
                <w:szCs w:val="13"/>
              </w:rPr>
              <w:t>L</w:t>
            </w:r>
            <w:r w:rsidRPr="00B91E80">
              <w:rPr>
                <w:rFonts w:ascii="Arial" w:eastAsia="Arial" w:hAnsi="Arial" w:cs="Arial"/>
                <w:b/>
                <w:spacing w:val="-1"/>
                <w:sz w:val="13"/>
                <w:szCs w:val="13"/>
              </w:rPr>
              <w:t>O</w:t>
            </w:r>
            <w:r w:rsidRPr="00B91E80">
              <w:rPr>
                <w:rFonts w:ascii="Arial" w:eastAsia="Arial" w:hAnsi="Arial" w:cs="Arial"/>
                <w:b/>
                <w:sz w:val="13"/>
                <w:szCs w:val="13"/>
              </w:rPr>
              <w:t>S INFORMES</w:t>
            </w:r>
          </w:p>
        </w:tc>
        <w:tc>
          <w:tcPr>
            <w:tcW w:w="571"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94F5E" w:rsidRDefault="00A94F5E" w:rsidP="00A94F5E">
            <w:pPr>
              <w:jc w:val="center"/>
              <w:rPr>
                <w:rFonts w:ascii="Arial" w:eastAsia="Arial" w:hAnsi="Arial" w:cs="Arial"/>
                <w:b/>
                <w:sz w:val="14"/>
                <w:szCs w:val="14"/>
              </w:rPr>
            </w:pPr>
            <w:r w:rsidRPr="00A94F5E">
              <w:rPr>
                <w:rFonts w:ascii="Arial" w:eastAsia="Arial" w:hAnsi="Arial" w:cs="Arial"/>
                <w:b/>
                <w:sz w:val="14"/>
                <w:szCs w:val="14"/>
              </w:rPr>
              <w:t>DI</w:t>
            </w:r>
            <w:r w:rsidRPr="00A94F5E">
              <w:rPr>
                <w:rFonts w:ascii="Arial" w:eastAsia="Arial" w:hAnsi="Arial" w:cs="Arial"/>
                <w:b/>
                <w:spacing w:val="-1"/>
                <w:sz w:val="14"/>
                <w:szCs w:val="14"/>
              </w:rPr>
              <w:t>C</w:t>
            </w:r>
            <w:r w:rsidRPr="00A94F5E">
              <w:rPr>
                <w:rFonts w:ascii="Arial" w:eastAsia="Arial" w:hAnsi="Arial" w:cs="Arial"/>
                <w:b/>
                <w:spacing w:val="2"/>
                <w:sz w:val="14"/>
                <w:szCs w:val="14"/>
              </w:rPr>
              <w:t>T</w:t>
            </w:r>
            <w:r w:rsidRPr="00A94F5E">
              <w:rPr>
                <w:rFonts w:ascii="Arial" w:eastAsia="Arial" w:hAnsi="Arial" w:cs="Arial"/>
                <w:b/>
                <w:spacing w:val="-1"/>
                <w:sz w:val="14"/>
                <w:szCs w:val="14"/>
              </w:rPr>
              <w:t>A</w:t>
            </w:r>
            <w:r w:rsidRPr="00A94F5E">
              <w:rPr>
                <w:rFonts w:ascii="Arial" w:eastAsia="Arial" w:hAnsi="Arial" w:cs="Arial"/>
                <w:b/>
                <w:spacing w:val="1"/>
                <w:sz w:val="14"/>
                <w:szCs w:val="14"/>
              </w:rPr>
              <w:t>M</w:t>
            </w:r>
            <w:r w:rsidRPr="00A94F5E">
              <w:rPr>
                <w:rFonts w:ascii="Arial" w:eastAsia="Arial" w:hAnsi="Arial" w:cs="Arial"/>
                <w:b/>
                <w:spacing w:val="2"/>
                <w:sz w:val="14"/>
                <w:szCs w:val="14"/>
              </w:rPr>
              <w:t>E</w:t>
            </w:r>
            <w:r w:rsidRPr="00A94F5E">
              <w:rPr>
                <w:rFonts w:ascii="Arial" w:eastAsia="Arial" w:hAnsi="Arial" w:cs="Arial"/>
                <w:b/>
                <w:sz w:val="14"/>
                <w:szCs w:val="14"/>
              </w:rPr>
              <w:t>N</w:t>
            </w:r>
            <w:r w:rsidRPr="00A94F5E">
              <w:rPr>
                <w:rFonts w:ascii="Arial" w:eastAsia="Arial" w:hAnsi="Arial" w:cs="Arial"/>
                <w:b/>
                <w:spacing w:val="4"/>
                <w:sz w:val="14"/>
                <w:szCs w:val="14"/>
              </w:rPr>
              <w:t xml:space="preserve"> </w:t>
            </w:r>
            <w:r w:rsidRPr="00A94F5E">
              <w:rPr>
                <w:rFonts w:ascii="Arial" w:eastAsia="Arial" w:hAnsi="Arial" w:cs="Arial"/>
                <w:b/>
                <w:sz w:val="14"/>
                <w:szCs w:val="14"/>
              </w:rPr>
              <w:t>Y</w:t>
            </w:r>
            <w:r>
              <w:rPr>
                <w:rFonts w:ascii="Arial" w:eastAsia="Arial" w:hAnsi="Arial" w:cs="Arial"/>
                <w:b/>
                <w:sz w:val="14"/>
                <w:szCs w:val="14"/>
              </w:rPr>
              <w:t xml:space="preserve"> </w:t>
            </w:r>
            <w:r w:rsidRPr="00A94F5E">
              <w:rPr>
                <w:rFonts w:ascii="Arial" w:eastAsia="Arial" w:hAnsi="Arial" w:cs="Arial"/>
                <w:b/>
                <w:sz w:val="14"/>
                <w:szCs w:val="14"/>
              </w:rPr>
              <w:t>RE</w:t>
            </w:r>
            <w:r w:rsidRPr="00A94F5E">
              <w:rPr>
                <w:rFonts w:ascii="Arial" w:eastAsia="Arial" w:hAnsi="Arial" w:cs="Arial"/>
                <w:b/>
                <w:spacing w:val="1"/>
                <w:sz w:val="14"/>
                <w:szCs w:val="14"/>
              </w:rPr>
              <w:t>S</w:t>
            </w:r>
            <w:r w:rsidRPr="00A94F5E">
              <w:rPr>
                <w:rFonts w:ascii="Arial" w:eastAsia="Arial" w:hAnsi="Arial" w:cs="Arial"/>
                <w:b/>
                <w:spacing w:val="-1"/>
                <w:sz w:val="14"/>
                <w:szCs w:val="14"/>
              </w:rPr>
              <w:t>O</w:t>
            </w:r>
            <w:r w:rsidRPr="00A94F5E">
              <w:rPr>
                <w:rFonts w:ascii="Arial" w:eastAsia="Arial" w:hAnsi="Arial" w:cs="Arial"/>
                <w:b/>
                <w:sz w:val="14"/>
                <w:szCs w:val="14"/>
              </w:rPr>
              <w:t>L</w:t>
            </w:r>
            <w:r w:rsidRPr="00A94F5E">
              <w:rPr>
                <w:rFonts w:ascii="Arial" w:eastAsia="Arial" w:hAnsi="Arial" w:cs="Arial"/>
                <w:b/>
                <w:spacing w:val="1"/>
                <w:sz w:val="14"/>
                <w:szCs w:val="14"/>
              </w:rPr>
              <w:t>U</w:t>
            </w:r>
            <w:r w:rsidRPr="00A94F5E">
              <w:rPr>
                <w:rFonts w:ascii="Arial" w:eastAsia="Arial" w:hAnsi="Arial" w:cs="Arial"/>
                <w:b/>
                <w:spacing w:val="-1"/>
                <w:sz w:val="14"/>
                <w:szCs w:val="14"/>
              </w:rPr>
              <w:t>C</w:t>
            </w:r>
            <w:r w:rsidRPr="00A94F5E">
              <w:rPr>
                <w:rFonts w:ascii="Arial" w:eastAsia="Arial" w:hAnsi="Arial" w:cs="Arial"/>
                <w:b/>
                <w:spacing w:val="2"/>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N</w:t>
            </w:r>
          </w:p>
        </w:tc>
        <w:tc>
          <w:tcPr>
            <w:tcW w:w="68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94F5E" w:rsidRDefault="00A94F5E" w:rsidP="00A94F5E">
            <w:pPr>
              <w:ind w:right="47"/>
              <w:jc w:val="center"/>
              <w:rPr>
                <w:rFonts w:ascii="Arial" w:eastAsia="Arial" w:hAnsi="Arial" w:cs="Arial"/>
                <w:b/>
                <w:sz w:val="14"/>
                <w:szCs w:val="14"/>
              </w:rPr>
            </w:pPr>
            <w:r w:rsidRPr="00A94F5E">
              <w:rPr>
                <w:rFonts w:ascii="Arial" w:eastAsia="Arial" w:hAnsi="Arial" w:cs="Arial"/>
                <w:b/>
                <w:sz w:val="14"/>
                <w:szCs w:val="14"/>
              </w:rPr>
              <w:t>A</w:t>
            </w:r>
            <w:r w:rsidRPr="00A94F5E">
              <w:rPr>
                <w:rFonts w:ascii="Arial" w:eastAsia="Arial" w:hAnsi="Arial" w:cs="Arial"/>
                <w:b/>
                <w:spacing w:val="-1"/>
                <w:sz w:val="14"/>
                <w:szCs w:val="14"/>
              </w:rPr>
              <w:t>P</w:t>
            </w:r>
            <w:r w:rsidRPr="00A94F5E">
              <w:rPr>
                <w:rFonts w:ascii="Arial" w:eastAsia="Arial" w:hAnsi="Arial" w:cs="Arial"/>
                <w:b/>
                <w:spacing w:val="1"/>
                <w:sz w:val="14"/>
                <w:szCs w:val="14"/>
              </w:rPr>
              <w:t>RO</w:t>
            </w:r>
            <w:r w:rsidRPr="00A94F5E">
              <w:rPr>
                <w:rFonts w:ascii="Arial" w:eastAsia="Arial" w:hAnsi="Arial" w:cs="Arial"/>
                <w:b/>
                <w:spacing w:val="-1"/>
                <w:sz w:val="14"/>
                <w:szCs w:val="14"/>
              </w:rPr>
              <w:t>B</w:t>
            </w:r>
            <w:r w:rsidRPr="00A94F5E">
              <w:rPr>
                <w:rFonts w:ascii="Arial" w:eastAsia="Arial" w:hAnsi="Arial" w:cs="Arial"/>
                <w:b/>
                <w:spacing w:val="2"/>
                <w:sz w:val="14"/>
                <w:szCs w:val="14"/>
              </w:rPr>
              <w:t>A</w:t>
            </w:r>
            <w:r w:rsidRPr="00A94F5E">
              <w:rPr>
                <w:rFonts w:ascii="Arial" w:eastAsia="Arial" w:hAnsi="Arial" w:cs="Arial"/>
                <w:b/>
                <w:spacing w:val="-1"/>
                <w:sz w:val="14"/>
                <w:szCs w:val="14"/>
              </w:rPr>
              <w:t>C</w:t>
            </w:r>
            <w:r w:rsidRPr="00A94F5E">
              <w:rPr>
                <w:rFonts w:ascii="Arial" w:eastAsia="Arial" w:hAnsi="Arial" w:cs="Arial"/>
                <w:b/>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 xml:space="preserve">N </w:t>
            </w:r>
            <w:r w:rsidRPr="00A94F5E">
              <w:rPr>
                <w:rFonts w:ascii="Arial" w:eastAsia="Arial" w:hAnsi="Arial" w:cs="Arial"/>
                <w:b/>
                <w:spacing w:val="-1"/>
                <w:sz w:val="14"/>
                <w:szCs w:val="14"/>
              </w:rPr>
              <w:t>D</w:t>
            </w:r>
            <w:r w:rsidRPr="00A94F5E">
              <w:rPr>
                <w:rFonts w:ascii="Arial" w:eastAsia="Arial" w:hAnsi="Arial" w:cs="Arial"/>
                <w:b/>
                <w:sz w:val="14"/>
                <w:szCs w:val="14"/>
              </w:rPr>
              <w:t xml:space="preserve">E              </w:t>
            </w:r>
            <w:r w:rsidRPr="00A94F5E">
              <w:rPr>
                <w:rFonts w:ascii="Arial" w:eastAsia="Arial" w:hAnsi="Arial" w:cs="Arial"/>
                <w:b/>
                <w:spacing w:val="8"/>
                <w:sz w:val="14"/>
                <w:szCs w:val="14"/>
              </w:rPr>
              <w:t xml:space="preserve"> </w:t>
            </w:r>
            <w:r w:rsidRPr="00A94F5E">
              <w:rPr>
                <w:rFonts w:ascii="Arial" w:eastAsia="Arial" w:hAnsi="Arial" w:cs="Arial"/>
                <w:b/>
                <w:spacing w:val="2"/>
                <w:sz w:val="14"/>
                <w:szCs w:val="14"/>
              </w:rPr>
              <w:t>L</w:t>
            </w:r>
            <w:r w:rsidRPr="00A94F5E">
              <w:rPr>
                <w:rFonts w:ascii="Arial" w:eastAsia="Arial" w:hAnsi="Arial" w:cs="Arial"/>
                <w:b/>
                <w:sz w:val="14"/>
                <w:szCs w:val="14"/>
              </w:rPr>
              <w:t>A C</w:t>
            </w:r>
            <w:r w:rsidRPr="00A94F5E">
              <w:rPr>
                <w:rFonts w:ascii="Arial" w:eastAsia="Arial" w:hAnsi="Arial" w:cs="Arial"/>
                <w:b/>
                <w:spacing w:val="-1"/>
                <w:sz w:val="14"/>
                <w:szCs w:val="14"/>
              </w:rPr>
              <w:t>O</w:t>
            </w:r>
            <w:r w:rsidRPr="00A94F5E">
              <w:rPr>
                <w:rFonts w:ascii="Arial" w:eastAsia="Arial" w:hAnsi="Arial" w:cs="Arial"/>
                <w:b/>
                <w:spacing w:val="1"/>
                <w:sz w:val="14"/>
                <w:szCs w:val="14"/>
              </w:rPr>
              <w:t>M</w:t>
            </w:r>
            <w:r w:rsidRPr="00A94F5E">
              <w:rPr>
                <w:rFonts w:ascii="Arial" w:eastAsia="Arial" w:hAnsi="Arial" w:cs="Arial"/>
                <w:b/>
                <w:sz w:val="14"/>
                <w:szCs w:val="14"/>
              </w:rPr>
              <w:t>I</w:t>
            </w:r>
            <w:r w:rsidRPr="00A94F5E">
              <w:rPr>
                <w:rFonts w:ascii="Arial" w:eastAsia="Arial" w:hAnsi="Arial" w:cs="Arial"/>
                <w:b/>
                <w:spacing w:val="-1"/>
                <w:sz w:val="14"/>
                <w:szCs w:val="14"/>
              </w:rPr>
              <w:t>S</w:t>
            </w:r>
            <w:r w:rsidRPr="00A94F5E">
              <w:rPr>
                <w:rFonts w:ascii="Arial" w:eastAsia="Arial" w:hAnsi="Arial" w:cs="Arial"/>
                <w:b/>
                <w:spacing w:val="2"/>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N</w:t>
            </w:r>
            <w:r w:rsidRPr="00A94F5E">
              <w:rPr>
                <w:rFonts w:ascii="Arial" w:eastAsia="Arial" w:hAnsi="Arial" w:cs="Arial"/>
                <w:b/>
                <w:spacing w:val="25"/>
                <w:sz w:val="14"/>
                <w:szCs w:val="14"/>
              </w:rPr>
              <w:t xml:space="preserve"> </w:t>
            </w:r>
            <w:r w:rsidRPr="00A94F5E">
              <w:rPr>
                <w:rFonts w:ascii="Arial" w:eastAsia="Arial" w:hAnsi="Arial" w:cs="Arial"/>
                <w:b/>
                <w:spacing w:val="1"/>
                <w:sz w:val="14"/>
                <w:szCs w:val="14"/>
              </w:rPr>
              <w:t>D</w:t>
            </w:r>
            <w:r w:rsidRPr="00A94F5E">
              <w:rPr>
                <w:rFonts w:ascii="Arial" w:eastAsia="Arial" w:hAnsi="Arial" w:cs="Arial"/>
                <w:b/>
                <w:sz w:val="14"/>
                <w:szCs w:val="14"/>
              </w:rPr>
              <w:t xml:space="preserve">E </w:t>
            </w:r>
            <w:r w:rsidRPr="00A94F5E">
              <w:rPr>
                <w:rFonts w:ascii="Arial" w:eastAsia="Arial" w:hAnsi="Arial" w:cs="Arial"/>
                <w:b/>
                <w:spacing w:val="-1"/>
                <w:sz w:val="14"/>
                <w:szCs w:val="14"/>
              </w:rPr>
              <w:t>F</w:t>
            </w:r>
            <w:r w:rsidRPr="00A94F5E">
              <w:rPr>
                <w:rFonts w:ascii="Arial" w:eastAsia="Arial" w:hAnsi="Arial" w:cs="Arial"/>
                <w:b/>
                <w:sz w:val="14"/>
                <w:szCs w:val="14"/>
              </w:rPr>
              <w:t>I</w:t>
            </w:r>
            <w:r w:rsidRPr="00A94F5E">
              <w:rPr>
                <w:rFonts w:ascii="Arial" w:eastAsia="Arial" w:hAnsi="Arial" w:cs="Arial"/>
                <w:b/>
                <w:spacing w:val="1"/>
                <w:sz w:val="14"/>
                <w:szCs w:val="14"/>
              </w:rPr>
              <w:t>S</w:t>
            </w:r>
            <w:r w:rsidRPr="00A94F5E">
              <w:rPr>
                <w:rFonts w:ascii="Arial" w:eastAsia="Arial" w:hAnsi="Arial" w:cs="Arial"/>
                <w:b/>
                <w:spacing w:val="-1"/>
                <w:sz w:val="14"/>
                <w:szCs w:val="14"/>
              </w:rPr>
              <w:t>CA</w:t>
            </w:r>
            <w:r w:rsidRPr="00A94F5E">
              <w:rPr>
                <w:rFonts w:ascii="Arial" w:eastAsia="Arial" w:hAnsi="Arial" w:cs="Arial"/>
                <w:b/>
                <w:spacing w:val="2"/>
                <w:sz w:val="14"/>
                <w:szCs w:val="14"/>
              </w:rPr>
              <w:t>L</w:t>
            </w:r>
            <w:r w:rsidRPr="00A94F5E">
              <w:rPr>
                <w:rFonts w:ascii="Arial" w:eastAsia="Arial" w:hAnsi="Arial" w:cs="Arial"/>
                <w:b/>
                <w:sz w:val="14"/>
                <w:szCs w:val="14"/>
              </w:rPr>
              <w:t>IZ</w:t>
            </w:r>
            <w:r w:rsidRPr="00A94F5E">
              <w:rPr>
                <w:rFonts w:ascii="Arial" w:eastAsia="Arial" w:hAnsi="Arial" w:cs="Arial"/>
                <w:b/>
                <w:spacing w:val="1"/>
                <w:sz w:val="14"/>
                <w:szCs w:val="14"/>
              </w:rPr>
              <w:t>A</w:t>
            </w:r>
            <w:r w:rsidRPr="00A94F5E">
              <w:rPr>
                <w:rFonts w:ascii="Arial" w:eastAsia="Arial" w:hAnsi="Arial" w:cs="Arial"/>
                <w:b/>
                <w:spacing w:val="-1"/>
                <w:sz w:val="14"/>
                <w:szCs w:val="14"/>
              </w:rPr>
              <w:t>C</w:t>
            </w:r>
            <w:r w:rsidRPr="00A94F5E">
              <w:rPr>
                <w:rFonts w:ascii="Arial" w:eastAsia="Arial" w:hAnsi="Arial" w:cs="Arial"/>
                <w:b/>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N</w:t>
            </w:r>
          </w:p>
        </w:tc>
        <w:tc>
          <w:tcPr>
            <w:tcW w:w="689"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94F5E" w:rsidRDefault="00A94F5E" w:rsidP="00A94F5E">
            <w:pPr>
              <w:ind w:right="46"/>
              <w:jc w:val="center"/>
              <w:rPr>
                <w:rFonts w:ascii="Arial" w:eastAsia="Arial" w:hAnsi="Arial" w:cs="Arial"/>
                <w:b/>
                <w:sz w:val="14"/>
                <w:szCs w:val="14"/>
              </w:rPr>
            </w:pPr>
            <w:r w:rsidRPr="00A94F5E">
              <w:rPr>
                <w:rFonts w:ascii="Arial" w:eastAsia="Arial" w:hAnsi="Arial" w:cs="Arial"/>
                <w:b/>
                <w:spacing w:val="1"/>
                <w:sz w:val="14"/>
                <w:szCs w:val="14"/>
              </w:rPr>
              <w:t>PR</w:t>
            </w:r>
            <w:r w:rsidRPr="00A94F5E">
              <w:rPr>
                <w:rFonts w:ascii="Arial" w:eastAsia="Arial" w:hAnsi="Arial" w:cs="Arial"/>
                <w:b/>
                <w:spacing w:val="-1"/>
                <w:sz w:val="14"/>
                <w:szCs w:val="14"/>
              </w:rPr>
              <w:t>ES</w:t>
            </w:r>
            <w:r w:rsidRPr="00A94F5E">
              <w:rPr>
                <w:rFonts w:ascii="Arial" w:eastAsia="Arial" w:hAnsi="Arial" w:cs="Arial"/>
                <w:b/>
                <w:spacing w:val="2"/>
                <w:sz w:val="14"/>
                <w:szCs w:val="14"/>
              </w:rPr>
              <w:t>E</w:t>
            </w:r>
            <w:r w:rsidRPr="00A94F5E">
              <w:rPr>
                <w:rFonts w:ascii="Arial" w:eastAsia="Arial" w:hAnsi="Arial" w:cs="Arial"/>
                <w:b/>
                <w:spacing w:val="-1"/>
                <w:sz w:val="14"/>
                <w:szCs w:val="14"/>
              </w:rPr>
              <w:t>NT</w:t>
            </w:r>
            <w:r w:rsidRPr="00A94F5E">
              <w:rPr>
                <w:rFonts w:ascii="Arial" w:eastAsia="Arial" w:hAnsi="Arial" w:cs="Arial"/>
                <w:b/>
                <w:spacing w:val="2"/>
                <w:sz w:val="14"/>
                <w:szCs w:val="14"/>
              </w:rPr>
              <w:t>A</w:t>
            </w:r>
            <w:r w:rsidRPr="00A94F5E">
              <w:rPr>
                <w:rFonts w:ascii="Arial" w:eastAsia="Arial" w:hAnsi="Arial" w:cs="Arial"/>
                <w:b/>
                <w:spacing w:val="-1"/>
                <w:sz w:val="14"/>
                <w:szCs w:val="14"/>
              </w:rPr>
              <w:t>C</w:t>
            </w:r>
            <w:r w:rsidRPr="00A94F5E">
              <w:rPr>
                <w:rFonts w:ascii="Arial" w:eastAsia="Arial" w:hAnsi="Arial" w:cs="Arial"/>
                <w:b/>
                <w:spacing w:val="2"/>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 xml:space="preserve">N </w:t>
            </w:r>
            <w:r w:rsidRPr="00A94F5E">
              <w:rPr>
                <w:rFonts w:ascii="Arial" w:eastAsia="Arial" w:hAnsi="Arial" w:cs="Arial"/>
                <w:b/>
                <w:spacing w:val="-1"/>
                <w:sz w:val="14"/>
                <w:szCs w:val="14"/>
              </w:rPr>
              <w:t>A</w:t>
            </w:r>
            <w:r w:rsidRPr="00A94F5E">
              <w:rPr>
                <w:rFonts w:ascii="Arial" w:eastAsia="Arial" w:hAnsi="Arial" w:cs="Arial"/>
                <w:b/>
                <w:sz w:val="14"/>
                <w:szCs w:val="14"/>
              </w:rPr>
              <w:t xml:space="preserve">L </w:t>
            </w:r>
            <w:r w:rsidRPr="00A94F5E">
              <w:rPr>
                <w:rFonts w:ascii="Arial" w:eastAsia="Arial" w:hAnsi="Arial" w:cs="Arial"/>
                <w:b/>
                <w:spacing w:val="3"/>
                <w:sz w:val="14"/>
                <w:szCs w:val="14"/>
              </w:rPr>
              <w:t>C</w:t>
            </w:r>
            <w:r w:rsidRPr="00A94F5E">
              <w:rPr>
                <w:rFonts w:ascii="Arial" w:eastAsia="Arial" w:hAnsi="Arial" w:cs="Arial"/>
                <w:b/>
                <w:spacing w:val="-1"/>
                <w:sz w:val="14"/>
                <w:szCs w:val="14"/>
              </w:rPr>
              <w:t>O</w:t>
            </w:r>
            <w:r w:rsidRPr="00A94F5E">
              <w:rPr>
                <w:rFonts w:ascii="Arial" w:eastAsia="Arial" w:hAnsi="Arial" w:cs="Arial"/>
                <w:b/>
                <w:spacing w:val="1"/>
                <w:sz w:val="14"/>
                <w:szCs w:val="14"/>
              </w:rPr>
              <w:t>N</w:t>
            </w:r>
            <w:r w:rsidRPr="00A94F5E">
              <w:rPr>
                <w:rFonts w:ascii="Arial" w:eastAsia="Arial" w:hAnsi="Arial" w:cs="Arial"/>
                <w:b/>
                <w:spacing w:val="-1"/>
                <w:sz w:val="14"/>
                <w:szCs w:val="14"/>
              </w:rPr>
              <w:t>SE</w:t>
            </w:r>
            <w:r w:rsidRPr="00A94F5E">
              <w:rPr>
                <w:rFonts w:ascii="Arial" w:eastAsia="Arial" w:hAnsi="Arial" w:cs="Arial"/>
                <w:b/>
                <w:spacing w:val="2"/>
                <w:sz w:val="14"/>
                <w:szCs w:val="14"/>
              </w:rPr>
              <w:t>J</w:t>
            </w:r>
            <w:r w:rsidRPr="00A94F5E">
              <w:rPr>
                <w:rFonts w:ascii="Arial" w:eastAsia="Arial" w:hAnsi="Arial" w:cs="Arial"/>
                <w:b/>
                <w:sz w:val="14"/>
                <w:szCs w:val="14"/>
              </w:rPr>
              <w:t>O G</w:t>
            </w:r>
            <w:r w:rsidRPr="00A94F5E">
              <w:rPr>
                <w:rFonts w:ascii="Arial" w:eastAsia="Arial" w:hAnsi="Arial" w:cs="Arial"/>
                <w:b/>
                <w:spacing w:val="-1"/>
                <w:sz w:val="14"/>
                <w:szCs w:val="14"/>
              </w:rPr>
              <w:t>E</w:t>
            </w:r>
            <w:r w:rsidRPr="00A94F5E">
              <w:rPr>
                <w:rFonts w:ascii="Arial" w:eastAsia="Arial" w:hAnsi="Arial" w:cs="Arial"/>
                <w:b/>
                <w:spacing w:val="1"/>
                <w:sz w:val="14"/>
                <w:szCs w:val="14"/>
              </w:rPr>
              <w:t>N</w:t>
            </w:r>
            <w:r w:rsidRPr="00A94F5E">
              <w:rPr>
                <w:rFonts w:ascii="Arial" w:eastAsia="Arial" w:hAnsi="Arial" w:cs="Arial"/>
                <w:b/>
                <w:spacing w:val="-1"/>
                <w:sz w:val="14"/>
                <w:szCs w:val="14"/>
              </w:rPr>
              <w:t>E</w:t>
            </w:r>
            <w:r w:rsidRPr="00A94F5E">
              <w:rPr>
                <w:rFonts w:ascii="Arial" w:eastAsia="Arial" w:hAnsi="Arial" w:cs="Arial"/>
                <w:b/>
                <w:spacing w:val="1"/>
                <w:sz w:val="14"/>
                <w:szCs w:val="14"/>
              </w:rPr>
              <w:t>R</w:t>
            </w:r>
            <w:r w:rsidRPr="00A94F5E">
              <w:rPr>
                <w:rFonts w:ascii="Arial" w:eastAsia="Arial" w:hAnsi="Arial" w:cs="Arial"/>
                <w:b/>
                <w:spacing w:val="-1"/>
                <w:sz w:val="14"/>
                <w:szCs w:val="14"/>
              </w:rPr>
              <w:t>A</w:t>
            </w:r>
            <w:r w:rsidRPr="00A94F5E">
              <w:rPr>
                <w:rFonts w:ascii="Arial" w:eastAsia="Arial" w:hAnsi="Arial" w:cs="Arial"/>
                <w:b/>
                <w:sz w:val="14"/>
                <w:szCs w:val="14"/>
              </w:rPr>
              <w:t>L</w:t>
            </w:r>
          </w:p>
        </w:tc>
        <w:tc>
          <w:tcPr>
            <w:tcW w:w="62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hideMark/>
          </w:tcPr>
          <w:p w:rsidR="00A94F5E" w:rsidRPr="00A94F5E" w:rsidRDefault="00A94F5E" w:rsidP="00A94F5E">
            <w:pPr>
              <w:spacing w:before="45"/>
              <w:ind w:left="62" w:right="44"/>
              <w:jc w:val="center"/>
              <w:rPr>
                <w:rFonts w:ascii="Arial" w:eastAsia="Arial" w:hAnsi="Arial" w:cs="Arial"/>
                <w:b/>
                <w:sz w:val="14"/>
                <w:szCs w:val="14"/>
              </w:rPr>
            </w:pPr>
            <w:r w:rsidRPr="00A94F5E">
              <w:rPr>
                <w:rFonts w:ascii="Arial" w:eastAsia="Arial" w:hAnsi="Arial" w:cs="Arial"/>
                <w:b/>
                <w:sz w:val="14"/>
                <w:szCs w:val="14"/>
              </w:rPr>
              <w:t>A</w:t>
            </w:r>
            <w:r w:rsidRPr="00A94F5E">
              <w:rPr>
                <w:rFonts w:ascii="Arial" w:eastAsia="Arial" w:hAnsi="Arial" w:cs="Arial"/>
                <w:b/>
                <w:spacing w:val="-1"/>
                <w:sz w:val="14"/>
                <w:szCs w:val="14"/>
              </w:rPr>
              <w:t>P</w:t>
            </w:r>
            <w:r w:rsidRPr="00A94F5E">
              <w:rPr>
                <w:rFonts w:ascii="Arial" w:eastAsia="Arial" w:hAnsi="Arial" w:cs="Arial"/>
                <w:b/>
                <w:spacing w:val="1"/>
                <w:sz w:val="14"/>
                <w:szCs w:val="14"/>
              </w:rPr>
              <w:t>RO</w:t>
            </w:r>
            <w:r w:rsidRPr="00A94F5E">
              <w:rPr>
                <w:rFonts w:ascii="Arial" w:eastAsia="Arial" w:hAnsi="Arial" w:cs="Arial"/>
                <w:b/>
                <w:spacing w:val="-1"/>
                <w:sz w:val="14"/>
                <w:szCs w:val="14"/>
              </w:rPr>
              <w:t>B</w:t>
            </w:r>
            <w:r w:rsidRPr="00A94F5E">
              <w:rPr>
                <w:rFonts w:ascii="Arial" w:eastAsia="Arial" w:hAnsi="Arial" w:cs="Arial"/>
                <w:b/>
                <w:spacing w:val="2"/>
                <w:sz w:val="14"/>
                <w:szCs w:val="14"/>
              </w:rPr>
              <w:t>A</w:t>
            </w:r>
            <w:r w:rsidRPr="00A94F5E">
              <w:rPr>
                <w:rFonts w:ascii="Arial" w:eastAsia="Arial" w:hAnsi="Arial" w:cs="Arial"/>
                <w:b/>
                <w:spacing w:val="-1"/>
                <w:sz w:val="14"/>
                <w:szCs w:val="14"/>
              </w:rPr>
              <w:t>C</w:t>
            </w:r>
            <w:r w:rsidRPr="00A94F5E">
              <w:rPr>
                <w:rFonts w:ascii="Arial" w:eastAsia="Arial" w:hAnsi="Arial" w:cs="Arial"/>
                <w:b/>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 xml:space="preserve">N </w:t>
            </w:r>
            <w:r w:rsidRPr="00A94F5E">
              <w:rPr>
                <w:rFonts w:ascii="Arial" w:eastAsia="Arial" w:hAnsi="Arial" w:cs="Arial"/>
                <w:b/>
                <w:spacing w:val="-1"/>
                <w:sz w:val="14"/>
                <w:szCs w:val="14"/>
              </w:rPr>
              <w:t>DE</w:t>
            </w:r>
            <w:r w:rsidRPr="00A94F5E">
              <w:rPr>
                <w:rFonts w:ascii="Arial" w:eastAsia="Arial" w:hAnsi="Arial" w:cs="Arial"/>
                <w:b/>
                <w:sz w:val="14"/>
                <w:szCs w:val="14"/>
              </w:rPr>
              <w:t xml:space="preserve">L CG </w:t>
            </w:r>
            <w:r w:rsidRPr="00A94F5E">
              <w:rPr>
                <w:rFonts w:ascii="Arial" w:eastAsia="Arial" w:hAnsi="Arial" w:cs="Arial"/>
                <w:b/>
                <w:spacing w:val="-1"/>
                <w:sz w:val="14"/>
                <w:szCs w:val="14"/>
              </w:rPr>
              <w:t>PA</w:t>
            </w:r>
            <w:r w:rsidRPr="00A94F5E">
              <w:rPr>
                <w:rFonts w:ascii="Arial" w:eastAsia="Arial" w:hAnsi="Arial" w:cs="Arial"/>
                <w:b/>
                <w:spacing w:val="1"/>
                <w:sz w:val="14"/>
                <w:szCs w:val="14"/>
              </w:rPr>
              <w:t>R</w:t>
            </w:r>
            <w:r w:rsidRPr="00A94F5E">
              <w:rPr>
                <w:rFonts w:ascii="Arial" w:eastAsia="Arial" w:hAnsi="Arial" w:cs="Arial"/>
                <w:b/>
                <w:sz w:val="14"/>
                <w:szCs w:val="14"/>
              </w:rPr>
              <w:t xml:space="preserve">A       </w:t>
            </w:r>
            <w:r w:rsidRPr="00A94F5E">
              <w:rPr>
                <w:rFonts w:ascii="Arial" w:eastAsia="Arial" w:hAnsi="Arial" w:cs="Arial"/>
                <w:b/>
                <w:spacing w:val="8"/>
                <w:sz w:val="14"/>
                <w:szCs w:val="14"/>
              </w:rPr>
              <w:t xml:space="preserve"> </w:t>
            </w:r>
            <w:r w:rsidRPr="00A94F5E">
              <w:rPr>
                <w:rFonts w:ascii="Arial" w:eastAsia="Arial" w:hAnsi="Arial" w:cs="Arial"/>
                <w:b/>
                <w:spacing w:val="2"/>
                <w:sz w:val="14"/>
                <w:szCs w:val="14"/>
              </w:rPr>
              <w:t>S</w:t>
            </w:r>
            <w:r w:rsidRPr="00A94F5E">
              <w:rPr>
                <w:rFonts w:ascii="Arial" w:eastAsia="Arial" w:hAnsi="Arial" w:cs="Arial"/>
                <w:b/>
                <w:sz w:val="14"/>
                <w:szCs w:val="14"/>
              </w:rPr>
              <w:t xml:space="preserve">U </w:t>
            </w:r>
            <w:r w:rsidRPr="00A94F5E">
              <w:rPr>
                <w:rFonts w:ascii="Arial" w:eastAsia="Arial" w:hAnsi="Arial" w:cs="Arial"/>
                <w:b/>
                <w:spacing w:val="-1"/>
                <w:sz w:val="14"/>
                <w:szCs w:val="14"/>
              </w:rPr>
              <w:t>AP</w:t>
            </w:r>
            <w:r w:rsidRPr="00A94F5E">
              <w:rPr>
                <w:rFonts w:ascii="Arial" w:eastAsia="Arial" w:hAnsi="Arial" w:cs="Arial"/>
                <w:b/>
                <w:spacing w:val="1"/>
                <w:sz w:val="14"/>
                <w:szCs w:val="14"/>
              </w:rPr>
              <w:t>RO</w:t>
            </w:r>
            <w:r w:rsidRPr="00A94F5E">
              <w:rPr>
                <w:rFonts w:ascii="Arial" w:eastAsia="Arial" w:hAnsi="Arial" w:cs="Arial"/>
                <w:b/>
                <w:spacing w:val="-1"/>
                <w:sz w:val="14"/>
                <w:szCs w:val="14"/>
              </w:rPr>
              <w:t>B</w:t>
            </w:r>
            <w:r w:rsidRPr="00A94F5E">
              <w:rPr>
                <w:rFonts w:ascii="Arial" w:eastAsia="Arial" w:hAnsi="Arial" w:cs="Arial"/>
                <w:b/>
                <w:spacing w:val="2"/>
                <w:sz w:val="14"/>
                <w:szCs w:val="14"/>
              </w:rPr>
              <w:t>A</w:t>
            </w:r>
            <w:r w:rsidRPr="00A94F5E">
              <w:rPr>
                <w:rFonts w:ascii="Arial" w:eastAsia="Arial" w:hAnsi="Arial" w:cs="Arial"/>
                <w:b/>
                <w:spacing w:val="-1"/>
                <w:sz w:val="14"/>
                <w:szCs w:val="14"/>
              </w:rPr>
              <w:t>C</w:t>
            </w:r>
            <w:r w:rsidRPr="00A94F5E">
              <w:rPr>
                <w:rFonts w:ascii="Arial" w:eastAsia="Arial" w:hAnsi="Arial" w:cs="Arial"/>
                <w:b/>
                <w:spacing w:val="2"/>
                <w:sz w:val="14"/>
                <w:szCs w:val="14"/>
              </w:rPr>
              <w:t>I</w:t>
            </w:r>
            <w:r w:rsidRPr="00A94F5E">
              <w:rPr>
                <w:rFonts w:ascii="Arial" w:eastAsia="Arial" w:hAnsi="Arial" w:cs="Arial"/>
                <w:b/>
                <w:spacing w:val="-1"/>
                <w:sz w:val="14"/>
                <w:szCs w:val="14"/>
              </w:rPr>
              <w:t>Ó</w:t>
            </w:r>
            <w:r w:rsidRPr="00A94F5E">
              <w:rPr>
                <w:rFonts w:ascii="Arial" w:eastAsia="Arial" w:hAnsi="Arial" w:cs="Arial"/>
                <w:b/>
                <w:sz w:val="14"/>
                <w:szCs w:val="14"/>
              </w:rPr>
              <w:t>N</w:t>
            </w:r>
          </w:p>
        </w:tc>
      </w:tr>
      <w:tr w:rsidR="00A256AB" w:rsidRPr="00A85D78" w:rsidTr="00A94F5E">
        <w:trPr>
          <w:trHeight w:hRule="exact" w:val="564"/>
        </w:trPr>
        <w:tc>
          <w:tcPr>
            <w:tcW w:w="720"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spacing w:before="81"/>
              <w:ind w:left="56" w:right="52"/>
              <w:jc w:val="center"/>
              <w:rPr>
                <w:rFonts w:ascii="Arial" w:eastAsia="Arial" w:hAnsi="Arial" w:cs="Arial"/>
                <w:sz w:val="14"/>
                <w:szCs w:val="14"/>
              </w:rPr>
            </w:pPr>
            <w:r w:rsidRPr="00A85D78">
              <w:rPr>
                <w:rFonts w:ascii="Arial" w:hAnsi="Arial" w:cs="Arial"/>
                <w:bCs/>
                <w:sz w:val="14"/>
                <w:szCs w:val="14"/>
              </w:rPr>
              <w:t>No mayor a 23 días</w:t>
            </w:r>
          </w:p>
        </w:tc>
        <w:tc>
          <w:tcPr>
            <w:tcW w:w="499"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41"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5</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576"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7</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571"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9"/>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84"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89"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72 horas</w:t>
            </w:r>
          </w:p>
        </w:tc>
        <w:tc>
          <w:tcPr>
            <w:tcW w:w="620" w:type="pct"/>
            <w:tcBorders>
              <w:top w:val="nil"/>
              <w:left w:val="single" w:sz="6" w:space="0" w:color="000000"/>
              <w:bottom w:val="single" w:sz="6" w:space="0" w:color="000000"/>
              <w:right w:val="single" w:sz="4" w:space="0" w:color="auto"/>
            </w:tcBorders>
            <w:shd w:val="clear" w:color="auto" w:fill="auto"/>
            <w:vAlign w:val="center"/>
            <w:hideMark/>
          </w:tcPr>
          <w:p w:rsidR="00A256AB" w:rsidRPr="00A85D78" w:rsidRDefault="00A256AB" w:rsidP="00A256AB">
            <w:pPr>
              <w:ind w:left="62"/>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r>
      <w:tr w:rsidR="00A256AB" w:rsidRPr="00A85D78" w:rsidTr="00A94F5E">
        <w:trPr>
          <w:trHeight w:hRule="exact" w:val="612"/>
        </w:trPr>
        <w:tc>
          <w:tcPr>
            <w:tcW w:w="720"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21"/>
              <w:ind w:right="51"/>
              <w:jc w:val="center"/>
              <w:rPr>
                <w:rFonts w:ascii="Arial" w:eastAsia="Arial" w:hAnsi="Arial" w:cs="Arial"/>
                <w:sz w:val="14"/>
                <w:szCs w:val="14"/>
                <w:highlight w:val="yellow"/>
              </w:rPr>
            </w:pPr>
            <w:r w:rsidRPr="00A85D78">
              <w:rPr>
                <w:rFonts w:ascii="Arial" w:eastAsia="Arial" w:hAnsi="Arial" w:cs="Arial"/>
                <w:spacing w:val="2"/>
                <w:sz w:val="14"/>
                <w:szCs w:val="14"/>
              </w:rPr>
              <w:t>Del 27 de febrero al 21 de marzo de 2015</w:t>
            </w:r>
          </w:p>
        </w:tc>
        <w:tc>
          <w:tcPr>
            <w:tcW w:w="499"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21"/>
              <w:ind w:left="56" w:right="51"/>
              <w:jc w:val="center"/>
              <w:rPr>
                <w:rFonts w:ascii="Arial" w:eastAsia="Arial" w:hAnsi="Arial" w:cs="Arial"/>
                <w:sz w:val="14"/>
                <w:szCs w:val="14"/>
              </w:rPr>
            </w:pPr>
            <w:r w:rsidRPr="00A85D78">
              <w:rPr>
                <w:rFonts w:ascii="Arial" w:eastAsia="Arial" w:hAnsi="Arial" w:cs="Arial"/>
                <w:sz w:val="14"/>
                <w:szCs w:val="14"/>
              </w:rPr>
              <w:t xml:space="preserve">31 de marzo </w:t>
            </w:r>
            <w:r w:rsidRPr="00A85D78">
              <w:rPr>
                <w:rFonts w:ascii="Arial" w:eastAsia="Arial" w:hAnsi="Arial" w:cs="Arial"/>
                <w:spacing w:val="-1"/>
                <w:sz w:val="14"/>
                <w:szCs w:val="14"/>
              </w:rPr>
              <w:t>d</w:t>
            </w:r>
            <w:r w:rsidRPr="00A85D78">
              <w:rPr>
                <w:rFonts w:ascii="Arial" w:eastAsia="Arial" w:hAnsi="Arial" w:cs="Arial"/>
                <w:sz w:val="14"/>
                <w:szCs w:val="14"/>
              </w:rPr>
              <w:t>e</w:t>
            </w:r>
            <w:r w:rsidRPr="00A85D78">
              <w:rPr>
                <w:rFonts w:ascii="Arial" w:eastAsia="Arial" w:hAnsi="Arial" w:cs="Arial"/>
                <w:spacing w:val="-1"/>
                <w:sz w:val="14"/>
                <w:szCs w:val="14"/>
              </w:rPr>
              <w:t xml:space="preserve"> 20</w:t>
            </w:r>
            <w:r w:rsidRPr="00A85D78">
              <w:rPr>
                <w:rFonts w:ascii="Arial" w:eastAsia="Arial" w:hAnsi="Arial" w:cs="Arial"/>
                <w:spacing w:val="2"/>
                <w:sz w:val="14"/>
                <w:szCs w:val="14"/>
              </w:rPr>
              <w:t>1</w:t>
            </w:r>
            <w:r w:rsidRPr="00A85D78">
              <w:rPr>
                <w:rFonts w:ascii="Arial" w:eastAsia="Arial" w:hAnsi="Arial" w:cs="Arial"/>
                <w:sz w:val="14"/>
                <w:szCs w:val="14"/>
              </w:rPr>
              <w:t>5</w:t>
            </w:r>
          </w:p>
        </w:tc>
        <w:tc>
          <w:tcPr>
            <w:tcW w:w="641"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4"/>
              <w:ind w:left="58" w:right="220"/>
              <w:jc w:val="center"/>
              <w:rPr>
                <w:rFonts w:ascii="Arial" w:eastAsia="Arial" w:hAnsi="Arial" w:cs="Arial"/>
                <w:sz w:val="14"/>
                <w:szCs w:val="14"/>
              </w:rPr>
            </w:pPr>
            <w:r w:rsidRPr="00A85D78">
              <w:rPr>
                <w:rFonts w:ascii="Arial" w:eastAsia="Arial" w:hAnsi="Arial" w:cs="Arial"/>
                <w:sz w:val="14"/>
                <w:szCs w:val="14"/>
              </w:rPr>
              <w:t>15 de abril de 2015</w:t>
            </w:r>
          </w:p>
        </w:tc>
        <w:tc>
          <w:tcPr>
            <w:tcW w:w="576"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line="242" w:lineRule="auto"/>
              <w:ind w:left="58" w:right="45"/>
              <w:jc w:val="center"/>
              <w:rPr>
                <w:rFonts w:ascii="Arial" w:eastAsia="Arial" w:hAnsi="Arial" w:cs="Arial"/>
                <w:sz w:val="14"/>
                <w:szCs w:val="14"/>
              </w:rPr>
            </w:pPr>
            <w:r w:rsidRPr="00A85D78">
              <w:rPr>
                <w:rFonts w:ascii="Arial" w:eastAsia="Arial" w:hAnsi="Arial" w:cs="Arial"/>
                <w:sz w:val="14"/>
                <w:szCs w:val="14"/>
              </w:rPr>
              <w:t>22 de abril de 2015</w:t>
            </w:r>
          </w:p>
        </w:tc>
        <w:tc>
          <w:tcPr>
            <w:tcW w:w="571"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line="242" w:lineRule="auto"/>
              <w:ind w:left="59" w:right="47"/>
              <w:jc w:val="center"/>
              <w:rPr>
                <w:rFonts w:ascii="Arial" w:eastAsia="Arial" w:hAnsi="Arial" w:cs="Arial"/>
                <w:sz w:val="14"/>
                <w:szCs w:val="14"/>
              </w:rPr>
            </w:pPr>
            <w:r w:rsidRPr="00A85D78">
              <w:rPr>
                <w:rFonts w:ascii="Arial" w:eastAsia="Arial" w:hAnsi="Arial" w:cs="Arial"/>
                <w:sz w:val="14"/>
                <w:szCs w:val="14"/>
              </w:rPr>
              <w:t>02 de mayo de</w:t>
            </w:r>
            <w:r w:rsidRPr="00A85D78">
              <w:rPr>
                <w:rFonts w:ascii="Arial" w:eastAsia="Arial" w:hAnsi="Arial" w:cs="Arial"/>
                <w:spacing w:val="-1"/>
                <w:sz w:val="14"/>
                <w:szCs w:val="14"/>
              </w:rPr>
              <w:t xml:space="preserve"> 20</w:t>
            </w:r>
            <w:r w:rsidRPr="00A85D78">
              <w:rPr>
                <w:rFonts w:ascii="Arial" w:eastAsia="Arial" w:hAnsi="Arial" w:cs="Arial"/>
                <w:spacing w:val="2"/>
                <w:sz w:val="14"/>
                <w:szCs w:val="14"/>
              </w:rPr>
              <w:t>1</w:t>
            </w:r>
            <w:r w:rsidRPr="00A85D78">
              <w:rPr>
                <w:rFonts w:ascii="Arial" w:eastAsia="Arial" w:hAnsi="Arial" w:cs="Arial"/>
                <w:sz w:val="14"/>
                <w:szCs w:val="14"/>
              </w:rPr>
              <w:t>5</w:t>
            </w:r>
          </w:p>
        </w:tc>
        <w:tc>
          <w:tcPr>
            <w:tcW w:w="684"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2"/>
                <w:sz w:val="14"/>
                <w:szCs w:val="14"/>
              </w:rPr>
              <w:t>08 de mayo d</w:t>
            </w:r>
            <w:r w:rsidRPr="00A85D78">
              <w:rPr>
                <w:rFonts w:ascii="Arial" w:eastAsia="Arial" w:hAnsi="Arial" w:cs="Arial"/>
                <w:sz w:val="14"/>
                <w:szCs w:val="14"/>
              </w:rPr>
              <w:t xml:space="preserve">e </w:t>
            </w:r>
            <w:r w:rsidRPr="00A85D78">
              <w:rPr>
                <w:rFonts w:ascii="Arial" w:eastAsia="Arial" w:hAnsi="Arial" w:cs="Arial"/>
                <w:spacing w:val="-1"/>
                <w:sz w:val="14"/>
                <w:szCs w:val="14"/>
              </w:rPr>
              <w:t>20</w:t>
            </w:r>
            <w:r w:rsidRPr="00A85D78">
              <w:rPr>
                <w:rFonts w:ascii="Arial" w:eastAsia="Arial" w:hAnsi="Arial" w:cs="Arial"/>
                <w:spacing w:val="2"/>
                <w:sz w:val="14"/>
                <w:szCs w:val="14"/>
              </w:rPr>
              <w:t>1</w:t>
            </w:r>
            <w:r w:rsidRPr="00A85D78">
              <w:rPr>
                <w:rFonts w:ascii="Arial" w:eastAsia="Arial" w:hAnsi="Arial" w:cs="Arial"/>
                <w:sz w:val="14"/>
                <w:szCs w:val="14"/>
              </w:rPr>
              <w:t>5</w:t>
            </w:r>
          </w:p>
        </w:tc>
        <w:tc>
          <w:tcPr>
            <w:tcW w:w="689"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 xml:space="preserve">11 de mayo de </w:t>
            </w:r>
            <w:r w:rsidRPr="00A85D78">
              <w:rPr>
                <w:rFonts w:ascii="Arial" w:eastAsia="Arial" w:hAnsi="Arial" w:cs="Arial"/>
                <w:spacing w:val="-1"/>
                <w:sz w:val="14"/>
                <w:szCs w:val="14"/>
              </w:rPr>
              <w:t>20</w:t>
            </w:r>
            <w:r w:rsidRPr="00A85D78">
              <w:rPr>
                <w:rFonts w:ascii="Arial" w:eastAsia="Arial" w:hAnsi="Arial" w:cs="Arial"/>
                <w:spacing w:val="2"/>
                <w:sz w:val="14"/>
                <w:szCs w:val="14"/>
              </w:rPr>
              <w:t>1</w:t>
            </w:r>
            <w:r w:rsidRPr="00A85D78">
              <w:rPr>
                <w:rFonts w:ascii="Arial" w:eastAsia="Arial" w:hAnsi="Arial" w:cs="Arial"/>
                <w:sz w:val="14"/>
                <w:szCs w:val="14"/>
              </w:rPr>
              <w:t>5</w:t>
            </w:r>
          </w:p>
        </w:tc>
        <w:tc>
          <w:tcPr>
            <w:tcW w:w="620" w:type="pct"/>
            <w:tcBorders>
              <w:top w:val="single" w:sz="6" w:space="0" w:color="000000"/>
              <w:left w:val="single" w:sz="6" w:space="0" w:color="000000"/>
              <w:bottom w:val="single" w:sz="4" w:space="0" w:color="auto"/>
              <w:right w:val="single" w:sz="4" w:space="0" w:color="auto"/>
            </w:tcBorders>
            <w:shd w:val="clear" w:color="auto" w:fill="auto"/>
            <w:vAlign w:val="center"/>
            <w:hideMark/>
          </w:tcPr>
          <w:p w:rsidR="00A256AB" w:rsidRPr="00A85D78" w:rsidRDefault="00A256AB" w:rsidP="00A256AB">
            <w:pPr>
              <w:spacing w:line="242" w:lineRule="auto"/>
              <w:ind w:left="62" w:right="33"/>
              <w:jc w:val="center"/>
              <w:rPr>
                <w:rFonts w:ascii="Arial" w:eastAsia="Arial" w:hAnsi="Arial" w:cs="Arial"/>
                <w:sz w:val="14"/>
                <w:szCs w:val="14"/>
              </w:rPr>
            </w:pPr>
            <w:r w:rsidRPr="00A85D78">
              <w:rPr>
                <w:rFonts w:ascii="Arial" w:eastAsia="Arial" w:hAnsi="Arial" w:cs="Arial"/>
                <w:sz w:val="14"/>
                <w:szCs w:val="14"/>
              </w:rPr>
              <w:t xml:space="preserve">17 de mayo </w:t>
            </w:r>
            <w:r w:rsidRPr="00A85D78">
              <w:rPr>
                <w:rFonts w:ascii="Arial" w:eastAsia="Arial" w:hAnsi="Arial" w:cs="Arial"/>
                <w:spacing w:val="-1"/>
                <w:sz w:val="14"/>
                <w:szCs w:val="14"/>
              </w:rPr>
              <w:t>d</w:t>
            </w:r>
            <w:r w:rsidRPr="00A85D78">
              <w:rPr>
                <w:rFonts w:ascii="Arial" w:eastAsia="Arial" w:hAnsi="Arial" w:cs="Arial"/>
                <w:sz w:val="14"/>
                <w:szCs w:val="14"/>
              </w:rPr>
              <w:t>e</w:t>
            </w:r>
            <w:r w:rsidRPr="00A85D78">
              <w:rPr>
                <w:rFonts w:ascii="Arial" w:eastAsia="Arial" w:hAnsi="Arial" w:cs="Arial"/>
                <w:spacing w:val="-1"/>
                <w:sz w:val="14"/>
                <w:szCs w:val="14"/>
              </w:rPr>
              <w:t xml:space="preserve"> 20</w:t>
            </w:r>
            <w:r w:rsidRPr="00A85D78">
              <w:rPr>
                <w:rFonts w:ascii="Arial" w:eastAsia="Arial" w:hAnsi="Arial" w:cs="Arial"/>
                <w:spacing w:val="2"/>
                <w:sz w:val="14"/>
                <w:szCs w:val="14"/>
              </w:rPr>
              <w:t>1</w:t>
            </w:r>
            <w:r w:rsidRPr="00A85D78">
              <w:rPr>
                <w:rFonts w:ascii="Arial" w:eastAsia="Arial" w:hAnsi="Arial" w:cs="Arial"/>
                <w:sz w:val="14"/>
                <w:szCs w:val="14"/>
              </w:rPr>
              <w:t>5</w:t>
            </w:r>
          </w:p>
        </w:tc>
      </w:tr>
    </w:tbl>
    <w:p w:rsidR="00A256AB" w:rsidRPr="000A4779" w:rsidRDefault="00A256AB" w:rsidP="00A256AB">
      <w:pPr>
        <w:jc w:val="both"/>
        <w:rPr>
          <w:rFonts w:ascii="Arial" w:hAnsi="Arial" w:cs="Arial"/>
          <w:i/>
          <w:iCs/>
          <w:sz w:val="16"/>
          <w:szCs w:val="16"/>
        </w:rPr>
      </w:pPr>
      <w:r w:rsidRPr="000A4779">
        <w:rPr>
          <w:rFonts w:ascii="Arial" w:hAnsi="Arial" w:cs="Arial"/>
          <w:b/>
          <w:bCs/>
          <w:i/>
          <w:iCs/>
          <w:sz w:val="16"/>
          <w:szCs w:val="16"/>
        </w:rPr>
        <w:t>Fuente:</w:t>
      </w:r>
      <w:r w:rsidR="000A4779">
        <w:rPr>
          <w:rFonts w:ascii="Arial" w:hAnsi="Arial" w:cs="Arial"/>
          <w:sz w:val="16"/>
          <w:szCs w:val="16"/>
        </w:rPr>
        <w:t xml:space="preserve"> </w:t>
      </w:r>
      <w:r w:rsidRPr="000A4779">
        <w:rPr>
          <w:rFonts w:ascii="Arial" w:hAnsi="Arial" w:cs="Arial"/>
          <w:i/>
          <w:iCs/>
          <w:sz w:val="16"/>
          <w:szCs w:val="16"/>
        </w:rPr>
        <w:t>http://www.ine.mx/archivos2/portal/PartidosPoliticos/Fiscalizacion_y_rendicion_de_cuentas/calendariosFiscalizacion/MEX.html</w:t>
      </w:r>
    </w:p>
    <w:p w:rsidR="000A4779" w:rsidRPr="002D2D1E" w:rsidRDefault="000A4779" w:rsidP="002D2D1E">
      <w:pPr>
        <w:tabs>
          <w:tab w:val="left" w:pos="5070"/>
        </w:tabs>
        <w:jc w:val="both"/>
        <w:rPr>
          <w:rStyle w:val="Ttulodellibro"/>
          <w:b/>
          <w:i/>
          <w:color w:val="auto"/>
          <w:sz w:val="20"/>
          <w:szCs w:val="20"/>
        </w:rPr>
      </w:pPr>
    </w:p>
    <w:p w:rsidR="00A256AB" w:rsidRPr="002D2D1E" w:rsidRDefault="00A256AB" w:rsidP="002D2D1E">
      <w:pPr>
        <w:tabs>
          <w:tab w:val="left" w:pos="5070"/>
        </w:tabs>
        <w:jc w:val="both"/>
        <w:rPr>
          <w:rStyle w:val="Ttulodellibro"/>
          <w:rFonts w:ascii="Arial" w:hAnsi="Arial" w:cs="Arial"/>
          <w:b/>
          <w:i/>
          <w:color w:val="auto"/>
          <w:sz w:val="20"/>
          <w:szCs w:val="20"/>
        </w:rPr>
      </w:pPr>
      <w:r w:rsidRPr="002D2D1E">
        <w:rPr>
          <w:rStyle w:val="Ttulodellibro"/>
          <w:rFonts w:ascii="Arial" w:hAnsi="Arial" w:cs="Arial"/>
          <w:b/>
          <w:i/>
          <w:color w:val="auto"/>
          <w:sz w:val="20"/>
          <w:szCs w:val="20"/>
        </w:rPr>
        <w:t>Tabla 4.14 Cronograma del proceso de fiscalización de precampaña para Ayuntamientos</w:t>
      </w:r>
      <w:r w:rsidR="002D2D1E" w:rsidRPr="002D2D1E">
        <w:rPr>
          <w:rStyle w:val="Ttulodellibro"/>
          <w:rFonts w:ascii="Arial" w:hAnsi="Arial" w:cs="Arial"/>
          <w:b/>
          <w:i/>
          <w:color w:val="auto"/>
          <w:sz w:val="20"/>
          <w:szCs w:val="20"/>
        </w:rPr>
        <w:t>.</w:t>
      </w:r>
    </w:p>
    <w:p w:rsidR="002D2D1E" w:rsidRPr="00A85D78" w:rsidRDefault="002D2D1E" w:rsidP="00A256AB">
      <w:pPr>
        <w:jc w:val="both"/>
        <w:rPr>
          <w:rFonts w:ascii="Arial" w:hAnsi="Arial" w:cs="Arial"/>
          <w:sz w:val="24"/>
          <w:szCs w:val="24"/>
        </w:rPr>
      </w:pPr>
    </w:p>
    <w:tbl>
      <w:tblPr>
        <w:tblW w:w="5000" w:type="pct"/>
        <w:tblCellMar>
          <w:left w:w="0" w:type="dxa"/>
          <w:right w:w="0" w:type="dxa"/>
        </w:tblCellMar>
        <w:tblLook w:val="01E0" w:firstRow="1" w:lastRow="1" w:firstColumn="1" w:lastColumn="1" w:noHBand="0" w:noVBand="0"/>
      </w:tblPr>
      <w:tblGrid>
        <w:gridCol w:w="1206"/>
        <w:gridCol w:w="832"/>
        <w:gridCol w:w="1073"/>
        <w:gridCol w:w="964"/>
        <w:gridCol w:w="1009"/>
        <w:gridCol w:w="1148"/>
        <w:gridCol w:w="1176"/>
        <w:gridCol w:w="1080"/>
      </w:tblGrid>
      <w:tr w:rsidR="00A94F5E" w:rsidRPr="00A85D78" w:rsidTr="002D2D1E">
        <w:trPr>
          <w:trHeight w:hRule="exact" w:val="952"/>
          <w:tblHeader/>
        </w:trPr>
        <w:tc>
          <w:tcPr>
            <w:tcW w:w="711"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85D78" w:rsidRDefault="00A94F5E" w:rsidP="002D2D1E">
            <w:pPr>
              <w:ind w:right="52"/>
              <w:jc w:val="center"/>
              <w:rPr>
                <w:rFonts w:ascii="Arial" w:eastAsia="Arial" w:hAnsi="Arial" w:cs="Arial"/>
                <w:sz w:val="14"/>
                <w:szCs w:val="14"/>
              </w:rPr>
            </w:pPr>
            <w:r w:rsidRPr="00A85D78">
              <w:rPr>
                <w:rFonts w:ascii="Arial" w:eastAsia="Arial" w:hAnsi="Arial" w:cs="Arial"/>
                <w:b/>
                <w:spacing w:val="1"/>
                <w:sz w:val="14"/>
                <w:szCs w:val="14"/>
              </w:rPr>
              <w:t>P</w:t>
            </w:r>
            <w:r w:rsidRPr="00A85D78">
              <w:rPr>
                <w:rFonts w:ascii="Arial" w:eastAsia="Arial" w:hAnsi="Arial" w:cs="Arial"/>
                <w:b/>
                <w:spacing w:val="-1"/>
                <w:sz w:val="14"/>
                <w:szCs w:val="14"/>
              </w:rPr>
              <w:t>E</w:t>
            </w:r>
            <w:r w:rsidRPr="00A85D78">
              <w:rPr>
                <w:rFonts w:ascii="Arial" w:eastAsia="Arial" w:hAnsi="Arial" w:cs="Arial"/>
                <w:b/>
                <w:spacing w:val="1"/>
                <w:sz w:val="14"/>
                <w:szCs w:val="14"/>
              </w:rPr>
              <w:t>R</w:t>
            </w:r>
            <w:r w:rsidRPr="00A85D78">
              <w:rPr>
                <w:rFonts w:ascii="Arial" w:eastAsia="Arial" w:hAnsi="Arial" w:cs="Arial"/>
                <w:b/>
                <w:sz w:val="14"/>
                <w:szCs w:val="14"/>
              </w:rPr>
              <w:t>I</w:t>
            </w:r>
            <w:r w:rsidRPr="00A85D78">
              <w:rPr>
                <w:rFonts w:ascii="Arial" w:eastAsia="Arial" w:hAnsi="Arial" w:cs="Arial"/>
                <w:b/>
                <w:spacing w:val="1"/>
                <w:sz w:val="14"/>
                <w:szCs w:val="14"/>
              </w:rPr>
              <w:t>O</w:t>
            </w:r>
            <w:r w:rsidRPr="00A85D78">
              <w:rPr>
                <w:rFonts w:ascii="Arial" w:eastAsia="Arial" w:hAnsi="Arial" w:cs="Arial"/>
                <w:b/>
                <w:spacing w:val="-1"/>
                <w:sz w:val="14"/>
                <w:szCs w:val="14"/>
              </w:rPr>
              <w:t>D</w:t>
            </w:r>
            <w:r w:rsidRPr="00A85D78">
              <w:rPr>
                <w:rFonts w:ascii="Arial" w:eastAsia="Arial" w:hAnsi="Arial" w:cs="Arial"/>
                <w:b/>
                <w:sz w:val="14"/>
                <w:szCs w:val="14"/>
              </w:rPr>
              <w:t xml:space="preserve">O  </w:t>
            </w:r>
            <w:r w:rsidRPr="00A85D78">
              <w:rPr>
                <w:rFonts w:ascii="Arial" w:eastAsia="Arial" w:hAnsi="Arial" w:cs="Arial"/>
                <w:b/>
                <w:spacing w:val="29"/>
                <w:sz w:val="14"/>
                <w:szCs w:val="14"/>
              </w:rPr>
              <w:t xml:space="preserve"> </w:t>
            </w:r>
            <w:r w:rsidRPr="00A85D78">
              <w:rPr>
                <w:rFonts w:ascii="Arial" w:eastAsia="Arial" w:hAnsi="Arial" w:cs="Arial"/>
                <w:b/>
                <w:spacing w:val="1"/>
                <w:sz w:val="14"/>
                <w:szCs w:val="14"/>
              </w:rPr>
              <w:t>D</w:t>
            </w:r>
            <w:r w:rsidRPr="00A85D78">
              <w:rPr>
                <w:rFonts w:ascii="Arial" w:eastAsia="Arial" w:hAnsi="Arial" w:cs="Arial"/>
                <w:b/>
                <w:sz w:val="14"/>
                <w:szCs w:val="14"/>
              </w:rPr>
              <w:t xml:space="preserve">E </w:t>
            </w:r>
            <w:r w:rsidRPr="00A85D78">
              <w:rPr>
                <w:rFonts w:ascii="Arial" w:eastAsia="Arial" w:hAnsi="Arial" w:cs="Arial"/>
                <w:b/>
                <w:spacing w:val="-1"/>
                <w:sz w:val="14"/>
                <w:szCs w:val="14"/>
              </w:rPr>
              <w:t>P</w:t>
            </w:r>
            <w:r w:rsidRPr="00A85D78">
              <w:rPr>
                <w:rFonts w:ascii="Arial" w:eastAsia="Arial" w:hAnsi="Arial" w:cs="Arial"/>
                <w:b/>
                <w:spacing w:val="1"/>
                <w:sz w:val="14"/>
                <w:szCs w:val="14"/>
              </w:rPr>
              <w:t>R</w:t>
            </w:r>
            <w:r w:rsidRPr="00A85D78">
              <w:rPr>
                <w:rFonts w:ascii="Arial" w:eastAsia="Arial" w:hAnsi="Arial" w:cs="Arial"/>
                <w:b/>
                <w:spacing w:val="-1"/>
                <w:sz w:val="14"/>
                <w:szCs w:val="14"/>
              </w:rPr>
              <w:t>E</w:t>
            </w:r>
            <w:r w:rsidRPr="00A85D78">
              <w:rPr>
                <w:rFonts w:ascii="Arial" w:eastAsia="Arial" w:hAnsi="Arial" w:cs="Arial"/>
                <w:b/>
                <w:spacing w:val="2"/>
                <w:sz w:val="14"/>
                <w:szCs w:val="14"/>
              </w:rPr>
              <w:t>C</w:t>
            </w:r>
            <w:r w:rsidRPr="00A85D78">
              <w:rPr>
                <w:rFonts w:ascii="Arial" w:eastAsia="Arial" w:hAnsi="Arial" w:cs="Arial"/>
                <w:b/>
                <w:spacing w:val="-1"/>
                <w:sz w:val="14"/>
                <w:szCs w:val="14"/>
              </w:rPr>
              <w:t>A</w:t>
            </w:r>
            <w:r w:rsidRPr="00A85D78">
              <w:rPr>
                <w:rFonts w:ascii="Arial" w:eastAsia="Arial" w:hAnsi="Arial" w:cs="Arial"/>
                <w:b/>
                <w:spacing w:val="1"/>
                <w:sz w:val="14"/>
                <w:szCs w:val="14"/>
              </w:rPr>
              <w:t>MP</w:t>
            </w:r>
            <w:r w:rsidRPr="00A85D78">
              <w:rPr>
                <w:rFonts w:ascii="Arial" w:eastAsia="Arial" w:hAnsi="Arial" w:cs="Arial"/>
                <w:b/>
                <w:spacing w:val="-1"/>
                <w:sz w:val="14"/>
                <w:szCs w:val="14"/>
              </w:rPr>
              <w:t>A</w:t>
            </w:r>
            <w:r w:rsidRPr="00A85D78">
              <w:rPr>
                <w:rFonts w:ascii="Arial" w:eastAsia="Arial" w:hAnsi="Arial" w:cs="Arial"/>
                <w:b/>
                <w:spacing w:val="1"/>
                <w:sz w:val="14"/>
                <w:szCs w:val="14"/>
              </w:rPr>
              <w:t>Ñ</w:t>
            </w:r>
            <w:r w:rsidRPr="00A85D78">
              <w:rPr>
                <w:rFonts w:ascii="Arial" w:eastAsia="Arial" w:hAnsi="Arial" w:cs="Arial"/>
                <w:b/>
                <w:sz w:val="14"/>
                <w:szCs w:val="14"/>
              </w:rPr>
              <w:t>A</w:t>
            </w:r>
          </w:p>
        </w:tc>
        <w:tc>
          <w:tcPr>
            <w:tcW w:w="490"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85D78" w:rsidRDefault="00A94F5E" w:rsidP="002D2D1E">
            <w:pPr>
              <w:ind w:right="50"/>
              <w:jc w:val="center"/>
              <w:rPr>
                <w:rFonts w:ascii="Arial" w:eastAsia="Arial" w:hAnsi="Arial" w:cs="Arial"/>
                <w:sz w:val="14"/>
                <w:szCs w:val="14"/>
              </w:rPr>
            </w:pPr>
            <w:r w:rsidRPr="00A85D78">
              <w:rPr>
                <w:rFonts w:ascii="Arial" w:eastAsia="Arial" w:hAnsi="Arial" w:cs="Arial"/>
                <w:b/>
                <w:spacing w:val="-1"/>
                <w:sz w:val="14"/>
                <w:szCs w:val="14"/>
              </w:rPr>
              <w:t>F</w:t>
            </w:r>
            <w:r w:rsidRPr="00A85D78">
              <w:rPr>
                <w:rFonts w:ascii="Arial" w:eastAsia="Arial" w:hAnsi="Arial" w:cs="Arial"/>
                <w:b/>
                <w:spacing w:val="2"/>
                <w:sz w:val="14"/>
                <w:szCs w:val="14"/>
              </w:rPr>
              <w:t>E</w:t>
            </w:r>
            <w:r w:rsidRPr="00A85D78">
              <w:rPr>
                <w:rFonts w:ascii="Arial" w:eastAsia="Arial" w:hAnsi="Arial" w:cs="Arial"/>
                <w:b/>
                <w:spacing w:val="-1"/>
                <w:sz w:val="14"/>
                <w:szCs w:val="14"/>
              </w:rPr>
              <w:t>C</w:t>
            </w:r>
            <w:r w:rsidRPr="00A85D78">
              <w:rPr>
                <w:rFonts w:ascii="Arial" w:eastAsia="Arial" w:hAnsi="Arial" w:cs="Arial"/>
                <w:b/>
                <w:spacing w:val="1"/>
                <w:sz w:val="14"/>
                <w:szCs w:val="14"/>
              </w:rPr>
              <w:t>H</w:t>
            </w:r>
            <w:r w:rsidRPr="00A85D78">
              <w:rPr>
                <w:rFonts w:ascii="Arial" w:eastAsia="Arial" w:hAnsi="Arial" w:cs="Arial"/>
                <w:b/>
                <w:sz w:val="14"/>
                <w:szCs w:val="14"/>
              </w:rPr>
              <w:t>A LÍ</w:t>
            </w:r>
            <w:r w:rsidRPr="00A85D78">
              <w:rPr>
                <w:rFonts w:ascii="Arial" w:eastAsia="Arial" w:hAnsi="Arial" w:cs="Arial"/>
                <w:b/>
                <w:spacing w:val="1"/>
                <w:sz w:val="14"/>
                <w:szCs w:val="14"/>
              </w:rPr>
              <w:t>M</w:t>
            </w:r>
            <w:r w:rsidRPr="00A85D78">
              <w:rPr>
                <w:rFonts w:ascii="Arial" w:eastAsia="Arial" w:hAnsi="Arial" w:cs="Arial"/>
                <w:b/>
                <w:sz w:val="14"/>
                <w:szCs w:val="14"/>
              </w:rPr>
              <w:t>I</w:t>
            </w:r>
            <w:r w:rsidRPr="00A85D78">
              <w:rPr>
                <w:rFonts w:ascii="Arial" w:eastAsia="Arial" w:hAnsi="Arial" w:cs="Arial"/>
                <w:b/>
                <w:spacing w:val="-1"/>
                <w:sz w:val="14"/>
                <w:szCs w:val="14"/>
              </w:rPr>
              <w:t>T</w:t>
            </w:r>
            <w:r w:rsidRPr="00A85D78">
              <w:rPr>
                <w:rFonts w:ascii="Arial" w:eastAsia="Arial" w:hAnsi="Arial" w:cs="Arial"/>
                <w:b/>
                <w:sz w:val="14"/>
                <w:szCs w:val="14"/>
              </w:rPr>
              <w:t xml:space="preserve">E   </w:t>
            </w:r>
            <w:r w:rsidRPr="00A85D78">
              <w:rPr>
                <w:rFonts w:ascii="Arial" w:eastAsia="Arial" w:hAnsi="Arial" w:cs="Arial"/>
                <w:b/>
                <w:spacing w:val="16"/>
                <w:sz w:val="14"/>
                <w:szCs w:val="14"/>
              </w:rPr>
              <w:t xml:space="preserve"> </w:t>
            </w:r>
            <w:r w:rsidRPr="00A85D78">
              <w:rPr>
                <w:rFonts w:ascii="Arial" w:eastAsia="Arial" w:hAnsi="Arial" w:cs="Arial"/>
                <w:b/>
                <w:spacing w:val="-1"/>
                <w:sz w:val="14"/>
                <w:szCs w:val="14"/>
              </w:rPr>
              <w:t>D</w:t>
            </w:r>
            <w:r w:rsidRPr="00A85D78">
              <w:rPr>
                <w:rFonts w:ascii="Arial" w:eastAsia="Arial" w:hAnsi="Arial" w:cs="Arial"/>
                <w:b/>
                <w:sz w:val="14"/>
                <w:szCs w:val="14"/>
              </w:rPr>
              <w:t xml:space="preserve">E </w:t>
            </w:r>
            <w:r w:rsidRPr="00A85D78">
              <w:rPr>
                <w:rFonts w:ascii="Arial" w:eastAsia="Arial" w:hAnsi="Arial" w:cs="Arial"/>
                <w:b/>
                <w:spacing w:val="-1"/>
                <w:sz w:val="14"/>
                <w:szCs w:val="14"/>
              </w:rPr>
              <w:t>E</w:t>
            </w:r>
            <w:r w:rsidRPr="00A85D78">
              <w:rPr>
                <w:rFonts w:ascii="Arial" w:eastAsia="Arial" w:hAnsi="Arial" w:cs="Arial"/>
                <w:b/>
                <w:spacing w:val="1"/>
                <w:sz w:val="14"/>
                <w:szCs w:val="14"/>
              </w:rPr>
              <w:t>N</w:t>
            </w:r>
            <w:r w:rsidRPr="00A85D78">
              <w:rPr>
                <w:rFonts w:ascii="Arial" w:eastAsia="Arial" w:hAnsi="Arial" w:cs="Arial"/>
                <w:b/>
                <w:spacing w:val="-1"/>
                <w:sz w:val="14"/>
                <w:szCs w:val="14"/>
              </w:rPr>
              <w:t>T</w:t>
            </w:r>
            <w:r w:rsidRPr="00A85D78">
              <w:rPr>
                <w:rFonts w:ascii="Arial" w:eastAsia="Arial" w:hAnsi="Arial" w:cs="Arial"/>
                <w:b/>
                <w:spacing w:val="1"/>
                <w:sz w:val="14"/>
                <w:szCs w:val="14"/>
              </w:rPr>
              <w:t>R</w:t>
            </w:r>
            <w:r w:rsidRPr="00A85D78">
              <w:rPr>
                <w:rFonts w:ascii="Arial" w:eastAsia="Arial" w:hAnsi="Arial" w:cs="Arial"/>
                <w:b/>
                <w:spacing w:val="-1"/>
                <w:sz w:val="14"/>
                <w:szCs w:val="14"/>
              </w:rPr>
              <w:t>E</w:t>
            </w:r>
            <w:r w:rsidRPr="00A85D78">
              <w:rPr>
                <w:rFonts w:ascii="Arial" w:eastAsia="Arial" w:hAnsi="Arial" w:cs="Arial"/>
                <w:b/>
                <w:spacing w:val="1"/>
                <w:sz w:val="14"/>
                <w:szCs w:val="14"/>
              </w:rPr>
              <w:t>G</w:t>
            </w:r>
            <w:r w:rsidRPr="00A85D78">
              <w:rPr>
                <w:rFonts w:ascii="Arial" w:eastAsia="Arial" w:hAnsi="Arial" w:cs="Arial"/>
                <w:b/>
                <w:sz w:val="14"/>
                <w:szCs w:val="14"/>
              </w:rPr>
              <w:t>A</w:t>
            </w:r>
            <w:r w:rsidRPr="00A85D78">
              <w:rPr>
                <w:rFonts w:ascii="Arial" w:eastAsia="Arial" w:hAnsi="Arial" w:cs="Arial"/>
                <w:sz w:val="14"/>
                <w:szCs w:val="14"/>
              </w:rPr>
              <w:t xml:space="preserve"> </w:t>
            </w:r>
            <w:r w:rsidRPr="00A85D78">
              <w:rPr>
                <w:rFonts w:ascii="Arial" w:eastAsia="Arial" w:hAnsi="Arial" w:cs="Arial"/>
                <w:b/>
                <w:spacing w:val="-1"/>
                <w:sz w:val="14"/>
                <w:szCs w:val="14"/>
              </w:rPr>
              <w:t>D</w:t>
            </w:r>
            <w:r w:rsidRPr="00A85D78">
              <w:rPr>
                <w:rFonts w:ascii="Arial" w:eastAsia="Arial" w:hAnsi="Arial" w:cs="Arial"/>
                <w:b/>
                <w:sz w:val="14"/>
                <w:szCs w:val="14"/>
              </w:rPr>
              <w:t xml:space="preserve">E       </w:t>
            </w:r>
            <w:r w:rsidRPr="00A85D78">
              <w:rPr>
                <w:rFonts w:ascii="Arial" w:eastAsia="Arial" w:hAnsi="Arial" w:cs="Arial"/>
                <w:b/>
                <w:spacing w:val="23"/>
                <w:sz w:val="14"/>
                <w:szCs w:val="14"/>
              </w:rPr>
              <w:t xml:space="preserve"> </w:t>
            </w:r>
            <w:r w:rsidRPr="00A85D78">
              <w:rPr>
                <w:rFonts w:ascii="Arial" w:eastAsia="Arial" w:hAnsi="Arial" w:cs="Arial"/>
                <w:b/>
                <w:spacing w:val="2"/>
                <w:sz w:val="14"/>
                <w:szCs w:val="14"/>
              </w:rPr>
              <w:t>L</w:t>
            </w:r>
            <w:r w:rsidRPr="00A85D78">
              <w:rPr>
                <w:rFonts w:ascii="Arial" w:eastAsia="Arial" w:hAnsi="Arial" w:cs="Arial"/>
                <w:b/>
                <w:spacing w:val="-1"/>
                <w:sz w:val="14"/>
                <w:szCs w:val="14"/>
              </w:rPr>
              <w:t>O</w:t>
            </w:r>
            <w:r w:rsidRPr="00A85D78">
              <w:rPr>
                <w:rFonts w:ascii="Arial" w:eastAsia="Arial" w:hAnsi="Arial" w:cs="Arial"/>
                <w:b/>
                <w:sz w:val="14"/>
                <w:szCs w:val="14"/>
              </w:rPr>
              <w:t>S INFORMES</w:t>
            </w:r>
          </w:p>
          <w:p w:rsidR="00A94F5E" w:rsidRPr="00A85D78" w:rsidRDefault="00A94F5E" w:rsidP="002D2D1E">
            <w:pPr>
              <w:spacing w:before="2"/>
              <w:ind w:left="58"/>
              <w:jc w:val="center"/>
              <w:rPr>
                <w:rFonts w:ascii="Arial" w:eastAsia="Arial" w:hAnsi="Arial" w:cs="Arial"/>
                <w:sz w:val="14"/>
                <w:szCs w:val="14"/>
              </w:rPr>
            </w:pPr>
          </w:p>
        </w:tc>
        <w:tc>
          <w:tcPr>
            <w:tcW w:w="632"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Default="00A94F5E" w:rsidP="002D2D1E">
            <w:pPr>
              <w:jc w:val="center"/>
            </w:pPr>
            <w:r w:rsidRPr="00E815DC">
              <w:rPr>
                <w:rFonts w:ascii="Arial" w:eastAsia="Arial" w:hAnsi="Arial" w:cs="Arial"/>
                <w:b/>
                <w:spacing w:val="-1"/>
                <w:sz w:val="13"/>
                <w:szCs w:val="13"/>
              </w:rPr>
              <w:t>F</w:t>
            </w:r>
            <w:r w:rsidRPr="00E815DC">
              <w:rPr>
                <w:rFonts w:ascii="Arial" w:eastAsia="Arial" w:hAnsi="Arial" w:cs="Arial"/>
                <w:b/>
                <w:spacing w:val="2"/>
                <w:sz w:val="13"/>
                <w:szCs w:val="13"/>
              </w:rPr>
              <w:t>E</w:t>
            </w:r>
            <w:r w:rsidRPr="00E815DC">
              <w:rPr>
                <w:rFonts w:ascii="Arial" w:eastAsia="Arial" w:hAnsi="Arial" w:cs="Arial"/>
                <w:b/>
                <w:spacing w:val="-1"/>
                <w:sz w:val="13"/>
                <w:szCs w:val="13"/>
              </w:rPr>
              <w:t>C</w:t>
            </w:r>
            <w:r w:rsidRPr="00E815DC">
              <w:rPr>
                <w:rFonts w:ascii="Arial" w:eastAsia="Arial" w:hAnsi="Arial" w:cs="Arial"/>
                <w:b/>
                <w:spacing w:val="1"/>
                <w:sz w:val="13"/>
                <w:szCs w:val="13"/>
              </w:rPr>
              <w:t>H</w:t>
            </w:r>
            <w:r w:rsidRPr="00E815DC">
              <w:rPr>
                <w:rFonts w:ascii="Arial" w:eastAsia="Arial" w:hAnsi="Arial" w:cs="Arial"/>
                <w:b/>
                <w:sz w:val="13"/>
                <w:szCs w:val="13"/>
              </w:rPr>
              <w:t>A LÍ</w:t>
            </w:r>
            <w:r w:rsidRPr="00E815DC">
              <w:rPr>
                <w:rFonts w:ascii="Arial" w:eastAsia="Arial" w:hAnsi="Arial" w:cs="Arial"/>
                <w:b/>
                <w:spacing w:val="1"/>
                <w:sz w:val="13"/>
                <w:szCs w:val="13"/>
              </w:rPr>
              <w:t>M</w:t>
            </w:r>
            <w:r w:rsidRPr="00E815DC">
              <w:rPr>
                <w:rFonts w:ascii="Arial" w:eastAsia="Arial" w:hAnsi="Arial" w:cs="Arial"/>
                <w:b/>
                <w:sz w:val="13"/>
                <w:szCs w:val="13"/>
              </w:rPr>
              <w:t>I</w:t>
            </w:r>
            <w:r w:rsidRPr="00E815DC">
              <w:rPr>
                <w:rFonts w:ascii="Arial" w:eastAsia="Arial" w:hAnsi="Arial" w:cs="Arial"/>
                <w:b/>
                <w:spacing w:val="-1"/>
                <w:sz w:val="13"/>
                <w:szCs w:val="13"/>
              </w:rPr>
              <w:t>T</w:t>
            </w:r>
            <w:r w:rsidRPr="00E815DC">
              <w:rPr>
                <w:rFonts w:ascii="Arial" w:eastAsia="Arial" w:hAnsi="Arial" w:cs="Arial"/>
                <w:b/>
                <w:sz w:val="13"/>
                <w:szCs w:val="13"/>
              </w:rPr>
              <w:t xml:space="preserve">E   </w:t>
            </w:r>
            <w:r w:rsidRPr="00E815DC">
              <w:rPr>
                <w:rFonts w:ascii="Arial" w:eastAsia="Arial" w:hAnsi="Arial" w:cs="Arial"/>
                <w:b/>
                <w:spacing w:val="16"/>
                <w:sz w:val="13"/>
                <w:szCs w:val="13"/>
              </w:rPr>
              <w:t xml:space="preserve"> </w:t>
            </w:r>
            <w:r w:rsidRPr="00E815DC">
              <w:rPr>
                <w:rFonts w:ascii="Arial" w:eastAsia="Arial" w:hAnsi="Arial" w:cs="Arial"/>
                <w:b/>
                <w:spacing w:val="-1"/>
                <w:sz w:val="13"/>
                <w:szCs w:val="13"/>
              </w:rPr>
              <w:t>D</w:t>
            </w:r>
            <w:r w:rsidRPr="00E815DC">
              <w:rPr>
                <w:rFonts w:ascii="Arial" w:eastAsia="Arial" w:hAnsi="Arial" w:cs="Arial"/>
                <w:b/>
                <w:sz w:val="13"/>
                <w:szCs w:val="13"/>
              </w:rPr>
              <w:t xml:space="preserve">E </w:t>
            </w:r>
            <w:r w:rsidRPr="00E815DC">
              <w:rPr>
                <w:rFonts w:ascii="Arial" w:eastAsia="Arial" w:hAnsi="Arial" w:cs="Arial"/>
                <w:b/>
                <w:spacing w:val="-1"/>
                <w:sz w:val="13"/>
                <w:szCs w:val="13"/>
              </w:rPr>
              <w:t>E</w:t>
            </w:r>
            <w:r w:rsidRPr="00E815DC">
              <w:rPr>
                <w:rFonts w:ascii="Arial" w:eastAsia="Arial" w:hAnsi="Arial" w:cs="Arial"/>
                <w:b/>
                <w:spacing w:val="1"/>
                <w:sz w:val="13"/>
                <w:szCs w:val="13"/>
              </w:rPr>
              <w:t>N</w:t>
            </w:r>
            <w:r w:rsidRPr="00E815DC">
              <w:rPr>
                <w:rFonts w:ascii="Arial" w:eastAsia="Arial" w:hAnsi="Arial" w:cs="Arial"/>
                <w:b/>
                <w:spacing w:val="-1"/>
                <w:sz w:val="13"/>
                <w:szCs w:val="13"/>
              </w:rPr>
              <w:t>T</w:t>
            </w:r>
            <w:r w:rsidRPr="00E815DC">
              <w:rPr>
                <w:rFonts w:ascii="Arial" w:eastAsia="Arial" w:hAnsi="Arial" w:cs="Arial"/>
                <w:b/>
                <w:spacing w:val="1"/>
                <w:sz w:val="13"/>
                <w:szCs w:val="13"/>
              </w:rPr>
              <w:t>R</w:t>
            </w:r>
            <w:r w:rsidRPr="00E815DC">
              <w:rPr>
                <w:rFonts w:ascii="Arial" w:eastAsia="Arial" w:hAnsi="Arial" w:cs="Arial"/>
                <w:b/>
                <w:spacing w:val="-1"/>
                <w:sz w:val="13"/>
                <w:szCs w:val="13"/>
              </w:rPr>
              <w:t>E</w:t>
            </w:r>
            <w:r w:rsidRPr="00E815DC">
              <w:rPr>
                <w:rFonts w:ascii="Arial" w:eastAsia="Arial" w:hAnsi="Arial" w:cs="Arial"/>
                <w:b/>
                <w:spacing w:val="1"/>
                <w:sz w:val="13"/>
                <w:szCs w:val="13"/>
              </w:rPr>
              <w:t>G</w:t>
            </w:r>
            <w:r w:rsidRPr="00E815DC">
              <w:rPr>
                <w:rFonts w:ascii="Arial" w:eastAsia="Arial" w:hAnsi="Arial" w:cs="Arial"/>
                <w:b/>
                <w:sz w:val="13"/>
                <w:szCs w:val="13"/>
              </w:rPr>
              <w:t xml:space="preserve">A </w:t>
            </w:r>
            <w:r w:rsidRPr="00E815DC">
              <w:rPr>
                <w:rFonts w:ascii="Arial" w:eastAsia="Arial" w:hAnsi="Arial" w:cs="Arial"/>
                <w:b/>
                <w:spacing w:val="-1"/>
                <w:sz w:val="13"/>
                <w:szCs w:val="13"/>
              </w:rPr>
              <w:t>D</w:t>
            </w:r>
            <w:r w:rsidRPr="00E815DC">
              <w:rPr>
                <w:rFonts w:ascii="Arial" w:eastAsia="Arial" w:hAnsi="Arial" w:cs="Arial"/>
                <w:b/>
                <w:sz w:val="13"/>
                <w:szCs w:val="13"/>
              </w:rPr>
              <w:t xml:space="preserve">E       </w:t>
            </w:r>
            <w:r w:rsidRPr="00E815DC">
              <w:rPr>
                <w:rFonts w:ascii="Arial" w:eastAsia="Arial" w:hAnsi="Arial" w:cs="Arial"/>
                <w:b/>
                <w:spacing w:val="23"/>
                <w:sz w:val="13"/>
                <w:szCs w:val="13"/>
              </w:rPr>
              <w:t xml:space="preserve"> </w:t>
            </w:r>
            <w:r w:rsidRPr="00E815DC">
              <w:rPr>
                <w:rFonts w:ascii="Arial" w:eastAsia="Arial" w:hAnsi="Arial" w:cs="Arial"/>
                <w:b/>
                <w:spacing w:val="2"/>
                <w:sz w:val="13"/>
                <w:szCs w:val="13"/>
              </w:rPr>
              <w:t>L</w:t>
            </w:r>
            <w:r w:rsidRPr="00E815DC">
              <w:rPr>
                <w:rFonts w:ascii="Arial" w:eastAsia="Arial" w:hAnsi="Arial" w:cs="Arial"/>
                <w:b/>
                <w:spacing w:val="-1"/>
                <w:sz w:val="13"/>
                <w:szCs w:val="13"/>
              </w:rPr>
              <w:t>O</w:t>
            </w:r>
            <w:r w:rsidRPr="00E815DC">
              <w:rPr>
                <w:rFonts w:ascii="Arial" w:eastAsia="Arial" w:hAnsi="Arial" w:cs="Arial"/>
                <w:b/>
                <w:sz w:val="13"/>
                <w:szCs w:val="13"/>
              </w:rPr>
              <w:t>S INFORMES</w:t>
            </w:r>
          </w:p>
        </w:tc>
        <w:tc>
          <w:tcPr>
            <w:tcW w:w="568"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Default="00A94F5E" w:rsidP="002D2D1E">
            <w:pPr>
              <w:jc w:val="center"/>
            </w:pPr>
            <w:r w:rsidRPr="00E815DC">
              <w:rPr>
                <w:rFonts w:ascii="Arial" w:eastAsia="Arial" w:hAnsi="Arial" w:cs="Arial"/>
                <w:b/>
                <w:spacing w:val="-1"/>
                <w:sz w:val="13"/>
                <w:szCs w:val="13"/>
              </w:rPr>
              <w:t>F</w:t>
            </w:r>
            <w:r w:rsidRPr="00E815DC">
              <w:rPr>
                <w:rFonts w:ascii="Arial" w:eastAsia="Arial" w:hAnsi="Arial" w:cs="Arial"/>
                <w:b/>
                <w:spacing w:val="2"/>
                <w:sz w:val="13"/>
                <w:szCs w:val="13"/>
              </w:rPr>
              <w:t>E</w:t>
            </w:r>
            <w:r w:rsidRPr="00E815DC">
              <w:rPr>
                <w:rFonts w:ascii="Arial" w:eastAsia="Arial" w:hAnsi="Arial" w:cs="Arial"/>
                <w:b/>
                <w:spacing w:val="-1"/>
                <w:sz w:val="13"/>
                <w:szCs w:val="13"/>
              </w:rPr>
              <w:t>C</w:t>
            </w:r>
            <w:r w:rsidRPr="00E815DC">
              <w:rPr>
                <w:rFonts w:ascii="Arial" w:eastAsia="Arial" w:hAnsi="Arial" w:cs="Arial"/>
                <w:b/>
                <w:spacing w:val="1"/>
                <w:sz w:val="13"/>
                <w:szCs w:val="13"/>
              </w:rPr>
              <w:t>H</w:t>
            </w:r>
            <w:r w:rsidRPr="00E815DC">
              <w:rPr>
                <w:rFonts w:ascii="Arial" w:eastAsia="Arial" w:hAnsi="Arial" w:cs="Arial"/>
                <w:b/>
                <w:sz w:val="13"/>
                <w:szCs w:val="13"/>
              </w:rPr>
              <w:t>A LÍ</w:t>
            </w:r>
            <w:r w:rsidRPr="00E815DC">
              <w:rPr>
                <w:rFonts w:ascii="Arial" w:eastAsia="Arial" w:hAnsi="Arial" w:cs="Arial"/>
                <w:b/>
                <w:spacing w:val="1"/>
                <w:sz w:val="13"/>
                <w:szCs w:val="13"/>
              </w:rPr>
              <w:t>M</w:t>
            </w:r>
            <w:r w:rsidRPr="00E815DC">
              <w:rPr>
                <w:rFonts w:ascii="Arial" w:eastAsia="Arial" w:hAnsi="Arial" w:cs="Arial"/>
                <w:b/>
                <w:sz w:val="13"/>
                <w:szCs w:val="13"/>
              </w:rPr>
              <w:t>I</w:t>
            </w:r>
            <w:r w:rsidRPr="00E815DC">
              <w:rPr>
                <w:rFonts w:ascii="Arial" w:eastAsia="Arial" w:hAnsi="Arial" w:cs="Arial"/>
                <w:b/>
                <w:spacing w:val="-1"/>
                <w:sz w:val="13"/>
                <w:szCs w:val="13"/>
              </w:rPr>
              <w:t>T</w:t>
            </w:r>
            <w:r w:rsidRPr="00E815DC">
              <w:rPr>
                <w:rFonts w:ascii="Arial" w:eastAsia="Arial" w:hAnsi="Arial" w:cs="Arial"/>
                <w:b/>
                <w:sz w:val="13"/>
                <w:szCs w:val="13"/>
              </w:rPr>
              <w:t xml:space="preserve">E   </w:t>
            </w:r>
            <w:r w:rsidRPr="00E815DC">
              <w:rPr>
                <w:rFonts w:ascii="Arial" w:eastAsia="Arial" w:hAnsi="Arial" w:cs="Arial"/>
                <w:b/>
                <w:spacing w:val="16"/>
                <w:sz w:val="13"/>
                <w:szCs w:val="13"/>
              </w:rPr>
              <w:t xml:space="preserve"> </w:t>
            </w:r>
            <w:r w:rsidRPr="00E815DC">
              <w:rPr>
                <w:rFonts w:ascii="Arial" w:eastAsia="Arial" w:hAnsi="Arial" w:cs="Arial"/>
                <w:b/>
                <w:spacing w:val="-1"/>
                <w:sz w:val="13"/>
                <w:szCs w:val="13"/>
              </w:rPr>
              <w:t>D</w:t>
            </w:r>
            <w:r w:rsidRPr="00E815DC">
              <w:rPr>
                <w:rFonts w:ascii="Arial" w:eastAsia="Arial" w:hAnsi="Arial" w:cs="Arial"/>
                <w:b/>
                <w:sz w:val="13"/>
                <w:szCs w:val="13"/>
              </w:rPr>
              <w:t xml:space="preserve">E </w:t>
            </w:r>
            <w:r w:rsidRPr="00E815DC">
              <w:rPr>
                <w:rFonts w:ascii="Arial" w:eastAsia="Arial" w:hAnsi="Arial" w:cs="Arial"/>
                <w:b/>
                <w:spacing w:val="-1"/>
                <w:sz w:val="13"/>
                <w:szCs w:val="13"/>
              </w:rPr>
              <w:t>E</w:t>
            </w:r>
            <w:r w:rsidRPr="00E815DC">
              <w:rPr>
                <w:rFonts w:ascii="Arial" w:eastAsia="Arial" w:hAnsi="Arial" w:cs="Arial"/>
                <w:b/>
                <w:spacing w:val="1"/>
                <w:sz w:val="13"/>
                <w:szCs w:val="13"/>
              </w:rPr>
              <w:t>N</w:t>
            </w:r>
            <w:r w:rsidRPr="00E815DC">
              <w:rPr>
                <w:rFonts w:ascii="Arial" w:eastAsia="Arial" w:hAnsi="Arial" w:cs="Arial"/>
                <w:b/>
                <w:spacing w:val="-1"/>
                <w:sz w:val="13"/>
                <w:szCs w:val="13"/>
              </w:rPr>
              <w:t>T</w:t>
            </w:r>
            <w:r w:rsidRPr="00E815DC">
              <w:rPr>
                <w:rFonts w:ascii="Arial" w:eastAsia="Arial" w:hAnsi="Arial" w:cs="Arial"/>
                <w:b/>
                <w:spacing w:val="1"/>
                <w:sz w:val="13"/>
                <w:szCs w:val="13"/>
              </w:rPr>
              <w:t>R</w:t>
            </w:r>
            <w:r w:rsidRPr="00E815DC">
              <w:rPr>
                <w:rFonts w:ascii="Arial" w:eastAsia="Arial" w:hAnsi="Arial" w:cs="Arial"/>
                <w:b/>
                <w:spacing w:val="-1"/>
                <w:sz w:val="13"/>
                <w:szCs w:val="13"/>
              </w:rPr>
              <w:t>E</w:t>
            </w:r>
            <w:r w:rsidRPr="00E815DC">
              <w:rPr>
                <w:rFonts w:ascii="Arial" w:eastAsia="Arial" w:hAnsi="Arial" w:cs="Arial"/>
                <w:b/>
                <w:spacing w:val="1"/>
                <w:sz w:val="13"/>
                <w:szCs w:val="13"/>
              </w:rPr>
              <w:t>G</w:t>
            </w:r>
            <w:r w:rsidRPr="00E815DC">
              <w:rPr>
                <w:rFonts w:ascii="Arial" w:eastAsia="Arial" w:hAnsi="Arial" w:cs="Arial"/>
                <w:b/>
                <w:sz w:val="13"/>
                <w:szCs w:val="13"/>
              </w:rPr>
              <w:t xml:space="preserve">A </w:t>
            </w:r>
            <w:r w:rsidRPr="00E815DC">
              <w:rPr>
                <w:rFonts w:ascii="Arial" w:eastAsia="Arial" w:hAnsi="Arial" w:cs="Arial"/>
                <w:b/>
                <w:spacing w:val="-1"/>
                <w:sz w:val="13"/>
                <w:szCs w:val="13"/>
              </w:rPr>
              <w:t>D</w:t>
            </w:r>
            <w:r w:rsidRPr="00E815DC">
              <w:rPr>
                <w:rFonts w:ascii="Arial" w:eastAsia="Arial" w:hAnsi="Arial" w:cs="Arial"/>
                <w:b/>
                <w:sz w:val="13"/>
                <w:szCs w:val="13"/>
              </w:rPr>
              <w:t xml:space="preserve">E       </w:t>
            </w:r>
            <w:r w:rsidRPr="00E815DC">
              <w:rPr>
                <w:rFonts w:ascii="Arial" w:eastAsia="Arial" w:hAnsi="Arial" w:cs="Arial"/>
                <w:b/>
                <w:spacing w:val="23"/>
                <w:sz w:val="13"/>
                <w:szCs w:val="13"/>
              </w:rPr>
              <w:t xml:space="preserve"> </w:t>
            </w:r>
            <w:r w:rsidRPr="00E815DC">
              <w:rPr>
                <w:rFonts w:ascii="Arial" w:eastAsia="Arial" w:hAnsi="Arial" w:cs="Arial"/>
                <w:b/>
                <w:spacing w:val="2"/>
                <w:sz w:val="13"/>
                <w:szCs w:val="13"/>
              </w:rPr>
              <w:t>L</w:t>
            </w:r>
            <w:r w:rsidRPr="00E815DC">
              <w:rPr>
                <w:rFonts w:ascii="Arial" w:eastAsia="Arial" w:hAnsi="Arial" w:cs="Arial"/>
                <w:b/>
                <w:spacing w:val="-1"/>
                <w:sz w:val="13"/>
                <w:szCs w:val="13"/>
              </w:rPr>
              <w:t>O</w:t>
            </w:r>
            <w:r w:rsidRPr="00E815DC">
              <w:rPr>
                <w:rFonts w:ascii="Arial" w:eastAsia="Arial" w:hAnsi="Arial" w:cs="Arial"/>
                <w:b/>
                <w:sz w:val="13"/>
                <w:szCs w:val="13"/>
              </w:rPr>
              <w:t>S INFORMES</w:t>
            </w:r>
          </w:p>
        </w:tc>
        <w:tc>
          <w:tcPr>
            <w:tcW w:w="59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85D78" w:rsidRDefault="00A94F5E" w:rsidP="002D2D1E">
            <w:pPr>
              <w:jc w:val="center"/>
              <w:rPr>
                <w:rFonts w:ascii="Arial" w:eastAsia="Arial" w:hAnsi="Arial" w:cs="Arial"/>
                <w:sz w:val="14"/>
                <w:szCs w:val="14"/>
              </w:rPr>
            </w:pPr>
            <w:r w:rsidRPr="00A85D78">
              <w:rPr>
                <w:rFonts w:ascii="Arial" w:eastAsia="Arial" w:hAnsi="Arial" w:cs="Arial"/>
                <w:b/>
                <w:sz w:val="14"/>
                <w:szCs w:val="14"/>
              </w:rPr>
              <w:t>DI</w:t>
            </w:r>
            <w:r w:rsidRPr="00A85D78">
              <w:rPr>
                <w:rFonts w:ascii="Arial" w:eastAsia="Arial" w:hAnsi="Arial" w:cs="Arial"/>
                <w:b/>
                <w:spacing w:val="-1"/>
                <w:sz w:val="14"/>
                <w:szCs w:val="14"/>
              </w:rPr>
              <w:t>C</w:t>
            </w:r>
            <w:r w:rsidRPr="00A85D78">
              <w:rPr>
                <w:rFonts w:ascii="Arial" w:eastAsia="Arial" w:hAnsi="Arial" w:cs="Arial"/>
                <w:b/>
                <w:spacing w:val="2"/>
                <w:sz w:val="14"/>
                <w:szCs w:val="14"/>
              </w:rPr>
              <w:t>T</w:t>
            </w:r>
            <w:r w:rsidRPr="00A85D78">
              <w:rPr>
                <w:rFonts w:ascii="Arial" w:eastAsia="Arial" w:hAnsi="Arial" w:cs="Arial"/>
                <w:b/>
                <w:spacing w:val="-1"/>
                <w:sz w:val="14"/>
                <w:szCs w:val="14"/>
              </w:rPr>
              <w:t>A</w:t>
            </w:r>
            <w:r w:rsidRPr="00A85D78">
              <w:rPr>
                <w:rFonts w:ascii="Arial" w:eastAsia="Arial" w:hAnsi="Arial" w:cs="Arial"/>
                <w:b/>
                <w:spacing w:val="1"/>
                <w:sz w:val="14"/>
                <w:szCs w:val="14"/>
              </w:rPr>
              <w:t>M</w:t>
            </w:r>
            <w:r w:rsidRPr="00A85D78">
              <w:rPr>
                <w:rFonts w:ascii="Arial" w:eastAsia="Arial" w:hAnsi="Arial" w:cs="Arial"/>
                <w:b/>
                <w:spacing w:val="2"/>
                <w:sz w:val="14"/>
                <w:szCs w:val="14"/>
              </w:rPr>
              <w:t>E</w:t>
            </w:r>
            <w:r w:rsidRPr="00A85D78">
              <w:rPr>
                <w:rFonts w:ascii="Arial" w:eastAsia="Arial" w:hAnsi="Arial" w:cs="Arial"/>
                <w:b/>
                <w:sz w:val="14"/>
                <w:szCs w:val="14"/>
              </w:rPr>
              <w:t>N</w:t>
            </w:r>
            <w:r w:rsidRPr="00A85D78">
              <w:rPr>
                <w:rFonts w:ascii="Arial" w:eastAsia="Arial" w:hAnsi="Arial" w:cs="Arial"/>
                <w:b/>
                <w:spacing w:val="4"/>
                <w:sz w:val="14"/>
                <w:szCs w:val="14"/>
              </w:rPr>
              <w:t xml:space="preserve"> </w:t>
            </w:r>
            <w:r w:rsidRPr="00A85D78">
              <w:rPr>
                <w:rFonts w:ascii="Arial" w:eastAsia="Arial" w:hAnsi="Arial" w:cs="Arial"/>
                <w:b/>
                <w:sz w:val="14"/>
                <w:szCs w:val="14"/>
              </w:rPr>
              <w:t>Y</w:t>
            </w:r>
          </w:p>
          <w:p w:rsidR="00A94F5E" w:rsidRPr="00A85D78" w:rsidRDefault="00A94F5E" w:rsidP="002D2D1E">
            <w:pPr>
              <w:ind w:left="59"/>
              <w:jc w:val="center"/>
              <w:rPr>
                <w:rFonts w:ascii="Arial" w:eastAsia="Arial" w:hAnsi="Arial" w:cs="Arial"/>
                <w:sz w:val="14"/>
                <w:szCs w:val="14"/>
              </w:rPr>
            </w:pPr>
            <w:r w:rsidRPr="00A85D78">
              <w:rPr>
                <w:rFonts w:ascii="Arial" w:eastAsia="Arial" w:hAnsi="Arial" w:cs="Arial"/>
                <w:b/>
                <w:sz w:val="14"/>
                <w:szCs w:val="14"/>
              </w:rPr>
              <w:t>RE</w:t>
            </w:r>
            <w:r w:rsidRPr="00A85D78">
              <w:rPr>
                <w:rFonts w:ascii="Arial" w:eastAsia="Arial" w:hAnsi="Arial" w:cs="Arial"/>
                <w:b/>
                <w:spacing w:val="1"/>
                <w:sz w:val="14"/>
                <w:szCs w:val="14"/>
              </w:rPr>
              <w:t>S</w:t>
            </w:r>
            <w:r w:rsidRPr="00A85D78">
              <w:rPr>
                <w:rFonts w:ascii="Arial" w:eastAsia="Arial" w:hAnsi="Arial" w:cs="Arial"/>
                <w:b/>
                <w:spacing w:val="-1"/>
                <w:sz w:val="14"/>
                <w:szCs w:val="14"/>
              </w:rPr>
              <w:t>O</w:t>
            </w:r>
            <w:r w:rsidRPr="00A85D78">
              <w:rPr>
                <w:rFonts w:ascii="Arial" w:eastAsia="Arial" w:hAnsi="Arial" w:cs="Arial"/>
                <w:b/>
                <w:sz w:val="14"/>
                <w:szCs w:val="14"/>
              </w:rPr>
              <w:t>L</w:t>
            </w:r>
            <w:r w:rsidRPr="00A85D78">
              <w:rPr>
                <w:rFonts w:ascii="Arial" w:eastAsia="Arial" w:hAnsi="Arial" w:cs="Arial"/>
                <w:b/>
                <w:spacing w:val="1"/>
                <w:sz w:val="14"/>
                <w:szCs w:val="14"/>
              </w:rPr>
              <w:t>U</w:t>
            </w:r>
            <w:r w:rsidRPr="00A85D78">
              <w:rPr>
                <w:rFonts w:ascii="Arial" w:eastAsia="Arial" w:hAnsi="Arial" w:cs="Arial"/>
                <w:b/>
                <w:spacing w:val="-1"/>
                <w:sz w:val="14"/>
                <w:szCs w:val="14"/>
              </w:rPr>
              <w:t>C</w:t>
            </w:r>
            <w:r w:rsidRPr="00A85D78">
              <w:rPr>
                <w:rFonts w:ascii="Arial" w:eastAsia="Arial" w:hAnsi="Arial" w:cs="Arial"/>
                <w:b/>
                <w:spacing w:val="2"/>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N</w:t>
            </w:r>
          </w:p>
        </w:tc>
        <w:tc>
          <w:tcPr>
            <w:tcW w:w="676"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85D78" w:rsidRDefault="00A94F5E" w:rsidP="002D2D1E">
            <w:pPr>
              <w:ind w:right="47"/>
              <w:jc w:val="center"/>
              <w:rPr>
                <w:rFonts w:ascii="Arial" w:eastAsia="Arial" w:hAnsi="Arial" w:cs="Arial"/>
                <w:sz w:val="14"/>
                <w:szCs w:val="14"/>
              </w:rPr>
            </w:pPr>
            <w:r w:rsidRPr="00A85D78">
              <w:rPr>
                <w:rFonts w:ascii="Arial" w:eastAsia="Arial" w:hAnsi="Arial" w:cs="Arial"/>
                <w:b/>
                <w:sz w:val="14"/>
                <w:szCs w:val="14"/>
              </w:rPr>
              <w:t>A</w:t>
            </w:r>
            <w:r w:rsidRPr="00A85D78">
              <w:rPr>
                <w:rFonts w:ascii="Arial" w:eastAsia="Arial" w:hAnsi="Arial" w:cs="Arial"/>
                <w:b/>
                <w:spacing w:val="-1"/>
                <w:sz w:val="14"/>
                <w:szCs w:val="14"/>
              </w:rPr>
              <w:t>P</w:t>
            </w:r>
            <w:r w:rsidRPr="00A85D78">
              <w:rPr>
                <w:rFonts w:ascii="Arial" w:eastAsia="Arial" w:hAnsi="Arial" w:cs="Arial"/>
                <w:b/>
                <w:spacing w:val="1"/>
                <w:sz w:val="14"/>
                <w:szCs w:val="14"/>
              </w:rPr>
              <w:t>RO</w:t>
            </w:r>
            <w:r w:rsidRPr="00A85D78">
              <w:rPr>
                <w:rFonts w:ascii="Arial" w:eastAsia="Arial" w:hAnsi="Arial" w:cs="Arial"/>
                <w:b/>
                <w:spacing w:val="-1"/>
                <w:sz w:val="14"/>
                <w:szCs w:val="14"/>
              </w:rPr>
              <w:t>B</w:t>
            </w:r>
            <w:r w:rsidRPr="00A85D78">
              <w:rPr>
                <w:rFonts w:ascii="Arial" w:eastAsia="Arial" w:hAnsi="Arial" w:cs="Arial"/>
                <w:b/>
                <w:spacing w:val="2"/>
                <w:sz w:val="14"/>
                <w:szCs w:val="14"/>
              </w:rPr>
              <w:t>A</w:t>
            </w:r>
            <w:r w:rsidRPr="00A85D78">
              <w:rPr>
                <w:rFonts w:ascii="Arial" w:eastAsia="Arial" w:hAnsi="Arial" w:cs="Arial"/>
                <w:b/>
                <w:spacing w:val="-1"/>
                <w:sz w:val="14"/>
                <w:szCs w:val="14"/>
              </w:rPr>
              <w:t>C</w:t>
            </w:r>
            <w:r w:rsidRPr="00A85D78">
              <w:rPr>
                <w:rFonts w:ascii="Arial" w:eastAsia="Arial" w:hAnsi="Arial" w:cs="Arial"/>
                <w:b/>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 xml:space="preserve">N </w:t>
            </w:r>
            <w:r w:rsidRPr="00A85D78">
              <w:rPr>
                <w:rFonts w:ascii="Arial" w:eastAsia="Arial" w:hAnsi="Arial" w:cs="Arial"/>
                <w:b/>
                <w:spacing w:val="-1"/>
                <w:sz w:val="14"/>
                <w:szCs w:val="14"/>
              </w:rPr>
              <w:t>D</w:t>
            </w:r>
            <w:r w:rsidRPr="00A85D78">
              <w:rPr>
                <w:rFonts w:ascii="Arial" w:eastAsia="Arial" w:hAnsi="Arial" w:cs="Arial"/>
                <w:b/>
                <w:sz w:val="14"/>
                <w:szCs w:val="14"/>
              </w:rPr>
              <w:t xml:space="preserve">E              </w:t>
            </w:r>
            <w:r w:rsidRPr="00A85D78">
              <w:rPr>
                <w:rFonts w:ascii="Arial" w:eastAsia="Arial" w:hAnsi="Arial" w:cs="Arial"/>
                <w:b/>
                <w:spacing w:val="8"/>
                <w:sz w:val="14"/>
                <w:szCs w:val="14"/>
              </w:rPr>
              <w:t xml:space="preserve"> </w:t>
            </w:r>
            <w:r w:rsidRPr="00A85D78">
              <w:rPr>
                <w:rFonts w:ascii="Arial" w:eastAsia="Arial" w:hAnsi="Arial" w:cs="Arial"/>
                <w:b/>
                <w:spacing w:val="2"/>
                <w:sz w:val="14"/>
                <w:szCs w:val="14"/>
              </w:rPr>
              <w:t>L</w:t>
            </w:r>
            <w:r w:rsidRPr="00A85D78">
              <w:rPr>
                <w:rFonts w:ascii="Arial" w:eastAsia="Arial" w:hAnsi="Arial" w:cs="Arial"/>
                <w:b/>
                <w:sz w:val="14"/>
                <w:szCs w:val="14"/>
              </w:rPr>
              <w:t>A C</w:t>
            </w:r>
            <w:r w:rsidRPr="00A85D78">
              <w:rPr>
                <w:rFonts w:ascii="Arial" w:eastAsia="Arial" w:hAnsi="Arial" w:cs="Arial"/>
                <w:b/>
                <w:spacing w:val="-1"/>
                <w:sz w:val="14"/>
                <w:szCs w:val="14"/>
              </w:rPr>
              <w:t>O</w:t>
            </w:r>
            <w:r w:rsidRPr="00A85D78">
              <w:rPr>
                <w:rFonts w:ascii="Arial" w:eastAsia="Arial" w:hAnsi="Arial" w:cs="Arial"/>
                <w:b/>
                <w:spacing w:val="1"/>
                <w:sz w:val="14"/>
                <w:szCs w:val="14"/>
              </w:rPr>
              <w:t>M</w:t>
            </w:r>
            <w:r w:rsidRPr="00A85D78">
              <w:rPr>
                <w:rFonts w:ascii="Arial" w:eastAsia="Arial" w:hAnsi="Arial" w:cs="Arial"/>
                <w:b/>
                <w:sz w:val="14"/>
                <w:szCs w:val="14"/>
              </w:rPr>
              <w:t>I</w:t>
            </w:r>
            <w:r w:rsidRPr="00A85D78">
              <w:rPr>
                <w:rFonts w:ascii="Arial" w:eastAsia="Arial" w:hAnsi="Arial" w:cs="Arial"/>
                <w:b/>
                <w:spacing w:val="-1"/>
                <w:sz w:val="14"/>
                <w:szCs w:val="14"/>
              </w:rPr>
              <w:t>S</w:t>
            </w:r>
            <w:r w:rsidRPr="00A85D78">
              <w:rPr>
                <w:rFonts w:ascii="Arial" w:eastAsia="Arial" w:hAnsi="Arial" w:cs="Arial"/>
                <w:b/>
                <w:spacing w:val="2"/>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N</w:t>
            </w:r>
            <w:r w:rsidRPr="00A85D78">
              <w:rPr>
                <w:rFonts w:ascii="Arial" w:eastAsia="Arial" w:hAnsi="Arial" w:cs="Arial"/>
                <w:b/>
                <w:spacing w:val="25"/>
                <w:sz w:val="14"/>
                <w:szCs w:val="14"/>
              </w:rPr>
              <w:t xml:space="preserve"> </w:t>
            </w:r>
            <w:r w:rsidRPr="00A85D78">
              <w:rPr>
                <w:rFonts w:ascii="Arial" w:eastAsia="Arial" w:hAnsi="Arial" w:cs="Arial"/>
                <w:b/>
                <w:spacing w:val="1"/>
                <w:sz w:val="14"/>
                <w:szCs w:val="14"/>
              </w:rPr>
              <w:t>D</w:t>
            </w:r>
            <w:r w:rsidRPr="00A85D78">
              <w:rPr>
                <w:rFonts w:ascii="Arial" w:eastAsia="Arial" w:hAnsi="Arial" w:cs="Arial"/>
                <w:b/>
                <w:sz w:val="14"/>
                <w:szCs w:val="14"/>
              </w:rPr>
              <w:t xml:space="preserve">E </w:t>
            </w:r>
            <w:r w:rsidRPr="00A85D78">
              <w:rPr>
                <w:rFonts w:ascii="Arial" w:eastAsia="Arial" w:hAnsi="Arial" w:cs="Arial"/>
                <w:b/>
                <w:spacing w:val="-1"/>
                <w:sz w:val="14"/>
                <w:szCs w:val="14"/>
              </w:rPr>
              <w:t>F</w:t>
            </w:r>
            <w:r w:rsidRPr="00A85D78">
              <w:rPr>
                <w:rFonts w:ascii="Arial" w:eastAsia="Arial" w:hAnsi="Arial" w:cs="Arial"/>
                <w:b/>
                <w:sz w:val="14"/>
                <w:szCs w:val="14"/>
              </w:rPr>
              <w:t>I</w:t>
            </w:r>
            <w:r w:rsidRPr="00A85D78">
              <w:rPr>
                <w:rFonts w:ascii="Arial" w:eastAsia="Arial" w:hAnsi="Arial" w:cs="Arial"/>
                <w:b/>
                <w:spacing w:val="1"/>
                <w:sz w:val="14"/>
                <w:szCs w:val="14"/>
              </w:rPr>
              <w:t>S</w:t>
            </w:r>
            <w:r w:rsidRPr="00A85D78">
              <w:rPr>
                <w:rFonts w:ascii="Arial" w:eastAsia="Arial" w:hAnsi="Arial" w:cs="Arial"/>
                <w:b/>
                <w:spacing w:val="-1"/>
                <w:sz w:val="14"/>
                <w:szCs w:val="14"/>
              </w:rPr>
              <w:t>CA</w:t>
            </w:r>
            <w:r w:rsidRPr="00A85D78">
              <w:rPr>
                <w:rFonts w:ascii="Arial" w:eastAsia="Arial" w:hAnsi="Arial" w:cs="Arial"/>
                <w:b/>
                <w:spacing w:val="2"/>
                <w:sz w:val="14"/>
                <w:szCs w:val="14"/>
              </w:rPr>
              <w:t>L</w:t>
            </w:r>
            <w:r w:rsidRPr="00A85D78">
              <w:rPr>
                <w:rFonts w:ascii="Arial" w:eastAsia="Arial" w:hAnsi="Arial" w:cs="Arial"/>
                <w:b/>
                <w:sz w:val="14"/>
                <w:szCs w:val="14"/>
              </w:rPr>
              <w:t>IZ</w:t>
            </w:r>
            <w:r w:rsidRPr="00A85D78">
              <w:rPr>
                <w:rFonts w:ascii="Arial" w:eastAsia="Arial" w:hAnsi="Arial" w:cs="Arial"/>
                <w:b/>
                <w:spacing w:val="1"/>
                <w:sz w:val="14"/>
                <w:szCs w:val="14"/>
              </w:rPr>
              <w:t>A</w:t>
            </w:r>
            <w:r w:rsidRPr="00A85D78">
              <w:rPr>
                <w:rFonts w:ascii="Arial" w:eastAsia="Arial" w:hAnsi="Arial" w:cs="Arial"/>
                <w:b/>
                <w:spacing w:val="-1"/>
                <w:sz w:val="14"/>
                <w:szCs w:val="14"/>
              </w:rPr>
              <w:t>C</w:t>
            </w:r>
            <w:r w:rsidRPr="00A85D78">
              <w:rPr>
                <w:rFonts w:ascii="Arial" w:eastAsia="Arial" w:hAnsi="Arial" w:cs="Arial"/>
                <w:b/>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N</w:t>
            </w:r>
          </w:p>
        </w:tc>
        <w:tc>
          <w:tcPr>
            <w:tcW w:w="693"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94F5E" w:rsidRPr="00A85D78" w:rsidRDefault="00A94F5E" w:rsidP="002D2D1E">
            <w:pPr>
              <w:ind w:right="46"/>
              <w:jc w:val="center"/>
              <w:rPr>
                <w:rFonts w:ascii="Arial" w:eastAsia="Arial" w:hAnsi="Arial" w:cs="Arial"/>
                <w:sz w:val="14"/>
                <w:szCs w:val="14"/>
              </w:rPr>
            </w:pPr>
            <w:r w:rsidRPr="00A85D78">
              <w:rPr>
                <w:rFonts w:ascii="Arial" w:eastAsia="Arial" w:hAnsi="Arial" w:cs="Arial"/>
                <w:b/>
                <w:spacing w:val="1"/>
                <w:sz w:val="14"/>
                <w:szCs w:val="14"/>
              </w:rPr>
              <w:t>PR</w:t>
            </w:r>
            <w:r w:rsidRPr="00A85D78">
              <w:rPr>
                <w:rFonts w:ascii="Arial" w:eastAsia="Arial" w:hAnsi="Arial" w:cs="Arial"/>
                <w:b/>
                <w:spacing w:val="-1"/>
                <w:sz w:val="14"/>
                <w:szCs w:val="14"/>
              </w:rPr>
              <w:t>ES</w:t>
            </w:r>
            <w:r w:rsidRPr="00A85D78">
              <w:rPr>
                <w:rFonts w:ascii="Arial" w:eastAsia="Arial" w:hAnsi="Arial" w:cs="Arial"/>
                <w:b/>
                <w:spacing w:val="2"/>
                <w:sz w:val="14"/>
                <w:szCs w:val="14"/>
              </w:rPr>
              <w:t>E</w:t>
            </w:r>
            <w:r w:rsidRPr="00A85D78">
              <w:rPr>
                <w:rFonts w:ascii="Arial" w:eastAsia="Arial" w:hAnsi="Arial" w:cs="Arial"/>
                <w:b/>
                <w:spacing w:val="-1"/>
                <w:sz w:val="14"/>
                <w:szCs w:val="14"/>
              </w:rPr>
              <w:t>NT</w:t>
            </w:r>
            <w:r w:rsidRPr="00A85D78">
              <w:rPr>
                <w:rFonts w:ascii="Arial" w:eastAsia="Arial" w:hAnsi="Arial" w:cs="Arial"/>
                <w:b/>
                <w:spacing w:val="2"/>
                <w:sz w:val="14"/>
                <w:szCs w:val="14"/>
              </w:rPr>
              <w:t>A</w:t>
            </w:r>
            <w:r w:rsidRPr="00A85D78">
              <w:rPr>
                <w:rFonts w:ascii="Arial" w:eastAsia="Arial" w:hAnsi="Arial" w:cs="Arial"/>
                <w:b/>
                <w:spacing w:val="-1"/>
                <w:sz w:val="14"/>
                <w:szCs w:val="14"/>
              </w:rPr>
              <w:t>C</w:t>
            </w:r>
            <w:r w:rsidRPr="00A85D78">
              <w:rPr>
                <w:rFonts w:ascii="Arial" w:eastAsia="Arial" w:hAnsi="Arial" w:cs="Arial"/>
                <w:b/>
                <w:spacing w:val="2"/>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 xml:space="preserve">N </w:t>
            </w:r>
            <w:r w:rsidRPr="00A85D78">
              <w:rPr>
                <w:rFonts w:ascii="Arial" w:eastAsia="Arial" w:hAnsi="Arial" w:cs="Arial"/>
                <w:b/>
                <w:spacing w:val="-1"/>
                <w:sz w:val="14"/>
                <w:szCs w:val="14"/>
              </w:rPr>
              <w:t>A</w:t>
            </w:r>
            <w:r w:rsidRPr="00A85D78">
              <w:rPr>
                <w:rFonts w:ascii="Arial" w:eastAsia="Arial" w:hAnsi="Arial" w:cs="Arial"/>
                <w:b/>
                <w:sz w:val="14"/>
                <w:szCs w:val="14"/>
              </w:rPr>
              <w:t xml:space="preserve">L </w:t>
            </w:r>
            <w:r w:rsidRPr="00A85D78">
              <w:rPr>
                <w:rFonts w:ascii="Arial" w:eastAsia="Arial" w:hAnsi="Arial" w:cs="Arial"/>
                <w:b/>
                <w:spacing w:val="3"/>
                <w:sz w:val="14"/>
                <w:szCs w:val="14"/>
              </w:rPr>
              <w:t>C</w:t>
            </w:r>
            <w:r w:rsidRPr="00A85D78">
              <w:rPr>
                <w:rFonts w:ascii="Arial" w:eastAsia="Arial" w:hAnsi="Arial" w:cs="Arial"/>
                <w:b/>
                <w:spacing w:val="-1"/>
                <w:sz w:val="14"/>
                <w:szCs w:val="14"/>
              </w:rPr>
              <w:t>O</w:t>
            </w:r>
            <w:r w:rsidRPr="00A85D78">
              <w:rPr>
                <w:rFonts w:ascii="Arial" w:eastAsia="Arial" w:hAnsi="Arial" w:cs="Arial"/>
                <w:b/>
                <w:spacing w:val="1"/>
                <w:sz w:val="14"/>
                <w:szCs w:val="14"/>
              </w:rPr>
              <w:t>N</w:t>
            </w:r>
            <w:r w:rsidRPr="00A85D78">
              <w:rPr>
                <w:rFonts w:ascii="Arial" w:eastAsia="Arial" w:hAnsi="Arial" w:cs="Arial"/>
                <w:b/>
                <w:spacing w:val="-1"/>
                <w:sz w:val="14"/>
                <w:szCs w:val="14"/>
              </w:rPr>
              <w:t>SE</w:t>
            </w:r>
            <w:r w:rsidRPr="00A85D78">
              <w:rPr>
                <w:rFonts w:ascii="Arial" w:eastAsia="Arial" w:hAnsi="Arial" w:cs="Arial"/>
                <w:b/>
                <w:spacing w:val="2"/>
                <w:sz w:val="14"/>
                <w:szCs w:val="14"/>
              </w:rPr>
              <w:t>J</w:t>
            </w:r>
            <w:r w:rsidRPr="00A85D78">
              <w:rPr>
                <w:rFonts w:ascii="Arial" w:eastAsia="Arial" w:hAnsi="Arial" w:cs="Arial"/>
                <w:b/>
                <w:sz w:val="14"/>
                <w:szCs w:val="14"/>
              </w:rPr>
              <w:t>O G</w:t>
            </w:r>
            <w:r w:rsidRPr="00A85D78">
              <w:rPr>
                <w:rFonts w:ascii="Arial" w:eastAsia="Arial" w:hAnsi="Arial" w:cs="Arial"/>
                <w:b/>
                <w:spacing w:val="-1"/>
                <w:sz w:val="14"/>
                <w:szCs w:val="14"/>
              </w:rPr>
              <w:t>E</w:t>
            </w:r>
            <w:r w:rsidRPr="00A85D78">
              <w:rPr>
                <w:rFonts w:ascii="Arial" w:eastAsia="Arial" w:hAnsi="Arial" w:cs="Arial"/>
                <w:b/>
                <w:spacing w:val="1"/>
                <w:sz w:val="14"/>
                <w:szCs w:val="14"/>
              </w:rPr>
              <w:t>N</w:t>
            </w:r>
            <w:r w:rsidRPr="00A85D78">
              <w:rPr>
                <w:rFonts w:ascii="Arial" w:eastAsia="Arial" w:hAnsi="Arial" w:cs="Arial"/>
                <w:b/>
                <w:spacing w:val="-1"/>
                <w:sz w:val="14"/>
                <w:szCs w:val="14"/>
              </w:rPr>
              <w:t>E</w:t>
            </w:r>
            <w:r w:rsidRPr="00A85D78">
              <w:rPr>
                <w:rFonts w:ascii="Arial" w:eastAsia="Arial" w:hAnsi="Arial" w:cs="Arial"/>
                <w:b/>
                <w:spacing w:val="1"/>
                <w:sz w:val="14"/>
                <w:szCs w:val="14"/>
              </w:rPr>
              <w:t>R</w:t>
            </w:r>
            <w:r w:rsidRPr="00A85D78">
              <w:rPr>
                <w:rFonts w:ascii="Arial" w:eastAsia="Arial" w:hAnsi="Arial" w:cs="Arial"/>
                <w:b/>
                <w:spacing w:val="-1"/>
                <w:sz w:val="14"/>
                <w:szCs w:val="14"/>
              </w:rPr>
              <w:t>A</w:t>
            </w:r>
            <w:r w:rsidRPr="00A85D78">
              <w:rPr>
                <w:rFonts w:ascii="Arial" w:eastAsia="Arial" w:hAnsi="Arial" w:cs="Arial"/>
                <w:b/>
                <w:sz w:val="14"/>
                <w:szCs w:val="14"/>
              </w:rPr>
              <w:t>L</w:t>
            </w:r>
          </w:p>
        </w:tc>
        <w:tc>
          <w:tcPr>
            <w:tcW w:w="636"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hideMark/>
          </w:tcPr>
          <w:p w:rsidR="00A94F5E" w:rsidRPr="00A85D78" w:rsidRDefault="00A94F5E" w:rsidP="002D2D1E">
            <w:pPr>
              <w:spacing w:before="45"/>
              <w:ind w:left="62" w:right="44"/>
              <w:jc w:val="center"/>
              <w:rPr>
                <w:rFonts w:ascii="Arial" w:eastAsia="Arial" w:hAnsi="Arial" w:cs="Arial"/>
                <w:sz w:val="14"/>
                <w:szCs w:val="14"/>
              </w:rPr>
            </w:pPr>
            <w:r w:rsidRPr="00A85D78">
              <w:rPr>
                <w:rFonts w:ascii="Arial" w:eastAsia="Arial" w:hAnsi="Arial" w:cs="Arial"/>
                <w:b/>
                <w:sz w:val="14"/>
                <w:szCs w:val="14"/>
              </w:rPr>
              <w:t>A</w:t>
            </w:r>
            <w:r w:rsidRPr="00A85D78">
              <w:rPr>
                <w:rFonts w:ascii="Arial" w:eastAsia="Arial" w:hAnsi="Arial" w:cs="Arial"/>
                <w:b/>
                <w:spacing w:val="-1"/>
                <w:sz w:val="14"/>
                <w:szCs w:val="14"/>
              </w:rPr>
              <w:t>P</w:t>
            </w:r>
            <w:r w:rsidRPr="00A85D78">
              <w:rPr>
                <w:rFonts w:ascii="Arial" w:eastAsia="Arial" w:hAnsi="Arial" w:cs="Arial"/>
                <w:b/>
                <w:spacing w:val="1"/>
                <w:sz w:val="14"/>
                <w:szCs w:val="14"/>
              </w:rPr>
              <w:t>RO</w:t>
            </w:r>
            <w:r w:rsidRPr="00A85D78">
              <w:rPr>
                <w:rFonts w:ascii="Arial" w:eastAsia="Arial" w:hAnsi="Arial" w:cs="Arial"/>
                <w:b/>
                <w:spacing w:val="-1"/>
                <w:sz w:val="14"/>
                <w:szCs w:val="14"/>
              </w:rPr>
              <w:t>B</w:t>
            </w:r>
            <w:r w:rsidRPr="00A85D78">
              <w:rPr>
                <w:rFonts w:ascii="Arial" w:eastAsia="Arial" w:hAnsi="Arial" w:cs="Arial"/>
                <w:b/>
                <w:spacing w:val="2"/>
                <w:sz w:val="14"/>
                <w:szCs w:val="14"/>
              </w:rPr>
              <w:t>A</w:t>
            </w:r>
            <w:r w:rsidRPr="00A85D78">
              <w:rPr>
                <w:rFonts w:ascii="Arial" w:eastAsia="Arial" w:hAnsi="Arial" w:cs="Arial"/>
                <w:b/>
                <w:spacing w:val="-1"/>
                <w:sz w:val="14"/>
                <w:szCs w:val="14"/>
              </w:rPr>
              <w:t>C</w:t>
            </w:r>
            <w:r w:rsidRPr="00A85D78">
              <w:rPr>
                <w:rFonts w:ascii="Arial" w:eastAsia="Arial" w:hAnsi="Arial" w:cs="Arial"/>
                <w:b/>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 xml:space="preserve">N </w:t>
            </w:r>
            <w:r w:rsidRPr="00A85D78">
              <w:rPr>
                <w:rFonts w:ascii="Arial" w:eastAsia="Arial" w:hAnsi="Arial" w:cs="Arial"/>
                <w:b/>
                <w:spacing w:val="-1"/>
                <w:sz w:val="14"/>
                <w:szCs w:val="14"/>
              </w:rPr>
              <w:t>DE</w:t>
            </w:r>
            <w:r w:rsidRPr="00A85D78">
              <w:rPr>
                <w:rFonts w:ascii="Arial" w:eastAsia="Arial" w:hAnsi="Arial" w:cs="Arial"/>
                <w:b/>
                <w:sz w:val="14"/>
                <w:szCs w:val="14"/>
              </w:rPr>
              <w:t>L</w:t>
            </w:r>
            <w:r w:rsidRPr="00A85D78">
              <w:rPr>
                <w:rFonts w:ascii="Arial" w:eastAsia="Arial" w:hAnsi="Arial" w:cs="Arial"/>
                <w:sz w:val="14"/>
                <w:szCs w:val="14"/>
              </w:rPr>
              <w:t xml:space="preserve"> CG</w:t>
            </w:r>
            <w:r w:rsidRPr="00A85D78">
              <w:rPr>
                <w:rFonts w:ascii="Arial" w:eastAsia="Arial" w:hAnsi="Arial" w:cs="Arial"/>
                <w:b/>
                <w:sz w:val="14"/>
                <w:szCs w:val="14"/>
              </w:rPr>
              <w:t xml:space="preserve"> </w:t>
            </w:r>
            <w:r w:rsidRPr="00A85D78">
              <w:rPr>
                <w:rFonts w:ascii="Arial" w:eastAsia="Arial" w:hAnsi="Arial" w:cs="Arial"/>
                <w:b/>
                <w:spacing w:val="-1"/>
                <w:sz w:val="14"/>
                <w:szCs w:val="14"/>
              </w:rPr>
              <w:t>PA</w:t>
            </w:r>
            <w:r w:rsidRPr="00A85D78">
              <w:rPr>
                <w:rFonts w:ascii="Arial" w:eastAsia="Arial" w:hAnsi="Arial" w:cs="Arial"/>
                <w:b/>
                <w:spacing w:val="1"/>
                <w:sz w:val="14"/>
                <w:szCs w:val="14"/>
              </w:rPr>
              <w:t>R</w:t>
            </w:r>
            <w:r w:rsidRPr="00A85D78">
              <w:rPr>
                <w:rFonts w:ascii="Arial" w:eastAsia="Arial" w:hAnsi="Arial" w:cs="Arial"/>
                <w:b/>
                <w:sz w:val="14"/>
                <w:szCs w:val="14"/>
              </w:rPr>
              <w:t xml:space="preserve">A       </w:t>
            </w:r>
            <w:r w:rsidRPr="00A85D78">
              <w:rPr>
                <w:rFonts w:ascii="Arial" w:eastAsia="Arial" w:hAnsi="Arial" w:cs="Arial"/>
                <w:b/>
                <w:spacing w:val="8"/>
                <w:sz w:val="14"/>
                <w:szCs w:val="14"/>
              </w:rPr>
              <w:t xml:space="preserve"> </w:t>
            </w:r>
            <w:r w:rsidRPr="00A85D78">
              <w:rPr>
                <w:rFonts w:ascii="Arial" w:eastAsia="Arial" w:hAnsi="Arial" w:cs="Arial"/>
                <w:b/>
                <w:spacing w:val="2"/>
                <w:sz w:val="14"/>
                <w:szCs w:val="14"/>
              </w:rPr>
              <w:t>S</w:t>
            </w:r>
            <w:r w:rsidRPr="00A85D78">
              <w:rPr>
                <w:rFonts w:ascii="Arial" w:eastAsia="Arial" w:hAnsi="Arial" w:cs="Arial"/>
                <w:b/>
                <w:sz w:val="14"/>
                <w:szCs w:val="14"/>
              </w:rPr>
              <w:t xml:space="preserve">U </w:t>
            </w:r>
            <w:r w:rsidRPr="00A85D78">
              <w:rPr>
                <w:rFonts w:ascii="Arial" w:eastAsia="Arial" w:hAnsi="Arial" w:cs="Arial"/>
                <w:b/>
                <w:spacing w:val="-1"/>
                <w:sz w:val="14"/>
                <w:szCs w:val="14"/>
              </w:rPr>
              <w:t>AP</w:t>
            </w:r>
            <w:r w:rsidRPr="00A85D78">
              <w:rPr>
                <w:rFonts w:ascii="Arial" w:eastAsia="Arial" w:hAnsi="Arial" w:cs="Arial"/>
                <w:b/>
                <w:spacing w:val="1"/>
                <w:sz w:val="14"/>
                <w:szCs w:val="14"/>
              </w:rPr>
              <w:t>RO</w:t>
            </w:r>
            <w:r w:rsidRPr="00A85D78">
              <w:rPr>
                <w:rFonts w:ascii="Arial" w:eastAsia="Arial" w:hAnsi="Arial" w:cs="Arial"/>
                <w:b/>
                <w:spacing w:val="-1"/>
                <w:sz w:val="14"/>
                <w:szCs w:val="14"/>
              </w:rPr>
              <w:t>B</w:t>
            </w:r>
            <w:r w:rsidRPr="00A85D78">
              <w:rPr>
                <w:rFonts w:ascii="Arial" w:eastAsia="Arial" w:hAnsi="Arial" w:cs="Arial"/>
                <w:b/>
                <w:spacing w:val="2"/>
                <w:sz w:val="14"/>
                <w:szCs w:val="14"/>
              </w:rPr>
              <w:t>A</w:t>
            </w:r>
            <w:r w:rsidRPr="00A85D78">
              <w:rPr>
                <w:rFonts w:ascii="Arial" w:eastAsia="Arial" w:hAnsi="Arial" w:cs="Arial"/>
                <w:b/>
                <w:spacing w:val="-1"/>
                <w:sz w:val="14"/>
                <w:szCs w:val="14"/>
              </w:rPr>
              <w:t>C</w:t>
            </w:r>
            <w:r w:rsidRPr="00A85D78">
              <w:rPr>
                <w:rFonts w:ascii="Arial" w:eastAsia="Arial" w:hAnsi="Arial" w:cs="Arial"/>
                <w:b/>
                <w:spacing w:val="2"/>
                <w:sz w:val="14"/>
                <w:szCs w:val="14"/>
              </w:rPr>
              <w:t>I</w:t>
            </w:r>
            <w:r w:rsidRPr="00A85D78">
              <w:rPr>
                <w:rFonts w:ascii="Arial" w:eastAsia="Arial" w:hAnsi="Arial" w:cs="Arial"/>
                <w:b/>
                <w:spacing w:val="-1"/>
                <w:sz w:val="14"/>
                <w:szCs w:val="14"/>
              </w:rPr>
              <w:t>Ó</w:t>
            </w:r>
            <w:r w:rsidRPr="00A85D78">
              <w:rPr>
                <w:rFonts w:ascii="Arial" w:eastAsia="Arial" w:hAnsi="Arial" w:cs="Arial"/>
                <w:b/>
                <w:sz w:val="14"/>
                <w:szCs w:val="14"/>
              </w:rPr>
              <w:t>N</w:t>
            </w:r>
          </w:p>
        </w:tc>
      </w:tr>
      <w:tr w:rsidR="00A256AB" w:rsidRPr="00A85D78" w:rsidTr="002D2D1E">
        <w:trPr>
          <w:trHeight w:hRule="exact" w:val="885"/>
        </w:trPr>
        <w:tc>
          <w:tcPr>
            <w:tcW w:w="711"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No mayor a 23 días Art. 246 del Código Electoral del Estado de México.</w:t>
            </w:r>
          </w:p>
        </w:tc>
        <w:tc>
          <w:tcPr>
            <w:tcW w:w="490"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10 días</w:t>
            </w:r>
          </w:p>
        </w:tc>
        <w:tc>
          <w:tcPr>
            <w:tcW w:w="632"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15 días</w:t>
            </w:r>
          </w:p>
        </w:tc>
        <w:tc>
          <w:tcPr>
            <w:tcW w:w="568"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7 días</w:t>
            </w:r>
          </w:p>
        </w:tc>
        <w:tc>
          <w:tcPr>
            <w:tcW w:w="594"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10 días</w:t>
            </w:r>
          </w:p>
        </w:tc>
        <w:tc>
          <w:tcPr>
            <w:tcW w:w="676"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6 días</w:t>
            </w:r>
          </w:p>
        </w:tc>
        <w:tc>
          <w:tcPr>
            <w:tcW w:w="693" w:type="pct"/>
            <w:tcBorders>
              <w:top w:val="nil"/>
              <w:left w:val="single" w:sz="6" w:space="0" w:color="000000"/>
              <w:bottom w:val="single" w:sz="6" w:space="0" w:color="000000"/>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72 horas</w:t>
            </w:r>
          </w:p>
        </w:tc>
        <w:tc>
          <w:tcPr>
            <w:tcW w:w="636" w:type="pct"/>
            <w:tcBorders>
              <w:top w:val="nil"/>
              <w:left w:val="single" w:sz="6" w:space="0" w:color="000000"/>
              <w:bottom w:val="single" w:sz="6" w:space="0" w:color="000000"/>
              <w:right w:val="single" w:sz="4" w:space="0" w:color="auto"/>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6 días</w:t>
            </w:r>
          </w:p>
        </w:tc>
      </w:tr>
      <w:tr w:rsidR="00A256AB" w:rsidRPr="00A85D78" w:rsidTr="002D2D1E">
        <w:trPr>
          <w:trHeight w:hRule="exact" w:val="476"/>
        </w:trPr>
        <w:tc>
          <w:tcPr>
            <w:tcW w:w="711"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Del 01 al 23 de marzo de 2015</w:t>
            </w:r>
          </w:p>
        </w:tc>
        <w:tc>
          <w:tcPr>
            <w:tcW w:w="490"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02 de abril de 2015</w:t>
            </w:r>
          </w:p>
        </w:tc>
        <w:tc>
          <w:tcPr>
            <w:tcW w:w="632"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17 de abril de 2015</w:t>
            </w:r>
          </w:p>
        </w:tc>
        <w:tc>
          <w:tcPr>
            <w:tcW w:w="568"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24 de abril de 2015</w:t>
            </w:r>
          </w:p>
        </w:tc>
        <w:tc>
          <w:tcPr>
            <w:tcW w:w="594"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04 de mayo de 2015</w:t>
            </w:r>
          </w:p>
        </w:tc>
        <w:tc>
          <w:tcPr>
            <w:tcW w:w="676"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10 de mayo de 2015</w:t>
            </w:r>
          </w:p>
        </w:tc>
        <w:tc>
          <w:tcPr>
            <w:tcW w:w="693" w:type="pct"/>
            <w:tcBorders>
              <w:top w:val="single" w:sz="6" w:space="0" w:color="000000"/>
              <w:left w:val="single" w:sz="6" w:space="0" w:color="000000"/>
              <w:bottom w:val="single" w:sz="4" w:space="0" w:color="auto"/>
              <w:right w:val="single" w:sz="6" w:space="0" w:color="000000"/>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13 de mayo de 2015</w:t>
            </w:r>
          </w:p>
        </w:tc>
        <w:tc>
          <w:tcPr>
            <w:tcW w:w="636" w:type="pct"/>
            <w:tcBorders>
              <w:top w:val="single" w:sz="6" w:space="0" w:color="000000"/>
              <w:left w:val="single" w:sz="6" w:space="0" w:color="000000"/>
              <w:bottom w:val="single" w:sz="4" w:space="0" w:color="auto"/>
              <w:right w:val="single" w:sz="4" w:space="0" w:color="auto"/>
            </w:tcBorders>
            <w:shd w:val="clear" w:color="auto" w:fill="auto"/>
            <w:vAlign w:val="center"/>
          </w:tcPr>
          <w:p w:rsidR="00A256AB" w:rsidRPr="00A85D78" w:rsidRDefault="00A256AB" w:rsidP="00A256AB">
            <w:pPr>
              <w:spacing w:before="21"/>
              <w:ind w:right="51"/>
              <w:jc w:val="center"/>
              <w:rPr>
                <w:rFonts w:ascii="Arial" w:eastAsia="Arial" w:hAnsi="Arial" w:cs="Arial"/>
                <w:spacing w:val="2"/>
                <w:sz w:val="14"/>
                <w:szCs w:val="14"/>
              </w:rPr>
            </w:pPr>
            <w:r w:rsidRPr="00A85D78">
              <w:rPr>
                <w:rFonts w:ascii="Arial" w:eastAsia="Arial" w:hAnsi="Arial" w:cs="Arial"/>
                <w:spacing w:val="2"/>
                <w:sz w:val="14"/>
                <w:szCs w:val="14"/>
              </w:rPr>
              <w:t>19 de mayo de 2015</w:t>
            </w:r>
          </w:p>
        </w:tc>
      </w:tr>
    </w:tbl>
    <w:p w:rsidR="00A256AB" w:rsidRPr="000A4779" w:rsidRDefault="00A256AB" w:rsidP="00A256AB">
      <w:pPr>
        <w:jc w:val="both"/>
        <w:rPr>
          <w:rFonts w:ascii="Arial" w:hAnsi="Arial" w:cs="Arial"/>
          <w:i/>
          <w:iCs/>
          <w:sz w:val="16"/>
          <w:szCs w:val="16"/>
        </w:rPr>
      </w:pPr>
      <w:r w:rsidRPr="000A4779">
        <w:rPr>
          <w:rFonts w:ascii="Arial" w:hAnsi="Arial" w:cs="Arial"/>
          <w:b/>
          <w:bCs/>
          <w:i/>
          <w:iCs/>
          <w:sz w:val="16"/>
          <w:szCs w:val="16"/>
        </w:rPr>
        <w:t>Fuente:</w:t>
      </w:r>
      <w:r w:rsidR="000A4779">
        <w:rPr>
          <w:rFonts w:ascii="Arial" w:hAnsi="Arial" w:cs="Arial"/>
          <w:i/>
          <w:iCs/>
          <w:sz w:val="16"/>
          <w:szCs w:val="16"/>
        </w:rPr>
        <w:t xml:space="preserve"> </w:t>
      </w:r>
      <w:r w:rsidRPr="000A4779">
        <w:rPr>
          <w:rFonts w:ascii="Arial" w:hAnsi="Arial" w:cs="Arial"/>
          <w:i/>
          <w:iCs/>
          <w:sz w:val="16"/>
          <w:szCs w:val="16"/>
        </w:rPr>
        <w:t>http://www.ine.mx/archivos2/portal/PartidosPoliticos/Fiscalizacion_y_rendicion_de_cuentas/calendariosFiscalizacion/MEX.html</w:t>
      </w:r>
    </w:p>
    <w:p w:rsidR="000A4779" w:rsidRDefault="000A4779" w:rsidP="000A4779">
      <w:pPr>
        <w:spacing w:line="360" w:lineRule="auto"/>
        <w:jc w:val="both"/>
        <w:rPr>
          <w:rFonts w:ascii="Arial" w:hAnsi="Arial" w:cs="Arial"/>
          <w:sz w:val="24"/>
          <w:szCs w:val="24"/>
        </w:rPr>
      </w:pPr>
    </w:p>
    <w:p w:rsidR="00A256AB" w:rsidRPr="00A85D78" w:rsidRDefault="00A256AB" w:rsidP="000A4779">
      <w:pPr>
        <w:spacing w:line="360" w:lineRule="auto"/>
        <w:jc w:val="both"/>
        <w:rPr>
          <w:rFonts w:ascii="Arial" w:hAnsi="Arial" w:cs="Arial"/>
          <w:sz w:val="24"/>
          <w:szCs w:val="24"/>
        </w:rPr>
      </w:pPr>
      <w:r w:rsidRPr="00A85D78">
        <w:rPr>
          <w:rFonts w:ascii="Arial" w:hAnsi="Arial" w:cs="Arial"/>
          <w:sz w:val="24"/>
          <w:szCs w:val="24"/>
        </w:rPr>
        <w:lastRenderedPageBreak/>
        <w:t>De la revisión de los informes de precampaña y campaña se desprendieron 40 conductas sancionables 19 faltas formales y 21 faltas sustanciales</w:t>
      </w:r>
      <w:r w:rsidRPr="000A4779">
        <w:footnoteReference w:id="25"/>
      </w:r>
      <w:r w:rsidRPr="00A85D78">
        <w:rPr>
          <w:rFonts w:ascii="Arial" w:hAnsi="Arial" w:cs="Arial"/>
          <w:sz w:val="24"/>
          <w:szCs w:val="24"/>
        </w:rPr>
        <w:t xml:space="preserve">, las faltas formales fueron calificadas como “leves”, a pesar de que se sancionaron 19 las multas arrojadas en conjunto por estas faltas sumaron apenas $13,319.00; lo cual implica que las faltas sustanciales son las que absorben la mayor parte de las sanciones económicas. Estas quedan descritas en la tabla </w:t>
      </w:r>
      <w:r w:rsidR="002D2D1E" w:rsidRPr="00A85D78">
        <w:rPr>
          <w:rFonts w:ascii="Arial" w:hAnsi="Arial" w:cs="Arial"/>
          <w:sz w:val="24"/>
          <w:szCs w:val="24"/>
        </w:rPr>
        <w:t>4.15.</w:t>
      </w:r>
    </w:p>
    <w:p w:rsidR="00A256AB" w:rsidRPr="00A85D78" w:rsidRDefault="00A256AB" w:rsidP="00A256AB">
      <w:pPr>
        <w:jc w:val="both"/>
        <w:rPr>
          <w:rFonts w:ascii="Arial" w:hAnsi="Arial" w:cs="Arial"/>
          <w:sz w:val="24"/>
          <w:szCs w:val="24"/>
        </w:rPr>
      </w:pPr>
    </w:p>
    <w:p w:rsidR="00A256AB" w:rsidRDefault="00A256AB" w:rsidP="002D2D1E">
      <w:pPr>
        <w:tabs>
          <w:tab w:val="left" w:pos="5070"/>
        </w:tabs>
        <w:jc w:val="both"/>
        <w:rPr>
          <w:rStyle w:val="Ttulodellibro"/>
          <w:rFonts w:ascii="Arial" w:hAnsi="Arial" w:cs="Arial"/>
          <w:b/>
          <w:i/>
          <w:color w:val="auto"/>
          <w:sz w:val="20"/>
          <w:szCs w:val="20"/>
        </w:rPr>
      </w:pPr>
      <w:r w:rsidRPr="002D2D1E">
        <w:rPr>
          <w:rStyle w:val="Ttulodellibro"/>
          <w:rFonts w:ascii="Arial" w:hAnsi="Arial" w:cs="Arial"/>
          <w:b/>
          <w:i/>
          <w:color w:val="auto"/>
          <w:sz w:val="20"/>
          <w:szCs w:val="20"/>
        </w:rPr>
        <w:t>Tabla 4.15 Faltas Formales detectadas del proceso de fiscalización de precampaña 2015</w:t>
      </w:r>
      <w:r w:rsidR="002D2D1E" w:rsidRPr="002D2D1E">
        <w:rPr>
          <w:rStyle w:val="Ttulodellibro"/>
          <w:rFonts w:ascii="Arial" w:hAnsi="Arial" w:cs="Arial"/>
          <w:b/>
          <w:i/>
          <w:color w:val="auto"/>
          <w:sz w:val="20"/>
          <w:szCs w:val="20"/>
        </w:rPr>
        <w:t>.</w:t>
      </w:r>
    </w:p>
    <w:p w:rsidR="0050679F" w:rsidRPr="002D2D1E" w:rsidRDefault="0050679F" w:rsidP="002D2D1E">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1026"/>
        <w:gridCol w:w="1016"/>
        <w:gridCol w:w="1741"/>
        <w:gridCol w:w="1470"/>
        <w:gridCol w:w="1101"/>
        <w:gridCol w:w="2140"/>
      </w:tblGrid>
      <w:tr w:rsidR="00A256AB" w:rsidRPr="00A85D78" w:rsidTr="0033350E">
        <w:tc>
          <w:tcPr>
            <w:tcW w:w="5000" w:type="pct"/>
            <w:gridSpan w:val="6"/>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FALTAS FORMALES DIPUTADOS LOCALES</w:t>
            </w:r>
          </w:p>
        </w:tc>
      </w:tr>
      <w:tr w:rsidR="00A256AB" w:rsidRPr="00A85D78" w:rsidTr="0033350E">
        <w:tc>
          <w:tcPr>
            <w:tcW w:w="583"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PARTIDO</w:t>
            </w:r>
          </w:p>
        </w:tc>
        <w:tc>
          <w:tcPr>
            <w:tcW w:w="528"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NÚMERO</w:t>
            </w:r>
          </w:p>
        </w:tc>
        <w:tc>
          <w:tcPr>
            <w:tcW w:w="1048"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CALIFICACI</w:t>
            </w:r>
            <w:r w:rsidR="0033350E">
              <w:rPr>
                <w:rFonts w:ascii="Arial" w:hAnsi="Arial" w:cs="Arial"/>
                <w:b/>
                <w:sz w:val="18"/>
                <w:szCs w:val="18"/>
                <w:lang w:val="es-ES_tradnl"/>
              </w:rPr>
              <w:t>Ó</w:t>
            </w:r>
            <w:r w:rsidRPr="00A85D78">
              <w:rPr>
                <w:rFonts w:ascii="Arial" w:hAnsi="Arial" w:cs="Arial"/>
                <w:b/>
                <w:sz w:val="18"/>
                <w:szCs w:val="18"/>
                <w:lang w:val="es-ES_tradnl"/>
              </w:rPr>
              <w:t>N</w:t>
            </w:r>
          </w:p>
        </w:tc>
        <w:tc>
          <w:tcPr>
            <w:tcW w:w="888"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SANCI</w:t>
            </w:r>
            <w:r w:rsidR="0033350E">
              <w:rPr>
                <w:rFonts w:ascii="Arial" w:hAnsi="Arial" w:cs="Arial"/>
                <w:b/>
                <w:sz w:val="18"/>
                <w:szCs w:val="18"/>
                <w:lang w:val="es-ES_tradnl"/>
              </w:rPr>
              <w:t>Ó</w:t>
            </w:r>
            <w:r w:rsidRPr="00A85D78">
              <w:rPr>
                <w:rFonts w:ascii="Arial" w:hAnsi="Arial" w:cs="Arial"/>
                <w:b/>
                <w:sz w:val="18"/>
                <w:szCs w:val="18"/>
                <w:lang w:val="es-ES_tradnl"/>
              </w:rPr>
              <w:t>N (DSM)</w:t>
            </w:r>
          </w:p>
        </w:tc>
        <w:tc>
          <w:tcPr>
            <w:tcW w:w="671"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MULTA</w:t>
            </w:r>
          </w:p>
        </w:tc>
        <w:tc>
          <w:tcPr>
            <w:tcW w:w="1282" w:type="pct"/>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LEGIPE</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PAN</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$701.00</w:t>
            </w:r>
          </w:p>
        </w:tc>
        <w:tc>
          <w:tcPr>
            <w:tcW w:w="1282" w:type="pct"/>
            <w:vAlign w:val="center"/>
          </w:tcPr>
          <w:p w:rsidR="00A256AB" w:rsidRPr="0033350E" w:rsidRDefault="00A256AB" w:rsidP="0033350E">
            <w:pP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PRD</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6</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60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$4,206.00</w:t>
            </w:r>
          </w:p>
        </w:tc>
        <w:tc>
          <w:tcPr>
            <w:tcW w:w="1282" w:type="pct"/>
            <w:vAlign w:val="center"/>
          </w:tcPr>
          <w:p w:rsidR="00A256AB" w:rsidRPr="0033350E" w:rsidRDefault="00A256AB" w:rsidP="0033350E">
            <w:pPr>
              <w:jc w:val="center"/>
              <w:rPr>
                <w:rFonts w:ascii="Arial" w:hAnsi="Arial" w:cs="Arial"/>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MC</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$701.00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PH</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$701.00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PES</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$701.00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A85D78" w:rsidTr="0033350E">
        <w:tc>
          <w:tcPr>
            <w:tcW w:w="1" w:type="pct"/>
            <w:gridSpan w:val="6"/>
            <w:shd w:val="clear" w:color="auto" w:fill="FBE4D5" w:themeFill="accent2" w:themeFillTint="33"/>
            <w:vAlign w:val="center"/>
          </w:tcPr>
          <w:p w:rsidR="00A256AB" w:rsidRPr="00A85D78" w:rsidRDefault="00A256AB" w:rsidP="0033350E">
            <w:pPr>
              <w:jc w:val="center"/>
              <w:rPr>
                <w:rFonts w:ascii="Arial" w:hAnsi="Arial" w:cs="Arial"/>
                <w:b/>
                <w:sz w:val="18"/>
                <w:szCs w:val="18"/>
                <w:lang w:val="es-ES_tradnl"/>
              </w:rPr>
            </w:pPr>
            <w:r w:rsidRPr="00A85D78">
              <w:rPr>
                <w:rFonts w:ascii="Arial" w:hAnsi="Arial" w:cs="Arial"/>
                <w:b/>
                <w:sz w:val="18"/>
                <w:szCs w:val="18"/>
                <w:lang w:val="es-ES_tradnl"/>
              </w:rPr>
              <w:t>FALTAS FORMALES AYUNTAMIENTOS</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PRD</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5</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50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$3,505.00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xml:space="preserve">. </w:t>
            </w:r>
            <w:r w:rsidR="00600C69" w:rsidRPr="0033350E">
              <w:rPr>
                <w:rFonts w:ascii="Arial" w:hAnsi="Arial" w:cs="Arial"/>
                <w:sz w:val="18"/>
                <w:szCs w:val="18"/>
                <w:lang w:val="en-US"/>
              </w:rPr>
              <w:t>456 N</w:t>
            </w:r>
            <w:r w:rsidRPr="0033350E">
              <w:rPr>
                <w:rFonts w:ascii="Arial" w:hAnsi="Arial" w:cs="Arial"/>
                <w:sz w:val="18"/>
                <w:szCs w:val="18"/>
                <w:lang w:val="en-US"/>
              </w:rPr>
              <w:t>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MC</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3</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30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$2,103.00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r w:rsidR="00A256AB" w:rsidRPr="000F71DB" w:rsidTr="0033350E">
        <w:tc>
          <w:tcPr>
            <w:tcW w:w="583"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PES</w:t>
            </w:r>
          </w:p>
        </w:tc>
        <w:tc>
          <w:tcPr>
            <w:tcW w:w="52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w:t>
            </w:r>
          </w:p>
        </w:tc>
        <w:tc>
          <w:tcPr>
            <w:tcW w:w="104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LEVE</w:t>
            </w:r>
          </w:p>
        </w:tc>
        <w:tc>
          <w:tcPr>
            <w:tcW w:w="888"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10</w:t>
            </w:r>
          </w:p>
        </w:tc>
        <w:tc>
          <w:tcPr>
            <w:tcW w:w="671" w:type="pct"/>
            <w:vAlign w:val="center"/>
          </w:tcPr>
          <w:p w:rsidR="00A256AB" w:rsidRPr="00A85D78" w:rsidRDefault="00A256AB" w:rsidP="0033350E">
            <w:pPr>
              <w:jc w:val="center"/>
              <w:rPr>
                <w:rFonts w:ascii="Arial" w:hAnsi="Arial" w:cs="Arial"/>
                <w:sz w:val="18"/>
                <w:szCs w:val="18"/>
                <w:lang w:val="es-ES_tradnl"/>
              </w:rPr>
            </w:pPr>
            <w:r w:rsidRPr="00A85D78">
              <w:rPr>
                <w:rFonts w:ascii="Arial" w:hAnsi="Arial" w:cs="Arial"/>
                <w:sz w:val="18"/>
                <w:szCs w:val="18"/>
                <w:lang w:val="es-ES_tradnl"/>
              </w:rPr>
              <w:t>$701.00</w:t>
            </w:r>
          </w:p>
        </w:tc>
        <w:tc>
          <w:tcPr>
            <w:tcW w:w="1282" w:type="pct"/>
            <w:vAlign w:val="center"/>
          </w:tcPr>
          <w:p w:rsidR="00A256AB" w:rsidRPr="0033350E" w:rsidRDefault="00A256AB" w:rsidP="0033350E">
            <w:pPr>
              <w:jc w:val="center"/>
              <w:rPr>
                <w:rFonts w:ascii="Arial" w:hAnsi="Arial" w:cs="Arial"/>
                <w:sz w:val="18"/>
                <w:szCs w:val="18"/>
                <w:lang w:val="en-US"/>
              </w:rPr>
            </w:pPr>
            <w:r w:rsidRPr="0033350E">
              <w:rPr>
                <w:rFonts w:ascii="Arial" w:hAnsi="Arial" w:cs="Arial"/>
                <w:sz w:val="18"/>
                <w:szCs w:val="18"/>
                <w:lang w:val="en-US"/>
              </w:rPr>
              <w:t>A</w:t>
            </w:r>
            <w:r w:rsidR="0033350E">
              <w:rPr>
                <w:rFonts w:ascii="Arial" w:hAnsi="Arial" w:cs="Arial"/>
                <w:sz w:val="18"/>
                <w:szCs w:val="18"/>
                <w:lang w:val="en-US"/>
              </w:rPr>
              <w:t>rt</w:t>
            </w:r>
            <w:r w:rsidRPr="0033350E">
              <w:rPr>
                <w:rFonts w:ascii="Arial" w:hAnsi="Arial" w:cs="Arial"/>
                <w:sz w:val="18"/>
                <w:szCs w:val="18"/>
                <w:lang w:val="en-US"/>
              </w:rPr>
              <w:t>. 456 N1 A) F</w:t>
            </w:r>
            <w:r w:rsidR="0033350E">
              <w:rPr>
                <w:rFonts w:ascii="Arial" w:hAnsi="Arial" w:cs="Arial"/>
                <w:sz w:val="18"/>
                <w:szCs w:val="18"/>
                <w:lang w:val="en-US"/>
              </w:rPr>
              <w:t>racc.</w:t>
            </w:r>
            <w:r w:rsidRPr="0033350E">
              <w:rPr>
                <w:rFonts w:ascii="Arial" w:hAnsi="Arial" w:cs="Arial"/>
                <w:sz w:val="18"/>
                <w:szCs w:val="18"/>
                <w:lang w:val="en-US"/>
              </w:rPr>
              <w:t xml:space="preserve"> II</w:t>
            </w:r>
          </w:p>
        </w:tc>
      </w:tr>
    </w:tbl>
    <w:p w:rsidR="00A256AB" w:rsidRPr="0050679F" w:rsidRDefault="00A256AB" w:rsidP="00A256AB">
      <w:pPr>
        <w:rPr>
          <w:rFonts w:ascii="Arial" w:hAnsi="Arial" w:cs="Arial"/>
          <w:i/>
          <w:iCs/>
          <w:sz w:val="16"/>
          <w:szCs w:val="16"/>
        </w:rPr>
      </w:pPr>
      <w:r w:rsidRPr="0050679F">
        <w:rPr>
          <w:rFonts w:ascii="Arial" w:hAnsi="Arial" w:cs="Arial"/>
          <w:b/>
          <w:bCs/>
          <w:i/>
          <w:iCs/>
          <w:sz w:val="16"/>
          <w:szCs w:val="16"/>
        </w:rPr>
        <w:t>Fuente:</w:t>
      </w:r>
      <w:r w:rsidRPr="0050679F">
        <w:rPr>
          <w:rFonts w:ascii="Arial" w:hAnsi="Arial" w:cs="Arial"/>
          <w:i/>
          <w:iCs/>
          <w:sz w:val="16"/>
          <w:szCs w:val="16"/>
        </w:rPr>
        <w:t xml:space="preserve"> Elaboración propia en base al acuerdo INE/CG485/2015</w:t>
      </w:r>
      <w:r w:rsidR="0050679F" w:rsidRPr="0050679F">
        <w:rPr>
          <w:rFonts w:ascii="Arial" w:hAnsi="Arial" w:cs="Arial"/>
          <w:i/>
          <w:iCs/>
          <w:sz w:val="16"/>
          <w:szCs w:val="16"/>
        </w:rPr>
        <w:t xml:space="preserve">. </w:t>
      </w:r>
      <w:r w:rsidRPr="0050679F">
        <w:rPr>
          <w:rFonts w:ascii="Arial" w:hAnsi="Arial" w:cs="Arial"/>
          <w:i/>
          <w:iCs/>
          <w:sz w:val="16"/>
          <w:szCs w:val="16"/>
        </w:rPr>
        <w:t xml:space="preserve">                                                                                                       LEGIPE: Ley General de Instituciones y Procedimientos Electorales.</w:t>
      </w:r>
    </w:p>
    <w:p w:rsidR="002D2D1E" w:rsidRDefault="002D2D1E" w:rsidP="002D2D1E">
      <w:pPr>
        <w:spacing w:line="360" w:lineRule="auto"/>
        <w:jc w:val="both"/>
        <w:rPr>
          <w:rFonts w:ascii="Arial" w:hAnsi="Arial" w:cs="Arial"/>
          <w:sz w:val="24"/>
          <w:szCs w:val="24"/>
        </w:rPr>
      </w:pPr>
    </w:p>
    <w:p w:rsidR="00A256AB" w:rsidRDefault="00A256AB" w:rsidP="002D2D1E">
      <w:pPr>
        <w:spacing w:line="360" w:lineRule="auto"/>
        <w:jc w:val="both"/>
        <w:rPr>
          <w:rFonts w:ascii="Arial" w:hAnsi="Arial" w:cs="Arial"/>
          <w:sz w:val="24"/>
          <w:szCs w:val="24"/>
        </w:rPr>
      </w:pPr>
      <w:r w:rsidRPr="00A85D78">
        <w:rPr>
          <w:rFonts w:ascii="Arial" w:hAnsi="Arial" w:cs="Arial"/>
          <w:sz w:val="24"/>
          <w:szCs w:val="24"/>
        </w:rPr>
        <w:t xml:space="preserve">Por lo que respecta a las faltas formales, no se presenta una variación notable, en comparación con los resultados que la Unidad Técnica de Fiscalización del IEEM, venía arrojando;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diferencia notable se presenta en las conductas infractoras calificadas como sustanciales, en la Tabla 4.16 se plasman las 17 sanciones identificadas en precampaña por la UTF del INE.</w:t>
      </w:r>
    </w:p>
    <w:p w:rsidR="002D2D1E" w:rsidRPr="00A85D78" w:rsidRDefault="002D2D1E" w:rsidP="002D2D1E">
      <w:pPr>
        <w:spacing w:line="360" w:lineRule="auto"/>
        <w:jc w:val="both"/>
        <w:rPr>
          <w:rFonts w:ascii="Arial" w:hAnsi="Arial" w:cs="Arial"/>
          <w:sz w:val="24"/>
          <w:szCs w:val="24"/>
        </w:rPr>
      </w:pPr>
    </w:p>
    <w:p w:rsidR="00A256AB" w:rsidRPr="0050679F" w:rsidRDefault="00A256AB" w:rsidP="0050679F">
      <w:pPr>
        <w:tabs>
          <w:tab w:val="left" w:pos="5070"/>
        </w:tabs>
        <w:jc w:val="both"/>
        <w:rPr>
          <w:rStyle w:val="Ttulodellibro"/>
          <w:rFonts w:ascii="Arial" w:hAnsi="Arial" w:cs="Arial"/>
          <w:b/>
          <w:i/>
          <w:color w:val="auto"/>
          <w:sz w:val="20"/>
          <w:szCs w:val="20"/>
        </w:rPr>
      </w:pPr>
      <w:r w:rsidRPr="0050679F">
        <w:rPr>
          <w:rStyle w:val="Ttulodellibro"/>
          <w:rFonts w:ascii="Arial" w:hAnsi="Arial" w:cs="Arial"/>
          <w:b/>
          <w:i/>
          <w:color w:val="auto"/>
          <w:sz w:val="20"/>
          <w:szCs w:val="20"/>
        </w:rPr>
        <w:t>Tabla 4.16 Faltas Sustanciales detectadas del proceso de fiscalización de precampaña 2015</w:t>
      </w:r>
      <w:r w:rsidR="0050679F" w:rsidRPr="0050679F">
        <w:rPr>
          <w:rStyle w:val="Ttulodellibro"/>
          <w:rFonts w:ascii="Arial" w:hAnsi="Arial" w:cs="Arial"/>
          <w:b/>
          <w:i/>
          <w:color w:val="auto"/>
          <w:sz w:val="20"/>
          <w:szCs w:val="20"/>
        </w:rPr>
        <w:t>.</w:t>
      </w:r>
    </w:p>
    <w:p w:rsidR="0050679F" w:rsidRPr="0050679F" w:rsidRDefault="0050679F" w:rsidP="0050679F">
      <w:pPr>
        <w:tabs>
          <w:tab w:val="left" w:pos="5070"/>
        </w:tabs>
        <w:jc w:val="both"/>
        <w:rPr>
          <w:rStyle w:val="Ttulodellibro"/>
          <w:b/>
          <w:i/>
          <w:color w:val="auto"/>
          <w:sz w:val="20"/>
          <w:szCs w:val="20"/>
        </w:rPr>
      </w:pPr>
    </w:p>
    <w:tbl>
      <w:tblPr>
        <w:tblStyle w:val="Tablaconcuadrcula"/>
        <w:tblW w:w="5000" w:type="pct"/>
        <w:tblLayout w:type="fixed"/>
        <w:tblLook w:val="04A0" w:firstRow="1" w:lastRow="0" w:firstColumn="1" w:lastColumn="0" w:noHBand="0" w:noVBand="1"/>
      </w:tblPr>
      <w:tblGrid>
        <w:gridCol w:w="1131"/>
        <w:gridCol w:w="853"/>
        <w:gridCol w:w="2130"/>
        <w:gridCol w:w="1554"/>
        <w:gridCol w:w="1418"/>
        <w:gridCol w:w="1408"/>
      </w:tblGrid>
      <w:tr w:rsidR="00A256AB" w:rsidRPr="0050679F" w:rsidTr="0050679F">
        <w:tc>
          <w:tcPr>
            <w:tcW w:w="5000" w:type="pct"/>
            <w:gridSpan w:val="6"/>
            <w:shd w:val="clear" w:color="auto" w:fill="FBE4D5" w:themeFill="accent2" w:themeFillTint="33"/>
            <w:vAlign w:val="center"/>
          </w:tcPr>
          <w:p w:rsidR="00A256AB" w:rsidRPr="0050679F" w:rsidRDefault="00A256AB" w:rsidP="0033350E">
            <w:pPr>
              <w:jc w:val="center"/>
              <w:rPr>
                <w:rFonts w:ascii="Arial" w:hAnsi="Arial" w:cs="Arial"/>
                <w:b/>
                <w:sz w:val="18"/>
                <w:szCs w:val="18"/>
                <w:lang w:val="es-ES_tradnl"/>
              </w:rPr>
            </w:pPr>
            <w:r w:rsidRPr="0050679F">
              <w:rPr>
                <w:rFonts w:ascii="Arial" w:hAnsi="Arial" w:cs="Arial"/>
                <w:b/>
                <w:sz w:val="18"/>
                <w:szCs w:val="18"/>
                <w:lang w:val="es-ES_tradnl"/>
              </w:rPr>
              <w:t>FALTAS SUSTANCIALES DIPUTADOS LOCALES</w:t>
            </w:r>
          </w:p>
        </w:tc>
      </w:tr>
      <w:tr w:rsidR="0050679F" w:rsidRPr="0050679F" w:rsidTr="0050679F">
        <w:tc>
          <w:tcPr>
            <w:tcW w:w="665"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PARTIDO</w:t>
            </w:r>
          </w:p>
        </w:tc>
        <w:tc>
          <w:tcPr>
            <w:tcW w:w="502"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NÚMERO</w:t>
            </w:r>
          </w:p>
        </w:tc>
        <w:tc>
          <w:tcPr>
            <w:tcW w:w="1254"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CALIFICACI</w:t>
            </w:r>
            <w:r w:rsidR="0033350E" w:rsidRPr="0050679F">
              <w:rPr>
                <w:rFonts w:ascii="Arial" w:hAnsi="Arial" w:cs="Arial"/>
                <w:b/>
                <w:sz w:val="16"/>
                <w:szCs w:val="16"/>
                <w:lang w:val="es-ES_tradnl"/>
              </w:rPr>
              <w:t>Ó</w:t>
            </w:r>
            <w:r w:rsidRPr="0050679F">
              <w:rPr>
                <w:rFonts w:ascii="Arial" w:hAnsi="Arial" w:cs="Arial"/>
                <w:b/>
                <w:sz w:val="16"/>
                <w:szCs w:val="16"/>
                <w:lang w:val="es-ES_tradnl"/>
              </w:rPr>
              <w:t>N</w:t>
            </w:r>
          </w:p>
        </w:tc>
        <w:tc>
          <w:tcPr>
            <w:tcW w:w="915"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SANCI</w:t>
            </w:r>
            <w:r w:rsidR="0033350E" w:rsidRPr="0050679F">
              <w:rPr>
                <w:rFonts w:ascii="Arial" w:hAnsi="Arial" w:cs="Arial"/>
                <w:b/>
                <w:sz w:val="16"/>
                <w:szCs w:val="16"/>
                <w:lang w:val="es-ES_tradnl"/>
              </w:rPr>
              <w:t>Ó</w:t>
            </w:r>
            <w:r w:rsidRPr="0050679F">
              <w:rPr>
                <w:rFonts w:ascii="Arial" w:hAnsi="Arial" w:cs="Arial"/>
                <w:b/>
                <w:sz w:val="16"/>
                <w:szCs w:val="16"/>
                <w:lang w:val="es-ES_tradnl"/>
              </w:rPr>
              <w:t>N (DSM)</w:t>
            </w:r>
          </w:p>
        </w:tc>
        <w:tc>
          <w:tcPr>
            <w:tcW w:w="835"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MULTA</w:t>
            </w:r>
          </w:p>
        </w:tc>
        <w:tc>
          <w:tcPr>
            <w:tcW w:w="830" w:type="pct"/>
            <w:shd w:val="clear" w:color="auto" w:fill="FBE4D5" w:themeFill="accent2" w:themeFillTint="33"/>
            <w:vAlign w:val="center"/>
          </w:tcPr>
          <w:p w:rsidR="00A256AB" w:rsidRPr="0050679F" w:rsidRDefault="00A256AB" w:rsidP="0033350E">
            <w:pPr>
              <w:jc w:val="center"/>
              <w:rPr>
                <w:rFonts w:ascii="Arial" w:hAnsi="Arial" w:cs="Arial"/>
                <w:b/>
                <w:sz w:val="16"/>
                <w:szCs w:val="16"/>
                <w:lang w:val="es-ES_tradnl"/>
              </w:rPr>
            </w:pPr>
            <w:r w:rsidRPr="0050679F">
              <w:rPr>
                <w:rFonts w:ascii="Arial" w:hAnsi="Arial" w:cs="Arial"/>
                <w:b/>
                <w:sz w:val="16"/>
                <w:szCs w:val="16"/>
                <w:lang w:val="es-ES_tradnl"/>
              </w:rPr>
              <w:t>LEGIPE</w:t>
            </w:r>
          </w:p>
        </w:tc>
      </w:tr>
      <w:tr w:rsidR="0050679F" w:rsidRPr="0050679F" w:rsidTr="0050679F">
        <w:tc>
          <w:tcPr>
            <w:tcW w:w="66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PRD</w:t>
            </w:r>
          </w:p>
        </w:tc>
        <w:tc>
          <w:tcPr>
            <w:tcW w:w="502"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w:t>
            </w:r>
          </w:p>
        </w:tc>
        <w:tc>
          <w:tcPr>
            <w:tcW w:w="1254"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 GRAVE ESPECIAL</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 GRAVE ORDINARIA</w:t>
            </w:r>
          </w:p>
        </w:tc>
        <w:tc>
          <w:tcPr>
            <w:tcW w:w="91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1.94</w:t>
            </w:r>
            <w:r w:rsidR="00600C69" w:rsidRPr="0050679F">
              <w:rPr>
                <w:rFonts w:ascii="Arial" w:hAnsi="Arial" w:cs="Arial"/>
                <w:sz w:val="18"/>
                <w:szCs w:val="18"/>
                <w:lang w:val="es-ES_tradnl"/>
              </w:rPr>
              <w:t>% FPSAOP</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3.75% FPSAOP</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9876 DSM*</w:t>
            </w:r>
          </w:p>
        </w:tc>
        <w:tc>
          <w:tcPr>
            <w:tcW w:w="83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$3,685,467.65</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$7,125,013.10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$692,307.60</w:t>
            </w:r>
          </w:p>
        </w:tc>
        <w:tc>
          <w:tcPr>
            <w:tcW w:w="830"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tc>
      </w:tr>
      <w:tr w:rsidR="0050679F" w:rsidRPr="0050679F" w:rsidTr="0050679F">
        <w:tc>
          <w:tcPr>
            <w:tcW w:w="66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MC</w:t>
            </w:r>
          </w:p>
        </w:tc>
        <w:tc>
          <w:tcPr>
            <w:tcW w:w="502"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w:t>
            </w:r>
          </w:p>
        </w:tc>
        <w:tc>
          <w:tcPr>
            <w:tcW w:w="1254"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 GRAVE ORDINARIA</w:t>
            </w:r>
          </w:p>
        </w:tc>
        <w:tc>
          <w:tcPr>
            <w:tcW w:w="91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1.35% FPSAOP</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85 DSM*</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93 DSM*</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239 DSM*</w:t>
            </w:r>
          </w:p>
        </w:tc>
        <w:tc>
          <w:tcPr>
            <w:tcW w:w="83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$876,951.00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$5,958.50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$6,519.30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$16,753.90</w:t>
            </w:r>
          </w:p>
        </w:tc>
        <w:tc>
          <w:tcPr>
            <w:tcW w:w="830"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 xml:space="preserve">rt. </w:t>
            </w:r>
            <w:r w:rsidRPr="0050679F">
              <w:rPr>
                <w:rFonts w:ascii="Arial" w:hAnsi="Arial" w:cs="Arial"/>
                <w:sz w:val="18"/>
                <w:szCs w:val="18"/>
                <w:lang w:val="en-US"/>
              </w:rPr>
              <w:t>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lastRenderedPageBreak/>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tc>
      </w:tr>
      <w:tr w:rsidR="00A256AB" w:rsidRPr="0050679F" w:rsidTr="0050679F">
        <w:tc>
          <w:tcPr>
            <w:tcW w:w="5000" w:type="pct"/>
            <w:gridSpan w:val="6"/>
            <w:shd w:val="clear" w:color="auto" w:fill="FBE4D5" w:themeFill="accent2" w:themeFillTint="33"/>
            <w:vAlign w:val="center"/>
          </w:tcPr>
          <w:p w:rsidR="00A256AB" w:rsidRPr="0050679F" w:rsidRDefault="00A256AB" w:rsidP="0033350E">
            <w:pPr>
              <w:jc w:val="center"/>
              <w:rPr>
                <w:rFonts w:ascii="Arial" w:hAnsi="Arial" w:cs="Arial"/>
                <w:b/>
                <w:sz w:val="18"/>
                <w:szCs w:val="18"/>
                <w:lang w:val="es-ES_tradnl"/>
              </w:rPr>
            </w:pPr>
            <w:r w:rsidRPr="0050679F">
              <w:rPr>
                <w:rFonts w:ascii="Arial" w:hAnsi="Arial" w:cs="Arial"/>
                <w:b/>
                <w:sz w:val="18"/>
                <w:szCs w:val="18"/>
                <w:lang w:val="es-ES_tradnl"/>
              </w:rPr>
              <w:t>FALTAS SUSTANCIALES AYUNTAMIENTOS</w:t>
            </w:r>
          </w:p>
        </w:tc>
      </w:tr>
      <w:tr w:rsidR="0050679F" w:rsidRPr="0050679F" w:rsidTr="0050679F">
        <w:tc>
          <w:tcPr>
            <w:tcW w:w="66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PRD</w:t>
            </w:r>
          </w:p>
        </w:tc>
        <w:tc>
          <w:tcPr>
            <w:tcW w:w="502"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5</w:t>
            </w:r>
          </w:p>
        </w:tc>
        <w:tc>
          <w:tcPr>
            <w:tcW w:w="1254"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 GRAVE ESPECIAL</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 GRAVE ORDINARIO</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5 GRAVE ORDINARIA</w:t>
            </w:r>
          </w:p>
        </w:tc>
        <w:tc>
          <w:tcPr>
            <w:tcW w:w="915"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0.72% FPSAOP</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1.80% FPSAOP</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7745 DSM*</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57 DSM*</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2271 DSM*</w:t>
            </w:r>
          </w:p>
        </w:tc>
        <w:tc>
          <w:tcPr>
            <w:tcW w:w="83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$1,371,823.79</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$3,395,602.15</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$542,924.50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$3,995.70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$159,197.10</w:t>
            </w:r>
          </w:p>
        </w:tc>
        <w:tc>
          <w:tcPr>
            <w:tcW w:w="830"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tc>
      </w:tr>
      <w:tr w:rsidR="0050679F" w:rsidRPr="0050679F" w:rsidTr="0050679F">
        <w:tc>
          <w:tcPr>
            <w:tcW w:w="66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MC</w:t>
            </w:r>
          </w:p>
        </w:tc>
        <w:tc>
          <w:tcPr>
            <w:tcW w:w="502"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w:t>
            </w:r>
          </w:p>
        </w:tc>
        <w:tc>
          <w:tcPr>
            <w:tcW w:w="1254"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 GRAVE ESPECIAL</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3 GRAVE ORDINARIA</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 GRAVE ORDINARIA</w:t>
            </w:r>
          </w:p>
        </w:tc>
        <w:tc>
          <w:tcPr>
            <w:tcW w:w="91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1.14% FPSAOP</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183 DSM</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412 DSM*</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222 DSM*</w:t>
            </w:r>
          </w:p>
        </w:tc>
        <w:tc>
          <w:tcPr>
            <w:tcW w:w="83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$737,335.98</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$12,828.30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$28,881.20</w:t>
            </w:r>
          </w:p>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$15,562.20</w:t>
            </w:r>
          </w:p>
        </w:tc>
        <w:tc>
          <w:tcPr>
            <w:tcW w:w="830"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tc>
      </w:tr>
      <w:tr w:rsidR="0050679F" w:rsidRPr="000F71DB" w:rsidTr="0050679F">
        <w:tc>
          <w:tcPr>
            <w:tcW w:w="66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MORENA</w:t>
            </w:r>
          </w:p>
        </w:tc>
        <w:tc>
          <w:tcPr>
            <w:tcW w:w="502"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w:t>
            </w:r>
          </w:p>
        </w:tc>
        <w:tc>
          <w:tcPr>
            <w:tcW w:w="1254"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GRAVE ORDINARIA</w:t>
            </w:r>
          </w:p>
        </w:tc>
        <w:tc>
          <w:tcPr>
            <w:tcW w:w="91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105 DSM*</w:t>
            </w:r>
          </w:p>
        </w:tc>
        <w:tc>
          <w:tcPr>
            <w:tcW w:w="835" w:type="pct"/>
            <w:vAlign w:val="center"/>
          </w:tcPr>
          <w:p w:rsidR="00A256AB" w:rsidRPr="0050679F" w:rsidRDefault="00A256AB" w:rsidP="0033350E">
            <w:pPr>
              <w:jc w:val="center"/>
              <w:rPr>
                <w:rFonts w:ascii="Arial" w:hAnsi="Arial" w:cs="Arial"/>
                <w:sz w:val="18"/>
                <w:szCs w:val="18"/>
                <w:lang w:val="es-ES_tradnl"/>
              </w:rPr>
            </w:pPr>
            <w:r w:rsidRPr="0050679F">
              <w:rPr>
                <w:rFonts w:ascii="Arial" w:hAnsi="Arial" w:cs="Arial"/>
                <w:sz w:val="18"/>
                <w:szCs w:val="18"/>
                <w:lang w:val="es-ES_tradnl"/>
              </w:rPr>
              <w:t>$7,360.50</w:t>
            </w:r>
          </w:p>
        </w:tc>
        <w:tc>
          <w:tcPr>
            <w:tcW w:w="830" w:type="pct"/>
            <w:vAlign w:val="center"/>
          </w:tcPr>
          <w:p w:rsidR="00A256AB" w:rsidRPr="0050679F" w:rsidRDefault="00A256AB" w:rsidP="0033350E">
            <w:pPr>
              <w:jc w:val="center"/>
              <w:rPr>
                <w:rFonts w:ascii="Arial" w:hAnsi="Arial" w:cs="Arial"/>
                <w:sz w:val="18"/>
                <w:szCs w:val="18"/>
                <w:lang w:val="en-US"/>
              </w:rPr>
            </w:pPr>
            <w:r w:rsidRPr="0050679F">
              <w:rPr>
                <w:rFonts w:ascii="Arial" w:hAnsi="Arial" w:cs="Arial"/>
                <w:sz w:val="18"/>
                <w:szCs w:val="18"/>
                <w:lang w:val="en-US"/>
              </w:rPr>
              <w:t>A</w:t>
            </w:r>
            <w:r w:rsidR="0033350E" w:rsidRPr="0050679F">
              <w:rPr>
                <w:rFonts w:ascii="Arial" w:hAnsi="Arial" w:cs="Arial"/>
                <w:sz w:val="18"/>
                <w:szCs w:val="18"/>
                <w:lang w:val="en-US"/>
              </w:rPr>
              <w:t>rt.</w:t>
            </w:r>
            <w:r w:rsidRPr="0050679F">
              <w:rPr>
                <w:rFonts w:ascii="Arial" w:hAnsi="Arial" w:cs="Arial"/>
                <w:sz w:val="18"/>
                <w:szCs w:val="18"/>
                <w:lang w:val="en-US"/>
              </w:rPr>
              <w:t xml:space="preserve"> 456 N1 A) F</w:t>
            </w:r>
            <w:r w:rsidR="0033350E" w:rsidRPr="0050679F">
              <w:rPr>
                <w:rFonts w:ascii="Arial" w:hAnsi="Arial" w:cs="Arial"/>
                <w:sz w:val="18"/>
                <w:szCs w:val="18"/>
                <w:lang w:val="en-US"/>
              </w:rPr>
              <w:t>racc.</w:t>
            </w:r>
            <w:r w:rsidRPr="0050679F">
              <w:rPr>
                <w:rFonts w:ascii="Arial" w:hAnsi="Arial" w:cs="Arial"/>
                <w:sz w:val="18"/>
                <w:szCs w:val="18"/>
                <w:lang w:val="en-US"/>
              </w:rPr>
              <w:t xml:space="preserve"> II</w:t>
            </w:r>
          </w:p>
        </w:tc>
      </w:tr>
    </w:tbl>
    <w:p w:rsidR="00A256AB" w:rsidRPr="00A85D78" w:rsidRDefault="00A256AB" w:rsidP="00A256AB">
      <w:pPr>
        <w:rPr>
          <w:rFonts w:ascii="Arial" w:hAnsi="Arial" w:cs="Arial"/>
          <w:sz w:val="16"/>
          <w:szCs w:val="16"/>
        </w:rPr>
      </w:pPr>
      <w:r w:rsidRPr="0050679F">
        <w:rPr>
          <w:rFonts w:ascii="Arial" w:hAnsi="Arial" w:cs="Arial"/>
          <w:b/>
          <w:bCs/>
          <w:i/>
          <w:iCs/>
          <w:sz w:val="16"/>
          <w:szCs w:val="16"/>
        </w:rPr>
        <w:t xml:space="preserve">Fuente: </w:t>
      </w:r>
      <w:r w:rsidRPr="0050679F">
        <w:rPr>
          <w:rFonts w:ascii="Arial" w:hAnsi="Arial" w:cs="Arial"/>
          <w:i/>
          <w:iCs/>
          <w:sz w:val="16"/>
          <w:szCs w:val="16"/>
        </w:rPr>
        <w:t xml:space="preserve">Elaboración propia en base al acuerdo INE/CG485/2015     </w:t>
      </w:r>
      <w:r w:rsidRPr="00A85D78">
        <w:rPr>
          <w:rFonts w:ascii="Arial" w:hAnsi="Arial" w:cs="Arial"/>
          <w:sz w:val="16"/>
          <w:szCs w:val="16"/>
        </w:rPr>
        <w:t xml:space="preserve">                                                                                                                                      FPSAOP Financiamiento Público para el Sostenimiento de Actividades Ordinarias Permanentes                                                                     LEGIPE: Ley General de Instituciones y Procedimientos Electorales.                                                                          *Sanciones impuestas además del artículo 456 de la LEGIPE, en función del recurso de apelación SUP-RAP-257/2008</w:t>
      </w:r>
      <w:r w:rsidRPr="00A85D78">
        <w:rPr>
          <w:rStyle w:val="Refdenotaalpie"/>
          <w:rFonts w:ascii="Arial" w:hAnsi="Arial" w:cs="Arial"/>
          <w:sz w:val="16"/>
          <w:szCs w:val="16"/>
        </w:rPr>
        <w:footnoteReference w:id="26"/>
      </w:r>
      <w:r w:rsidRPr="00A85D78">
        <w:rPr>
          <w:rFonts w:ascii="Arial" w:hAnsi="Arial" w:cs="Arial"/>
          <w:sz w:val="16"/>
          <w:szCs w:val="16"/>
        </w:rPr>
        <w:t xml:space="preserve"> </w:t>
      </w:r>
    </w:p>
    <w:p w:rsidR="002D2D1E" w:rsidRDefault="002D2D1E" w:rsidP="002D2D1E">
      <w:pPr>
        <w:spacing w:line="360" w:lineRule="auto"/>
        <w:jc w:val="both"/>
        <w:rPr>
          <w:rFonts w:ascii="Arial" w:hAnsi="Arial" w:cs="Arial"/>
          <w:sz w:val="24"/>
          <w:szCs w:val="24"/>
        </w:rPr>
      </w:pPr>
    </w:p>
    <w:p w:rsidR="00A256AB" w:rsidRDefault="00A256AB" w:rsidP="002D2D1E">
      <w:pPr>
        <w:spacing w:line="360" w:lineRule="auto"/>
        <w:jc w:val="both"/>
        <w:rPr>
          <w:rFonts w:ascii="Arial" w:hAnsi="Arial" w:cs="Arial"/>
          <w:sz w:val="24"/>
          <w:szCs w:val="24"/>
        </w:rPr>
      </w:pPr>
      <w:r w:rsidRPr="00A85D78">
        <w:rPr>
          <w:rFonts w:ascii="Arial" w:hAnsi="Arial" w:cs="Arial"/>
          <w:sz w:val="24"/>
          <w:szCs w:val="24"/>
        </w:rPr>
        <w:t>Las faltas sustanciales ascendieron a 17, de las cuales 3 fueron calificadas como “grave especial” y fueron las relativas a la omisión de entregar informes de precampaña por parte del PRD y MC; las 14 restantes fueron tipificadas como “graves ordinarias” y destacan entre ellas la entrega de informes de campaña fuera del plazo establecido por la ley (extemporánea); así como no presentar documentación soporte de aportaciones en especie y la omisión de reportar gastos detectados en los monitoreos realizados por la Unidad Técnica de Fiscalización.</w:t>
      </w:r>
    </w:p>
    <w:p w:rsidR="0050679F" w:rsidRPr="00A85D78" w:rsidRDefault="0050679F" w:rsidP="002D2D1E">
      <w:pPr>
        <w:spacing w:line="360" w:lineRule="auto"/>
        <w:jc w:val="both"/>
        <w:rPr>
          <w:rFonts w:ascii="Arial" w:hAnsi="Arial" w:cs="Arial"/>
          <w:sz w:val="24"/>
          <w:szCs w:val="24"/>
        </w:rPr>
      </w:pPr>
    </w:p>
    <w:p w:rsidR="00A256AB" w:rsidRPr="00A85D78" w:rsidRDefault="00A256AB" w:rsidP="002D2D1E">
      <w:pPr>
        <w:spacing w:line="360" w:lineRule="auto"/>
        <w:jc w:val="both"/>
        <w:rPr>
          <w:rFonts w:ascii="Arial" w:hAnsi="Arial" w:cs="Arial"/>
          <w:sz w:val="24"/>
          <w:szCs w:val="24"/>
        </w:rPr>
      </w:pPr>
      <w:r w:rsidRPr="00A85D78">
        <w:rPr>
          <w:rFonts w:ascii="Arial" w:hAnsi="Arial" w:cs="Arial"/>
          <w:sz w:val="24"/>
          <w:szCs w:val="24"/>
        </w:rPr>
        <w:t>Los criterios para sancionar económicamente fueron los estipulados por el artículo 456 numeral 1, inciso a) Fracciones II y III de la Ley General de Instituciones y Procedimientos Electorales, que a la letra dicen:</w:t>
      </w:r>
    </w:p>
    <w:p w:rsidR="00A256AB" w:rsidRPr="00A85D78" w:rsidRDefault="00A256AB" w:rsidP="00A256AB">
      <w:pPr>
        <w:ind w:left="284" w:right="284"/>
        <w:jc w:val="both"/>
        <w:rPr>
          <w:rFonts w:ascii="Arial" w:hAnsi="Arial" w:cs="Arial"/>
          <w:i/>
        </w:rPr>
      </w:pPr>
      <w:r w:rsidRPr="00A85D78">
        <w:rPr>
          <w:rFonts w:ascii="Arial" w:hAnsi="Arial" w:cs="Arial"/>
          <w:i/>
        </w:rPr>
        <w:t>“Artículo 456.</w:t>
      </w:r>
    </w:p>
    <w:p w:rsidR="00A256AB" w:rsidRPr="00A85D78" w:rsidRDefault="00A256AB" w:rsidP="00A256AB">
      <w:pPr>
        <w:ind w:left="284" w:right="284"/>
        <w:jc w:val="both"/>
        <w:rPr>
          <w:rFonts w:ascii="Arial" w:hAnsi="Arial" w:cs="Arial"/>
          <w:i/>
        </w:rPr>
      </w:pPr>
      <w:r w:rsidRPr="00A85D78">
        <w:rPr>
          <w:rFonts w:ascii="Arial" w:hAnsi="Arial" w:cs="Arial"/>
          <w:i/>
        </w:rPr>
        <w:t>Las infracciones señaladas en los artículos anteriores serán sancionadas conforme a lo siguiente:</w:t>
      </w:r>
    </w:p>
    <w:p w:rsidR="00A256AB" w:rsidRPr="00A85D78" w:rsidRDefault="00A256AB" w:rsidP="00A256AB">
      <w:pPr>
        <w:ind w:left="284" w:right="284"/>
        <w:jc w:val="both"/>
        <w:rPr>
          <w:rFonts w:ascii="Arial" w:hAnsi="Arial" w:cs="Arial"/>
          <w:i/>
        </w:rPr>
      </w:pPr>
      <w:r w:rsidRPr="00A85D78">
        <w:rPr>
          <w:rFonts w:ascii="Arial" w:hAnsi="Arial" w:cs="Arial"/>
          <w:i/>
        </w:rPr>
        <w:t>a)</w:t>
      </w:r>
      <w:r w:rsidRPr="00A85D78">
        <w:rPr>
          <w:rFonts w:ascii="Arial" w:hAnsi="Arial" w:cs="Arial"/>
          <w:i/>
        </w:rPr>
        <w:tab/>
        <w:t>Respecto de los partidos políticos.</w:t>
      </w:r>
    </w:p>
    <w:p w:rsidR="00A256AB" w:rsidRPr="00A85D78" w:rsidRDefault="00A256AB" w:rsidP="00A256AB">
      <w:pPr>
        <w:ind w:left="284" w:right="284"/>
        <w:jc w:val="both"/>
        <w:rPr>
          <w:rFonts w:ascii="Arial" w:hAnsi="Arial" w:cs="Arial"/>
          <w:i/>
        </w:rPr>
      </w:pPr>
      <w:r w:rsidRPr="00A85D78">
        <w:rPr>
          <w:rFonts w:ascii="Arial" w:hAnsi="Arial" w:cs="Arial"/>
          <w:i/>
        </w:rPr>
        <w:t>I.</w:t>
      </w:r>
      <w:r w:rsidRPr="00A85D78">
        <w:rPr>
          <w:rFonts w:ascii="Arial" w:hAnsi="Arial" w:cs="Arial"/>
          <w:i/>
        </w:rPr>
        <w:tab/>
        <w:t>…</w:t>
      </w:r>
    </w:p>
    <w:p w:rsidR="00A256AB" w:rsidRPr="00A85D78" w:rsidRDefault="00A256AB" w:rsidP="00A256AB">
      <w:pPr>
        <w:ind w:left="284" w:right="284"/>
        <w:jc w:val="both"/>
        <w:rPr>
          <w:rFonts w:ascii="Arial" w:hAnsi="Arial" w:cs="Arial"/>
          <w:i/>
        </w:rPr>
      </w:pPr>
      <w:r w:rsidRPr="00A85D78">
        <w:rPr>
          <w:rFonts w:ascii="Arial" w:hAnsi="Arial" w:cs="Arial"/>
          <w:i/>
        </w:rPr>
        <w:lastRenderedPageBreak/>
        <w:t>II.</w:t>
      </w:r>
      <w:r w:rsidRPr="00A85D78">
        <w:rPr>
          <w:rFonts w:ascii="Arial" w:hAnsi="Arial" w:cs="Arial"/>
          <w:i/>
        </w:rPr>
        <w:tab/>
        <w:t>Con multa de hasta diez mil días de salario mínimo general vigente para el Distrito Federal, según la gravedad de la falta. En los casos de infracción a lo dispuesto en materia de topes a los gastos de campaña, o a los límites aplicables en materia de donativos o aportaciones de simpatizantes, o de los candidatos para sus propias campañas, con un tanto igual al del monto ejercido en exceso. En caso de reincidencia, la sanción será de hasta el doble de lo anterior.</w:t>
      </w:r>
    </w:p>
    <w:p w:rsidR="00A256AB" w:rsidRPr="00364C69" w:rsidRDefault="00A256AB" w:rsidP="00364C69">
      <w:pPr>
        <w:ind w:left="284" w:right="284"/>
        <w:jc w:val="both"/>
        <w:rPr>
          <w:rFonts w:ascii="Arial" w:hAnsi="Arial" w:cs="Arial"/>
          <w:i/>
        </w:rPr>
      </w:pPr>
      <w:r w:rsidRPr="00A85D78">
        <w:rPr>
          <w:rFonts w:ascii="Arial" w:hAnsi="Arial" w:cs="Arial"/>
          <w:i/>
        </w:rPr>
        <w:t>III.</w:t>
      </w:r>
      <w:r w:rsidRPr="00A85D78">
        <w:rPr>
          <w:rFonts w:ascii="Arial" w:hAnsi="Arial" w:cs="Arial"/>
          <w:i/>
        </w:rPr>
        <w:tab/>
        <w:t xml:space="preserve">Según la gravedad de la falta, con la reducción de hasta el cincuenta por ciento de las ministraciones del financiamiento público que les corresponda, por el periodo que señale la </w:t>
      </w:r>
      <w:proofErr w:type="gramStart"/>
      <w:r w:rsidRPr="00A85D78">
        <w:rPr>
          <w:rFonts w:ascii="Arial" w:hAnsi="Arial" w:cs="Arial"/>
          <w:i/>
        </w:rPr>
        <w:t>resolución;</w:t>
      </w:r>
      <w:r w:rsidRPr="00364C69">
        <w:rPr>
          <w:rFonts w:ascii="Arial" w:hAnsi="Arial" w:cs="Arial"/>
          <w:i/>
        </w:rPr>
        <w:t>…</w:t>
      </w:r>
      <w:proofErr w:type="gramEnd"/>
      <w:r w:rsidRPr="00364C69">
        <w:rPr>
          <w:rFonts w:ascii="Arial" w:hAnsi="Arial" w:cs="Arial"/>
          <w:i/>
        </w:rPr>
        <w:t xml:space="preserve"> “</w:t>
      </w:r>
    </w:p>
    <w:p w:rsidR="00364C69" w:rsidRPr="00364C69" w:rsidRDefault="00364C69" w:rsidP="00364C69">
      <w:pPr>
        <w:pStyle w:val="Prrafodelista"/>
        <w:ind w:right="284"/>
        <w:jc w:val="both"/>
        <w:rPr>
          <w:rFonts w:ascii="Arial" w:hAnsi="Arial" w:cs="Arial"/>
          <w:i/>
        </w:rPr>
      </w:pPr>
    </w:p>
    <w:p w:rsidR="00A256AB" w:rsidRDefault="00A256AB" w:rsidP="00805545">
      <w:pPr>
        <w:spacing w:line="360" w:lineRule="auto"/>
        <w:jc w:val="both"/>
        <w:rPr>
          <w:rFonts w:ascii="Arial" w:hAnsi="Arial" w:cs="Arial"/>
          <w:sz w:val="24"/>
          <w:szCs w:val="24"/>
        </w:rPr>
      </w:pPr>
      <w:r w:rsidRPr="00A85D78">
        <w:rPr>
          <w:rFonts w:ascii="Arial" w:hAnsi="Arial" w:cs="Arial"/>
          <w:sz w:val="24"/>
          <w:szCs w:val="24"/>
        </w:rPr>
        <w:t>Los partidos más sancionados fueron PRD con 11 faltas formales y 8 sustantivas, equivalentes a $16,984,042.59; y MC con 4 formales y 8 sustantivas, que implican $1,703,594.38 de multas. Las sanciones aprobadas por el Consejo General del INE, establecieron una cifra r</w:t>
      </w:r>
      <w:r w:rsidR="002C2BB4">
        <w:rPr>
          <w:rFonts w:ascii="Arial" w:hAnsi="Arial" w:cs="Arial"/>
          <w:sz w:val="24"/>
          <w:szCs w:val="24"/>
        </w:rPr>
        <w:t>é</w:t>
      </w:r>
      <w:r w:rsidRPr="00A85D78">
        <w:rPr>
          <w:rFonts w:ascii="Arial" w:hAnsi="Arial" w:cs="Arial"/>
          <w:sz w:val="24"/>
          <w:szCs w:val="24"/>
        </w:rPr>
        <w:t>cord que en términos monetarios alcanz</w:t>
      </w:r>
      <w:r w:rsidR="002C2BB4">
        <w:rPr>
          <w:rFonts w:ascii="Arial" w:hAnsi="Arial" w:cs="Arial"/>
          <w:sz w:val="24"/>
          <w:szCs w:val="24"/>
        </w:rPr>
        <w:t>ó</w:t>
      </w:r>
      <w:r w:rsidRPr="00A85D78">
        <w:rPr>
          <w:rFonts w:ascii="Arial" w:hAnsi="Arial" w:cs="Arial"/>
          <w:sz w:val="24"/>
          <w:szCs w:val="24"/>
        </w:rPr>
        <w:t xml:space="preserve"> la cifra de 18 millones 697 mil 801 pesos con 47 centavos.</w:t>
      </w:r>
    </w:p>
    <w:p w:rsidR="00364C69" w:rsidRDefault="00364C69" w:rsidP="00805545">
      <w:pPr>
        <w:spacing w:line="360" w:lineRule="auto"/>
        <w:jc w:val="both"/>
        <w:rPr>
          <w:rFonts w:ascii="Arial" w:hAnsi="Arial" w:cs="Arial"/>
          <w:sz w:val="24"/>
          <w:szCs w:val="24"/>
        </w:rPr>
      </w:pPr>
    </w:p>
    <w:p w:rsidR="00364C69" w:rsidRPr="00A85D78" w:rsidRDefault="00364C69" w:rsidP="00805545">
      <w:pPr>
        <w:spacing w:line="360" w:lineRule="auto"/>
        <w:jc w:val="both"/>
        <w:rPr>
          <w:rFonts w:ascii="Arial" w:hAnsi="Arial" w:cs="Arial"/>
          <w:sz w:val="24"/>
          <w:szCs w:val="24"/>
        </w:rPr>
      </w:pPr>
    </w:p>
    <w:p w:rsidR="00A256AB" w:rsidRPr="00A85D78" w:rsidRDefault="00A256AB" w:rsidP="00805545">
      <w:pPr>
        <w:spacing w:line="360" w:lineRule="auto"/>
        <w:jc w:val="both"/>
        <w:rPr>
          <w:rFonts w:ascii="Arial" w:hAnsi="Arial" w:cs="Arial"/>
          <w:b/>
          <w:sz w:val="24"/>
          <w:szCs w:val="24"/>
        </w:rPr>
      </w:pPr>
      <w:r w:rsidRPr="00A85D78">
        <w:rPr>
          <w:rFonts w:ascii="Arial" w:hAnsi="Arial" w:cs="Arial"/>
          <w:b/>
          <w:sz w:val="24"/>
          <w:szCs w:val="24"/>
        </w:rPr>
        <w:t>4.2.1.2 Campaña</w:t>
      </w:r>
      <w:r w:rsidR="002C2BB4">
        <w:rPr>
          <w:rFonts w:ascii="Arial" w:hAnsi="Arial" w:cs="Arial"/>
          <w:b/>
          <w:sz w:val="24"/>
          <w:szCs w:val="24"/>
        </w:rPr>
        <w:t>.</w:t>
      </w:r>
    </w:p>
    <w:p w:rsidR="00A256AB" w:rsidRDefault="00A256AB" w:rsidP="00805545">
      <w:pPr>
        <w:spacing w:line="360" w:lineRule="auto"/>
        <w:jc w:val="both"/>
        <w:rPr>
          <w:rFonts w:ascii="Arial" w:hAnsi="Arial" w:cs="Arial"/>
          <w:sz w:val="24"/>
          <w:szCs w:val="24"/>
        </w:rPr>
      </w:pPr>
      <w:r w:rsidRPr="00A85D78">
        <w:rPr>
          <w:rFonts w:ascii="Arial" w:hAnsi="Arial" w:cs="Arial"/>
          <w:sz w:val="24"/>
          <w:szCs w:val="24"/>
        </w:rPr>
        <w:t>Cabe destacar que de acuerdo con el artículo 235 numeral 1 inciso a) del Reglamento de Fiscalización, los partidos deben generar sus informes de campaña por periodos de 30 días; sin embargo las particularidades de la duración de campañas en la Entidad (33 días), obligaría a los partidos a emitir dos informes uno de 30 días y otro de 3 días; por tal motivo el Consejo General del INE tom</w:t>
      </w:r>
      <w:r w:rsidR="002C2BB4">
        <w:rPr>
          <w:rFonts w:ascii="Arial" w:hAnsi="Arial" w:cs="Arial"/>
          <w:sz w:val="24"/>
          <w:szCs w:val="24"/>
        </w:rPr>
        <w:t>ó</w:t>
      </w:r>
      <w:r w:rsidRPr="00A85D78">
        <w:rPr>
          <w:rFonts w:ascii="Arial" w:hAnsi="Arial" w:cs="Arial"/>
          <w:sz w:val="24"/>
          <w:szCs w:val="24"/>
        </w:rPr>
        <w:t xml:space="preserve"> a bien a través del considerando 28 del acuerdo INE/CG/321/2015; unificar la entrega de un solo informe de campaña por los 33 días. De esta manera el calendario final de fiscalización de campañas se ajustó como lo establece la Tabla 4.17</w:t>
      </w:r>
      <w:r w:rsidR="00364C69">
        <w:rPr>
          <w:rFonts w:ascii="Arial" w:hAnsi="Arial" w:cs="Arial"/>
          <w:sz w:val="24"/>
          <w:szCs w:val="24"/>
        </w:rPr>
        <w:t>.</w:t>
      </w:r>
    </w:p>
    <w:p w:rsidR="00364C69" w:rsidRPr="00A85D78" w:rsidRDefault="00364C69" w:rsidP="00A256AB">
      <w:pPr>
        <w:jc w:val="both"/>
        <w:rPr>
          <w:rFonts w:ascii="Arial" w:hAnsi="Arial" w:cs="Arial"/>
          <w:sz w:val="24"/>
          <w:szCs w:val="24"/>
        </w:rPr>
      </w:pPr>
    </w:p>
    <w:p w:rsidR="00A256AB" w:rsidRDefault="00A256AB" w:rsidP="00805545">
      <w:pPr>
        <w:tabs>
          <w:tab w:val="left" w:pos="5070"/>
        </w:tabs>
        <w:jc w:val="both"/>
        <w:rPr>
          <w:rStyle w:val="Ttulodellibro"/>
          <w:rFonts w:ascii="Arial" w:hAnsi="Arial" w:cs="Arial"/>
          <w:b/>
          <w:i/>
          <w:color w:val="auto"/>
          <w:sz w:val="20"/>
          <w:szCs w:val="20"/>
        </w:rPr>
      </w:pPr>
      <w:r w:rsidRPr="00805545">
        <w:rPr>
          <w:rStyle w:val="Ttulodellibro"/>
          <w:rFonts w:ascii="Arial" w:hAnsi="Arial" w:cs="Arial"/>
          <w:b/>
          <w:i/>
          <w:color w:val="auto"/>
          <w:sz w:val="20"/>
          <w:szCs w:val="20"/>
        </w:rPr>
        <w:t>Tabla 4.17 Calendario del proceso de fiscalización de campaña Ayuntamientos y Diputados Locales.</w:t>
      </w:r>
    </w:p>
    <w:p w:rsidR="00805545" w:rsidRPr="00805545" w:rsidRDefault="00805545" w:rsidP="00805545">
      <w:pPr>
        <w:tabs>
          <w:tab w:val="left" w:pos="5070"/>
        </w:tabs>
        <w:jc w:val="both"/>
        <w:rPr>
          <w:rStyle w:val="Ttulodellibro"/>
          <w:rFonts w:ascii="Arial" w:hAnsi="Arial" w:cs="Arial"/>
          <w:b/>
          <w:i/>
          <w:color w:val="auto"/>
          <w:sz w:val="20"/>
          <w:szCs w:val="20"/>
        </w:rPr>
      </w:pPr>
    </w:p>
    <w:tbl>
      <w:tblPr>
        <w:tblW w:w="5000" w:type="pct"/>
        <w:tblCellMar>
          <w:left w:w="0" w:type="dxa"/>
          <w:right w:w="0" w:type="dxa"/>
        </w:tblCellMar>
        <w:tblLook w:val="01E0" w:firstRow="1" w:lastRow="1" w:firstColumn="1" w:lastColumn="1" w:noHBand="0" w:noVBand="0"/>
      </w:tblPr>
      <w:tblGrid>
        <w:gridCol w:w="1417"/>
        <w:gridCol w:w="983"/>
        <w:gridCol w:w="1261"/>
        <w:gridCol w:w="1134"/>
        <w:gridCol w:w="1124"/>
        <w:gridCol w:w="1348"/>
        <w:gridCol w:w="1221"/>
      </w:tblGrid>
      <w:tr w:rsidR="00A256AB" w:rsidRPr="00A85D78" w:rsidTr="00805545">
        <w:trPr>
          <w:trHeight w:hRule="exact" w:val="733"/>
          <w:tblHeader/>
        </w:trPr>
        <w:tc>
          <w:tcPr>
            <w:tcW w:w="835"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A256AB">
            <w:pPr>
              <w:ind w:right="52"/>
              <w:jc w:val="center"/>
              <w:rPr>
                <w:rFonts w:ascii="Arial" w:eastAsia="Arial" w:hAnsi="Arial" w:cs="Arial"/>
                <w:b/>
                <w:sz w:val="13"/>
                <w:szCs w:val="13"/>
              </w:rPr>
            </w:pPr>
            <w:r w:rsidRPr="002C2BB4">
              <w:rPr>
                <w:rFonts w:ascii="Arial" w:eastAsia="Arial" w:hAnsi="Arial" w:cs="Arial"/>
                <w:b/>
                <w:spacing w:val="1"/>
                <w:sz w:val="13"/>
                <w:szCs w:val="13"/>
              </w:rPr>
              <w:t>P</w:t>
            </w:r>
            <w:r w:rsidRPr="002C2BB4">
              <w:rPr>
                <w:rFonts w:ascii="Arial" w:eastAsia="Arial" w:hAnsi="Arial" w:cs="Arial"/>
                <w:b/>
                <w:spacing w:val="-1"/>
                <w:sz w:val="13"/>
                <w:szCs w:val="13"/>
              </w:rPr>
              <w:t>E</w:t>
            </w:r>
            <w:r w:rsidRPr="002C2BB4">
              <w:rPr>
                <w:rFonts w:ascii="Arial" w:eastAsia="Arial" w:hAnsi="Arial" w:cs="Arial"/>
                <w:b/>
                <w:spacing w:val="1"/>
                <w:sz w:val="13"/>
                <w:szCs w:val="13"/>
              </w:rPr>
              <w:t>R</w:t>
            </w:r>
            <w:r w:rsidRPr="002C2BB4">
              <w:rPr>
                <w:rFonts w:ascii="Arial" w:eastAsia="Arial" w:hAnsi="Arial" w:cs="Arial"/>
                <w:b/>
                <w:sz w:val="13"/>
                <w:szCs w:val="13"/>
              </w:rPr>
              <w:t>I</w:t>
            </w:r>
            <w:r w:rsidRPr="002C2BB4">
              <w:rPr>
                <w:rFonts w:ascii="Arial" w:eastAsia="Arial" w:hAnsi="Arial" w:cs="Arial"/>
                <w:b/>
                <w:spacing w:val="1"/>
                <w:sz w:val="13"/>
                <w:szCs w:val="13"/>
              </w:rPr>
              <w:t>O</w:t>
            </w:r>
            <w:r w:rsidRPr="002C2BB4">
              <w:rPr>
                <w:rFonts w:ascii="Arial" w:eastAsia="Arial" w:hAnsi="Arial" w:cs="Arial"/>
                <w:b/>
                <w:spacing w:val="-1"/>
                <w:sz w:val="13"/>
                <w:szCs w:val="13"/>
              </w:rPr>
              <w:t>D</w:t>
            </w:r>
            <w:r w:rsidRPr="002C2BB4">
              <w:rPr>
                <w:rFonts w:ascii="Arial" w:eastAsia="Arial" w:hAnsi="Arial" w:cs="Arial"/>
                <w:b/>
                <w:sz w:val="13"/>
                <w:szCs w:val="13"/>
              </w:rPr>
              <w:t xml:space="preserve">O  </w:t>
            </w:r>
            <w:r w:rsidRPr="002C2BB4">
              <w:rPr>
                <w:rFonts w:ascii="Arial" w:eastAsia="Arial" w:hAnsi="Arial" w:cs="Arial"/>
                <w:b/>
                <w:spacing w:val="29"/>
                <w:sz w:val="13"/>
                <w:szCs w:val="13"/>
              </w:rPr>
              <w:t xml:space="preserve">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1"/>
                <w:sz w:val="13"/>
                <w:szCs w:val="13"/>
              </w:rPr>
              <w:t>P</w:t>
            </w:r>
            <w:r w:rsidRPr="002C2BB4">
              <w:rPr>
                <w:rFonts w:ascii="Arial" w:eastAsia="Arial" w:hAnsi="Arial" w:cs="Arial"/>
                <w:b/>
                <w:spacing w:val="1"/>
                <w:sz w:val="13"/>
                <w:szCs w:val="13"/>
              </w:rPr>
              <w:t>R</w:t>
            </w:r>
            <w:r w:rsidRPr="002C2BB4">
              <w:rPr>
                <w:rFonts w:ascii="Arial" w:eastAsia="Arial" w:hAnsi="Arial" w:cs="Arial"/>
                <w:b/>
                <w:spacing w:val="-1"/>
                <w:sz w:val="13"/>
                <w:szCs w:val="13"/>
              </w:rPr>
              <w:t>E</w:t>
            </w:r>
            <w:r w:rsidRPr="002C2BB4">
              <w:rPr>
                <w:rFonts w:ascii="Arial" w:eastAsia="Arial" w:hAnsi="Arial" w:cs="Arial"/>
                <w:b/>
                <w:spacing w:val="2"/>
                <w:sz w:val="13"/>
                <w:szCs w:val="13"/>
              </w:rPr>
              <w:t>C</w:t>
            </w:r>
            <w:r w:rsidRPr="002C2BB4">
              <w:rPr>
                <w:rFonts w:ascii="Arial" w:eastAsia="Arial" w:hAnsi="Arial" w:cs="Arial"/>
                <w:b/>
                <w:spacing w:val="-1"/>
                <w:sz w:val="13"/>
                <w:szCs w:val="13"/>
              </w:rPr>
              <w:t>A</w:t>
            </w:r>
            <w:r w:rsidRPr="002C2BB4">
              <w:rPr>
                <w:rFonts w:ascii="Arial" w:eastAsia="Arial" w:hAnsi="Arial" w:cs="Arial"/>
                <w:b/>
                <w:spacing w:val="1"/>
                <w:sz w:val="13"/>
                <w:szCs w:val="13"/>
              </w:rPr>
              <w:t>MP</w:t>
            </w:r>
            <w:r w:rsidRPr="002C2BB4">
              <w:rPr>
                <w:rFonts w:ascii="Arial" w:eastAsia="Arial" w:hAnsi="Arial" w:cs="Arial"/>
                <w:b/>
                <w:spacing w:val="-1"/>
                <w:sz w:val="13"/>
                <w:szCs w:val="13"/>
              </w:rPr>
              <w:t>A</w:t>
            </w:r>
            <w:r w:rsidRPr="002C2BB4">
              <w:rPr>
                <w:rFonts w:ascii="Arial" w:eastAsia="Arial" w:hAnsi="Arial" w:cs="Arial"/>
                <w:b/>
                <w:spacing w:val="1"/>
                <w:sz w:val="13"/>
                <w:szCs w:val="13"/>
              </w:rPr>
              <w:t>Ñ</w:t>
            </w:r>
            <w:r w:rsidRPr="002C2BB4">
              <w:rPr>
                <w:rFonts w:ascii="Arial" w:eastAsia="Arial" w:hAnsi="Arial" w:cs="Arial"/>
                <w:b/>
                <w:sz w:val="13"/>
                <w:szCs w:val="13"/>
              </w:rPr>
              <w:t>A</w:t>
            </w:r>
          </w:p>
        </w:tc>
        <w:tc>
          <w:tcPr>
            <w:tcW w:w="579"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805545">
            <w:pPr>
              <w:ind w:right="50"/>
              <w:jc w:val="center"/>
              <w:rPr>
                <w:rFonts w:ascii="Arial" w:eastAsia="Arial" w:hAnsi="Arial" w:cs="Arial"/>
                <w:b/>
                <w:sz w:val="13"/>
                <w:szCs w:val="13"/>
              </w:rPr>
            </w:pPr>
            <w:r w:rsidRPr="002C2BB4">
              <w:rPr>
                <w:rFonts w:ascii="Arial" w:eastAsia="Arial" w:hAnsi="Arial" w:cs="Arial"/>
                <w:b/>
                <w:spacing w:val="-1"/>
                <w:sz w:val="13"/>
                <w:szCs w:val="13"/>
              </w:rPr>
              <w:t>F</w:t>
            </w:r>
            <w:r w:rsidRPr="002C2BB4">
              <w:rPr>
                <w:rFonts w:ascii="Arial" w:eastAsia="Arial" w:hAnsi="Arial" w:cs="Arial"/>
                <w:b/>
                <w:spacing w:val="2"/>
                <w:sz w:val="13"/>
                <w:szCs w:val="13"/>
              </w:rPr>
              <w:t>E</w:t>
            </w:r>
            <w:r w:rsidRPr="002C2BB4">
              <w:rPr>
                <w:rFonts w:ascii="Arial" w:eastAsia="Arial" w:hAnsi="Arial" w:cs="Arial"/>
                <w:b/>
                <w:spacing w:val="-1"/>
                <w:sz w:val="13"/>
                <w:szCs w:val="13"/>
              </w:rPr>
              <w:t>C</w:t>
            </w:r>
            <w:r w:rsidRPr="002C2BB4">
              <w:rPr>
                <w:rFonts w:ascii="Arial" w:eastAsia="Arial" w:hAnsi="Arial" w:cs="Arial"/>
                <w:b/>
                <w:spacing w:val="1"/>
                <w:sz w:val="13"/>
                <w:szCs w:val="13"/>
              </w:rPr>
              <w:t>H</w:t>
            </w:r>
            <w:r w:rsidRPr="002C2BB4">
              <w:rPr>
                <w:rFonts w:ascii="Arial" w:eastAsia="Arial" w:hAnsi="Arial" w:cs="Arial"/>
                <w:b/>
                <w:sz w:val="13"/>
                <w:szCs w:val="13"/>
              </w:rPr>
              <w:t>A LÍ</w:t>
            </w:r>
            <w:r w:rsidRPr="002C2BB4">
              <w:rPr>
                <w:rFonts w:ascii="Arial" w:eastAsia="Arial" w:hAnsi="Arial" w:cs="Arial"/>
                <w:b/>
                <w:spacing w:val="1"/>
                <w:sz w:val="13"/>
                <w:szCs w:val="13"/>
              </w:rPr>
              <w:t>M</w:t>
            </w:r>
            <w:r w:rsidRPr="002C2BB4">
              <w:rPr>
                <w:rFonts w:ascii="Arial" w:eastAsia="Arial" w:hAnsi="Arial" w:cs="Arial"/>
                <w:b/>
                <w:sz w:val="13"/>
                <w:szCs w:val="13"/>
              </w:rPr>
              <w:t>I</w:t>
            </w:r>
            <w:r w:rsidRPr="002C2BB4">
              <w:rPr>
                <w:rFonts w:ascii="Arial" w:eastAsia="Arial" w:hAnsi="Arial" w:cs="Arial"/>
                <w:b/>
                <w:spacing w:val="-1"/>
                <w:sz w:val="13"/>
                <w:szCs w:val="13"/>
              </w:rPr>
              <w:t>T</w:t>
            </w:r>
            <w:r w:rsidRPr="002C2BB4">
              <w:rPr>
                <w:rFonts w:ascii="Arial" w:eastAsia="Arial" w:hAnsi="Arial" w:cs="Arial"/>
                <w:b/>
                <w:sz w:val="13"/>
                <w:szCs w:val="13"/>
              </w:rPr>
              <w:t xml:space="preserve">E   </w:t>
            </w:r>
            <w:r w:rsidRPr="002C2BB4">
              <w:rPr>
                <w:rFonts w:ascii="Arial" w:eastAsia="Arial" w:hAnsi="Arial" w:cs="Arial"/>
                <w:b/>
                <w:spacing w:val="16"/>
                <w:sz w:val="13"/>
                <w:szCs w:val="13"/>
              </w:rPr>
              <w:t xml:space="preserve">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1"/>
                <w:sz w:val="13"/>
                <w:szCs w:val="13"/>
              </w:rPr>
              <w:t>E</w:t>
            </w:r>
            <w:r w:rsidRPr="002C2BB4">
              <w:rPr>
                <w:rFonts w:ascii="Arial" w:eastAsia="Arial" w:hAnsi="Arial" w:cs="Arial"/>
                <w:b/>
                <w:spacing w:val="1"/>
                <w:sz w:val="13"/>
                <w:szCs w:val="13"/>
              </w:rPr>
              <w:t>N</w:t>
            </w:r>
            <w:r w:rsidRPr="002C2BB4">
              <w:rPr>
                <w:rFonts w:ascii="Arial" w:eastAsia="Arial" w:hAnsi="Arial" w:cs="Arial"/>
                <w:b/>
                <w:spacing w:val="-1"/>
                <w:sz w:val="13"/>
                <w:szCs w:val="13"/>
              </w:rPr>
              <w:t>T</w:t>
            </w:r>
            <w:r w:rsidRPr="002C2BB4">
              <w:rPr>
                <w:rFonts w:ascii="Arial" w:eastAsia="Arial" w:hAnsi="Arial" w:cs="Arial"/>
                <w:b/>
                <w:spacing w:val="1"/>
                <w:sz w:val="13"/>
                <w:szCs w:val="13"/>
              </w:rPr>
              <w:t>R</w:t>
            </w:r>
            <w:r w:rsidRPr="002C2BB4">
              <w:rPr>
                <w:rFonts w:ascii="Arial" w:eastAsia="Arial" w:hAnsi="Arial" w:cs="Arial"/>
                <w:b/>
                <w:spacing w:val="-1"/>
                <w:sz w:val="13"/>
                <w:szCs w:val="13"/>
              </w:rPr>
              <w:t>E</w:t>
            </w:r>
            <w:r w:rsidRPr="002C2BB4">
              <w:rPr>
                <w:rFonts w:ascii="Arial" w:eastAsia="Arial" w:hAnsi="Arial" w:cs="Arial"/>
                <w:b/>
                <w:spacing w:val="1"/>
                <w:sz w:val="13"/>
                <w:szCs w:val="13"/>
              </w:rPr>
              <w:t>G</w:t>
            </w:r>
            <w:r w:rsidRPr="002C2BB4">
              <w:rPr>
                <w:rFonts w:ascii="Arial" w:eastAsia="Arial" w:hAnsi="Arial" w:cs="Arial"/>
                <w:b/>
                <w:sz w:val="13"/>
                <w:szCs w:val="13"/>
              </w:rPr>
              <w:t xml:space="preserve">A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23"/>
                <w:sz w:val="13"/>
                <w:szCs w:val="13"/>
              </w:rPr>
              <w:t xml:space="preserve"> </w:t>
            </w:r>
            <w:r w:rsidRPr="002C2BB4">
              <w:rPr>
                <w:rFonts w:ascii="Arial" w:eastAsia="Arial" w:hAnsi="Arial" w:cs="Arial"/>
                <w:b/>
                <w:spacing w:val="2"/>
                <w:sz w:val="13"/>
                <w:szCs w:val="13"/>
              </w:rPr>
              <w:t>L</w:t>
            </w:r>
            <w:r w:rsidRPr="002C2BB4">
              <w:rPr>
                <w:rFonts w:ascii="Arial" w:eastAsia="Arial" w:hAnsi="Arial" w:cs="Arial"/>
                <w:b/>
                <w:spacing w:val="-1"/>
                <w:sz w:val="13"/>
                <w:szCs w:val="13"/>
              </w:rPr>
              <w:t>O</w:t>
            </w:r>
            <w:r w:rsidRPr="002C2BB4">
              <w:rPr>
                <w:rFonts w:ascii="Arial" w:eastAsia="Arial" w:hAnsi="Arial" w:cs="Arial"/>
                <w:b/>
                <w:sz w:val="13"/>
                <w:szCs w:val="13"/>
              </w:rPr>
              <w:t>S INFORMES</w:t>
            </w:r>
          </w:p>
        </w:tc>
        <w:tc>
          <w:tcPr>
            <w:tcW w:w="743"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A256AB">
            <w:pPr>
              <w:ind w:right="47"/>
              <w:jc w:val="center"/>
              <w:rPr>
                <w:rFonts w:ascii="Arial" w:eastAsia="Arial" w:hAnsi="Arial" w:cs="Arial"/>
                <w:b/>
                <w:sz w:val="13"/>
                <w:szCs w:val="13"/>
              </w:rPr>
            </w:pPr>
            <w:r w:rsidRPr="002C2BB4">
              <w:rPr>
                <w:rFonts w:ascii="Arial" w:eastAsia="Arial" w:hAnsi="Arial" w:cs="Arial"/>
                <w:b/>
                <w:sz w:val="13"/>
                <w:szCs w:val="13"/>
              </w:rPr>
              <w:t>N</w:t>
            </w:r>
            <w:r w:rsidRPr="002C2BB4">
              <w:rPr>
                <w:rFonts w:ascii="Arial" w:eastAsia="Arial" w:hAnsi="Arial" w:cs="Arial"/>
                <w:b/>
                <w:spacing w:val="-1"/>
                <w:sz w:val="13"/>
                <w:szCs w:val="13"/>
              </w:rPr>
              <w:t>OT</w:t>
            </w:r>
            <w:r w:rsidRPr="002C2BB4">
              <w:rPr>
                <w:rFonts w:ascii="Arial" w:eastAsia="Arial" w:hAnsi="Arial" w:cs="Arial"/>
                <w:b/>
                <w:spacing w:val="2"/>
                <w:sz w:val="13"/>
                <w:szCs w:val="13"/>
              </w:rPr>
              <w:t>I</w:t>
            </w:r>
            <w:r w:rsidRPr="002C2BB4">
              <w:rPr>
                <w:rFonts w:ascii="Arial" w:eastAsia="Arial" w:hAnsi="Arial" w:cs="Arial"/>
                <w:b/>
                <w:spacing w:val="-1"/>
                <w:sz w:val="13"/>
                <w:szCs w:val="13"/>
              </w:rPr>
              <w:t>F</w:t>
            </w:r>
            <w:r w:rsidRPr="002C2BB4">
              <w:rPr>
                <w:rFonts w:ascii="Arial" w:eastAsia="Arial" w:hAnsi="Arial" w:cs="Arial"/>
                <w:b/>
                <w:sz w:val="13"/>
                <w:szCs w:val="13"/>
              </w:rPr>
              <w:t>I</w:t>
            </w:r>
            <w:r w:rsidRPr="002C2BB4">
              <w:rPr>
                <w:rFonts w:ascii="Arial" w:eastAsia="Arial" w:hAnsi="Arial" w:cs="Arial"/>
                <w:b/>
                <w:spacing w:val="1"/>
                <w:sz w:val="13"/>
                <w:szCs w:val="13"/>
              </w:rPr>
              <w:t>C</w:t>
            </w:r>
            <w:r w:rsidRPr="002C2BB4">
              <w:rPr>
                <w:rFonts w:ascii="Arial" w:eastAsia="Arial" w:hAnsi="Arial" w:cs="Arial"/>
                <w:b/>
                <w:spacing w:val="-1"/>
                <w:sz w:val="13"/>
                <w:szCs w:val="13"/>
              </w:rPr>
              <w:t>A</w:t>
            </w:r>
            <w:r w:rsidRPr="002C2BB4">
              <w:rPr>
                <w:rFonts w:ascii="Arial" w:eastAsia="Arial" w:hAnsi="Arial" w:cs="Arial"/>
                <w:b/>
                <w:spacing w:val="2"/>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 xml:space="preserve">N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2"/>
                <w:sz w:val="13"/>
                <w:szCs w:val="13"/>
              </w:rPr>
              <w:t>O</w:t>
            </w:r>
            <w:r w:rsidRPr="002C2BB4">
              <w:rPr>
                <w:rFonts w:ascii="Arial" w:eastAsia="Arial" w:hAnsi="Arial" w:cs="Arial"/>
                <w:b/>
                <w:spacing w:val="-1"/>
                <w:sz w:val="13"/>
                <w:szCs w:val="13"/>
              </w:rPr>
              <w:t>F</w:t>
            </w:r>
            <w:r w:rsidRPr="002C2BB4">
              <w:rPr>
                <w:rFonts w:ascii="Arial" w:eastAsia="Arial" w:hAnsi="Arial" w:cs="Arial"/>
                <w:b/>
                <w:sz w:val="13"/>
                <w:szCs w:val="13"/>
              </w:rPr>
              <w:t>I</w:t>
            </w:r>
            <w:r w:rsidRPr="002C2BB4">
              <w:rPr>
                <w:rFonts w:ascii="Arial" w:eastAsia="Arial" w:hAnsi="Arial" w:cs="Arial"/>
                <w:b/>
                <w:spacing w:val="1"/>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O</w:t>
            </w:r>
            <w:r w:rsidRPr="002C2BB4">
              <w:rPr>
                <w:rFonts w:ascii="Arial" w:eastAsia="Arial" w:hAnsi="Arial" w:cs="Arial"/>
                <w:b/>
                <w:sz w:val="13"/>
                <w:szCs w:val="13"/>
              </w:rPr>
              <w:t xml:space="preserve">S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1"/>
                <w:sz w:val="13"/>
                <w:szCs w:val="13"/>
              </w:rPr>
              <w:t>ERR</w:t>
            </w:r>
            <w:r w:rsidRPr="002C2BB4">
              <w:rPr>
                <w:rFonts w:ascii="Arial" w:eastAsia="Arial" w:hAnsi="Arial" w:cs="Arial"/>
                <w:b/>
                <w:spacing w:val="-1"/>
                <w:sz w:val="13"/>
                <w:szCs w:val="13"/>
              </w:rPr>
              <w:t>O</w:t>
            </w:r>
            <w:r w:rsidRPr="002C2BB4">
              <w:rPr>
                <w:rFonts w:ascii="Arial" w:eastAsia="Arial" w:hAnsi="Arial" w:cs="Arial"/>
                <w:b/>
                <w:spacing w:val="1"/>
                <w:sz w:val="13"/>
                <w:szCs w:val="13"/>
              </w:rPr>
              <w:t>R</w:t>
            </w:r>
            <w:r w:rsidRPr="002C2BB4">
              <w:rPr>
                <w:rFonts w:ascii="Arial" w:eastAsia="Arial" w:hAnsi="Arial" w:cs="Arial"/>
                <w:b/>
                <w:spacing w:val="2"/>
                <w:sz w:val="13"/>
                <w:szCs w:val="13"/>
              </w:rPr>
              <w:t>E</w:t>
            </w:r>
            <w:r w:rsidRPr="002C2BB4">
              <w:rPr>
                <w:rFonts w:ascii="Arial" w:eastAsia="Arial" w:hAnsi="Arial" w:cs="Arial"/>
                <w:b/>
                <w:sz w:val="13"/>
                <w:szCs w:val="13"/>
              </w:rPr>
              <w:t>S Y O</w:t>
            </w:r>
            <w:r w:rsidRPr="002C2BB4">
              <w:rPr>
                <w:rFonts w:ascii="Arial" w:eastAsia="Arial" w:hAnsi="Arial" w:cs="Arial"/>
                <w:b/>
                <w:spacing w:val="1"/>
                <w:sz w:val="13"/>
                <w:szCs w:val="13"/>
              </w:rPr>
              <w:t>M</w:t>
            </w:r>
            <w:r w:rsidRPr="002C2BB4">
              <w:rPr>
                <w:rFonts w:ascii="Arial" w:eastAsia="Arial" w:hAnsi="Arial" w:cs="Arial"/>
                <w:b/>
                <w:sz w:val="13"/>
                <w:szCs w:val="13"/>
              </w:rPr>
              <w:t>I</w:t>
            </w:r>
            <w:r w:rsidRPr="002C2BB4">
              <w:rPr>
                <w:rFonts w:ascii="Arial" w:eastAsia="Arial" w:hAnsi="Arial" w:cs="Arial"/>
                <w:b/>
                <w:spacing w:val="-1"/>
                <w:sz w:val="13"/>
                <w:szCs w:val="13"/>
              </w:rPr>
              <w:t>S</w:t>
            </w:r>
            <w:r w:rsidRPr="002C2BB4">
              <w:rPr>
                <w:rFonts w:ascii="Arial" w:eastAsia="Arial" w:hAnsi="Arial" w:cs="Arial"/>
                <w:b/>
                <w:spacing w:val="2"/>
                <w:sz w:val="13"/>
                <w:szCs w:val="13"/>
              </w:rPr>
              <w:t>I</w:t>
            </w:r>
            <w:r w:rsidRPr="002C2BB4">
              <w:rPr>
                <w:rFonts w:ascii="Arial" w:eastAsia="Arial" w:hAnsi="Arial" w:cs="Arial"/>
                <w:b/>
                <w:spacing w:val="-1"/>
                <w:sz w:val="13"/>
                <w:szCs w:val="13"/>
              </w:rPr>
              <w:t>O</w:t>
            </w:r>
            <w:r w:rsidRPr="002C2BB4">
              <w:rPr>
                <w:rFonts w:ascii="Arial" w:eastAsia="Arial" w:hAnsi="Arial" w:cs="Arial"/>
                <w:b/>
                <w:spacing w:val="1"/>
                <w:sz w:val="13"/>
                <w:szCs w:val="13"/>
              </w:rPr>
              <w:t>N</w:t>
            </w:r>
            <w:r w:rsidRPr="002C2BB4">
              <w:rPr>
                <w:rFonts w:ascii="Arial" w:eastAsia="Arial" w:hAnsi="Arial" w:cs="Arial"/>
                <w:b/>
                <w:spacing w:val="-1"/>
                <w:sz w:val="13"/>
                <w:szCs w:val="13"/>
              </w:rPr>
              <w:t>E</w:t>
            </w:r>
            <w:r w:rsidRPr="002C2BB4">
              <w:rPr>
                <w:rFonts w:ascii="Arial" w:eastAsia="Arial" w:hAnsi="Arial" w:cs="Arial"/>
                <w:b/>
                <w:sz w:val="13"/>
                <w:szCs w:val="13"/>
              </w:rPr>
              <w:t>S</w:t>
            </w:r>
          </w:p>
        </w:tc>
        <w:tc>
          <w:tcPr>
            <w:tcW w:w="668"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A256AB">
            <w:pPr>
              <w:ind w:right="47"/>
              <w:jc w:val="center"/>
              <w:rPr>
                <w:rFonts w:ascii="Arial" w:eastAsia="Arial" w:hAnsi="Arial" w:cs="Arial"/>
                <w:b/>
                <w:sz w:val="13"/>
                <w:szCs w:val="13"/>
              </w:rPr>
            </w:pPr>
            <w:r w:rsidRPr="002C2BB4">
              <w:rPr>
                <w:rFonts w:ascii="Arial" w:eastAsia="Arial" w:hAnsi="Arial" w:cs="Arial"/>
                <w:b/>
                <w:sz w:val="13"/>
                <w:szCs w:val="13"/>
              </w:rPr>
              <w:t>RE</w:t>
            </w:r>
            <w:r w:rsidRPr="002C2BB4">
              <w:rPr>
                <w:rFonts w:ascii="Arial" w:eastAsia="Arial" w:hAnsi="Arial" w:cs="Arial"/>
                <w:b/>
                <w:spacing w:val="1"/>
                <w:sz w:val="13"/>
                <w:szCs w:val="13"/>
              </w:rPr>
              <w:t>S</w:t>
            </w:r>
            <w:r w:rsidRPr="002C2BB4">
              <w:rPr>
                <w:rFonts w:ascii="Arial" w:eastAsia="Arial" w:hAnsi="Arial" w:cs="Arial"/>
                <w:b/>
                <w:spacing w:val="-1"/>
                <w:sz w:val="13"/>
                <w:szCs w:val="13"/>
              </w:rPr>
              <w:t>P</w:t>
            </w:r>
            <w:r w:rsidRPr="002C2BB4">
              <w:rPr>
                <w:rFonts w:ascii="Arial" w:eastAsia="Arial" w:hAnsi="Arial" w:cs="Arial"/>
                <w:b/>
                <w:spacing w:val="1"/>
                <w:sz w:val="13"/>
                <w:szCs w:val="13"/>
              </w:rPr>
              <w:t>U</w:t>
            </w:r>
            <w:r w:rsidRPr="002C2BB4">
              <w:rPr>
                <w:rFonts w:ascii="Arial" w:eastAsia="Arial" w:hAnsi="Arial" w:cs="Arial"/>
                <w:b/>
                <w:spacing w:val="-1"/>
                <w:sz w:val="13"/>
                <w:szCs w:val="13"/>
              </w:rPr>
              <w:t>E</w:t>
            </w:r>
            <w:r w:rsidRPr="002C2BB4">
              <w:rPr>
                <w:rFonts w:ascii="Arial" w:eastAsia="Arial" w:hAnsi="Arial" w:cs="Arial"/>
                <w:b/>
                <w:spacing w:val="2"/>
                <w:sz w:val="13"/>
                <w:szCs w:val="13"/>
              </w:rPr>
              <w:t>S</w:t>
            </w:r>
            <w:r w:rsidRPr="002C2BB4">
              <w:rPr>
                <w:rFonts w:ascii="Arial" w:eastAsia="Arial" w:hAnsi="Arial" w:cs="Arial"/>
                <w:b/>
                <w:spacing w:val="-1"/>
                <w:sz w:val="13"/>
                <w:szCs w:val="13"/>
              </w:rPr>
              <w:t>T</w:t>
            </w:r>
            <w:r w:rsidRPr="002C2BB4">
              <w:rPr>
                <w:rFonts w:ascii="Arial" w:eastAsia="Arial" w:hAnsi="Arial" w:cs="Arial"/>
                <w:b/>
                <w:sz w:val="13"/>
                <w:szCs w:val="13"/>
              </w:rPr>
              <w:t xml:space="preserve">A A   </w:t>
            </w:r>
            <w:r w:rsidRPr="002C2BB4">
              <w:rPr>
                <w:rFonts w:ascii="Arial" w:eastAsia="Arial" w:hAnsi="Arial" w:cs="Arial"/>
                <w:b/>
                <w:spacing w:val="9"/>
                <w:sz w:val="13"/>
                <w:szCs w:val="13"/>
              </w:rPr>
              <w:t xml:space="preserve"> </w:t>
            </w:r>
            <w:r w:rsidRPr="002C2BB4">
              <w:rPr>
                <w:rFonts w:ascii="Arial" w:eastAsia="Arial" w:hAnsi="Arial" w:cs="Arial"/>
                <w:b/>
                <w:sz w:val="13"/>
                <w:szCs w:val="13"/>
              </w:rPr>
              <w:t>O</w:t>
            </w:r>
            <w:r w:rsidRPr="002C2BB4">
              <w:rPr>
                <w:rFonts w:ascii="Arial" w:eastAsia="Arial" w:hAnsi="Arial" w:cs="Arial"/>
                <w:b/>
                <w:spacing w:val="-1"/>
                <w:sz w:val="13"/>
                <w:szCs w:val="13"/>
              </w:rPr>
              <w:t>F</w:t>
            </w:r>
            <w:r w:rsidRPr="002C2BB4">
              <w:rPr>
                <w:rFonts w:ascii="Arial" w:eastAsia="Arial" w:hAnsi="Arial" w:cs="Arial"/>
                <w:b/>
                <w:sz w:val="13"/>
                <w:szCs w:val="13"/>
              </w:rPr>
              <w:t>I</w:t>
            </w:r>
            <w:r w:rsidRPr="002C2BB4">
              <w:rPr>
                <w:rFonts w:ascii="Arial" w:eastAsia="Arial" w:hAnsi="Arial" w:cs="Arial"/>
                <w:b/>
                <w:spacing w:val="1"/>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O</w:t>
            </w:r>
            <w:r w:rsidRPr="002C2BB4">
              <w:rPr>
                <w:rFonts w:ascii="Arial" w:eastAsia="Arial" w:hAnsi="Arial" w:cs="Arial"/>
                <w:b/>
                <w:sz w:val="13"/>
                <w:szCs w:val="13"/>
              </w:rPr>
              <w:t xml:space="preserve">S </w:t>
            </w:r>
            <w:r w:rsidRPr="002C2BB4">
              <w:rPr>
                <w:rFonts w:ascii="Arial" w:eastAsia="Arial" w:hAnsi="Arial" w:cs="Arial"/>
                <w:b/>
                <w:spacing w:val="-1"/>
                <w:sz w:val="13"/>
                <w:szCs w:val="13"/>
              </w:rPr>
              <w:t>D</w:t>
            </w:r>
            <w:r w:rsidRPr="002C2BB4">
              <w:rPr>
                <w:rFonts w:ascii="Arial" w:eastAsia="Arial" w:hAnsi="Arial" w:cs="Arial"/>
                <w:b/>
                <w:sz w:val="13"/>
                <w:szCs w:val="13"/>
              </w:rPr>
              <w:t>E</w:t>
            </w:r>
            <w:r w:rsidRPr="002C2BB4">
              <w:rPr>
                <w:rFonts w:ascii="Arial" w:eastAsia="Arial" w:hAnsi="Arial" w:cs="Arial"/>
                <w:b/>
                <w:spacing w:val="14"/>
                <w:sz w:val="13"/>
                <w:szCs w:val="13"/>
              </w:rPr>
              <w:t xml:space="preserve"> </w:t>
            </w:r>
            <w:r w:rsidRPr="002C2BB4">
              <w:rPr>
                <w:rFonts w:ascii="Arial" w:eastAsia="Arial" w:hAnsi="Arial" w:cs="Arial"/>
                <w:b/>
                <w:spacing w:val="1"/>
                <w:sz w:val="13"/>
                <w:szCs w:val="13"/>
              </w:rPr>
              <w:t>ERR</w:t>
            </w:r>
            <w:r w:rsidRPr="002C2BB4">
              <w:rPr>
                <w:rFonts w:ascii="Arial" w:eastAsia="Arial" w:hAnsi="Arial" w:cs="Arial"/>
                <w:b/>
                <w:spacing w:val="-1"/>
                <w:sz w:val="13"/>
                <w:szCs w:val="13"/>
              </w:rPr>
              <w:t>O</w:t>
            </w:r>
            <w:r w:rsidRPr="002C2BB4">
              <w:rPr>
                <w:rFonts w:ascii="Arial" w:eastAsia="Arial" w:hAnsi="Arial" w:cs="Arial"/>
                <w:b/>
                <w:spacing w:val="1"/>
                <w:sz w:val="13"/>
                <w:szCs w:val="13"/>
              </w:rPr>
              <w:t>R</w:t>
            </w:r>
            <w:r w:rsidRPr="002C2BB4">
              <w:rPr>
                <w:rFonts w:ascii="Arial" w:eastAsia="Arial" w:hAnsi="Arial" w:cs="Arial"/>
                <w:b/>
                <w:spacing w:val="2"/>
                <w:sz w:val="13"/>
                <w:szCs w:val="13"/>
              </w:rPr>
              <w:t>E</w:t>
            </w:r>
            <w:r w:rsidRPr="002C2BB4">
              <w:rPr>
                <w:rFonts w:ascii="Arial" w:eastAsia="Arial" w:hAnsi="Arial" w:cs="Arial"/>
                <w:b/>
                <w:sz w:val="13"/>
                <w:szCs w:val="13"/>
              </w:rPr>
              <w:t>S Y O</w:t>
            </w:r>
            <w:r w:rsidRPr="002C2BB4">
              <w:rPr>
                <w:rFonts w:ascii="Arial" w:eastAsia="Arial" w:hAnsi="Arial" w:cs="Arial"/>
                <w:b/>
                <w:spacing w:val="1"/>
                <w:sz w:val="13"/>
                <w:szCs w:val="13"/>
              </w:rPr>
              <w:t>M</w:t>
            </w:r>
            <w:r w:rsidRPr="002C2BB4">
              <w:rPr>
                <w:rFonts w:ascii="Arial" w:eastAsia="Arial" w:hAnsi="Arial" w:cs="Arial"/>
                <w:b/>
                <w:sz w:val="13"/>
                <w:szCs w:val="13"/>
              </w:rPr>
              <w:t>I</w:t>
            </w:r>
            <w:r w:rsidRPr="002C2BB4">
              <w:rPr>
                <w:rFonts w:ascii="Arial" w:eastAsia="Arial" w:hAnsi="Arial" w:cs="Arial"/>
                <w:b/>
                <w:spacing w:val="-1"/>
                <w:sz w:val="13"/>
                <w:szCs w:val="13"/>
              </w:rPr>
              <w:t>S</w:t>
            </w:r>
            <w:r w:rsidRPr="002C2BB4">
              <w:rPr>
                <w:rFonts w:ascii="Arial" w:eastAsia="Arial" w:hAnsi="Arial" w:cs="Arial"/>
                <w:b/>
                <w:spacing w:val="2"/>
                <w:sz w:val="13"/>
                <w:szCs w:val="13"/>
              </w:rPr>
              <w:t>I</w:t>
            </w:r>
            <w:r w:rsidRPr="002C2BB4">
              <w:rPr>
                <w:rFonts w:ascii="Arial" w:eastAsia="Arial" w:hAnsi="Arial" w:cs="Arial"/>
                <w:b/>
                <w:spacing w:val="-1"/>
                <w:sz w:val="13"/>
                <w:szCs w:val="13"/>
              </w:rPr>
              <w:t>O</w:t>
            </w:r>
            <w:r w:rsidRPr="002C2BB4">
              <w:rPr>
                <w:rFonts w:ascii="Arial" w:eastAsia="Arial" w:hAnsi="Arial" w:cs="Arial"/>
                <w:b/>
                <w:spacing w:val="1"/>
                <w:sz w:val="13"/>
                <w:szCs w:val="13"/>
              </w:rPr>
              <w:t>N</w:t>
            </w:r>
            <w:r w:rsidRPr="002C2BB4">
              <w:rPr>
                <w:rFonts w:ascii="Arial" w:eastAsia="Arial" w:hAnsi="Arial" w:cs="Arial"/>
                <w:b/>
                <w:spacing w:val="-1"/>
                <w:sz w:val="13"/>
                <w:szCs w:val="13"/>
              </w:rPr>
              <w:t>E</w:t>
            </w:r>
            <w:r w:rsidRPr="002C2BB4">
              <w:rPr>
                <w:rFonts w:ascii="Arial" w:eastAsia="Arial" w:hAnsi="Arial" w:cs="Arial"/>
                <w:b/>
                <w:sz w:val="13"/>
                <w:szCs w:val="13"/>
              </w:rPr>
              <w:t>S</w:t>
            </w:r>
          </w:p>
        </w:tc>
        <w:tc>
          <w:tcPr>
            <w:tcW w:w="662"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2C2BB4">
            <w:pPr>
              <w:jc w:val="center"/>
              <w:rPr>
                <w:rFonts w:ascii="Arial" w:eastAsia="Arial" w:hAnsi="Arial" w:cs="Arial"/>
                <w:b/>
                <w:sz w:val="13"/>
                <w:szCs w:val="13"/>
              </w:rPr>
            </w:pPr>
            <w:r w:rsidRPr="002C2BB4">
              <w:rPr>
                <w:rFonts w:ascii="Arial" w:eastAsia="Arial" w:hAnsi="Arial" w:cs="Arial"/>
                <w:b/>
                <w:sz w:val="13"/>
                <w:szCs w:val="13"/>
              </w:rPr>
              <w:t>DI</w:t>
            </w:r>
            <w:r w:rsidRPr="002C2BB4">
              <w:rPr>
                <w:rFonts w:ascii="Arial" w:eastAsia="Arial" w:hAnsi="Arial" w:cs="Arial"/>
                <w:b/>
                <w:spacing w:val="-1"/>
                <w:sz w:val="13"/>
                <w:szCs w:val="13"/>
              </w:rPr>
              <w:t>C</w:t>
            </w:r>
            <w:r w:rsidRPr="002C2BB4">
              <w:rPr>
                <w:rFonts w:ascii="Arial" w:eastAsia="Arial" w:hAnsi="Arial" w:cs="Arial"/>
                <w:b/>
                <w:spacing w:val="2"/>
                <w:sz w:val="13"/>
                <w:szCs w:val="13"/>
              </w:rPr>
              <w:t>T</w:t>
            </w:r>
            <w:r w:rsidRPr="002C2BB4">
              <w:rPr>
                <w:rFonts w:ascii="Arial" w:eastAsia="Arial" w:hAnsi="Arial" w:cs="Arial"/>
                <w:b/>
                <w:spacing w:val="-1"/>
                <w:sz w:val="13"/>
                <w:szCs w:val="13"/>
              </w:rPr>
              <w:t>A</w:t>
            </w:r>
            <w:r w:rsidRPr="002C2BB4">
              <w:rPr>
                <w:rFonts w:ascii="Arial" w:eastAsia="Arial" w:hAnsi="Arial" w:cs="Arial"/>
                <w:b/>
                <w:spacing w:val="1"/>
                <w:sz w:val="13"/>
                <w:szCs w:val="13"/>
              </w:rPr>
              <w:t>M</w:t>
            </w:r>
            <w:r w:rsidRPr="002C2BB4">
              <w:rPr>
                <w:rFonts w:ascii="Arial" w:eastAsia="Arial" w:hAnsi="Arial" w:cs="Arial"/>
                <w:b/>
                <w:spacing w:val="2"/>
                <w:sz w:val="13"/>
                <w:szCs w:val="13"/>
              </w:rPr>
              <w:t>E</w:t>
            </w:r>
            <w:r w:rsidRPr="002C2BB4">
              <w:rPr>
                <w:rFonts w:ascii="Arial" w:eastAsia="Arial" w:hAnsi="Arial" w:cs="Arial"/>
                <w:b/>
                <w:sz w:val="13"/>
                <w:szCs w:val="13"/>
              </w:rPr>
              <w:t>N</w:t>
            </w:r>
            <w:r w:rsidRPr="002C2BB4">
              <w:rPr>
                <w:rFonts w:ascii="Arial" w:eastAsia="Arial" w:hAnsi="Arial" w:cs="Arial"/>
                <w:b/>
                <w:spacing w:val="4"/>
                <w:sz w:val="13"/>
                <w:szCs w:val="13"/>
              </w:rPr>
              <w:t xml:space="preserve"> </w:t>
            </w:r>
            <w:r w:rsidRPr="002C2BB4">
              <w:rPr>
                <w:rFonts w:ascii="Arial" w:eastAsia="Arial" w:hAnsi="Arial" w:cs="Arial"/>
                <w:b/>
                <w:sz w:val="13"/>
                <w:szCs w:val="13"/>
              </w:rPr>
              <w:t>Y</w:t>
            </w:r>
            <w:r>
              <w:rPr>
                <w:rFonts w:ascii="Arial" w:eastAsia="Arial" w:hAnsi="Arial" w:cs="Arial"/>
                <w:b/>
                <w:sz w:val="13"/>
                <w:szCs w:val="13"/>
              </w:rPr>
              <w:t xml:space="preserve"> </w:t>
            </w:r>
            <w:r w:rsidRPr="002C2BB4">
              <w:rPr>
                <w:rFonts w:ascii="Arial" w:eastAsia="Arial" w:hAnsi="Arial" w:cs="Arial"/>
                <w:b/>
                <w:sz w:val="13"/>
                <w:szCs w:val="13"/>
              </w:rPr>
              <w:t>RE</w:t>
            </w:r>
            <w:r w:rsidRPr="002C2BB4">
              <w:rPr>
                <w:rFonts w:ascii="Arial" w:eastAsia="Arial" w:hAnsi="Arial" w:cs="Arial"/>
                <w:b/>
                <w:spacing w:val="1"/>
                <w:sz w:val="13"/>
                <w:szCs w:val="13"/>
              </w:rPr>
              <w:t>S</w:t>
            </w:r>
            <w:r w:rsidRPr="002C2BB4">
              <w:rPr>
                <w:rFonts w:ascii="Arial" w:eastAsia="Arial" w:hAnsi="Arial" w:cs="Arial"/>
                <w:b/>
                <w:spacing w:val="-1"/>
                <w:sz w:val="13"/>
                <w:szCs w:val="13"/>
              </w:rPr>
              <w:t>O</w:t>
            </w:r>
            <w:r w:rsidRPr="002C2BB4">
              <w:rPr>
                <w:rFonts w:ascii="Arial" w:eastAsia="Arial" w:hAnsi="Arial" w:cs="Arial"/>
                <w:b/>
                <w:sz w:val="13"/>
                <w:szCs w:val="13"/>
              </w:rPr>
              <w:t>L</w:t>
            </w:r>
            <w:r w:rsidRPr="002C2BB4">
              <w:rPr>
                <w:rFonts w:ascii="Arial" w:eastAsia="Arial" w:hAnsi="Arial" w:cs="Arial"/>
                <w:b/>
                <w:spacing w:val="1"/>
                <w:sz w:val="13"/>
                <w:szCs w:val="13"/>
              </w:rPr>
              <w:t>U</w:t>
            </w:r>
            <w:r w:rsidRPr="002C2BB4">
              <w:rPr>
                <w:rFonts w:ascii="Arial" w:eastAsia="Arial" w:hAnsi="Arial" w:cs="Arial"/>
                <w:b/>
                <w:spacing w:val="-1"/>
                <w:sz w:val="13"/>
                <w:szCs w:val="13"/>
              </w:rPr>
              <w:t>C</w:t>
            </w:r>
            <w:r w:rsidRPr="002C2BB4">
              <w:rPr>
                <w:rFonts w:ascii="Arial" w:eastAsia="Arial" w:hAnsi="Arial" w:cs="Arial"/>
                <w:b/>
                <w:spacing w:val="2"/>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N</w:t>
            </w:r>
          </w:p>
        </w:tc>
        <w:tc>
          <w:tcPr>
            <w:tcW w:w="794"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tcPr>
          <w:p w:rsidR="00A256AB" w:rsidRPr="002C2BB4" w:rsidRDefault="002C2BB4" w:rsidP="00A256AB">
            <w:pPr>
              <w:ind w:right="47"/>
              <w:jc w:val="center"/>
              <w:rPr>
                <w:rFonts w:ascii="Arial" w:eastAsia="Arial" w:hAnsi="Arial" w:cs="Arial"/>
                <w:b/>
                <w:sz w:val="13"/>
                <w:szCs w:val="13"/>
              </w:rPr>
            </w:pPr>
            <w:r w:rsidRPr="002C2BB4">
              <w:rPr>
                <w:rFonts w:ascii="Arial" w:eastAsia="Arial" w:hAnsi="Arial" w:cs="Arial"/>
                <w:b/>
                <w:sz w:val="13"/>
                <w:szCs w:val="13"/>
              </w:rPr>
              <w:t>A</w:t>
            </w:r>
            <w:r w:rsidRPr="002C2BB4">
              <w:rPr>
                <w:rFonts w:ascii="Arial" w:eastAsia="Arial" w:hAnsi="Arial" w:cs="Arial"/>
                <w:b/>
                <w:spacing w:val="-1"/>
                <w:sz w:val="13"/>
                <w:szCs w:val="13"/>
              </w:rPr>
              <w:t>P</w:t>
            </w:r>
            <w:r w:rsidRPr="002C2BB4">
              <w:rPr>
                <w:rFonts w:ascii="Arial" w:eastAsia="Arial" w:hAnsi="Arial" w:cs="Arial"/>
                <w:b/>
                <w:spacing w:val="1"/>
                <w:sz w:val="13"/>
                <w:szCs w:val="13"/>
              </w:rPr>
              <w:t>RO</w:t>
            </w:r>
            <w:r w:rsidRPr="002C2BB4">
              <w:rPr>
                <w:rFonts w:ascii="Arial" w:eastAsia="Arial" w:hAnsi="Arial" w:cs="Arial"/>
                <w:b/>
                <w:spacing w:val="-1"/>
                <w:sz w:val="13"/>
                <w:szCs w:val="13"/>
              </w:rPr>
              <w:t>B</w:t>
            </w:r>
            <w:r w:rsidRPr="002C2BB4">
              <w:rPr>
                <w:rFonts w:ascii="Arial" w:eastAsia="Arial" w:hAnsi="Arial" w:cs="Arial"/>
                <w:b/>
                <w:spacing w:val="2"/>
                <w:sz w:val="13"/>
                <w:szCs w:val="13"/>
              </w:rPr>
              <w:t>A</w:t>
            </w:r>
            <w:r w:rsidRPr="002C2BB4">
              <w:rPr>
                <w:rFonts w:ascii="Arial" w:eastAsia="Arial" w:hAnsi="Arial" w:cs="Arial"/>
                <w:b/>
                <w:spacing w:val="-1"/>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 xml:space="preserve">N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8"/>
                <w:sz w:val="13"/>
                <w:szCs w:val="13"/>
              </w:rPr>
              <w:t xml:space="preserve"> </w:t>
            </w:r>
            <w:r w:rsidRPr="002C2BB4">
              <w:rPr>
                <w:rFonts w:ascii="Arial" w:eastAsia="Arial" w:hAnsi="Arial" w:cs="Arial"/>
                <w:b/>
                <w:spacing w:val="2"/>
                <w:sz w:val="13"/>
                <w:szCs w:val="13"/>
              </w:rPr>
              <w:t>L</w:t>
            </w:r>
            <w:r w:rsidRPr="002C2BB4">
              <w:rPr>
                <w:rFonts w:ascii="Arial" w:eastAsia="Arial" w:hAnsi="Arial" w:cs="Arial"/>
                <w:b/>
                <w:sz w:val="13"/>
                <w:szCs w:val="13"/>
              </w:rPr>
              <w:t>A C</w:t>
            </w:r>
            <w:r w:rsidRPr="002C2BB4">
              <w:rPr>
                <w:rFonts w:ascii="Arial" w:eastAsia="Arial" w:hAnsi="Arial" w:cs="Arial"/>
                <w:b/>
                <w:spacing w:val="-1"/>
                <w:sz w:val="13"/>
                <w:szCs w:val="13"/>
              </w:rPr>
              <w:t>O</w:t>
            </w:r>
            <w:r w:rsidRPr="002C2BB4">
              <w:rPr>
                <w:rFonts w:ascii="Arial" w:eastAsia="Arial" w:hAnsi="Arial" w:cs="Arial"/>
                <w:b/>
                <w:spacing w:val="1"/>
                <w:sz w:val="13"/>
                <w:szCs w:val="13"/>
              </w:rPr>
              <w:t>M</w:t>
            </w:r>
            <w:r w:rsidRPr="002C2BB4">
              <w:rPr>
                <w:rFonts w:ascii="Arial" w:eastAsia="Arial" w:hAnsi="Arial" w:cs="Arial"/>
                <w:b/>
                <w:sz w:val="13"/>
                <w:szCs w:val="13"/>
              </w:rPr>
              <w:t>I</w:t>
            </w:r>
            <w:r w:rsidRPr="002C2BB4">
              <w:rPr>
                <w:rFonts w:ascii="Arial" w:eastAsia="Arial" w:hAnsi="Arial" w:cs="Arial"/>
                <w:b/>
                <w:spacing w:val="-1"/>
                <w:sz w:val="13"/>
                <w:szCs w:val="13"/>
              </w:rPr>
              <w:t>S</w:t>
            </w:r>
            <w:r w:rsidRPr="002C2BB4">
              <w:rPr>
                <w:rFonts w:ascii="Arial" w:eastAsia="Arial" w:hAnsi="Arial" w:cs="Arial"/>
                <w:b/>
                <w:spacing w:val="2"/>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N</w:t>
            </w:r>
            <w:r w:rsidRPr="002C2BB4">
              <w:rPr>
                <w:rFonts w:ascii="Arial" w:eastAsia="Arial" w:hAnsi="Arial" w:cs="Arial"/>
                <w:b/>
                <w:spacing w:val="25"/>
                <w:sz w:val="13"/>
                <w:szCs w:val="13"/>
              </w:rPr>
              <w:t xml:space="preserve"> </w:t>
            </w:r>
            <w:r w:rsidRPr="002C2BB4">
              <w:rPr>
                <w:rFonts w:ascii="Arial" w:eastAsia="Arial" w:hAnsi="Arial" w:cs="Arial"/>
                <w:b/>
                <w:spacing w:val="1"/>
                <w:sz w:val="13"/>
                <w:szCs w:val="13"/>
              </w:rPr>
              <w:t>D</w:t>
            </w:r>
            <w:r w:rsidRPr="002C2BB4">
              <w:rPr>
                <w:rFonts w:ascii="Arial" w:eastAsia="Arial" w:hAnsi="Arial" w:cs="Arial"/>
                <w:b/>
                <w:sz w:val="13"/>
                <w:szCs w:val="13"/>
              </w:rPr>
              <w:t xml:space="preserve">E </w:t>
            </w:r>
            <w:r w:rsidRPr="002C2BB4">
              <w:rPr>
                <w:rFonts w:ascii="Arial" w:eastAsia="Arial" w:hAnsi="Arial" w:cs="Arial"/>
                <w:b/>
                <w:spacing w:val="-1"/>
                <w:sz w:val="13"/>
                <w:szCs w:val="13"/>
              </w:rPr>
              <w:t>F</w:t>
            </w:r>
            <w:r w:rsidRPr="002C2BB4">
              <w:rPr>
                <w:rFonts w:ascii="Arial" w:eastAsia="Arial" w:hAnsi="Arial" w:cs="Arial"/>
                <w:b/>
                <w:sz w:val="13"/>
                <w:szCs w:val="13"/>
              </w:rPr>
              <w:t>I</w:t>
            </w:r>
            <w:r w:rsidRPr="002C2BB4">
              <w:rPr>
                <w:rFonts w:ascii="Arial" w:eastAsia="Arial" w:hAnsi="Arial" w:cs="Arial"/>
                <w:b/>
                <w:spacing w:val="1"/>
                <w:sz w:val="13"/>
                <w:szCs w:val="13"/>
              </w:rPr>
              <w:t>S</w:t>
            </w:r>
            <w:r w:rsidRPr="002C2BB4">
              <w:rPr>
                <w:rFonts w:ascii="Arial" w:eastAsia="Arial" w:hAnsi="Arial" w:cs="Arial"/>
                <w:b/>
                <w:spacing w:val="-1"/>
                <w:sz w:val="13"/>
                <w:szCs w:val="13"/>
              </w:rPr>
              <w:t>CA</w:t>
            </w:r>
            <w:r w:rsidRPr="002C2BB4">
              <w:rPr>
                <w:rFonts w:ascii="Arial" w:eastAsia="Arial" w:hAnsi="Arial" w:cs="Arial"/>
                <w:b/>
                <w:spacing w:val="2"/>
                <w:sz w:val="13"/>
                <w:szCs w:val="13"/>
              </w:rPr>
              <w:t>L</w:t>
            </w:r>
            <w:r w:rsidRPr="002C2BB4">
              <w:rPr>
                <w:rFonts w:ascii="Arial" w:eastAsia="Arial" w:hAnsi="Arial" w:cs="Arial"/>
                <w:b/>
                <w:sz w:val="13"/>
                <w:szCs w:val="13"/>
              </w:rPr>
              <w:t>IZ</w:t>
            </w:r>
            <w:r w:rsidRPr="002C2BB4">
              <w:rPr>
                <w:rFonts w:ascii="Arial" w:eastAsia="Arial" w:hAnsi="Arial" w:cs="Arial"/>
                <w:b/>
                <w:spacing w:val="1"/>
                <w:sz w:val="13"/>
                <w:szCs w:val="13"/>
              </w:rPr>
              <w:t>A</w:t>
            </w:r>
            <w:r w:rsidRPr="002C2BB4">
              <w:rPr>
                <w:rFonts w:ascii="Arial" w:eastAsia="Arial" w:hAnsi="Arial" w:cs="Arial"/>
                <w:b/>
                <w:spacing w:val="-1"/>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N</w:t>
            </w:r>
          </w:p>
        </w:tc>
        <w:tc>
          <w:tcPr>
            <w:tcW w:w="719" w:type="pct"/>
            <w:tcBorders>
              <w:top w:val="single" w:sz="6" w:space="0" w:color="000000"/>
              <w:left w:val="single" w:sz="6" w:space="0" w:color="000000"/>
              <w:bottom w:val="single" w:sz="4" w:space="0" w:color="auto"/>
              <w:right w:val="single" w:sz="6" w:space="0" w:color="000000"/>
            </w:tcBorders>
            <w:shd w:val="clear" w:color="auto" w:fill="FBE4D5" w:themeFill="accent2" w:themeFillTint="33"/>
            <w:vAlign w:val="center"/>
            <w:hideMark/>
          </w:tcPr>
          <w:p w:rsidR="00A256AB" w:rsidRPr="002C2BB4" w:rsidRDefault="002C2BB4" w:rsidP="00A256AB">
            <w:pPr>
              <w:spacing w:before="45"/>
              <w:ind w:left="62" w:right="44"/>
              <w:jc w:val="center"/>
              <w:rPr>
                <w:rFonts w:ascii="Arial" w:eastAsia="Arial" w:hAnsi="Arial" w:cs="Arial"/>
                <w:b/>
                <w:sz w:val="13"/>
                <w:szCs w:val="13"/>
              </w:rPr>
            </w:pPr>
            <w:r w:rsidRPr="002C2BB4">
              <w:rPr>
                <w:rFonts w:ascii="Arial" w:eastAsia="Arial" w:hAnsi="Arial" w:cs="Arial"/>
                <w:b/>
                <w:sz w:val="13"/>
                <w:szCs w:val="13"/>
              </w:rPr>
              <w:t>A</w:t>
            </w:r>
            <w:r w:rsidRPr="002C2BB4">
              <w:rPr>
                <w:rFonts w:ascii="Arial" w:eastAsia="Arial" w:hAnsi="Arial" w:cs="Arial"/>
                <w:b/>
                <w:spacing w:val="-1"/>
                <w:sz w:val="13"/>
                <w:szCs w:val="13"/>
              </w:rPr>
              <w:t>P</w:t>
            </w:r>
            <w:r w:rsidRPr="002C2BB4">
              <w:rPr>
                <w:rFonts w:ascii="Arial" w:eastAsia="Arial" w:hAnsi="Arial" w:cs="Arial"/>
                <w:b/>
                <w:spacing w:val="1"/>
                <w:sz w:val="13"/>
                <w:szCs w:val="13"/>
              </w:rPr>
              <w:t>RO</w:t>
            </w:r>
            <w:r w:rsidRPr="002C2BB4">
              <w:rPr>
                <w:rFonts w:ascii="Arial" w:eastAsia="Arial" w:hAnsi="Arial" w:cs="Arial"/>
                <w:b/>
                <w:spacing w:val="-1"/>
                <w:sz w:val="13"/>
                <w:szCs w:val="13"/>
              </w:rPr>
              <w:t>B</w:t>
            </w:r>
            <w:r w:rsidRPr="002C2BB4">
              <w:rPr>
                <w:rFonts w:ascii="Arial" w:eastAsia="Arial" w:hAnsi="Arial" w:cs="Arial"/>
                <w:b/>
                <w:spacing w:val="2"/>
                <w:sz w:val="13"/>
                <w:szCs w:val="13"/>
              </w:rPr>
              <w:t>A</w:t>
            </w:r>
            <w:r w:rsidRPr="002C2BB4">
              <w:rPr>
                <w:rFonts w:ascii="Arial" w:eastAsia="Arial" w:hAnsi="Arial" w:cs="Arial"/>
                <w:b/>
                <w:spacing w:val="-1"/>
                <w:sz w:val="13"/>
                <w:szCs w:val="13"/>
              </w:rPr>
              <w:t>C</w:t>
            </w:r>
            <w:r w:rsidRPr="002C2BB4">
              <w:rPr>
                <w:rFonts w:ascii="Arial" w:eastAsia="Arial" w:hAnsi="Arial" w:cs="Arial"/>
                <w:b/>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 xml:space="preserve">N </w:t>
            </w:r>
            <w:r w:rsidRPr="002C2BB4">
              <w:rPr>
                <w:rFonts w:ascii="Arial" w:eastAsia="Arial" w:hAnsi="Arial" w:cs="Arial"/>
                <w:b/>
                <w:spacing w:val="-1"/>
                <w:sz w:val="13"/>
                <w:szCs w:val="13"/>
              </w:rPr>
              <w:t>DE</w:t>
            </w:r>
            <w:r w:rsidRPr="002C2BB4">
              <w:rPr>
                <w:rFonts w:ascii="Arial" w:eastAsia="Arial" w:hAnsi="Arial" w:cs="Arial"/>
                <w:b/>
                <w:sz w:val="13"/>
                <w:szCs w:val="13"/>
              </w:rPr>
              <w:t xml:space="preserve">L CG </w:t>
            </w:r>
            <w:r w:rsidRPr="002C2BB4">
              <w:rPr>
                <w:rFonts w:ascii="Arial" w:eastAsia="Arial" w:hAnsi="Arial" w:cs="Arial"/>
                <w:b/>
                <w:spacing w:val="-1"/>
                <w:sz w:val="13"/>
                <w:szCs w:val="13"/>
              </w:rPr>
              <w:t>PA</w:t>
            </w:r>
            <w:r w:rsidRPr="002C2BB4">
              <w:rPr>
                <w:rFonts w:ascii="Arial" w:eastAsia="Arial" w:hAnsi="Arial" w:cs="Arial"/>
                <w:b/>
                <w:spacing w:val="1"/>
                <w:sz w:val="13"/>
                <w:szCs w:val="13"/>
              </w:rPr>
              <w:t>R</w:t>
            </w:r>
            <w:r w:rsidRPr="002C2BB4">
              <w:rPr>
                <w:rFonts w:ascii="Arial" w:eastAsia="Arial" w:hAnsi="Arial" w:cs="Arial"/>
                <w:b/>
                <w:sz w:val="13"/>
                <w:szCs w:val="13"/>
              </w:rPr>
              <w:t xml:space="preserve">A       </w:t>
            </w:r>
            <w:r w:rsidRPr="002C2BB4">
              <w:rPr>
                <w:rFonts w:ascii="Arial" w:eastAsia="Arial" w:hAnsi="Arial" w:cs="Arial"/>
                <w:b/>
                <w:spacing w:val="8"/>
                <w:sz w:val="13"/>
                <w:szCs w:val="13"/>
              </w:rPr>
              <w:t xml:space="preserve"> </w:t>
            </w:r>
            <w:r w:rsidRPr="002C2BB4">
              <w:rPr>
                <w:rFonts w:ascii="Arial" w:eastAsia="Arial" w:hAnsi="Arial" w:cs="Arial"/>
                <w:b/>
                <w:spacing w:val="2"/>
                <w:sz w:val="13"/>
                <w:szCs w:val="13"/>
              </w:rPr>
              <w:t>S</w:t>
            </w:r>
            <w:r w:rsidRPr="002C2BB4">
              <w:rPr>
                <w:rFonts w:ascii="Arial" w:eastAsia="Arial" w:hAnsi="Arial" w:cs="Arial"/>
                <w:b/>
                <w:sz w:val="13"/>
                <w:szCs w:val="13"/>
              </w:rPr>
              <w:t xml:space="preserve">U </w:t>
            </w:r>
            <w:r w:rsidRPr="002C2BB4">
              <w:rPr>
                <w:rFonts w:ascii="Arial" w:eastAsia="Arial" w:hAnsi="Arial" w:cs="Arial"/>
                <w:b/>
                <w:spacing w:val="-1"/>
                <w:sz w:val="13"/>
                <w:szCs w:val="13"/>
              </w:rPr>
              <w:t>AP</w:t>
            </w:r>
            <w:r w:rsidRPr="002C2BB4">
              <w:rPr>
                <w:rFonts w:ascii="Arial" w:eastAsia="Arial" w:hAnsi="Arial" w:cs="Arial"/>
                <w:b/>
                <w:spacing w:val="1"/>
                <w:sz w:val="13"/>
                <w:szCs w:val="13"/>
              </w:rPr>
              <w:t>RO</w:t>
            </w:r>
            <w:r w:rsidRPr="002C2BB4">
              <w:rPr>
                <w:rFonts w:ascii="Arial" w:eastAsia="Arial" w:hAnsi="Arial" w:cs="Arial"/>
                <w:b/>
                <w:spacing w:val="-1"/>
                <w:sz w:val="13"/>
                <w:szCs w:val="13"/>
              </w:rPr>
              <w:t>B</w:t>
            </w:r>
            <w:r w:rsidRPr="002C2BB4">
              <w:rPr>
                <w:rFonts w:ascii="Arial" w:eastAsia="Arial" w:hAnsi="Arial" w:cs="Arial"/>
                <w:b/>
                <w:spacing w:val="2"/>
                <w:sz w:val="13"/>
                <w:szCs w:val="13"/>
              </w:rPr>
              <w:t>A</w:t>
            </w:r>
            <w:r w:rsidRPr="002C2BB4">
              <w:rPr>
                <w:rFonts w:ascii="Arial" w:eastAsia="Arial" w:hAnsi="Arial" w:cs="Arial"/>
                <w:b/>
                <w:spacing w:val="-1"/>
                <w:sz w:val="13"/>
                <w:szCs w:val="13"/>
              </w:rPr>
              <w:t>C</w:t>
            </w:r>
            <w:r w:rsidRPr="002C2BB4">
              <w:rPr>
                <w:rFonts w:ascii="Arial" w:eastAsia="Arial" w:hAnsi="Arial" w:cs="Arial"/>
                <w:b/>
                <w:spacing w:val="2"/>
                <w:sz w:val="13"/>
                <w:szCs w:val="13"/>
              </w:rPr>
              <w:t>I</w:t>
            </w:r>
            <w:r w:rsidRPr="002C2BB4">
              <w:rPr>
                <w:rFonts w:ascii="Arial" w:eastAsia="Arial" w:hAnsi="Arial" w:cs="Arial"/>
                <w:b/>
                <w:spacing w:val="-1"/>
                <w:sz w:val="13"/>
                <w:szCs w:val="13"/>
              </w:rPr>
              <w:t>Ó</w:t>
            </w:r>
            <w:r w:rsidRPr="002C2BB4">
              <w:rPr>
                <w:rFonts w:ascii="Arial" w:eastAsia="Arial" w:hAnsi="Arial" w:cs="Arial"/>
                <w:b/>
                <w:sz w:val="13"/>
                <w:szCs w:val="13"/>
              </w:rPr>
              <w:t>N</w:t>
            </w:r>
          </w:p>
        </w:tc>
      </w:tr>
      <w:tr w:rsidR="00A256AB" w:rsidRPr="00A85D78" w:rsidTr="00805545">
        <w:trPr>
          <w:trHeight w:hRule="exact" w:val="564"/>
        </w:trPr>
        <w:tc>
          <w:tcPr>
            <w:tcW w:w="835"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spacing w:before="81"/>
              <w:ind w:left="56" w:right="52"/>
              <w:rPr>
                <w:rFonts w:ascii="Arial" w:eastAsia="Arial" w:hAnsi="Arial" w:cs="Arial"/>
                <w:sz w:val="14"/>
                <w:szCs w:val="14"/>
              </w:rPr>
            </w:pPr>
            <w:r w:rsidRPr="00A85D78">
              <w:rPr>
                <w:rFonts w:ascii="Arial" w:eastAsia="Arial" w:hAnsi="Arial" w:cs="Arial"/>
                <w:sz w:val="14"/>
                <w:szCs w:val="14"/>
              </w:rPr>
              <w:t>No mayor a 35 días</w:t>
            </w:r>
          </w:p>
        </w:tc>
        <w:tc>
          <w:tcPr>
            <w:tcW w:w="579"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 xml:space="preserve">3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43"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68"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5</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662"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9"/>
              <w:jc w:val="center"/>
              <w:rPr>
                <w:rFonts w:ascii="Arial" w:eastAsia="Arial" w:hAnsi="Arial" w:cs="Arial"/>
                <w:sz w:val="14"/>
                <w:szCs w:val="14"/>
              </w:rPr>
            </w:pPr>
            <w:r w:rsidRPr="00A85D78">
              <w:rPr>
                <w:rFonts w:ascii="Arial" w:eastAsia="Arial" w:hAnsi="Arial" w:cs="Arial"/>
                <w:spacing w:val="-1"/>
                <w:sz w:val="14"/>
                <w:szCs w:val="14"/>
              </w:rPr>
              <w:t>1</w:t>
            </w:r>
            <w:r w:rsidRPr="00A85D78">
              <w:rPr>
                <w:rFonts w:ascii="Arial" w:eastAsia="Arial" w:hAnsi="Arial" w:cs="Arial"/>
                <w:sz w:val="14"/>
                <w:szCs w:val="14"/>
              </w:rPr>
              <w:t>0</w:t>
            </w:r>
            <w:r w:rsidRPr="00A85D78">
              <w:rPr>
                <w:rFonts w:ascii="Arial" w:eastAsia="Arial" w:hAnsi="Arial" w:cs="Arial"/>
                <w:spacing w:val="-1"/>
                <w:sz w:val="14"/>
                <w:szCs w:val="14"/>
              </w:rPr>
              <w:t xml:space="preserve"> </w:t>
            </w:r>
            <w:r w:rsidRPr="00A85D78">
              <w:rPr>
                <w:rFonts w:ascii="Arial" w:eastAsia="Arial" w:hAnsi="Arial" w:cs="Arial"/>
                <w:spacing w:val="2"/>
                <w:sz w:val="14"/>
                <w:szCs w:val="14"/>
              </w:rPr>
              <w:t>d</w:t>
            </w:r>
            <w:r w:rsidRPr="00A85D78">
              <w:rPr>
                <w:rFonts w:ascii="Arial" w:eastAsia="Arial" w:hAnsi="Arial" w:cs="Arial"/>
                <w:spacing w:val="-3"/>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94" w:type="pct"/>
            <w:tcBorders>
              <w:top w:val="nil"/>
              <w:left w:val="single" w:sz="6" w:space="0" w:color="000000"/>
              <w:bottom w:val="single" w:sz="6" w:space="0" w:color="000000"/>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c>
          <w:tcPr>
            <w:tcW w:w="719" w:type="pct"/>
            <w:tcBorders>
              <w:top w:val="nil"/>
              <w:left w:val="single" w:sz="6" w:space="0" w:color="000000"/>
              <w:bottom w:val="single" w:sz="6" w:space="0" w:color="000000"/>
              <w:right w:val="single" w:sz="4" w:space="0" w:color="auto"/>
            </w:tcBorders>
            <w:shd w:val="clear" w:color="auto" w:fill="auto"/>
            <w:vAlign w:val="center"/>
            <w:hideMark/>
          </w:tcPr>
          <w:p w:rsidR="00A256AB" w:rsidRPr="00A85D78" w:rsidRDefault="00A256AB" w:rsidP="00A256AB">
            <w:pPr>
              <w:ind w:left="62"/>
              <w:jc w:val="center"/>
              <w:rPr>
                <w:rFonts w:ascii="Arial" w:eastAsia="Arial" w:hAnsi="Arial" w:cs="Arial"/>
                <w:sz w:val="14"/>
                <w:szCs w:val="14"/>
              </w:rPr>
            </w:pPr>
            <w:r w:rsidRPr="00A85D78">
              <w:rPr>
                <w:rFonts w:ascii="Arial" w:eastAsia="Arial" w:hAnsi="Arial" w:cs="Arial"/>
                <w:sz w:val="14"/>
                <w:szCs w:val="14"/>
              </w:rPr>
              <w:t>6</w:t>
            </w:r>
            <w:r w:rsidRPr="00A85D78">
              <w:rPr>
                <w:rFonts w:ascii="Arial" w:eastAsia="Arial" w:hAnsi="Arial" w:cs="Arial"/>
                <w:spacing w:val="-2"/>
                <w:sz w:val="14"/>
                <w:szCs w:val="14"/>
              </w:rPr>
              <w:t xml:space="preserve"> </w:t>
            </w:r>
            <w:r w:rsidRPr="00A85D78">
              <w:rPr>
                <w:rFonts w:ascii="Arial" w:eastAsia="Arial" w:hAnsi="Arial" w:cs="Arial"/>
                <w:spacing w:val="1"/>
                <w:sz w:val="14"/>
                <w:szCs w:val="14"/>
              </w:rPr>
              <w:t>d</w:t>
            </w:r>
            <w:r w:rsidRPr="00A85D78">
              <w:rPr>
                <w:rFonts w:ascii="Arial" w:eastAsia="Arial" w:hAnsi="Arial" w:cs="Arial"/>
                <w:sz w:val="14"/>
                <w:szCs w:val="14"/>
              </w:rPr>
              <w:t>í</w:t>
            </w:r>
            <w:r w:rsidRPr="00A85D78">
              <w:rPr>
                <w:rFonts w:ascii="Arial" w:eastAsia="Arial" w:hAnsi="Arial" w:cs="Arial"/>
                <w:spacing w:val="-1"/>
                <w:sz w:val="14"/>
                <w:szCs w:val="14"/>
              </w:rPr>
              <w:t>a</w:t>
            </w:r>
            <w:r w:rsidRPr="00A85D78">
              <w:rPr>
                <w:rFonts w:ascii="Arial" w:eastAsia="Arial" w:hAnsi="Arial" w:cs="Arial"/>
                <w:sz w:val="14"/>
                <w:szCs w:val="14"/>
              </w:rPr>
              <w:t>s</w:t>
            </w:r>
          </w:p>
        </w:tc>
      </w:tr>
      <w:tr w:rsidR="00A256AB" w:rsidRPr="00A85D78" w:rsidTr="00805545">
        <w:trPr>
          <w:trHeight w:hRule="exact" w:val="719"/>
        </w:trPr>
        <w:tc>
          <w:tcPr>
            <w:tcW w:w="835"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21"/>
              <w:ind w:right="51"/>
              <w:jc w:val="center"/>
              <w:rPr>
                <w:rFonts w:ascii="Arial" w:eastAsia="Arial" w:hAnsi="Arial" w:cs="Arial"/>
                <w:sz w:val="14"/>
                <w:szCs w:val="14"/>
                <w:highlight w:val="yellow"/>
              </w:rPr>
            </w:pPr>
            <w:r w:rsidRPr="00A85D78">
              <w:rPr>
                <w:rFonts w:ascii="Arial" w:hAnsi="Arial" w:cs="Arial"/>
                <w:bCs/>
                <w:sz w:val="14"/>
                <w:szCs w:val="14"/>
              </w:rPr>
              <w:t xml:space="preserve">01 </w:t>
            </w:r>
            <w:r w:rsidR="00600C69" w:rsidRPr="00A85D78">
              <w:rPr>
                <w:rFonts w:ascii="Arial" w:hAnsi="Arial" w:cs="Arial"/>
                <w:bCs/>
                <w:sz w:val="14"/>
                <w:szCs w:val="14"/>
              </w:rPr>
              <w:t>mayo</w:t>
            </w:r>
            <w:r w:rsidRPr="00A85D78">
              <w:rPr>
                <w:rFonts w:ascii="Arial" w:hAnsi="Arial" w:cs="Arial"/>
                <w:bCs/>
                <w:sz w:val="14"/>
                <w:szCs w:val="14"/>
              </w:rPr>
              <w:t xml:space="preserve"> – 03 </w:t>
            </w:r>
            <w:r w:rsidR="00600C69" w:rsidRPr="00A85D78">
              <w:rPr>
                <w:rFonts w:ascii="Arial" w:hAnsi="Arial" w:cs="Arial"/>
                <w:bCs/>
                <w:sz w:val="14"/>
                <w:szCs w:val="14"/>
              </w:rPr>
              <w:t>junio</w:t>
            </w:r>
          </w:p>
        </w:tc>
        <w:tc>
          <w:tcPr>
            <w:tcW w:w="579"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21"/>
              <w:ind w:left="56" w:right="51"/>
              <w:jc w:val="center"/>
              <w:rPr>
                <w:rFonts w:ascii="Arial" w:eastAsia="Arial" w:hAnsi="Arial" w:cs="Arial"/>
                <w:sz w:val="14"/>
                <w:szCs w:val="14"/>
              </w:rPr>
            </w:pPr>
            <w:r w:rsidRPr="00A85D78">
              <w:rPr>
                <w:rFonts w:ascii="Arial" w:eastAsia="Arial" w:hAnsi="Arial" w:cs="Arial"/>
                <w:sz w:val="14"/>
                <w:szCs w:val="14"/>
              </w:rPr>
              <w:t xml:space="preserve">06 de </w:t>
            </w:r>
            <w:r w:rsidR="00600C69" w:rsidRPr="00A85D78">
              <w:rPr>
                <w:rFonts w:ascii="Arial" w:eastAsia="Arial" w:hAnsi="Arial" w:cs="Arial"/>
                <w:sz w:val="14"/>
                <w:szCs w:val="14"/>
              </w:rPr>
              <w:t>junio</w:t>
            </w:r>
            <w:r w:rsidRPr="00A85D78">
              <w:rPr>
                <w:rFonts w:ascii="Arial" w:eastAsia="Arial" w:hAnsi="Arial" w:cs="Arial"/>
                <w:sz w:val="14"/>
                <w:szCs w:val="14"/>
              </w:rPr>
              <w:t xml:space="preserve"> </w:t>
            </w:r>
          </w:p>
        </w:tc>
        <w:tc>
          <w:tcPr>
            <w:tcW w:w="743"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before="4"/>
              <w:ind w:left="58" w:right="220"/>
              <w:jc w:val="center"/>
              <w:rPr>
                <w:rFonts w:ascii="Arial" w:eastAsia="Arial" w:hAnsi="Arial" w:cs="Arial"/>
                <w:sz w:val="14"/>
                <w:szCs w:val="14"/>
              </w:rPr>
            </w:pPr>
            <w:r w:rsidRPr="00A85D78">
              <w:rPr>
                <w:rFonts w:ascii="Arial" w:eastAsia="Arial" w:hAnsi="Arial" w:cs="Arial"/>
                <w:sz w:val="14"/>
                <w:szCs w:val="14"/>
              </w:rPr>
              <w:t xml:space="preserve">16 de junio </w:t>
            </w:r>
          </w:p>
        </w:tc>
        <w:tc>
          <w:tcPr>
            <w:tcW w:w="668"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line="242" w:lineRule="auto"/>
              <w:ind w:left="58" w:right="45"/>
              <w:jc w:val="center"/>
              <w:rPr>
                <w:rFonts w:ascii="Arial" w:eastAsia="Arial" w:hAnsi="Arial" w:cs="Arial"/>
                <w:sz w:val="14"/>
                <w:szCs w:val="14"/>
              </w:rPr>
            </w:pPr>
            <w:r w:rsidRPr="00A85D78">
              <w:rPr>
                <w:rFonts w:ascii="Arial" w:eastAsia="Arial" w:hAnsi="Arial" w:cs="Arial"/>
                <w:sz w:val="14"/>
                <w:szCs w:val="14"/>
              </w:rPr>
              <w:t xml:space="preserve">21 de </w:t>
            </w:r>
            <w:r w:rsidR="00600C69" w:rsidRPr="00A85D78">
              <w:rPr>
                <w:rFonts w:ascii="Arial" w:eastAsia="Arial" w:hAnsi="Arial" w:cs="Arial"/>
                <w:sz w:val="14"/>
                <w:szCs w:val="14"/>
              </w:rPr>
              <w:t>junio</w:t>
            </w:r>
            <w:r w:rsidRPr="00A85D78">
              <w:rPr>
                <w:rFonts w:ascii="Arial" w:eastAsia="Arial" w:hAnsi="Arial" w:cs="Arial"/>
                <w:sz w:val="14"/>
                <w:szCs w:val="14"/>
              </w:rPr>
              <w:t xml:space="preserve"> </w:t>
            </w:r>
          </w:p>
        </w:tc>
        <w:tc>
          <w:tcPr>
            <w:tcW w:w="662"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spacing w:line="242" w:lineRule="auto"/>
              <w:ind w:left="59" w:right="47"/>
              <w:jc w:val="center"/>
              <w:rPr>
                <w:rFonts w:ascii="Arial" w:eastAsia="Arial" w:hAnsi="Arial" w:cs="Arial"/>
                <w:sz w:val="14"/>
                <w:szCs w:val="14"/>
              </w:rPr>
            </w:pPr>
            <w:r w:rsidRPr="00A85D78">
              <w:rPr>
                <w:rFonts w:ascii="Arial" w:eastAsia="Arial" w:hAnsi="Arial" w:cs="Arial"/>
                <w:sz w:val="14"/>
                <w:szCs w:val="14"/>
              </w:rPr>
              <w:t xml:space="preserve">01 de julio </w:t>
            </w:r>
          </w:p>
        </w:tc>
        <w:tc>
          <w:tcPr>
            <w:tcW w:w="794" w:type="pct"/>
            <w:tcBorders>
              <w:top w:val="single" w:sz="6" w:space="0" w:color="000000"/>
              <w:left w:val="single" w:sz="6" w:space="0" w:color="000000"/>
              <w:bottom w:val="single" w:sz="4" w:space="0" w:color="auto"/>
              <w:right w:val="single" w:sz="6" w:space="0" w:color="000000"/>
            </w:tcBorders>
            <w:shd w:val="clear" w:color="auto" w:fill="auto"/>
            <w:vAlign w:val="center"/>
            <w:hideMark/>
          </w:tcPr>
          <w:p w:rsidR="00A256AB" w:rsidRPr="00A85D78" w:rsidRDefault="00A256AB" w:rsidP="00A256AB">
            <w:pPr>
              <w:ind w:left="58"/>
              <w:jc w:val="center"/>
              <w:rPr>
                <w:rFonts w:ascii="Arial" w:eastAsia="Arial" w:hAnsi="Arial" w:cs="Arial"/>
                <w:sz w:val="14"/>
                <w:szCs w:val="14"/>
              </w:rPr>
            </w:pPr>
            <w:r w:rsidRPr="00A85D78">
              <w:rPr>
                <w:rFonts w:ascii="Arial" w:eastAsia="Arial" w:hAnsi="Arial" w:cs="Arial"/>
                <w:spacing w:val="2"/>
                <w:sz w:val="14"/>
                <w:szCs w:val="14"/>
              </w:rPr>
              <w:t>07 de julio</w:t>
            </w:r>
            <w:r w:rsidRPr="00A85D78">
              <w:rPr>
                <w:rFonts w:ascii="Arial" w:eastAsia="Arial" w:hAnsi="Arial" w:cs="Arial"/>
                <w:sz w:val="14"/>
                <w:szCs w:val="14"/>
              </w:rPr>
              <w:t xml:space="preserve"> </w:t>
            </w:r>
          </w:p>
        </w:tc>
        <w:tc>
          <w:tcPr>
            <w:tcW w:w="719" w:type="pct"/>
            <w:tcBorders>
              <w:top w:val="single" w:sz="6" w:space="0" w:color="000000"/>
              <w:left w:val="single" w:sz="6" w:space="0" w:color="000000"/>
              <w:bottom w:val="single" w:sz="4" w:space="0" w:color="auto"/>
              <w:right w:val="single" w:sz="4" w:space="0" w:color="auto"/>
            </w:tcBorders>
            <w:shd w:val="clear" w:color="auto" w:fill="auto"/>
            <w:vAlign w:val="center"/>
            <w:hideMark/>
          </w:tcPr>
          <w:p w:rsidR="00A256AB" w:rsidRPr="00A85D78" w:rsidRDefault="00A256AB" w:rsidP="00A256AB">
            <w:pPr>
              <w:spacing w:line="242" w:lineRule="auto"/>
              <w:ind w:left="62" w:right="33"/>
              <w:jc w:val="center"/>
              <w:rPr>
                <w:rFonts w:ascii="Arial" w:eastAsia="Arial" w:hAnsi="Arial" w:cs="Arial"/>
                <w:sz w:val="14"/>
                <w:szCs w:val="14"/>
              </w:rPr>
            </w:pPr>
            <w:r w:rsidRPr="00A85D78">
              <w:rPr>
                <w:rFonts w:ascii="Arial" w:eastAsia="Arial" w:hAnsi="Arial" w:cs="Arial"/>
                <w:sz w:val="14"/>
                <w:szCs w:val="14"/>
              </w:rPr>
              <w:t xml:space="preserve">13 de julio </w:t>
            </w:r>
            <w:r w:rsidRPr="00A85D78">
              <w:rPr>
                <w:rFonts w:ascii="Arial" w:eastAsia="Arial" w:hAnsi="Arial" w:cs="Arial"/>
                <w:spacing w:val="-1"/>
                <w:sz w:val="14"/>
                <w:szCs w:val="14"/>
              </w:rPr>
              <w:t xml:space="preserve"> </w:t>
            </w:r>
          </w:p>
        </w:tc>
      </w:tr>
    </w:tbl>
    <w:p w:rsidR="00A256AB" w:rsidRPr="00805545" w:rsidRDefault="00A256AB" w:rsidP="00A256AB">
      <w:pPr>
        <w:rPr>
          <w:rFonts w:ascii="Arial" w:hAnsi="Arial" w:cs="Arial"/>
          <w:i/>
          <w:iCs/>
          <w:sz w:val="16"/>
          <w:szCs w:val="16"/>
        </w:rPr>
      </w:pPr>
      <w:r w:rsidRPr="00805545">
        <w:rPr>
          <w:rFonts w:ascii="Arial" w:hAnsi="Arial" w:cs="Arial"/>
          <w:b/>
          <w:bCs/>
          <w:i/>
          <w:iCs/>
          <w:sz w:val="16"/>
          <w:szCs w:val="16"/>
        </w:rPr>
        <w:t>Fuente:</w:t>
      </w:r>
      <w:r w:rsidRPr="00805545">
        <w:rPr>
          <w:rFonts w:ascii="Arial" w:hAnsi="Arial" w:cs="Arial"/>
          <w:i/>
          <w:iCs/>
          <w:sz w:val="16"/>
          <w:szCs w:val="16"/>
        </w:rPr>
        <w:t xml:space="preserve"> Artículo SEGUNDO del acuerdo INE/CG321/2015</w:t>
      </w:r>
      <w:r w:rsidR="00805545">
        <w:rPr>
          <w:rFonts w:ascii="Arial" w:hAnsi="Arial" w:cs="Arial"/>
          <w:i/>
          <w:iCs/>
          <w:sz w:val="16"/>
          <w:szCs w:val="16"/>
        </w:rPr>
        <w:t>.</w:t>
      </w:r>
    </w:p>
    <w:p w:rsidR="00805545" w:rsidRDefault="00805545" w:rsidP="00805545">
      <w:pPr>
        <w:spacing w:line="360" w:lineRule="auto"/>
        <w:jc w:val="both"/>
        <w:rPr>
          <w:rFonts w:ascii="Arial" w:hAnsi="Arial" w:cs="Arial"/>
          <w:sz w:val="24"/>
          <w:szCs w:val="24"/>
        </w:rPr>
      </w:pPr>
    </w:p>
    <w:p w:rsidR="00A256AB" w:rsidRPr="00A85D78" w:rsidRDefault="00A256AB" w:rsidP="00805545">
      <w:pPr>
        <w:spacing w:line="360" w:lineRule="auto"/>
        <w:jc w:val="both"/>
        <w:rPr>
          <w:rFonts w:ascii="Arial" w:hAnsi="Arial" w:cs="Arial"/>
          <w:sz w:val="24"/>
          <w:szCs w:val="24"/>
        </w:rPr>
      </w:pPr>
      <w:r w:rsidRPr="00A85D78">
        <w:rPr>
          <w:rFonts w:ascii="Arial" w:hAnsi="Arial" w:cs="Arial"/>
          <w:sz w:val="24"/>
          <w:szCs w:val="24"/>
        </w:rPr>
        <w:lastRenderedPageBreak/>
        <w:t>La revisión de los gastos de campaña, dio como resultado una cifra r</w:t>
      </w:r>
      <w:r w:rsidR="002C2BB4">
        <w:rPr>
          <w:rFonts w:ascii="Arial" w:hAnsi="Arial" w:cs="Arial"/>
          <w:sz w:val="24"/>
          <w:szCs w:val="24"/>
        </w:rPr>
        <w:t>é</w:t>
      </w:r>
      <w:r w:rsidRPr="00A85D78">
        <w:rPr>
          <w:rFonts w:ascii="Arial" w:hAnsi="Arial" w:cs="Arial"/>
          <w:sz w:val="24"/>
          <w:szCs w:val="24"/>
        </w:rPr>
        <w:t>cord de conductas sancionadas a los partidos y coaliciones; en total 58 faltas sustanciales y 14 faltas formales, para un total de 72 faltas detectadas.</w:t>
      </w:r>
    </w:p>
    <w:p w:rsidR="00A256AB" w:rsidRDefault="00A256AB" w:rsidP="00805545">
      <w:pPr>
        <w:spacing w:line="360" w:lineRule="auto"/>
        <w:jc w:val="both"/>
        <w:rPr>
          <w:rFonts w:ascii="Arial" w:hAnsi="Arial" w:cs="Arial"/>
          <w:sz w:val="24"/>
          <w:szCs w:val="24"/>
        </w:rPr>
      </w:pPr>
      <w:r w:rsidRPr="00A85D78">
        <w:rPr>
          <w:rFonts w:ascii="Arial" w:hAnsi="Arial" w:cs="Arial"/>
          <w:sz w:val="24"/>
          <w:szCs w:val="24"/>
        </w:rPr>
        <w:t xml:space="preserve">Las normas jurídicas más infringidas fueron el artículo 443 de la Ley General de Instituciones y Procedimientos Electorales; artículo 79 numeral 1, inciso b) fracciones I y III de la Ley General de Partidos Políticos y los artículos 37 numeral 1, 96 numeral 1, 127 y 244 numeral 1 del Reglamento de Fiscalización. </w:t>
      </w:r>
    </w:p>
    <w:p w:rsidR="00805545" w:rsidRPr="00A85D78" w:rsidRDefault="00805545" w:rsidP="00805545">
      <w:pPr>
        <w:spacing w:line="360" w:lineRule="auto"/>
        <w:jc w:val="both"/>
        <w:rPr>
          <w:rFonts w:ascii="Arial" w:hAnsi="Arial" w:cs="Arial"/>
          <w:sz w:val="24"/>
          <w:szCs w:val="24"/>
        </w:rPr>
      </w:pPr>
    </w:p>
    <w:p w:rsidR="00A256AB" w:rsidRDefault="00A256AB" w:rsidP="00805545">
      <w:pPr>
        <w:spacing w:line="360" w:lineRule="auto"/>
        <w:jc w:val="both"/>
        <w:rPr>
          <w:rFonts w:ascii="Arial" w:hAnsi="Arial" w:cs="Arial"/>
          <w:sz w:val="24"/>
          <w:szCs w:val="24"/>
        </w:rPr>
      </w:pPr>
      <w:r w:rsidRPr="00A85D78">
        <w:rPr>
          <w:rFonts w:ascii="Arial" w:hAnsi="Arial" w:cs="Arial"/>
          <w:sz w:val="24"/>
          <w:szCs w:val="24"/>
        </w:rPr>
        <w:t>Las faltas específicas cometidas por los partidos y coaliciones se detallan en el Anexo IV del presente dictamen. El monto total de sanciones ascendió a 30 millones, 127 mil 491 pesos con 98 centavos; el Partido más multado fue Acción Nacional con un total de $11,616,946.28. Las multas impuestas se resumen en las tablas 4.18 (faltas formales) y 4.19 (faltas sustanciales).</w:t>
      </w:r>
    </w:p>
    <w:p w:rsidR="00805545" w:rsidRPr="00A85D78" w:rsidRDefault="00805545" w:rsidP="00805545">
      <w:pPr>
        <w:spacing w:line="360" w:lineRule="auto"/>
        <w:jc w:val="both"/>
        <w:rPr>
          <w:rFonts w:ascii="Arial" w:hAnsi="Arial" w:cs="Arial"/>
          <w:sz w:val="24"/>
          <w:szCs w:val="24"/>
        </w:rPr>
      </w:pPr>
    </w:p>
    <w:p w:rsidR="00A256AB" w:rsidRPr="00805545" w:rsidRDefault="00A256AB" w:rsidP="00805545">
      <w:pPr>
        <w:tabs>
          <w:tab w:val="left" w:pos="5070"/>
        </w:tabs>
        <w:jc w:val="both"/>
        <w:rPr>
          <w:rStyle w:val="Ttulodellibro"/>
          <w:rFonts w:ascii="Arial" w:hAnsi="Arial" w:cs="Arial"/>
          <w:b/>
          <w:i/>
          <w:color w:val="auto"/>
          <w:sz w:val="20"/>
          <w:szCs w:val="20"/>
        </w:rPr>
      </w:pPr>
      <w:r w:rsidRPr="00805545">
        <w:rPr>
          <w:rStyle w:val="Ttulodellibro"/>
          <w:rFonts w:ascii="Arial" w:hAnsi="Arial" w:cs="Arial"/>
          <w:b/>
          <w:i/>
          <w:color w:val="auto"/>
          <w:sz w:val="20"/>
          <w:szCs w:val="20"/>
        </w:rPr>
        <w:t>Tabla 4.18 Faltas formales derivadas de la revisión de gastos de campaña 2015.</w:t>
      </w:r>
    </w:p>
    <w:p w:rsidR="00805545" w:rsidRPr="00805545" w:rsidRDefault="00805545" w:rsidP="00805545">
      <w:pPr>
        <w:tabs>
          <w:tab w:val="left" w:pos="5070"/>
        </w:tabs>
        <w:jc w:val="both"/>
        <w:rPr>
          <w:rStyle w:val="Ttulodellibro"/>
          <w:b/>
          <w:i/>
          <w:color w:val="auto"/>
          <w:sz w:val="20"/>
          <w:szCs w:val="20"/>
        </w:rPr>
      </w:pPr>
    </w:p>
    <w:tbl>
      <w:tblPr>
        <w:tblStyle w:val="Tablaconcuadrcula"/>
        <w:tblW w:w="5000" w:type="pct"/>
        <w:tblLook w:val="04A0" w:firstRow="1" w:lastRow="0" w:firstColumn="1" w:lastColumn="0" w:noHBand="0" w:noVBand="1"/>
      </w:tblPr>
      <w:tblGrid>
        <w:gridCol w:w="1179"/>
        <w:gridCol w:w="1075"/>
        <w:gridCol w:w="1507"/>
        <w:gridCol w:w="1240"/>
        <w:gridCol w:w="1347"/>
        <w:gridCol w:w="2146"/>
      </w:tblGrid>
      <w:tr w:rsidR="00A256AB" w:rsidRPr="00A85D78" w:rsidTr="00805545">
        <w:tc>
          <w:tcPr>
            <w:tcW w:w="5000" w:type="pct"/>
            <w:gridSpan w:val="6"/>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FALTAS FORMALES</w:t>
            </w:r>
          </w:p>
        </w:tc>
      </w:tr>
      <w:tr w:rsidR="00A256AB" w:rsidRPr="00A85D78" w:rsidTr="00805545">
        <w:tc>
          <w:tcPr>
            <w:tcW w:w="694"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PARTIDO</w:t>
            </w:r>
          </w:p>
        </w:tc>
        <w:tc>
          <w:tcPr>
            <w:tcW w:w="633"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NÚMERO</w:t>
            </w:r>
          </w:p>
        </w:tc>
        <w:tc>
          <w:tcPr>
            <w:tcW w:w="887"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CALIFICACI</w:t>
            </w:r>
            <w:r w:rsidR="002C2BB4">
              <w:rPr>
                <w:rFonts w:ascii="Arial" w:hAnsi="Arial" w:cs="Arial"/>
                <w:b/>
                <w:sz w:val="18"/>
                <w:szCs w:val="18"/>
                <w:lang w:val="es-ES_tradnl"/>
              </w:rPr>
              <w:t>Ó</w:t>
            </w:r>
            <w:r w:rsidRPr="00A85D78">
              <w:rPr>
                <w:rFonts w:ascii="Arial" w:hAnsi="Arial" w:cs="Arial"/>
                <w:b/>
                <w:sz w:val="18"/>
                <w:szCs w:val="18"/>
                <w:lang w:val="es-ES_tradnl"/>
              </w:rPr>
              <w:t>N</w:t>
            </w:r>
          </w:p>
        </w:tc>
        <w:tc>
          <w:tcPr>
            <w:tcW w:w="730"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SANCI</w:t>
            </w:r>
            <w:r w:rsidR="002C2BB4">
              <w:rPr>
                <w:rFonts w:ascii="Arial" w:hAnsi="Arial" w:cs="Arial"/>
                <w:b/>
                <w:sz w:val="18"/>
                <w:szCs w:val="18"/>
                <w:lang w:val="es-ES_tradnl"/>
              </w:rPr>
              <w:t>Ó</w:t>
            </w:r>
            <w:r w:rsidRPr="00A85D78">
              <w:rPr>
                <w:rFonts w:ascii="Arial" w:hAnsi="Arial" w:cs="Arial"/>
                <w:b/>
                <w:sz w:val="18"/>
                <w:szCs w:val="18"/>
                <w:lang w:val="es-ES_tradnl"/>
              </w:rPr>
              <w:t>N (DSM)</w:t>
            </w:r>
          </w:p>
        </w:tc>
        <w:tc>
          <w:tcPr>
            <w:tcW w:w="793"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MULTA</w:t>
            </w:r>
          </w:p>
        </w:tc>
        <w:tc>
          <w:tcPr>
            <w:tcW w:w="1264" w:type="pc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LEGIPE</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PAN</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1100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$77,110.00</w:t>
            </w:r>
          </w:p>
        </w:tc>
        <w:tc>
          <w:tcPr>
            <w:tcW w:w="1264"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PRD</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150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$10,515.00</w:t>
            </w:r>
          </w:p>
        </w:tc>
        <w:tc>
          <w:tcPr>
            <w:tcW w:w="1264"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PT</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50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$3,505.00</w:t>
            </w:r>
          </w:p>
        </w:tc>
        <w:tc>
          <w:tcPr>
            <w:tcW w:w="1264"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MC</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350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$24,535.00</w:t>
            </w:r>
          </w:p>
        </w:tc>
        <w:tc>
          <w:tcPr>
            <w:tcW w:w="1264"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MORENA</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350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$24,535.00</w:t>
            </w:r>
          </w:p>
        </w:tc>
        <w:tc>
          <w:tcPr>
            <w:tcW w:w="1264"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PFD</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40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$2,804.00</w:t>
            </w:r>
          </w:p>
        </w:tc>
        <w:tc>
          <w:tcPr>
            <w:tcW w:w="1264"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r w:rsidR="00A256AB" w:rsidRPr="00A85D78" w:rsidTr="00805545">
        <w:tc>
          <w:tcPr>
            <w:tcW w:w="694" w:type="pct"/>
            <w:vAlign w:val="center"/>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PAN-PT*</w:t>
            </w:r>
          </w:p>
        </w:tc>
        <w:tc>
          <w:tcPr>
            <w:tcW w:w="633"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887"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LEVE</w:t>
            </w:r>
          </w:p>
        </w:tc>
        <w:tc>
          <w:tcPr>
            <w:tcW w:w="730" w:type="pct"/>
            <w:vAlign w:val="center"/>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230</w:t>
            </w:r>
          </w:p>
        </w:tc>
        <w:tc>
          <w:tcPr>
            <w:tcW w:w="793" w:type="pct"/>
            <w:vAlign w:val="center"/>
          </w:tcPr>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$16,123.00</w:t>
            </w:r>
          </w:p>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PAN $12,733.94</w:t>
            </w:r>
          </w:p>
          <w:p w:rsidR="00A256AB" w:rsidRPr="00A85D78" w:rsidRDefault="00A256AB" w:rsidP="00A256AB">
            <w:pPr>
              <w:jc w:val="right"/>
              <w:rPr>
                <w:rFonts w:ascii="Arial" w:hAnsi="Arial" w:cs="Arial"/>
                <w:sz w:val="18"/>
                <w:szCs w:val="18"/>
                <w:lang w:val="es-ES_tradnl"/>
              </w:rPr>
            </w:pPr>
            <w:r w:rsidRPr="00A85D78">
              <w:rPr>
                <w:rFonts w:ascii="Arial" w:hAnsi="Arial" w:cs="Arial"/>
                <w:sz w:val="18"/>
                <w:szCs w:val="18"/>
                <w:lang w:val="es-ES_tradnl"/>
              </w:rPr>
              <w:t>PT $3,389.06</w:t>
            </w:r>
          </w:p>
        </w:tc>
        <w:tc>
          <w:tcPr>
            <w:tcW w:w="1264"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A</w:t>
            </w:r>
            <w:r w:rsidR="002C2BB4">
              <w:rPr>
                <w:rFonts w:ascii="Arial" w:hAnsi="Arial" w:cs="Arial"/>
                <w:sz w:val="18"/>
                <w:szCs w:val="18"/>
                <w:lang w:val="es-ES_tradnl"/>
              </w:rPr>
              <w:t>rt.</w:t>
            </w:r>
            <w:r w:rsidRPr="00A85D78">
              <w:rPr>
                <w:rFonts w:ascii="Arial" w:hAnsi="Arial" w:cs="Arial"/>
                <w:sz w:val="18"/>
                <w:szCs w:val="18"/>
                <w:lang w:val="es-ES_tradnl"/>
              </w:rPr>
              <w:t xml:space="preserve"> 456 A) F</w:t>
            </w:r>
            <w:r w:rsidR="002C2BB4">
              <w:rPr>
                <w:rFonts w:ascii="Arial" w:hAnsi="Arial" w:cs="Arial"/>
                <w:sz w:val="18"/>
                <w:szCs w:val="18"/>
                <w:lang w:val="es-ES_tradnl"/>
              </w:rPr>
              <w:t>racc.</w:t>
            </w:r>
            <w:r w:rsidRPr="00A85D78">
              <w:rPr>
                <w:rFonts w:ascii="Arial" w:hAnsi="Arial" w:cs="Arial"/>
                <w:sz w:val="18"/>
                <w:szCs w:val="18"/>
                <w:lang w:val="es-ES_tradnl"/>
              </w:rPr>
              <w:t xml:space="preserve"> II</w:t>
            </w:r>
          </w:p>
        </w:tc>
      </w:tr>
    </w:tbl>
    <w:p w:rsidR="00A256AB" w:rsidRDefault="00A256AB" w:rsidP="00A256AB">
      <w:pPr>
        <w:rPr>
          <w:rFonts w:ascii="Arial" w:hAnsi="Arial" w:cs="Arial"/>
          <w:sz w:val="16"/>
          <w:szCs w:val="16"/>
        </w:rPr>
      </w:pPr>
      <w:r w:rsidRPr="00805545">
        <w:rPr>
          <w:rFonts w:ascii="Arial" w:hAnsi="Arial" w:cs="Arial"/>
          <w:b/>
          <w:bCs/>
          <w:i/>
          <w:iCs/>
          <w:sz w:val="16"/>
          <w:szCs w:val="16"/>
        </w:rPr>
        <w:t>Fuente:</w:t>
      </w:r>
      <w:r w:rsidRPr="00805545">
        <w:rPr>
          <w:rFonts w:ascii="Arial" w:hAnsi="Arial" w:cs="Arial"/>
          <w:i/>
          <w:iCs/>
          <w:sz w:val="16"/>
          <w:szCs w:val="16"/>
        </w:rPr>
        <w:t xml:space="preserve"> Elaboración propia en base al Acuerdo INE/CG787/2015                                                                                                                                                   </w:t>
      </w:r>
      <w:r w:rsidRPr="00A85D78">
        <w:rPr>
          <w:rFonts w:ascii="Arial" w:hAnsi="Arial" w:cs="Arial"/>
          <w:sz w:val="16"/>
          <w:szCs w:val="16"/>
        </w:rPr>
        <w:t>*</w:t>
      </w:r>
      <w:r w:rsidRPr="00A85D78">
        <w:rPr>
          <w:rFonts w:ascii="Arial" w:hAnsi="Arial" w:cs="Arial"/>
        </w:rPr>
        <w:t xml:space="preserve"> </w:t>
      </w:r>
      <w:r w:rsidRPr="00A85D78">
        <w:rPr>
          <w:rFonts w:ascii="Arial" w:hAnsi="Arial" w:cs="Arial"/>
          <w:sz w:val="16"/>
          <w:szCs w:val="16"/>
        </w:rPr>
        <w:t>De acuerdo con el convenio de coalición, el monto total de las sanciones impuestas se divide en PAN 78.98% PT 21.02%</w:t>
      </w:r>
    </w:p>
    <w:p w:rsidR="00364C69" w:rsidRDefault="00364C69" w:rsidP="00A256AB">
      <w:pPr>
        <w:rPr>
          <w:rFonts w:ascii="Arial" w:hAnsi="Arial" w:cs="Arial"/>
          <w:sz w:val="16"/>
          <w:szCs w:val="16"/>
        </w:rPr>
      </w:pPr>
    </w:p>
    <w:p w:rsidR="00805545" w:rsidRPr="00A85D78" w:rsidRDefault="00805545" w:rsidP="00A256AB">
      <w:pPr>
        <w:rPr>
          <w:rFonts w:ascii="Arial" w:hAnsi="Arial" w:cs="Arial"/>
          <w:sz w:val="16"/>
          <w:szCs w:val="16"/>
        </w:rPr>
      </w:pPr>
    </w:p>
    <w:p w:rsidR="00A256AB" w:rsidRDefault="00A256AB" w:rsidP="00805545">
      <w:pPr>
        <w:spacing w:line="360" w:lineRule="auto"/>
        <w:jc w:val="both"/>
        <w:rPr>
          <w:rFonts w:ascii="Arial" w:hAnsi="Arial" w:cs="Arial"/>
          <w:sz w:val="24"/>
          <w:szCs w:val="24"/>
        </w:rPr>
      </w:pPr>
      <w:r w:rsidRPr="00A85D78">
        <w:rPr>
          <w:rFonts w:ascii="Arial" w:hAnsi="Arial" w:cs="Arial"/>
          <w:sz w:val="24"/>
          <w:szCs w:val="24"/>
        </w:rPr>
        <w:t xml:space="preserve">Las faltas formales, correspondieron a la entrega de informes de campaña, fuera del plazo establecido por la legislación, es decir de forma extemporánea; destaca el caso de MORENA </w:t>
      </w:r>
      <w:r w:rsidR="00600C69" w:rsidRPr="00A85D78">
        <w:rPr>
          <w:rFonts w:ascii="Arial" w:hAnsi="Arial" w:cs="Arial"/>
          <w:sz w:val="24"/>
          <w:szCs w:val="24"/>
        </w:rPr>
        <w:t xml:space="preserve">que </w:t>
      </w:r>
      <w:r w:rsidR="002C2BB4">
        <w:rPr>
          <w:rFonts w:ascii="Arial" w:hAnsi="Arial" w:cs="Arial"/>
          <w:sz w:val="24"/>
          <w:szCs w:val="24"/>
        </w:rPr>
        <w:t>exhibió</w:t>
      </w:r>
      <w:r w:rsidRPr="00A85D78">
        <w:rPr>
          <w:rFonts w:ascii="Arial" w:hAnsi="Arial" w:cs="Arial"/>
          <w:sz w:val="24"/>
          <w:szCs w:val="24"/>
        </w:rPr>
        <w:t xml:space="preserve"> registros contables en el Sistema de Contabilidad en Línea de 77 candidatos a miembros de </w:t>
      </w:r>
      <w:r w:rsidR="002C2BB4">
        <w:rPr>
          <w:rFonts w:ascii="Arial" w:hAnsi="Arial" w:cs="Arial"/>
          <w:sz w:val="24"/>
          <w:szCs w:val="24"/>
        </w:rPr>
        <w:t>A</w:t>
      </w:r>
      <w:r w:rsidRPr="00A85D78">
        <w:rPr>
          <w:rFonts w:ascii="Arial" w:hAnsi="Arial" w:cs="Arial"/>
          <w:sz w:val="24"/>
          <w:szCs w:val="24"/>
        </w:rPr>
        <w:t xml:space="preserve">yuntamiento;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no present</w:t>
      </w:r>
      <w:r w:rsidR="00600C69" w:rsidRPr="00A85D78">
        <w:rPr>
          <w:rFonts w:ascii="Arial" w:hAnsi="Arial" w:cs="Arial"/>
          <w:sz w:val="24"/>
          <w:szCs w:val="24"/>
        </w:rPr>
        <w:t>ó</w:t>
      </w:r>
      <w:r w:rsidRPr="00A85D78">
        <w:rPr>
          <w:rFonts w:ascii="Arial" w:hAnsi="Arial" w:cs="Arial"/>
          <w:sz w:val="24"/>
          <w:szCs w:val="24"/>
        </w:rPr>
        <w:t xml:space="preserve"> los informes de campaña correspondientes. Cabe destacar que los registros contables capturados en el Sistema permitieron que la falta se catalogara como formal y no sustantiva, en su totalidad se consideraron leves</w:t>
      </w:r>
      <w:r w:rsidR="00364C69">
        <w:rPr>
          <w:rFonts w:ascii="Arial" w:hAnsi="Arial" w:cs="Arial"/>
          <w:sz w:val="24"/>
          <w:szCs w:val="24"/>
        </w:rPr>
        <w:t>.</w:t>
      </w:r>
    </w:p>
    <w:p w:rsidR="00364C69" w:rsidRPr="00A85D78" w:rsidRDefault="00364C69" w:rsidP="00A256AB">
      <w:pPr>
        <w:jc w:val="both"/>
        <w:rPr>
          <w:rFonts w:ascii="Arial" w:hAnsi="Arial" w:cs="Arial"/>
          <w:sz w:val="24"/>
          <w:szCs w:val="24"/>
        </w:rPr>
      </w:pPr>
    </w:p>
    <w:p w:rsidR="00927E74" w:rsidRDefault="00927E74">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Default="00A256AB" w:rsidP="00805545">
      <w:pPr>
        <w:tabs>
          <w:tab w:val="left" w:pos="5070"/>
        </w:tabs>
        <w:jc w:val="both"/>
        <w:rPr>
          <w:rStyle w:val="Ttulodellibro"/>
          <w:b/>
          <w:i/>
          <w:color w:val="auto"/>
          <w:sz w:val="20"/>
          <w:szCs w:val="20"/>
        </w:rPr>
      </w:pPr>
      <w:r w:rsidRPr="00805545">
        <w:rPr>
          <w:rStyle w:val="Ttulodellibro"/>
          <w:rFonts w:ascii="Arial" w:hAnsi="Arial" w:cs="Arial"/>
          <w:b/>
          <w:i/>
          <w:color w:val="auto"/>
          <w:sz w:val="20"/>
          <w:szCs w:val="20"/>
        </w:rPr>
        <w:lastRenderedPageBreak/>
        <w:t>Tabla 4.19 Faltas sustanciales derivadas de la revisión de gastos de campaña 2015.</w:t>
      </w:r>
    </w:p>
    <w:p w:rsidR="00805545" w:rsidRPr="00805545" w:rsidRDefault="00805545" w:rsidP="00805545">
      <w:pPr>
        <w:tabs>
          <w:tab w:val="left" w:pos="5070"/>
        </w:tabs>
        <w:jc w:val="both"/>
        <w:rPr>
          <w:rStyle w:val="Ttulodellibro"/>
          <w:b/>
          <w:i/>
          <w:color w:val="auto"/>
          <w:sz w:val="20"/>
          <w:szCs w:val="20"/>
        </w:rPr>
      </w:pPr>
    </w:p>
    <w:tbl>
      <w:tblPr>
        <w:tblStyle w:val="Tablaconcuadrcula"/>
        <w:tblW w:w="5000" w:type="pct"/>
        <w:tblLook w:val="04A0" w:firstRow="1" w:lastRow="0" w:firstColumn="1" w:lastColumn="0" w:noHBand="0" w:noVBand="1"/>
      </w:tblPr>
      <w:tblGrid>
        <w:gridCol w:w="936"/>
        <w:gridCol w:w="928"/>
        <w:gridCol w:w="1948"/>
        <w:gridCol w:w="1444"/>
        <w:gridCol w:w="1402"/>
        <w:gridCol w:w="1836"/>
      </w:tblGrid>
      <w:tr w:rsidR="00A256AB" w:rsidRPr="00805545" w:rsidTr="00805545">
        <w:tc>
          <w:tcPr>
            <w:tcW w:w="5000" w:type="pct"/>
            <w:gridSpan w:val="6"/>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FALTAS SUSTANCIALES</w:t>
            </w:r>
          </w:p>
        </w:tc>
      </w:tr>
      <w:tr w:rsidR="00805545" w:rsidRPr="00805545" w:rsidTr="00805545">
        <w:tc>
          <w:tcPr>
            <w:tcW w:w="551"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PARTIDO</w:t>
            </w:r>
          </w:p>
        </w:tc>
        <w:tc>
          <w:tcPr>
            <w:tcW w:w="546"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NÚMERO</w:t>
            </w:r>
          </w:p>
        </w:tc>
        <w:tc>
          <w:tcPr>
            <w:tcW w:w="1147"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CALIFICACI</w:t>
            </w:r>
            <w:r w:rsidR="002C2BB4" w:rsidRPr="00805545">
              <w:rPr>
                <w:rFonts w:ascii="Arial" w:hAnsi="Arial" w:cs="Arial"/>
                <w:b/>
                <w:sz w:val="16"/>
                <w:szCs w:val="16"/>
                <w:lang w:val="es-ES_tradnl"/>
              </w:rPr>
              <w:t>Ó</w:t>
            </w:r>
            <w:r w:rsidRPr="00805545">
              <w:rPr>
                <w:rFonts w:ascii="Arial" w:hAnsi="Arial" w:cs="Arial"/>
                <w:b/>
                <w:sz w:val="16"/>
                <w:szCs w:val="16"/>
                <w:lang w:val="es-ES_tradnl"/>
              </w:rPr>
              <w:t>N</w:t>
            </w:r>
          </w:p>
        </w:tc>
        <w:tc>
          <w:tcPr>
            <w:tcW w:w="850"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SANCI</w:t>
            </w:r>
            <w:r w:rsidR="002C2BB4" w:rsidRPr="00805545">
              <w:rPr>
                <w:rFonts w:ascii="Arial" w:hAnsi="Arial" w:cs="Arial"/>
                <w:b/>
                <w:sz w:val="16"/>
                <w:szCs w:val="16"/>
                <w:lang w:val="es-ES_tradnl"/>
              </w:rPr>
              <w:t>Ó</w:t>
            </w:r>
            <w:r w:rsidRPr="00805545">
              <w:rPr>
                <w:rFonts w:ascii="Arial" w:hAnsi="Arial" w:cs="Arial"/>
                <w:b/>
                <w:sz w:val="16"/>
                <w:szCs w:val="16"/>
                <w:lang w:val="es-ES_tradnl"/>
              </w:rPr>
              <w:t>N (DSM)</w:t>
            </w:r>
          </w:p>
        </w:tc>
        <w:tc>
          <w:tcPr>
            <w:tcW w:w="825"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MULTA</w:t>
            </w:r>
          </w:p>
        </w:tc>
        <w:tc>
          <w:tcPr>
            <w:tcW w:w="1081" w:type="pct"/>
            <w:shd w:val="clear" w:color="auto" w:fill="FBE4D5" w:themeFill="accent2" w:themeFillTint="33"/>
            <w:vAlign w:val="center"/>
          </w:tcPr>
          <w:p w:rsidR="00A256AB" w:rsidRPr="00805545" w:rsidRDefault="00A256AB" w:rsidP="00805545">
            <w:pPr>
              <w:contextualSpacing/>
              <w:jc w:val="center"/>
              <w:rPr>
                <w:rFonts w:ascii="Arial" w:hAnsi="Arial" w:cs="Arial"/>
                <w:b/>
                <w:sz w:val="16"/>
                <w:szCs w:val="16"/>
                <w:lang w:val="es-ES_tradnl"/>
              </w:rPr>
            </w:pPr>
            <w:r w:rsidRPr="00805545">
              <w:rPr>
                <w:rFonts w:ascii="Arial" w:hAnsi="Arial" w:cs="Arial"/>
                <w:b/>
                <w:sz w:val="16"/>
                <w:szCs w:val="16"/>
                <w:lang w:val="es-ES_tradnl"/>
              </w:rPr>
              <w:t>LEGIPE</w:t>
            </w:r>
          </w:p>
        </w:tc>
      </w:tr>
      <w:tr w:rsidR="00805545" w:rsidRPr="00805545"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PAN</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11</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5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7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8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9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10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11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175*</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481*</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0.93%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1.50%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3209**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0.46%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427**</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0.55%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2567**</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0.78%FPSAOP**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620**</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$12,267.50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$33,718.10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$1,662,007.37</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$2,679,478.74</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$224,950.90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$828,447.00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$29,932.70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$990,000.00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$179,946.70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$1,399,500.00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$43,462.00</w:t>
            </w:r>
          </w:p>
        </w:tc>
        <w:tc>
          <w:tcPr>
            <w:tcW w:w="1081" w:type="pct"/>
            <w:vAlign w:val="center"/>
          </w:tcPr>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 4</w:t>
            </w:r>
            <w:r w:rsidRPr="00805545">
              <w:rPr>
                <w:rFonts w:ascii="Arial" w:hAnsi="Arial" w:cs="Arial"/>
                <w:sz w:val="16"/>
                <w:szCs w:val="16"/>
                <w:lang w:val="en-US"/>
              </w:rPr>
              <w:t>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ART 456 A) FRACC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ART 456 A) FRACC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ART 456 A) FRACC III</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ART 456 A) FRACC II</w:t>
            </w:r>
          </w:p>
        </w:tc>
      </w:tr>
      <w:tr w:rsidR="00805545" w:rsidRPr="00805545"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PRI</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9595**</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$672,609.50</w:t>
            </w:r>
          </w:p>
        </w:tc>
        <w:tc>
          <w:tcPr>
            <w:tcW w:w="108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A</w:t>
            </w:r>
            <w:r w:rsidR="002C2BB4" w:rsidRPr="00805545">
              <w:rPr>
                <w:rFonts w:ascii="Arial" w:hAnsi="Arial" w:cs="Arial"/>
                <w:sz w:val="16"/>
                <w:szCs w:val="16"/>
                <w:lang w:val="es-ES_tradnl"/>
              </w:rPr>
              <w:t>rt.</w:t>
            </w:r>
            <w:r w:rsidRPr="00805545">
              <w:rPr>
                <w:rFonts w:ascii="Arial" w:hAnsi="Arial" w:cs="Arial"/>
                <w:sz w:val="16"/>
                <w:szCs w:val="16"/>
                <w:lang w:val="es-ES_tradnl"/>
              </w:rPr>
              <w:t xml:space="preserve"> 456 A) F</w:t>
            </w:r>
            <w:r w:rsidR="002C2BB4" w:rsidRPr="00805545">
              <w:rPr>
                <w:rFonts w:ascii="Arial" w:hAnsi="Arial" w:cs="Arial"/>
                <w:sz w:val="16"/>
                <w:szCs w:val="16"/>
                <w:lang w:val="es-ES_tradnl"/>
              </w:rPr>
              <w:t>racc.</w:t>
            </w:r>
            <w:r w:rsidRPr="00805545">
              <w:rPr>
                <w:rFonts w:ascii="Arial" w:hAnsi="Arial" w:cs="Arial"/>
                <w:sz w:val="16"/>
                <w:szCs w:val="16"/>
                <w:lang w:val="es-ES_tradnl"/>
              </w:rPr>
              <w:t xml:space="preserve"> II</w:t>
            </w:r>
          </w:p>
        </w:tc>
      </w:tr>
      <w:tr w:rsidR="00805545" w:rsidRPr="000F71DB"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PRD</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13</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ESPECIAL</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 GRAVE ESPECIAL</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5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7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8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9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10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11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12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13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0.55%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3916***</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1750*</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0.40%FPSAOP*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1741*</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0.43%FPSAOP**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1669**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278**</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33**</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962**</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0.47%FPSAOP**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2764*</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$1,047,424.07</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$274,511.60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$122,675.00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$756,157.06</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$122,044.10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$810,000.00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$116,996.90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$19,487.80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$2,733.90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$2,313.30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$67,436.20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$900,000.00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$193,756.40</w:t>
            </w:r>
          </w:p>
        </w:tc>
        <w:tc>
          <w:tcPr>
            <w:tcW w:w="1081" w:type="pct"/>
            <w:vAlign w:val="center"/>
          </w:tcPr>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2C2BB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2C2BB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tc>
      </w:tr>
      <w:tr w:rsidR="00805545" w:rsidRPr="00805545"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PT</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5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349*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3359*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1891*</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1.44% FPSAOP*</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641**</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1,750*</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$24,464.90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$235,465.90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$132,559.10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$911,705.39</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$44,934.01</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$122,675.00</w:t>
            </w:r>
          </w:p>
        </w:tc>
        <w:tc>
          <w:tcPr>
            <w:tcW w:w="1081" w:type="pct"/>
            <w:vAlign w:val="center"/>
          </w:tcPr>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 xml:space="preserve">rt. </w:t>
            </w:r>
            <w:r w:rsidRPr="00805545">
              <w:rPr>
                <w:rFonts w:ascii="Arial" w:hAnsi="Arial" w:cs="Arial"/>
                <w:sz w:val="16"/>
                <w:szCs w:val="16"/>
                <w:lang w:val="en-US"/>
              </w:rPr>
              <w:t>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p w:rsidR="00A256AB" w:rsidRPr="00805545" w:rsidRDefault="00A256AB" w:rsidP="00805545">
            <w:pPr>
              <w:contextualSpacing/>
              <w:jc w:val="center"/>
              <w:rPr>
                <w:rFonts w:ascii="Arial" w:hAnsi="Arial" w:cs="Arial"/>
                <w:sz w:val="16"/>
                <w:szCs w:val="16"/>
                <w:lang w:val="en-US"/>
              </w:rPr>
            </w:pPr>
            <w:r w:rsidRPr="00805545">
              <w:rPr>
                <w:rFonts w:ascii="Arial" w:hAnsi="Arial" w:cs="Arial"/>
                <w:sz w:val="16"/>
                <w:szCs w:val="16"/>
                <w:lang w:val="en-US"/>
              </w:rPr>
              <w:t>A</w:t>
            </w:r>
            <w:r w:rsidR="00465ED4" w:rsidRPr="00805545">
              <w:rPr>
                <w:rFonts w:ascii="Arial" w:hAnsi="Arial" w:cs="Arial"/>
                <w:sz w:val="16"/>
                <w:szCs w:val="16"/>
                <w:lang w:val="en-US"/>
              </w:rPr>
              <w:t>rt.</w:t>
            </w:r>
            <w:r w:rsidRPr="00805545">
              <w:rPr>
                <w:rFonts w:ascii="Arial" w:hAnsi="Arial" w:cs="Arial"/>
                <w:sz w:val="16"/>
                <w:szCs w:val="16"/>
                <w:lang w:val="en-US"/>
              </w:rPr>
              <w:t xml:space="preserve"> 456 A) F</w:t>
            </w:r>
            <w:r w:rsidR="00465ED4" w:rsidRPr="00805545">
              <w:rPr>
                <w:rFonts w:ascii="Arial" w:hAnsi="Arial" w:cs="Arial"/>
                <w:sz w:val="16"/>
                <w:szCs w:val="16"/>
                <w:lang w:val="en-US"/>
              </w:rPr>
              <w:t>racc.</w:t>
            </w:r>
            <w:r w:rsidRPr="00805545">
              <w:rPr>
                <w:rFonts w:ascii="Arial" w:hAnsi="Arial" w:cs="Arial"/>
                <w:sz w:val="16"/>
                <w:szCs w:val="16"/>
                <w:lang w:val="en-US"/>
              </w:rPr>
              <w:t xml:space="preserve"> II</w:t>
            </w:r>
          </w:p>
        </w:tc>
      </w:tr>
      <w:tr w:rsidR="00805545" w:rsidRPr="00805545"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PVEM</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8987**</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$629,988.70</w:t>
            </w:r>
          </w:p>
        </w:tc>
        <w:tc>
          <w:tcPr>
            <w:tcW w:w="108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A</w:t>
            </w:r>
            <w:r w:rsidR="00465ED4" w:rsidRPr="00805545">
              <w:rPr>
                <w:rFonts w:ascii="Arial" w:hAnsi="Arial" w:cs="Arial"/>
                <w:sz w:val="16"/>
                <w:szCs w:val="16"/>
                <w:lang w:val="es-ES_tradnl"/>
              </w:rPr>
              <w:t>rt.</w:t>
            </w:r>
            <w:r w:rsidRPr="00805545">
              <w:rPr>
                <w:rFonts w:ascii="Arial" w:hAnsi="Arial" w:cs="Arial"/>
                <w:sz w:val="16"/>
                <w:szCs w:val="16"/>
                <w:lang w:val="es-ES_tradnl"/>
              </w:rPr>
              <w:t xml:space="preserve"> 456 A) F</w:t>
            </w:r>
            <w:r w:rsidR="00465ED4" w:rsidRPr="00805545">
              <w:rPr>
                <w:rFonts w:ascii="Arial" w:hAnsi="Arial" w:cs="Arial"/>
                <w:sz w:val="16"/>
                <w:szCs w:val="16"/>
                <w:lang w:val="es-ES_tradnl"/>
              </w:rPr>
              <w:t>racc.</w:t>
            </w:r>
            <w:r w:rsidRPr="00805545">
              <w:rPr>
                <w:rFonts w:ascii="Arial" w:hAnsi="Arial" w:cs="Arial"/>
                <w:sz w:val="16"/>
                <w:szCs w:val="16"/>
                <w:lang w:val="es-ES_tradnl"/>
              </w:rPr>
              <w:t xml:space="preserve"> II</w:t>
            </w:r>
          </w:p>
        </w:tc>
      </w:tr>
      <w:tr w:rsidR="00805545" w:rsidRPr="000F71DB" w:rsidTr="00805545">
        <w:tc>
          <w:tcPr>
            <w:tcW w:w="551"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MC</w:t>
            </w:r>
          </w:p>
        </w:tc>
        <w:tc>
          <w:tcPr>
            <w:tcW w:w="546"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w:t>
            </w:r>
          </w:p>
        </w:tc>
        <w:tc>
          <w:tcPr>
            <w:tcW w:w="1147"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5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6 GRAVE ORDINARIA</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7 GRAVE ORDINARIA</w:t>
            </w:r>
          </w:p>
        </w:tc>
        <w:tc>
          <w:tcPr>
            <w:tcW w:w="850" w:type="pct"/>
            <w:vAlign w:val="center"/>
          </w:tcPr>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6068***</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776*</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2896*</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4779*</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3444*</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6716**</w:t>
            </w:r>
          </w:p>
          <w:p w:rsidR="00A256AB" w:rsidRPr="00805545" w:rsidRDefault="00A256AB" w:rsidP="00805545">
            <w:pPr>
              <w:contextualSpacing/>
              <w:jc w:val="right"/>
              <w:rPr>
                <w:rFonts w:ascii="Arial" w:hAnsi="Arial" w:cs="Arial"/>
                <w:sz w:val="16"/>
                <w:szCs w:val="16"/>
                <w:lang w:val="es-ES_tradnl"/>
              </w:rPr>
            </w:pPr>
            <w:r w:rsidRPr="00805545">
              <w:rPr>
                <w:rFonts w:ascii="Arial" w:hAnsi="Arial" w:cs="Arial"/>
                <w:sz w:val="16"/>
                <w:szCs w:val="16"/>
                <w:lang w:val="es-ES_tradnl"/>
              </w:rPr>
              <w:t>1711**</w:t>
            </w:r>
          </w:p>
        </w:tc>
        <w:tc>
          <w:tcPr>
            <w:tcW w:w="825" w:type="pct"/>
            <w:vAlign w:val="center"/>
          </w:tcPr>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$425,366.80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$54,397.60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$203,009.60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$335,007.90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$241,424.40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$470,791.60</w:t>
            </w:r>
          </w:p>
          <w:p w:rsidR="00A256AB" w:rsidRPr="00805545" w:rsidRDefault="00A256AB" w:rsidP="00805545">
            <w:pPr>
              <w:contextualSpacing/>
              <w:jc w:val="center"/>
              <w:rPr>
                <w:rFonts w:ascii="Arial" w:hAnsi="Arial" w:cs="Arial"/>
                <w:sz w:val="16"/>
                <w:szCs w:val="16"/>
                <w:lang w:val="es-ES_tradnl"/>
              </w:rPr>
            </w:pPr>
            <w:r w:rsidRPr="00805545">
              <w:rPr>
                <w:rFonts w:ascii="Arial" w:hAnsi="Arial" w:cs="Arial"/>
                <w:sz w:val="16"/>
                <w:szCs w:val="16"/>
                <w:lang w:val="es-ES_tradnl"/>
              </w:rPr>
              <w:t>$119,941.10</w:t>
            </w:r>
          </w:p>
        </w:tc>
        <w:tc>
          <w:tcPr>
            <w:tcW w:w="1081" w:type="pct"/>
            <w:vAlign w:val="center"/>
          </w:tcPr>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F</w:t>
            </w:r>
            <w:r w:rsidRPr="00805545">
              <w:rPr>
                <w:rFonts w:ascii="Arial" w:hAnsi="Arial" w:cs="Arial"/>
                <w:sz w:val="16"/>
                <w:szCs w:val="16"/>
                <w:lang w:val="en-US"/>
              </w:rPr>
              <w:t>racc.</w:t>
            </w:r>
            <w:r w:rsidR="00A256AB" w:rsidRPr="00805545">
              <w:rPr>
                <w:rFonts w:ascii="Arial" w:hAnsi="Arial" w:cs="Arial"/>
                <w:sz w:val="16"/>
                <w:szCs w:val="16"/>
                <w:lang w:val="en-US"/>
              </w:rPr>
              <w:t xml:space="preserve"> II</w:t>
            </w:r>
          </w:p>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w:t>
            </w:r>
            <w:r w:rsidRPr="00805545">
              <w:rPr>
                <w:rFonts w:ascii="Arial" w:hAnsi="Arial" w:cs="Arial"/>
                <w:sz w:val="16"/>
                <w:szCs w:val="16"/>
                <w:lang w:val="en-US"/>
              </w:rPr>
              <w:t>Fracc.</w:t>
            </w:r>
            <w:r w:rsidR="00A256AB" w:rsidRPr="00805545">
              <w:rPr>
                <w:rFonts w:ascii="Arial" w:hAnsi="Arial" w:cs="Arial"/>
                <w:sz w:val="16"/>
                <w:szCs w:val="16"/>
                <w:lang w:val="en-US"/>
              </w:rPr>
              <w:t xml:space="preserve"> II</w:t>
            </w:r>
          </w:p>
          <w:p w:rsidR="00A256AB" w:rsidRPr="00805545" w:rsidRDefault="00465ED4" w:rsidP="00362B5D">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456 A)</w:t>
            </w:r>
            <w:r w:rsidR="00362B5D">
              <w:rPr>
                <w:rFonts w:ascii="Arial" w:hAnsi="Arial" w:cs="Arial"/>
                <w:sz w:val="16"/>
                <w:szCs w:val="16"/>
                <w:lang w:val="en-US"/>
              </w:rPr>
              <w:t xml:space="preserve"> </w:t>
            </w:r>
            <w:r w:rsidRPr="00805545">
              <w:rPr>
                <w:rFonts w:ascii="Arial" w:hAnsi="Arial" w:cs="Arial"/>
                <w:sz w:val="16"/>
                <w:szCs w:val="16"/>
                <w:lang w:val="en-US"/>
              </w:rPr>
              <w:t>Fracc.</w:t>
            </w:r>
            <w:r w:rsidR="00A256AB" w:rsidRPr="00805545">
              <w:rPr>
                <w:rFonts w:ascii="Arial" w:hAnsi="Arial" w:cs="Arial"/>
                <w:sz w:val="16"/>
                <w:szCs w:val="16"/>
                <w:lang w:val="en-US"/>
              </w:rPr>
              <w:t xml:space="preserve"> II</w:t>
            </w:r>
          </w:p>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w:t>
            </w:r>
            <w:r w:rsidRPr="00805545">
              <w:rPr>
                <w:rFonts w:ascii="Arial" w:hAnsi="Arial" w:cs="Arial"/>
                <w:sz w:val="16"/>
                <w:szCs w:val="16"/>
                <w:lang w:val="en-US"/>
              </w:rPr>
              <w:t>Fracc.</w:t>
            </w:r>
            <w:r w:rsidR="00A256AB" w:rsidRPr="00805545">
              <w:rPr>
                <w:rFonts w:ascii="Arial" w:hAnsi="Arial" w:cs="Arial"/>
                <w:sz w:val="16"/>
                <w:szCs w:val="16"/>
                <w:lang w:val="en-US"/>
              </w:rPr>
              <w:t xml:space="preserve"> II</w:t>
            </w:r>
          </w:p>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F</w:t>
            </w:r>
            <w:r w:rsidRPr="00805545">
              <w:rPr>
                <w:rFonts w:ascii="Arial" w:hAnsi="Arial" w:cs="Arial"/>
                <w:sz w:val="16"/>
                <w:szCs w:val="16"/>
                <w:lang w:val="en-US"/>
              </w:rPr>
              <w:t>racc.</w:t>
            </w:r>
            <w:r w:rsidR="00A256AB" w:rsidRPr="00805545">
              <w:rPr>
                <w:rFonts w:ascii="Arial" w:hAnsi="Arial" w:cs="Arial"/>
                <w:sz w:val="16"/>
                <w:szCs w:val="16"/>
                <w:lang w:val="en-US"/>
              </w:rPr>
              <w:t xml:space="preserve"> II</w:t>
            </w:r>
          </w:p>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F</w:t>
            </w:r>
            <w:r w:rsidRPr="00805545">
              <w:rPr>
                <w:rFonts w:ascii="Arial" w:hAnsi="Arial" w:cs="Arial"/>
                <w:sz w:val="16"/>
                <w:szCs w:val="16"/>
                <w:lang w:val="en-US"/>
              </w:rPr>
              <w:t>racc.</w:t>
            </w:r>
            <w:r w:rsidR="00A256AB" w:rsidRPr="00805545">
              <w:rPr>
                <w:rFonts w:ascii="Arial" w:hAnsi="Arial" w:cs="Arial"/>
                <w:sz w:val="16"/>
                <w:szCs w:val="16"/>
                <w:lang w:val="en-US"/>
              </w:rPr>
              <w:t xml:space="preserve"> II</w:t>
            </w:r>
          </w:p>
          <w:p w:rsidR="00A256AB" w:rsidRPr="00805545" w:rsidRDefault="00465ED4" w:rsidP="00805545">
            <w:pPr>
              <w:contextualSpacing/>
              <w:jc w:val="center"/>
              <w:rPr>
                <w:rFonts w:ascii="Arial" w:hAnsi="Arial" w:cs="Arial"/>
                <w:sz w:val="16"/>
                <w:szCs w:val="16"/>
                <w:lang w:val="en-US"/>
              </w:rPr>
            </w:pPr>
            <w:r w:rsidRPr="00805545">
              <w:rPr>
                <w:rFonts w:ascii="Arial" w:hAnsi="Arial" w:cs="Arial"/>
                <w:sz w:val="16"/>
                <w:szCs w:val="16"/>
                <w:lang w:val="en-US"/>
              </w:rPr>
              <w:t>Art.</w:t>
            </w:r>
            <w:r w:rsidR="00A256AB" w:rsidRPr="00805545">
              <w:rPr>
                <w:rFonts w:ascii="Arial" w:hAnsi="Arial" w:cs="Arial"/>
                <w:sz w:val="16"/>
                <w:szCs w:val="16"/>
                <w:lang w:val="en-US"/>
              </w:rPr>
              <w:t xml:space="preserve"> 456 A) F</w:t>
            </w:r>
            <w:r w:rsidRPr="00805545">
              <w:rPr>
                <w:rFonts w:ascii="Arial" w:hAnsi="Arial" w:cs="Arial"/>
                <w:sz w:val="16"/>
                <w:szCs w:val="16"/>
                <w:lang w:val="en-US"/>
              </w:rPr>
              <w:t>racc.</w:t>
            </w:r>
            <w:r w:rsidR="00A256AB" w:rsidRPr="00805545">
              <w:rPr>
                <w:rFonts w:ascii="Arial" w:hAnsi="Arial" w:cs="Arial"/>
                <w:sz w:val="16"/>
                <w:szCs w:val="16"/>
                <w:lang w:val="en-US"/>
              </w:rPr>
              <w:t xml:space="preserve"> II</w:t>
            </w:r>
          </w:p>
        </w:tc>
      </w:tr>
    </w:tbl>
    <w:p w:rsidR="00A256AB" w:rsidRPr="00465ED4" w:rsidRDefault="00A256AB" w:rsidP="00A256AB">
      <w:pPr>
        <w:rPr>
          <w:rFonts w:ascii="Arial" w:hAnsi="Arial" w:cs="Arial"/>
          <w:sz w:val="16"/>
          <w:szCs w:val="16"/>
          <w:lang w:val="en-US"/>
        </w:rPr>
      </w:pPr>
    </w:p>
    <w:p w:rsidR="00A256AB" w:rsidRPr="00465ED4" w:rsidRDefault="00A256AB" w:rsidP="00A256AB">
      <w:pPr>
        <w:rPr>
          <w:rFonts w:ascii="Arial" w:hAnsi="Arial" w:cs="Arial"/>
          <w:sz w:val="16"/>
          <w:szCs w:val="16"/>
          <w:lang w:val="en-US"/>
        </w:rPr>
      </w:pPr>
    </w:p>
    <w:p w:rsidR="00A256AB" w:rsidRPr="00465ED4" w:rsidRDefault="00A256AB" w:rsidP="00A256AB">
      <w:pPr>
        <w:rPr>
          <w:rFonts w:ascii="Arial" w:hAnsi="Arial" w:cs="Arial"/>
          <w:sz w:val="16"/>
          <w:szCs w:val="16"/>
          <w:lang w:val="en-US"/>
        </w:rPr>
      </w:pPr>
    </w:p>
    <w:tbl>
      <w:tblPr>
        <w:tblStyle w:val="Tablaconcuadrcula"/>
        <w:tblW w:w="5000" w:type="pct"/>
        <w:tblLook w:val="04A0" w:firstRow="1" w:lastRow="0" w:firstColumn="1" w:lastColumn="0" w:noHBand="0" w:noVBand="1"/>
      </w:tblPr>
      <w:tblGrid>
        <w:gridCol w:w="936"/>
        <w:gridCol w:w="928"/>
        <w:gridCol w:w="1959"/>
        <w:gridCol w:w="1559"/>
        <w:gridCol w:w="1422"/>
        <w:gridCol w:w="1690"/>
      </w:tblGrid>
      <w:tr w:rsidR="00A256AB" w:rsidRPr="00362B5D" w:rsidTr="00362B5D">
        <w:tc>
          <w:tcPr>
            <w:tcW w:w="5000" w:type="pct"/>
            <w:gridSpan w:val="6"/>
            <w:shd w:val="clear" w:color="auto" w:fill="FBE4D5" w:themeFill="accent2" w:themeFillTint="33"/>
            <w:vAlign w:val="center"/>
          </w:tcPr>
          <w:p w:rsidR="00A256AB" w:rsidRPr="00362B5D" w:rsidRDefault="00A256AB" w:rsidP="006A3215">
            <w:pPr>
              <w:jc w:val="center"/>
              <w:rPr>
                <w:rFonts w:ascii="Arial" w:hAnsi="Arial" w:cs="Arial"/>
                <w:b/>
                <w:sz w:val="16"/>
                <w:szCs w:val="16"/>
                <w:lang w:val="es-ES_tradnl"/>
              </w:rPr>
            </w:pPr>
            <w:r w:rsidRPr="00362B5D">
              <w:rPr>
                <w:rFonts w:ascii="Arial" w:hAnsi="Arial" w:cs="Arial"/>
                <w:b/>
                <w:sz w:val="16"/>
                <w:szCs w:val="16"/>
                <w:lang w:val="es-ES_tradnl"/>
              </w:rPr>
              <w:t>FALTAS SUSTANCIALES</w:t>
            </w:r>
          </w:p>
        </w:tc>
      </w:tr>
      <w:tr w:rsidR="00776C8D" w:rsidRPr="00362B5D" w:rsidTr="00776C8D">
        <w:tc>
          <w:tcPr>
            <w:tcW w:w="551"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PARTIDO</w:t>
            </w:r>
          </w:p>
        </w:tc>
        <w:tc>
          <w:tcPr>
            <w:tcW w:w="546"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NÚMERO</w:t>
            </w:r>
          </w:p>
        </w:tc>
        <w:tc>
          <w:tcPr>
            <w:tcW w:w="1153"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CALIFICACIÓN</w:t>
            </w:r>
          </w:p>
        </w:tc>
        <w:tc>
          <w:tcPr>
            <w:tcW w:w="918"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SANCIÓN (DSM)</w:t>
            </w:r>
          </w:p>
        </w:tc>
        <w:tc>
          <w:tcPr>
            <w:tcW w:w="837"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MULTA</w:t>
            </w:r>
          </w:p>
        </w:tc>
        <w:tc>
          <w:tcPr>
            <w:tcW w:w="995" w:type="pct"/>
            <w:shd w:val="clear" w:color="auto" w:fill="FBE4D5" w:themeFill="accent2" w:themeFillTint="33"/>
            <w:vAlign w:val="center"/>
          </w:tcPr>
          <w:p w:rsidR="006A3215" w:rsidRPr="00362B5D" w:rsidRDefault="006A3215" w:rsidP="006A3215">
            <w:pPr>
              <w:jc w:val="center"/>
              <w:rPr>
                <w:rFonts w:ascii="Arial" w:hAnsi="Arial" w:cs="Arial"/>
                <w:b/>
                <w:sz w:val="16"/>
                <w:szCs w:val="16"/>
                <w:lang w:val="es-ES_tradnl"/>
              </w:rPr>
            </w:pPr>
            <w:r w:rsidRPr="00362B5D">
              <w:rPr>
                <w:rFonts w:ascii="Arial" w:hAnsi="Arial" w:cs="Arial"/>
                <w:b/>
                <w:sz w:val="16"/>
                <w:szCs w:val="16"/>
                <w:lang w:val="es-ES_tradnl"/>
              </w:rPr>
              <w:t>LEGIPE</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PNA</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128**</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$8,972.80</w:t>
            </w:r>
          </w:p>
        </w:tc>
        <w:tc>
          <w:tcPr>
            <w:tcW w:w="995" w:type="pct"/>
            <w:vAlign w:val="center"/>
          </w:tcPr>
          <w:p w:rsidR="00A256AB" w:rsidRPr="00362B5D" w:rsidRDefault="006A3215" w:rsidP="00362B5D">
            <w:pPr>
              <w:contextualSpacing/>
              <w:jc w:val="center"/>
              <w:rPr>
                <w:rFonts w:ascii="Arial" w:hAnsi="Arial" w:cs="Arial"/>
                <w:sz w:val="16"/>
                <w:szCs w:val="16"/>
                <w:lang w:val="es-ES_tradnl"/>
              </w:rPr>
            </w:pPr>
            <w:r w:rsidRPr="00362B5D">
              <w:rPr>
                <w:rFonts w:ascii="Arial" w:hAnsi="Arial" w:cs="Arial"/>
                <w:sz w:val="16"/>
                <w:szCs w:val="16"/>
                <w:lang w:val="es-ES_tradnl"/>
              </w:rPr>
              <w:t>Art.</w:t>
            </w:r>
            <w:r w:rsidR="00A256AB" w:rsidRPr="00362B5D">
              <w:rPr>
                <w:rFonts w:ascii="Arial" w:hAnsi="Arial" w:cs="Arial"/>
                <w:sz w:val="16"/>
                <w:szCs w:val="16"/>
                <w:lang w:val="es-ES_tradnl"/>
              </w:rPr>
              <w:t xml:space="preserve"> 456 A)</w:t>
            </w:r>
            <w:r w:rsidR="00362B5D">
              <w:rPr>
                <w:rFonts w:ascii="Arial" w:hAnsi="Arial" w:cs="Arial"/>
                <w:sz w:val="16"/>
                <w:szCs w:val="16"/>
                <w:lang w:val="es-ES_tradnl"/>
              </w:rPr>
              <w:t xml:space="preserve"> </w:t>
            </w:r>
            <w:r w:rsidR="00A256AB" w:rsidRPr="00362B5D">
              <w:rPr>
                <w:rFonts w:ascii="Arial" w:hAnsi="Arial" w:cs="Arial"/>
                <w:sz w:val="16"/>
                <w:szCs w:val="16"/>
                <w:lang w:val="es-ES_tradnl"/>
              </w:rPr>
              <w:t>F</w:t>
            </w:r>
            <w:r w:rsidRPr="00362B5D">
              <w:rPr>
                <w:rFonts w:ascii="Arial" w:hAnsi="Arial" w:cs="Arial"/>
                <w:sz w:val="16"/>
                <w:szCs w:val="16"/>
                <w:lang w:val="es-ES_tradnl"/>
              </w:rPr>
              <w:t>racc.</w:t>
            </w:r>
            <w:r w:rsidR="00A256AB" w:rsidRPr="00362B5D">
              <w:rPr>
                <w:rFonts w:ascii="Arial" w:hAnsi="Arial" w:cs="Arial"/>
                <w:sz w:val="16"/>
                <w:szCs w:val="16"/>
                <w:lang w:val="es-ES_tradnl"/>
              </w:rPr>
              <w:t xml:space="preserve"> II</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MORENA</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ESPECIAL</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ESPECIAL</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 GRAVE ORDINARIA</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5,742***</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1306***</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2139**</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6.96% FPSAOP**</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$402,514.20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$91,550.60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$149,943.90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$ 1,351,800.00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w:t>
            </w:r>
            <w:r w:rsidR="00A256AB" w:rsidRPr="00362B5D">
              <w:rPr>
                <w:rFonts w:ascii="Arial" w:hAnsi="Arial" w:cs="Arial"/>
                <w:sz w:val="16"/>
                <w:szCs w:val="16"/>
                <w:lang w:val="en-US"/>
              </w:rPr>
              <w:t xml:space="preserve"> 456 A)</w:t>
            </w:r>
            <w:r w:rsidR="00362B5D">
              <w:rPr>
                <w:rFonts w:ascii="Arial" w:hAnsi="Arial" w:cs="Arial"/>
                <w:sz w:val="16"/>
                <w:szCs w:val="16"/>
                <w:lang w:val="en-US"/>
              </w:rPr>
              <w:t xml:space="preserve"> </w:t>
            </w:r>
            <w:r w:rsidRPr="00362B5D">
              <w:rPr>
                <w:rFonts w:ascii="Arial" w:hAnsi="Arial" w:cs="Arial"/>
                <w:sz w:val="16"/>
                <w:szCs w:val="16"/>
                <w:lang w:val="en-US"/>
              </w:rPr>
              <w:t>Fracc.</w:t>
            </w:r>
            <w:r w:rsidR="00A256AB" w:rsidRPr="00362B5D">
              <w:rPr>
                <w:rFonts w:ascii="Arial" w:hAnsi="Arial" w:cs="Arial"/>
                <w:sz w:val="16"/>
                <w:szCs w:val="16"/>
                <w:lang w:val="en-US"/>
              </w:rPr>
              <w:t xml:space="preserve">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w:t>
            </w:r>
            <w:r w:rsidR="00A256AB" w:rsidRPr="00362B5D">
              <w:rPr>
                <w:rFonts w:ascii="Arial" w:hAnsi="Arial" w:cs="Arial"/>
                <w:sz w:val="16"/>
                <w:szCs w:val="16"/>
                <w:lang w:val="en-US"/>
              </w:rPr>
              <w:t xml:space="preserve"> 456 A)</w:t>
            </w:r>
            <w:r w:rsidR="00362B5D">
              <w:rPr>
                <w:rFonts w:ascii="Arial" w:hAnsi="Arial" w:cs="Arial"/>
                <w:sz w:val="16"/>
                <w:szCs w:val="16"/>
                <w:lang w:val="en-US"/>
              </w:rPr>
              <w:t xml:space="preserve"> </w:t>
            </w:r>
            <w:r w:rsidRPr="00362B5D">
              <w:rPr>
                <w:rFonts w:ascii="Arial" w:hAnsi="Arial" w:cs="Arial"/>
                <w:sz w:val="16"/>
                <w:szCs w:val="16"/>
                <w:lang w:val="en-US"/>
              </w:rPr>
              <w:t>Fracc.</w:t>
            </w:r>
            <w:r w:rsidR="00A256AB" w:rsidRPr="00362B5D">
              <w:rPr>
                <w:rFonts w:ascii="Arial" w:hAnsi="Arial" w:cs="Arial"/>
                <w:sz w:val="16"/>
                <w:szCs w:val="16"/>
                <w:lang w:val="en-US"/>
              </w:rPr>
              <w:t xml:space="preserve">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w:t>
            </w:r>
            <w:r w:rsidR="00A256AB" w:rsidRPr="00362B5D">
              <w:rPr>
                <w:rFonts w:ascii="Arial" w:hAnsi="Arial" w:cs="Arial"/>
                <w:sz w:val="16"/>
                <w:szCs w:val="16"/>
                <w:lang w:val="en-US"/>
              </w:rPr>
              <w:t xml:space="preserve"> 456 A)</w:t>
            </w:r>
            <w:r w:rsidR="00362B5D">
              <w:rPr>
                <w:rFonts w:ascii="Arial" w:hAnsi="Arial" w:cs="Arial"/>
                <w:sz w:val="16"/>
                <w:szCs w:val="16"/>
                <w:lang w:val="en-US"/>
              </w:rPr>
              <w:t xml:space="preserve"> </w:t>
            </w:r>
            <w:r w:rsidRPr="00362B5D">
              <w:rPr>
                <w:rFonts w:ascii="Arial" w:hAnsi="Arial" w:cs="Arial"/>
                <w:sz w:val="16"/>
                <w:szCs w:val="16"/>
                <w:lang w:val="en-US"/>
              </w:rPr>
              <w:t>Fracc.</w:t>
            </w:r>
            <w:r w:rsidR="00A256AB" w:rsidRPr="00362B5D">
              <w:rPr>
                <w:rFonts w:ascii="Arial" w:hAnsi="Arial" w:cs="Arial"/>
                <w:sz w:val="16"/>
                <w:szCs w:val="16"/>
                <w:lang w:val="en-US"/>
              </w:rPr>
              <w:t xml:space="preserve"> II</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w:t>
            </w:r>
            <w:r w:rsidR="00A256AB" w:rsidRPr="00362B5D">
              <w:rPr>
                <w:rFonts w:ascii="Arial" w:hAnsi="Arial" w:cs="Arial"/>
                <w:sz w:val="16"/>
                <w:szCs w:val="16"/>
                <w:lang w:val="en-US"/>
              </w:rPr>
              <w:t xml:space="preserve"> 456 A)</w:t>
            </w:r>
            <w:r w:rsidR="00362B5D">
              <w:rPr>
                <w:rFonts w:ascii="Arial" w:hAnsi="Arial" w:cs="Arial"/>
                <w:sz w:val="16"/>
                <w:szCs w:val="16"/>
                <w:lang w:val="en-US"/>
              </w:rPr>
              <w:t xml:space="preserve"> </w:t>
            </w:r>
            <w:r w:rsidRPr="00362B5D">
              <w:rPr>
                <w:rFonts w:ascii="Arial" w:hAnsi="Arial" w:cs="Arial"/>
                <w:sz w:val="16"/>
                <w:szCs w:val="16"/>
                <w:lang w:val="en-US"/>
              </w:rPr>
              <w:t>Fracc.</w:t>
            </w:r>
            <w:r w:rsidR="00A256AB" w:rsidRPr="00362B5D">
              <w:rPr>
                <w:rFonts w:ascii="Arial" w:hAnsi="Arial" w:cs="Arial"/>
                <w:sz w:val="16"/>
                <w:szCs w:val="16"/>
                <w:lang w:val="en-US"/>
              </w:rPr>
              <w:t xml:space="preserve"> III</w:t>
            </w:r>
          </w:p>
        </w:tc>
      </w:tr>
      <w:tr w:rsidR="00776C8D" w:rsidRPr="000F71DB"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PH</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ORDINARIA</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855**</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641**</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6.96% FPSAOP**</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$59,935.50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$44,934.10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$1,351,980.00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III</w:t>
            </w:r>
          </w:p>
        </w:tc>
      </w:tr>
      <w:tr w:rsidR="00776C8D" w:rsidRPr="000F71DB"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PES</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ORDINARIA</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641**</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1885**</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6.74% FPSAOP**</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$44,934.10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$132,138.50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$1,308,480.00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III</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PFD</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248*</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$17,384.80</w:t>
            </w:r>
          </w:p>
        </w:tc>
        <w:tc>
          <w:tcPr>
            <w:tcW w:w="995" w:type="pct"/>
            <w:vAlign w:val="center"/>
          </w:tcPr>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s-ES_tradnl"/>
              </w:rPr>
              <w:t>Fracc.</w:t>
            </w:r>
            <w:r w:rsidRPr="00362B5D">
              <w:rPr>
                <w:rFonts w:ascii="Arial" w:hAnsi="Arial" w:cs="Arial"/>
                <w:sz w:val="16"/>
                <w:szCs w:val="16"/>
                <w:lang w:val="en-US"/>
              </w:rPr>
              <w:t xml:space="preserve"> III</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COA PRI-PVEM +</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0.37% FPSAOP**</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4646**</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129**</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55**</w:t>
            </w:r>
          </w:p>
          <w:p w:rsidR="00A256AB" w:rsidRPr="00362B5D" w:rsidRDefault="00A256AB" w:rsidP="006A3215">
            <w:pPr>
              <w:jc w:val="right"/>
              <w:rPr>
                <w:rFonts w:ascii="Arial" w:hAnsi="Arial" w:cs="Arial"/>
                <w:sz w:val="16"/>
                <w:szCs w:val="16"/>
                <w:lang w:val="es-ES_tradnl"/>
              </w:rPr>
            </w:pP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PRI $760,084.50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PVEM $325,684.50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PRI $9,042.90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PVEM $3,855.50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III</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COA PAN-PT ++</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3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4 GRAVE ORDINARIA</w:t>
            </w: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lastRenderedPageBreak/>
              <w:t>5698*</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1516*</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1.67% FPSAOP*</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lastRenderedPageBreak/>
              <w:t>1.25% FPSAOP*</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243**</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64**</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559***</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159***</w:t>
            </w:r>
          </w:p>
        </w:tc>
        <w:tc>
          <w:tcPr>
            <w:tcW w:w="837" w:type="pct"/>
            <w:vAlign w:val="center"/>
          </w:tcPr>
          <w:p w:rsidR="00A256AB" w:rsidRPr="00362B5D" w:rsidRDefault="00A256AB" w:rsidP="006A3215">
            <w:pPr>
              <w:jc w:val="center"/>
              <w:rPr>
                <w:rFonts w:ascii="Arial" w:hAnsi="Arial" w:cs="Arial"/>
                <w:sz w:val="16"/>
                <w:szCs w:val="16"/>
                <w:lang w:val="en-US"/>
              </w:rPr>
            </w:pPr>
            <w:r w:rsidRPr="00362B5D">
              <w:rPr>
                <w:rFonts w:ascii="Arial" w:hAnsi="Arial" w:cs="Arial"/>
                <w:sz w:val="16"/>
                <w:szCs w:val="16"/>
                <w:lang w:val="en-US"/>
              </w:rPr>
              <w:lastRenderedPageBreak/>
              <w:t>PAN $399,429.80</w:t>
            </w:r>
          </w:p>
          <w:p w:rsidR="00A256AB" w:rsidRPr="00362B5D" w:rsidRDefault="00A256AB" w:rsidP="006A3215">
            <w:pPr>
              <w:jc w:val="center"/>
              <w:rPr>
                <w:rFonts w:ascii="Arial" w:hAnsi="Arial" w:cs="Arial"/>
                <w:sz w:val="16"/>
                <w:szCs w:val="16"/>
                <w:lang w:val="en-US"/>
              </w:rPr>
            </w:pPr>
            <w:r w:rsidRPr="00362B5D">
              <w:rPr>
                <w:rFonts w:ascii="Arial" w:hAnsi="Arial" w:cs="Arial"/>
                <w:sz w:val="16"/>
                <w:szCs w:val="16"/>
                <w:lang w:val="en-US"/>
              </w:rPr>
              <w:t>PT $106,271.60</w:t>
            </w:r>
          </w:p>
          <w:p w:rsidR="00A256AB" w:rsidRPr="00362B5D" w:rsidRDefault="00A256AB" w:rsidP="006A3215">
            <w:pPr>
              <w:jc w:val="center"/>
              <w:rPr>
                <w:rFonts w:ascii="Arial" w:hAnsi="Arial" w:cs="Arial"/>
                <w:sz w:val="16"/>
                <w:szCs w:val="16"/>
                <w:lang w:val="en-US"/>
              </w:rPr>
            </w:pPr>
            <w:r w:rsidRPr="00362B5D">
              <w:rPr>
                <w:rFonts w:ascii="Arial" w:hAnsi="Arial" w:cs="Arial"/>
                <w:sz w:val="16"/>
                <w:szCs w:val="16"/>
                <w:lang w:val="en-US"/>
              </w:rPr>
              <w:lastRenderedPageBreak/>
              <w:t>PAN $2,987,741.33</w:t>
            </w:r>
          </w:p>
          <w:p w:rsidR="00A256AB" w:rsidRPr="00362B5D" w:rsidRDefault="00A256AB" w:rsidP="006A3215">
            <w:pPr>
              <w:jc w:val="center"/>
              <w:rPr>
                <w:rFonts w:ascii="Arial" w:hAnsi="Arial" w:cs="Arial"/>
                <w:sz w:val="16"/>
                <w:szCs w:val="16"/>
                <w:lang w:val="en-US"/>
              </w:rPr>
            </w:pPr>
            <w:r w:rsidRPr="00362B5D">
              <w:rPr>
                <w:rFonts w:ascii="Arial" w:hAnsi="Arial" w:cs="Arial"/>
                <w:sz w:val="16"/>
                <w:szCs w:val="16"/>
                <w:lang w:val="en-US"/>
              </w:rPr>
              <w:t>PT $795,167.41</w:t>
            </w:r>
          </w:p>
          <w:p w:rsidR="00A256AB" w:rsidRPr="00362B5D" w:rsidRDefault="00A256AB" w:rsidP="006A3215">
            <w:pPr>
              <w:jc w:val="center"/>
              <w:rPr>
                <w:rFonts w:ascii="Arial" w:hAnsi="Arial" w:cs="Arial"/>
                <w:sz w:val="16"/>
                <w:szCs w:val="16"/>
                <w:lang w:val="en-US"/>
              </w:rPr>
            </w:pPr>
            <w:r w:rsidRPr="00362B5D">
              <w:rPr>
                <w:rFonts w:ascii="Arial" w:hAnsi="Arial" w:cs="Arial"/>
                <w:sz w:val="16"/>
                <w:szCs w:val="16"/>
                <w:lang w:val="en-US"/>
              </w:rPr>
              <w:t>PAN $17,034.30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PT $4,486.40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PAN $39,185.90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PT $11,145.90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lastRenderedPageBreak/>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lastRenderedPageBreak/>
              <w:t>Art. 456 A)</w:t>
            </w:r>
            <w:r w:rsidR="00362B5D">
              <w:rPr>
                <w:rFonts w:ascii="Arial" w:hAnsi="Arial" w:cs="Arial"/>
                <w:sz w:val="16"/>
                <w:szCs w:val="16"/>
                <w:lang w:val="en-US"/>
              </w:rPr>
              <w:t xml:space="preserve"> </w:t>
            </w:r>
            <w:r w:rsidRPr="00362B5D">
              <w:rPr>
                <w:rFonts w:ascii="Arial" w:hAnsi="Arial" w:cs="Arial"/>
                <w:sz w:val="16"/>
                <w:szCs w:val="16"/>
                <w:lang w:val="en-US"/>
              </w:rPr>
              <w:t xml:space="preserve">Fracc. III </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tc>
      </w:tr>
      <w:tr w:rsidR="00776C8D" w:rsidRPr="00362B5D" w:rsidTr="00776C8D">
        <w:tc>
          <w:tcPr>
            <w:tcW w:w="551"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COA PRI-PVEM-NA +++</w:t>
            </w:r>
          </w:p>
        </w:tc>
        <w:tc>
          <w:tcPr>
            <w:tcW w:w="546"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w:t>
            </w:r>
          </w:p>
        </w:tc>
        <w:tc>
          <w:tcPr>
            <w:tcW w:w="1153"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1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2 GRAVE ORDINARIA</w:t>
            </w:r>
          </w:p>
          <w:p w:rsidR="00A256AB" w:rsidRPr="00362B5D" w:rsidRDefault="00A256AB" w:rsidP="006A3215">
            <w:pPr>
              <w:jc w:val="center"/>
              <w:rPr>
                <w:rFonts w:ascii="Arial" w:hAnsi="Arial" w:cs="Arial"/>
                <w:sz w:val="16"/>
                <w:szCs w:val="16"/>
                <w:lang w:val="es-ES_tradnl"/>
              </w:rPr>
            </w:pPr>
          </w:p>
          <w:p w:rsidR="00A256AB" w:rsidRPr="00362B5D" w:rsidRDefault="00A256AB" w:rsidP="006A3215">
            <w:pPr>
              <w:jc w:val="center"/>
              <w:rPr>
                <w:rFonts w:ascii="Arial" w:hAnsi="Arial" w:cs="Arial"/>
                <w:sz w:val="16"/>
                <w:szCs w:val="16"/>
                <w:lang w:val="es-ES_tradnl"/>
              </w:rPr>
            </w:pPr>
          </w:p>
        </w:tc>
        <w:tc>
          <w:tcPr>
            <w:tcW w:w="918" w:type="pct"/>
            <w:vAlign w:val="center"/>
          </w:tcPr>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0.90%FSAOP**</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7583**</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8658**</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163**</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69**</w:t>
            </w:r>
          </w:p>
          <w:p w:rsidR="00A256AB" w:rsidRPr="00362B5D" w:rsidRDefault="00A256AB" w:rsidP="006A3215">
            <w:pPr>
              <w:jc w:val="right"/>
              <w:rPr>
                <w:rFonts w:ascii="Arial" w:hAnsi="Arial" w:cs="Arial"/>
                <w:sz w:val="16"/>
                <w:szCs w:val="16"/>
                <w:lang w:val="es-ES_tradnl"/>
              </w:rPr>
            </w:pPr>
            <w:r w:rsidRPr="00362B5D">
              <w:rPr>
                <w:rFonts w:ascii="Arial" w:hAnsi="Arial" w:cs="Arial"/>
                <w:sz w:val="16"/>
                <w:szCs w:val="16"/>
                <w:lang w:val="es-ES_tradnl"/>
              </w:rPr>
              <w:t>79**</w:t>
            </w:r>
          </w:p>
        </w:tc>
        <w:tc>
          <w:tcPr>
            <w:tcW w:w="837" w:type="pct"/>
            <w:vAlign w:val="center"/>
          </w:tcPr>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PRI $1,246,314.77</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PVEM $531,568.30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PNA $606,925.80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PRI $11,426.30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PVEM $4,836.90</w:t>
            </w:r>
          </w:p>
          <w:p w:rsidR="00A256AB" w:rsidRPr="00362B5D" w:rsidRDefault="00A256AB" w:rsidP="006A3215">
            <w:pPr>
              <w:jc w:val="center"/>
              <w:rPr>
                <w:rFonts w:ascii="Arial" w:hAnsi="Arial" w:cs="Arial"/>
                <w:sz w:val="16"/>
                <w:szCs w:val="16"/>
                <w:lang w:val="es-ES_tradnl"/>
              </w:rPr>
            </w:pPr>
            <w:r w:rsidRPr="00362B5D">
              <w:rPr>
                <w:rFonts w:ascii="Arial" w:hAnsi="Arial" w:cs="Arial"/>
                <w:sz w:val="16"/>
                <w:szCs w:val="16"/>
                <w:lang w:val="es-ES_tradnl"/>
              </w:rPr>
              <w:t>PNA $5,537.90</w:t>
            </w:r>
          </w:p>
        </w:tc>
        <w:tc>
          <w:tcPr>
            <w:tcW w:w="995" w:type="pct"/>
            <w:vAlign w:val="center"/>
          </w:tcPr>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6A3215"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p w:rsidR="00A256AB" w:rsidRPr="00362B5D" w:rsidRDefault="006A3215" w:rsidP="00362B5D">
            <w:pPr>
              <w:contextualSpacing/>
              <w:jc w:val="center"/>
              <w:rPr>
                <w:rFonts w:ascii="Arial" w:hAnsi="Arial" w:cs="Arial"/>
                <w:sz w:val="16"/>
                <w:szCs w:val="16"/>
                <w:lang w:val="en-US"/>
              </w:rPr>
            </w:pPr>
            <w:r w:rsidRPr="00362B5D">
              <w:rPr>
                <w:rFonts w:ascii="Arial" w:hAnsi="Arial" w:cs="Arial"/>
                <w:sz w:val="16"/>
                <w:szCs w:val="16"/>
                <w:lang w:val="en-US"/>
              </w:rPr>
              <w:t>Art. 456 A)</w:t>
            </w:r>
            <w:r w:rsidR="00362B5D">
              <w:rPr>
                <w:rFonts w:ascii="Arial" w:hAnsi="Arial" w:cs="Arial"/>
                <w:sz w:val="16"/>
                <w:szCs w:val="16"/>
                <w:lang w:val="en-US"/>
              </w:rPr>
              <w:t xml:space="preserve"> </w:t>
            </w:r>
            <w:r w:rsidRPr="00362B5D">
              <w:rPr>
                <w:rFonts w:ascii="Arial" w:hAnsi="Arial" w:cs="Arial"/>
                <w:sz w:val="16"/>
                <w:szCs w:val="16"/>
                <w:lang w:val="en-US"/>
              </w:rPr>
              <w:t>Fracc. II</w:t>
            </w:r>
          </w:p>
        </w:tc>
      </w:tr>
    </w:tbl>
    <w:p w:rsidR="006A3215" w:rsidRPr="00362B5D" w:rsidRDefault="00A256AB" w:rsidP="006A3215">
      <w:pPr>
        <w:jc w:val="both"/>
        <w:rPr>
          <w:rFonts w:ascii="Arial" w:hAnsi="Arial" w:cs="Arial"/>
          <w:i/>
          <w:iCs/>
          <w:sz w:val="16"/>
          <w:szCs w:val="16"/>
        </w:rPr>
      </w:pPr>
      <w:r w:rsidRPr="00362B5D">
        <w:rPr>
          <w:rFonts w:ascii="Arial" w:hAnsi="Arial" w:cs="Arial"/>
          <w:b/>
          <w:bCs/>
          <w:i/>
          <w:iCs/>
          <w:sz w:val="16"/>
          <w:szCs w:val="16"/>
        </w:rPr>
        <w:t>Fuente:</w:t>
      </w:r>
      <w:r w:rsidRPr="00362B5D">
        <w:rPr>
          <w:rFonts w:ascii="Arial" w:hAnsi="Arial" w:cs="Arial"/>
          <w:i/>
          <w:iCs/>
          <w:sz w:val="16"/>
          <w:szCs w:val="16"/>
        </w:rPr>
        <w:t xml:space="preserve"> Elaboración propia en base al Acuerdo INE/CG787/2015</w:t>
      </w:r>
    </w:p>
    <w:p w:rsidR="00A256AB" w:rsidRDefault="00A256AB" w:rsidP="00F245EA">
      <w:pPr>
        <w:rPr>
          <w:rFonts w:ascii="Arial" w:hAnsi="Arial" w:cs="Arial"/>
          <w:sz w:val="16"/>
          <w:szCs w:val="16"/>
        </w:rPr>
      </w:pPr>
      <w:r w:rsidRPr="00A85D78">
        <w:rPr>
          <w:rFonts w:ascii="Arial" w:hAnsi="Arial" w:cs="Arial"/>
          <w:sz w:val="16"/>
          <w:szCs w:val="16"/>
        </w:rPr>
        <w:t>* El criterio para la imposición de la sanción equivale al 100% del monto involucrado en la falta.                                                                                                                                                                                                                                      ** El criterio en la imposición de la sanción equivale al 150%  del monto total involucrado en la falta                                                                                                                                                                                                                               ***La sanción equivale al 30% sobre el tope máximo de gastos de campaña de los municipios y/o distritos involucrados en la falta.                                                                                                                                                                                                                                                    + De acuerdo con el convenio de coalición, el monto total de las sanciones impuestas se divide en PRI 70%, PVEM 30</w:t>
      </w:r>
      <w:r w:rsidR="00600C69" w:rsidRPr="00A85D78">
        <w:rPr>
          <w:rFonts w:ascii="Arial" w:hAnsi="Arial" w:cs="Arial"/>
          <w:sz w:val="16"/>
          <w:szCs w:val="16"/>
        </w:rPr>
        <w:t>%.</w:t>
      </w:r>
      <w:r w:rsidRPr="00A85D78">
        <w:rPr>
          <w:rFonts w:ascii="Arial" w:hAnsi="Arial" w:cs="Arial"/>
          <w:sz w:val="16"/>
          <w:szCs w:val="16"/>
        </w:rPr>
        <w:t xml:space="preserve">                                                                                                                                                                                                     ++</w:t>
      </w:r>
      <w:r w:rsidRPr="00A85D78">
        <w:rPr>
          <w:rFonts w:ascii="Arial" w:hAnsi="Arial" w:cs="Arial"/>
        </w:rPr>
        <w:t xml:space="preserve"> </w:t>
      </w:r>
      <w:r w:rsidRPr="00A85D78">
        <w:rPr>
          <w:rFonts w:ascii="Arial" w:hAnsi="Arial" w:cs="Arial"/>
          <w:sz w:val="16"/>
          <w:szCs w:val="16"/>
        </w:rPr>
        <w:t>De acuerdo con el convenio de coalición, el monto total de las sanciones impuestas se divide en PAN 78.98% PT 21.02%                                                                                                                                                                                                                   +++ De acuerdo con el convenio de coalición, el monto total de las sanciones impuestas se divide en PRI 52.26% PVEM 22.29% PNA 25.25%</w:t>
      </w:r>
      <w:r w:rsidR="00362B5D">
        <w:rPr>
          <w:rFonts w:ascii="Arial" w:hAnsi="Arial" w:cs="Arial"/>
          <w:sz w:val="16"/>
          <w:szCs w:val="16"/>
        </w:rPr>
        <w:t>.</w:t>
      </w:r>
    </w:p>
    <w:p w:rsidR="00362B5D" w:rsidRDefault="00362B5D" w:rsidP="00F245EA">
      <w:pPr>
        <w:rPr>
          <w:rFonts w:ascii="Arial" w:hAnsi="Arial" w:cs="Arial"/>
          <w:sz w:val="16"/>
          <w:szCs w:val="16"/>
        </w:rPr>
      </w:pPr>
    </w:p>
    <w:p w:rsidR="00362B5D" w:rsidRPr="00A85D78" w:rsidRDefault="00362B5D" w:rsidP="00F245EA">
      <w:pPr>
        <w:rPr>
          <w:rFonts w:ascii="Arial" w:hAnsi="Arial" w:cs="Arial"/>
          <w:sz w:val="16"/>
          <w:szCs w:val="16"/>
        </w:rPr>
      </w:pP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 xml:space="preserve">De las 58 faltas sustanciales cometidas 4 fueron calificadas como “grave especial”, mientras que </w:t>
      </w:r>
      <w:proofErr w:type="gramStart"/>
      <w:r w:rsidRPr="00A85D78">
        <w:rPr>
          <w:rFonts w:ascii="Arial" w:hAnsi="Arial" w:cs="Arial"/>
          <w:sz w:val="24"/>
          <w:szCs w:val="24"/>
        </w:rPr>
        <w:t>las 54 restantes</w:t>
      </w:r>
      <w:proofErr w:type="gramEnd"/>
      <w:r w:rsidRPr="00A85D78">
        <w:rPr>
          <w:rFonts w:ascii="Arial" w:hAnsi="Arial" w:cs="Arial"/>
          <w:sz w:val="24"/>
          <w:szCs w:val="24"/>
        </w:rPr>
        <w:t xml:space="preserve"> calificaron como “grave ordinaria”;</w:t>
      </w:r>
      <w:r w:rsidRPr="00362B5D">
        <w:rPr>
          <w:rFonts w:ascii="Arial" w:hAnsi="Arial" w:cs="Arial"/>
          <w:sz w:val="24"/>
          <w:szCs w:val="24"/>
        </w:rPr>
        <w:t xml:space="preserve"> </w:t>
      </w:r>
      <w:r w:rsidRPr="00A85D78">
        <w:rPr>
          <w:rFonts w:ascii="Arial" w:hAnsi="Arial" w:cs="Arial"/>
          <w:sz w:val="24"/>
          <w:szCs w:val="24"/>
        </w:rPr>
        <w:t>19 sanciones correspondieron a la falta de soporte documental en las pólizas registradas en el Sistema de Contabilidad en Línea, dichas infracciones se sancionaron con una multa equivalente al 100% del monto involucrado.</w:t>
      </w:r>
    </w:p>
    <w:p w:rsidR="00362B5D" w:rsidRPr="00A85D78" w:rsidRDefault="00362B5D" w:rsidP="00362B5D">
      <w:pPr>
        <w:spacing w:line="360" w:lineRule="auto"/>
        <w:jc w:val="both"/>
        <w:rPr>
          <w:rFonts w:ascii="Arial" w:hAnsi="Arial" w:cs="Arial"/>
          <w:sz w:val="24"/>
          <w:szCs w:val="24"/>
        </w:rPr>
      </w:pP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 xml:space="preserve">Por otra parte 33 faltas correspondieron a gastos no reportados por los partidos y coaliciones, es decir gastos detectados principalmente por la UTF en monitoreos de propaganda en la vía pública, visitas de verificación de casas de campaña, eventos públicos, monitoreos de prensa, radio y </w:t>
      </w:r>
      <w:r w:rsidR="00600C69" w:rsidRPr="00A85D78">
        <w:rPr>
          <w:rFonts w:ascii="Arial" w:hAnsi="Arial" w:cs="Arial"/>
          <w:sz w:val="24"/>
          <w:szCs w:val="24"/>
        </w:rPr>
        <w:t>tv</w:t>
      </w:r>
      <w:r w:rsidRPr="00A85D78">
        <w:rPr>
          <w:rFonts w:ascii="Arial" w:hAnsi="Arial" w:cs="Arial"/>
          <w:sz w:val="24"/>
          <w:szCs w:val="24"/>
        </w:rPr>
        <w:t>.; la sanción correspondiente a este tipo de trasgresiones a la normatividad fue penado con sanciones económicas equivalentes al150% de los montos involucrados.</w:t>
      </w:r>
    </w:p>
    <w:p w:rsidR="00362B5D" w:rsidRPr="00A85D78" w:rsidRDefault="00362B5D" w:rsidP="00362B5D">
      <w:pPr>
        <w:spacing w:line="360" w:lineRule="auto"/>
        <w:jc w:val="both"/>
        <w:rPr>
          <w:rFonts w:ascii="Arial" w:hAnsi="Arial" w:cs="Arial"/>
          <w:sz w:val="24"/>
          <w:szCs w:val="24"/>
        </w:rPr>
      </w:pP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El resto de las sanciones correspondieron a la omisión de presentar informes de gastos de campaña en 5 casos; esta negligencia se sancionó de forma especial imponiendo como punición el 30% sobre el monto del tope máximo de gastos de campaña de los municipios y/o distritos involucrados en la falta; finalmente se presentó un caso en el que se comprobó un rebase en el tope de gastos de campaña, no obstante como no se obtuvo el triunfo a pesar de la infracción; la multa impuesta equivalió al 100% del monto por el que se rebas</w:t>
      </w:r>
      <w:r w:rsidR="00F245EA">
        <w:rPr>
          <w:rFonts w:ascii="Arial" w:hAnsi="Arial" w:cs="Arial"/>
          <w:sz w:val="24"/>
          <w:szCs w:val="24"/>
        </w:rPr>
        <w:t>ó</w:t>
      </w:r>
      <w:r w:rsidRPr="00A85D78">
        <w:rPr>
          <w:rFonts w:ascii="Arial" w:hAnsi="Arial" w:cs="Arial"/>
          <w:sz w:val="24"/>
          <w:szCs w:val="24"/>
        </w:rPr>
        <w:t xml:space="preserve"> dicho tope de </w:t>
      </w:r>
      <w:r w:rsidRPr="00A85D78">
        <w:rPr>
          <w:rFonts w:ascii="Arial" w:hAnsi="Arial" w:cs="Arial"/>
          <w:sz w:val="24"/>
          <w:szCs w:val="24"/>
        </w:rPr>
        <w:lastRenderedPageBreak/>
        <w:t xml:space="preserve">gastos de campaña. De las 58 faltas sustanciales cometidas 4 fueron calificadas como “grave especial”, mientras que </w:t>
      </w:r>
      <w:proofErr w:type="gramStart"/>
      <w:r w:rsidRPr="00A85D78">
        <w:rPr>
          <w:rFonts w:ascii="Arial" w:hAnsi="Arial" w:cs="Arial"/>
          <w:sz w:val="24"/>
          <w:szCs w:val="24"/>
        </w:rPr>
        <w:t>las 54 restantes</w:t>
      </w:r>
      <w:proofErr w:type="gramEnd"/>
      <w:r w:rsidRPr="00A85D78">
        <w:rPr>
          <w:rFonts w:ascii="Arial" w:hAnsi="Arial" w:cs="Arial"/>
          <w:sz w:val="24"/>
          <w:szCs w:val="24"/>
        </w:rPr>
        <w:t xml:space="preserve"> calificaron como “grave ordinaria”; </w:t>
      </w:r>
      <w:r w:rsidR="00F245EA">
        <w:rPr>
          <w:rFonts w:ascii="Arial" w:hAnsi="Arial" w:cs="Arial"/>
          <w:sz w:val="24"/>
          <w:szCs w:val="24"/>
        </w:rPr>
        <w:t>l</w:t>
      </w:r>
      <w:r w:rsidRPr="00A85D78">
        <w:rPr>
          <w:rFonts w:ascii="Arial" w:hAnsi="Arial" w:cs="Arial"/>
          <w:sz w:val="24"/>
          <w:szCs w:val="24"/>
        </w:rPr>
        <w:t>as Faltas Sustanciales en su totalidad se consideraron leves.</w:t>
      </w:r>
    </w:p>
    <w:p w:rsidR="00362B5D" w:rsidRDefault="00362B5D" w:rsidP="00362B5D">
      <w:pPr>
        <w:spacing w:line="360" w:lineRule="auto"/>
        <w:jc w:val="both"/>
        <w:rPr>
          <w:rFonts w:ascii="Arial" w:hAnsi="Arial" w:cs="Arial"/>
          <w:sz w:val="24"/>
          <w:szCs w:val="24"/>
        </w:rPr>
      </w:pPr>
    </w:p>
    <w:p w:rsidR="00362B5D" w:rsidRPr="00A85D78" w:rsidRDefault="00362B5D" w:rsidP="00362B5D">
      <w:pPr>
        <w:spacing w:line="360" w:lineRule="auto"/>
        <w:jc w:val="both"/>
        <w:rPr>
          <w:rFonts w:ascii="Arial" w:hAnsi="Arial" w:cs="Arial"/>
          <w:sz w:val="24"/>
          <w:szCs w:val="24"/>
        </w:rPr>
      </w:pPr>
    </w:p>
    <w:p w:rsidR="00A256AB" w:rsidRPr="00A85D78" w:rsidRDefault="00A256AB" w:rsidP="00362B5D">
      <w:pPr>
        <w:spacing w:line="360" w:lineRule="auto"/>
        <w:jc w:val="both"/>
        <w:rPr>
          <w:rFonts w:ascii="Arial" w:hAnsi="Arial" w:cs="Arial"/>
          <w:b/>
          <w:sz w:val="24"/>
          <w:szCs w:val="24"/>
        </w:rPr>
      </w:pPr>
      <w:r w:rsidRPr="00A85D78">
        <w:rPr>
          <w:rFonts w:ascii="Arial" w:hAnsi="Arial" w:cs="Arial"/>
          <w:b/>
          <w:sz w:val="24"/>
          <w:szCs w:val="24"/>
        </w:rPr>
        <w:t>4.2.2 Fiscalización del proceso electoral local extraordinario</w:t>
      </w:r>
      <w:r w:rsidR="002F2580">
        <w:rPr>
          <w:rFonts w:ascii="Arial" w:hAnsi="Arial" w:cs="Arial"/>
          <w:b/>
          <w:sz w:val="24"/>
          <w:szCs w:val="24"/>
        </w:rPr>
        <w:t xml:space="preserve"> Chiautla</w:t>
      </w:r>
      <w:r w:rsidRPr="00A85D78">
        <w:rPr>
          <w:rFonts w:ascii="Arial" w:hAnsi="Arial" w:cs="Arial"/>
          <w:b/>
          <w:sz w:val="24"/>
          <w:szCs w:val="24"/>
        </w:rPr>
        <w:t xml:space="preserve"> 2016</w:t>
      </w:r>
      <w:r w:rsidR="00F245EA">
        <w:rPr>
          <w:rFonts w:ascii="Arial" w:hAnsi="Arial" w:cs="Arial"/>
          <w:b/>
          <w:sz w:val="24"/>
          <w:szCs w:val="24"/>
        </w:rPr>
        <w:t>.</w:t>
      </w: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Derivado del proceso electoral para renovar Ayuntamientos y Diputados Locales, en el Estado de México; mediante sentencia recaída al Juicio de Revisión Constitucional ST-JRC-338/2015,</w:t>
      </w:r>
      <w:r w:rsidRPr="00362B5D">
        <w:rPr>
          <w:rFonts w:ascii="Arial" w:hAnsi="Arial" w:cs="Arial"/>
          <w:sz w:val="24"/>
          <w:szCs w:val="24"/>
        </w:rPr>
        <w:t xml:space="preserve"> </w:t>
      </w:r>
      <w:r w:rsidRPr="00A85D78">
        <w:rPr>
          <w:rFonts w:ascii="Arial" w:hAnsi="Arial" w:cs="Arial"/>
          <w:sz w:val="24"/>
          <w:szCs w:val="24"/>
        </w:rPr>
        <w:t>la Sala Regional Toluca del Tribunal Electoral del Poder Judicial de la Federación resolvió revocar la resolución dictada por el Tribunal Electoral del Estado de México en el juicio de inconformidad JI/80/2015 y sus acumulados y en consecuencia de ello, declaró la invalidez de la elección de miembros del Ayuntamiento del municipio de Chiautla, Estado de México, la cual fue confirmada por la H. Sala Superior de dicho Tribunal, en la sentencia dictada en el recurso de reconsideración identificado con el número de expediente SUP-REC-1092/2015 y SUP-REC-1095/2015 acumulados.</w:t>
      </w:r>
    </w:p>
    <w:p w:rsidR="00362B5D" w:rsidRPr="00A85D78" w:rsidRDefault="00362B5D" w:rsidP="00362B5D">
      <w:pPr>
        <w:spacing w:line="360" w:lineRule="auto"/>
        <w:jc w:val="both"/>
        <w:rPr>
          <w:rFonts w:ascii="Arial" w:hAnsi="Arial" w:cs="Arial"/>
          <w:sz w:val="24"/>
          <w:szCs w:val="24"/>
        </w:rPr>
      </w:pP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Por lo anterior expuesto la LIX Legislatura del Estado, mediante Decreto número 59, publicado en el Periódico Oficial “Gaceta del Gobierno”, del Gobierno del estado Libre y Soberano de México, convocó a elección extraordinaria del Ayuntamiento de Chiautla, México, cuyo Artículo Segundo señalando como fecha para su celebración, el 13 de marzo del 2016.</w:t>
      </w:r>
    </w:p>
    <w:p w:rsidR="00362B5D" w:rsidRDefault="00362B5D" w:rsidP="00362B5D">
      <w:pPr>
        <w:spacing w:line="360" w:lineRule="auto"/>
        <w:jc w:val="both"/>
        <w:rPr>
          <w:rFonts w:ascii="Arial" w:hAnsi="Arial" w:cs="Arial"/>
          <w:sz w:val="24"/>
          <w:szCs w:val="24"/>
        </w:rPr>
      </w:pPr>
    </w:p>
    <w:p w:rsidR="00362B5D" w:rsidRPr="00A85D78" w:rsidRDefault="00362B5D" w:rsidP="00362B5D">
      <w:pPr>
        <w:spacing w:line="360" w:lineRule="auto"/>
        <w:jc w:val="both"/>
        <w:rPr>
          <w:rFonts w:ascii="Arial" w:hAnsi="Arial" w:cs="Arial"/>
          <w:sz w:val="24"/>
          <w:szCs w:val="24"/>
        </w:rPr>
      </w:pPr>
    </w:p>
    <w:p w:rsidR="00A256AB" w:rsidRPr="00A85D78" w:rsidRDefault="00A256AB" w:rsidP="00362B5D">
      <w:pPr>
        <w:spacing w:line="360" w:lineRule="auto"/>
        <w:jc w:val="both"/>
        <w:rPr>
          <w:rFonts w:ascii="Arial" w:hAnsi="Arial" w:cs="Arial"/>
          <w:b/>
          <w:sz w:val="24"/>
          <w:szCs w:val="24"/>
        </w:rPr>
      </w:pPr>
      <w:r w:rsidRPr="00A85D78">
        <w:rPr>
          <w:rFonts w:ascii="Arial" w:hAnsi="Arial" w:cs="Arial"/>
          <w:b/>
          <w:sz w:val="24"/>
          <w:szCs w:val="24"/>
        </w:rPr>
        <w:t>4.2.2.1 Precampaña.</w:t>
      </w:r>
    </w:p>
    <w:p w:rsidR="00A256AB" w:rsidRDefault="00A256AB" w:rsidP="00362B5D">
      <w:pPr>
        <w:spacing w:line="360" w:lineRule="auto"/>
        <w:jc w:val="both"/>
        <w:rPr>
          <w:rFonts w:ascii="Arial" w:hAnsi="Arial" w:cs="Arial"/>
          <w:sz w:val="24"/>
          <w:szCs w:val="24"/>
        </w:rPr>
      </w:pPr>
      <w:r w:rsidRPr="00A85D78">
        <w:rPr>
          <w:rFonts w:ascii="Arial" w:hAnsi="Arial" w:cs="Arial"/>
          <w:sz w:val="24"/>
          <w:szCs w:val="24"/>
        </w:rPr>
        <w:t>La precampaña para la elección extraordinaria de Chiautla, se llevó a cabo sin la participación de partidos como PRD, PT, PVEM, NA, PES y PFD; únicamente tuvieron participación los partidos PRI, Movimiento Ciudadano y MORENA; de los cuales se describen las conclusiones en la tabla 4.20</w:t>
      </w:r>
      <w:r w:rsidR="00362B5D">
        <w:rPr>
          <w:rFonts w:ascii="Arial" w:hAnsi="Arial" w:cs="Arial"/>
          <w:sz w:val="24"/>
          <w:szCs w:val="24"/>
        </w:rPr>
        <w:t>.</w:t>
      </w:r>
    </w:p>
    <w:p w:rsidR="00362B5D" w:rsidRPr="00A85D78" w:rsidRDefault="00362B5D" w:rsidP="00362B5D">
      <w:pPr>
        <w:spacing w:line="360" w:lineRule="auto"/>
        <w:jc w:val="both"/>
        <w:rPr>
          <w:rFonts w:ascii="Arial" w:hAnsi="Arial" w:cs="Arial"/>
          <w:sz w:val="24"/>
          <w:szCs w:val="24"/>
        </w:rPr>
      </w:pPr>
    </w:p>
    <w:p w:rsidR="00A256AB" w:rsidRDefault="00A256AB" w:rsidP="00776C8D">
      <w:pPr>
        <w:tabs>
          <w:tab w:val="left" w:pos="5070"/>
        </w:tabs>
        <w:jc w:val="both"/>
        <w:rPr>
          <w:rStyle w:val="Ttulodellibro"/>
          <w:rFonts w:ascii="Arial" w:hAnsi="Arial" w:cs="Arial"/>
          <w:b/>
          <w:i/>
          <w:color w:val="auto"/>
          <w:sz w:val="20"/>
          <w:szCs w:val="20"/>
        </w:rPr>
      </w:pPr>
      <w:r w:rsidRPr="00776C8D">
        <w:rPr>
          <w:rStyle w:val="Ttulodellibro"/>
          <w:rFonts w:ascii="Arial" w:hAnsi="Arial" w:cs="Arial"/>
          <w:b/>
          <w:i/>
          <w:color w:val="auto"/>
          <w:sz w:val="20"/>
          <w:szCs w:val="20"/>
        </w:rPr>
        <w:t>Tabla 4.20 Multas de precampaña elección extraordinaria 2016.</w:t>
      </w:r>
    </w:p>
    <w:p w:rsidR="00776C8D" w:rsidRPr="00776C8D" w:rsidRDefault="00776C8D" w:rsidP="00776C8D">
      <w:pPr>
        <w:tabs>
          <w:tab w:val="left" w:pos="5070"/>
        </w:tabs>
        <w:jc w:val="both"/>
        <w:rPr>
          <w:rStyle w:val="Ttulodellibro"/>
          <w:rFonts w:ascii="Arial" w:hAnsi="Arial" w:cs="Arial"/>
          <w:b/>
          <w:i/>
          <w:color w:val="auto"/>
          <w:sz w:val="20"/>
          <w:szCs w:val="20"/>
        </w:rPr>
      </w:pPr>
    </w:p>
    <w:tbl>
      <w:tblPr>
        <w:tblStyle w:val="Tablaconcuadrcula"/>
        <w:tblW w:w="5000" w:type="pct"/>
        <w:tblLook w:val="04A0" w:firstRow="1" w:lastRow="0" w:firstColumn="1" w:lastColumn="0" w:noHBand="0" w:noVBand="1"/>
      </w:tblPr>
      <w:tblGrid>
        <w:gridCol w:w="936"/>
        <w:gridCol w:w="1292"/>
        <w:gridCol w:w="1221"/>
        <w:gridCol w:w="4028"/>
        <w:gridCol w:w="1017"/>
      </w:tblGrid>
      <w:tr w:rsidR="00A256AB" w:rsidRPr="00776C8D" w:rsidTr="00776C8D">
        <w:tc>
          <w:tcPr>
            <w:tcW w:w="551" w:type="pct"/>
            <w:shd w:val="clear" w:color="auto" w:fill="FBE4D5" w:themeFill="accent2" w:themeFillTint="33"/>
            <w:vAlign w:val="center"/>
          </w:tcPr>
          <w:p w:rsidR="00A256AB" w:rsidRPr="00776C8D" w:rsidRDefault="00A256AB" w:rsidP="00F245EA">
            <w:pPr>
              <w:jc w:val="center"/>
              <w:rPr>
                <w:rFonts w:ascii="Arial" w:hAnsi="Arial" w:cs="Arial"/>
                <w:b/>
                <w:sz w:val="16"/>
                <w:szCs w:val="16"/>
                <w:lang w:val="es-ES_tradnl"/>
              </w:rPr>
            </w:pPr>
            <w:r w:rsidRPr="00776C8D">
              <w:rPr>
                <w:rFonts w:ascii="Arial" w:hAnsi="Arial" w:cs="Arial"/>
                <w:b/>
                <w:sz w:val="16"/>
                <w:szCs w:val="16"/>
                <w:lang w:val="es-ES_tradnl"/>
              </w:rPr>
              <w:t>PARTIDO</w:t>
            </w:r>
          </w:p>
        </w:tc>
        <w:tc>
          <w:tcPr>
            <w:tcW w:w="761" w:type="pct"/>
            <w:shd w:val="clear" w:color="auto" w:fill="FBE4D5" w:themeFill="accent2" w:themeFillTint="33"/>
            <w:vAlign w:val="center"/>
          </w:tcPr>
          <w:p w:rsidR="00A256AB" w:rsidRPr="00776C8D" w:rsidRDefault="00A256AB" w:rsidP="00F245EA">
            <w:pPr>
              <w:jc w:val="center"/>
              <w:rPr>
                <w:rFonts w:ascii="Arial" w:hAnsi="Arial" w:cs="Arial"/>
                <w:b/>
                <w:sz w:val="16"/>
                <w:szCs w:val="16"/>
                <w:lang w:val="es-ES_tradnl"/>
              </w:rPr>
            </w:pPr>
            <w:r w:rsidRPr="00776C8D">
              <w:rPr>
                <w:rFonts w:ascii="Arial" w:hAnsi="Arial" w:cs="Arial"/>
                <w:b/>
                <w:sz w:val="16"/>
                <w:szCs w:val="16"/>
                <w:lang w:val="es-ES_tradnl"/>
              </w:rPr>
              <w:t>CONCLUSIÓN EN DICTAMEN</w:t>
            </w:r>
          </w:p>
        </w:tc>
        <w:tc>
          <w:tcPr>
            <w:tcW w:w="719" w:type="pct"/>
            <w:shd w:val="clear" w:color="auto" w:fill="FBE4D5" w:themeFill="accent2" w:themeFillTint="33"/>
            <w:vAlign w:val="center"/>
          </w:tcPr>
          <w:p w:rsidR="00A256AB" w:rsidRPr="00776C8D" w:rsidRDefault="00A256AB" w:rsidP="00F245EA">
            <w:pPr>
              <w:jc w:val="center"/>
              <w:rPr>
                <w:rFonts w:ascii="Arial" w:hAnsi="Arial" w:cs="Arial"/>
                <w:b/>
                <w:sz w:val="16"/>
                <w:szCs w:val="16"/>
                <w:lang w:val="es-ES_tradnl"/>
              </w:rPr>
            </w:pPr>
            <w:r w:rsidRPr="00776C8D">
              <w:rPr>
                <w:rFonts w:ascii="Arial" w:hAnsi="Arial" w:cs="Arial"/>
                <w:b/>
                <w:sz w:val="16"/>
                <w:szCs w:val="16"/>
                <w:lang w:val="es-ES_tradnl"/>
              </w:rPr>
              <w:t>TIPO DE FALTA</w:t>
            </w:r>
          </w:p>
        </w:tc>
        <w:tc>
          <w:tcPr>
            <w:tcW w:w="2557" w:type="pct"/>
            <w:shd w:val="clear" w:color="auto" w:fill="FBE4D5" w:themeFill="accent2" w:themeFillTint="33"/>
            <w:vAlign w:val="center"/>
          </w:tcPr>
          <w:p w:rsidR="00A256AB" w:rsidRPr="00776C8D" w:rsidRDefault="00A256AB" w:rsidP="00F245EA">
            <w:pPr>
              <w:jc w:val="center"/>
              <w:rPr>
                <w:rFonts w:ascii="Arial" w:hAnsi="Arial" w:cs="Arial"/>
                <w:b/>
                <w:sz w:val="16"/>
                <w:szCs w:val="16"/>
                <w:lang w:val="es-ES_tradnl"/>
              </w:rPr>
            </w:pPr>
            <w:r w:rsidRPr="00776C8D">
              <w:rPr>
                <w:rFonts w:ascii="Arial" w:hAnsi="Arial" w:cs="Arial"/>
                <w:b/>
                <w:sz w:val="16"/>
                <w:szCs w:val="16"/>
                <w:lang w:val="es-ES_tradnl"/>
              </w:rPr>
              <w:t>CONCEPTO DE LA FALTA</w:t>
            </w:r>
          </w:p>
        </w:tc>
        <w:tc>
          <w:tcPr>
            <w:tcW w:w="413" w:type="pct"/>
            <w:shd w:val="clear" w:color="auto" w:fill="FBE4D5" w:themeFill="accent2" w:themeFillTint="33"/>
            <w:vAlign w:val="center"/>
          </w:tcPr>
          <w:p w:rsidR="00A256AB" w:rsidRPr="00776C8D" w:rsidRDefault="00A256AB" w:rsidP="00F245EA">
            <w:pPr>
              <w:jc w:val="center"/>
              <w:rPr>
                <w:rFonts w:ascii="Arial" w:hAnsi="Arial" w:cs="Arial"/>
                <w:b/>
                <w:sz w:val="16"/>
                <w:szCs w:val="16"/>
                <w:lang w:val="es-ES_tradnl"/>
              </w:rPr>
            </w:pPr>
            <w:r w:rsidRPr="00776C8D">
              <w:rPr>
                <w:rFonts w:ascii="Arial" w:hAnsi="Arial" w:cs="Arial"/>
                <w:b/>
                <w:sz w:val="16"/>
                <w:szCs w:val="16"/>
                <w:lang w:val="es-ES_tradnl"/>
              </w:rPr>
              <w:t>MULTA</w:t>
            </w:r>
          </w:p>
        </w:tc>
      </w:tr>
      <w:tr w:rsidR="00A256AB" w:rsidRPr="00776C8D" w:rsidTr="00776C8D">
        <w:tc>
          <w:tcPr>
            <w:tcW w:w="55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PRI</w:t>
            </w: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2</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FORMAL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 xml:space="preserve">El PRI omitió </w:t>
            </w:r>
            <w:proofErr w:type="spellStart"/>
            <w:r w:rsidRPr="00776C8D">
              <w:rPr>
                <w:rFonts w:ascii="Arial" w:hAnsi="Arial" w:cs="Arial"/>
                <w:sz w:val="16"/>
                <w:szCs w:val="16"/>
                <w:lang w:val="es-ES_tradnl"/>
              </w:rPr>
              <w:t>aperturar</w:t>
            </w:r>
            <w:proofErr w:type="spellEnd"/>
            <w:r w:rsidRPr="00776C8D">
              <w:rPr>
                <w:rFonts w:ascii="Arial" w:hAnsi="Arial" w:cs="Arial"/>
                <w:sz w:val="16"/>
                <w:szCs w:val="16"/>
                <w:lang w:val="es-ES_tradnl"/>
              </w:rPr>
              <w:t xml:space="preserve"> una cuenta bancaria para el manejo de los recursos de su precandidato.</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$730.40</w:t>
            </w:r>
          </w:p>
        </w:tc>
      </w:tr>
      <w:tr w:rsidR="00A256AB" w:rsidRPr="00776C8D" w:rsidTr="00776C8D">
        <w:tc>
          <w:tcPr>
            <w:tcW w:w="55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lastRenderedPageBreak/>
              <w:t>MC</w:t>
            </w: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4</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2 FORMALES</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 xml:space="preserve">MC omitió </w:t>
            </w:r>
            <w:proofErr w:type="spellStart"/>
            <w:r w:rsidRPr="00776C8D">
              <w:rPr>
                <w:rFonts w:ascii="Arial" w:hAnsi="Arial" w:cs="Arial"/>
                <w:sz w:val="16"/>
                <w:szCs w:val="16"/>
                <w:lang w:val="es-ES_tradnl"/>
              </w:rPr>
              <w:t>aperturar</w:t>
            </w:r>
            <w:proofErr w:type="spellEnd"/>
            <w:r w:rsidRPr="00776C8D">
              <w:rPr>
                <w:rFonts w:ascii="Arial" w:hAnsi="Arial" w:cs="Arial"/>
                <w:sz w:val="16"/>
                <w:szCs w:val="16"/>
                <w:lang w:val="es-ES_tradnl"/>
              </w:rPr>
              <w:t xml:space="preserve"> 2 cuentas bancarias para el manejo de los recursos de sus precandidatos.</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$1,460.80</w:t>
            </w:r>
          </w:p>
        </w:tc>
      </w:tr>
      <w:tr w:rsidR="00A256AB" w:rsidRPr="00776C8D" w:rsidTr="00776C8D">
        <w:tc>
          <w:tcPr>
            <w:tcW w:w="551" w:type="pct"/>
            <w:vMerge w:val="restar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MORENA</w:t>
            </w: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3</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 FORMAL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Presentó un contrato de comodato por la aportación de la casa de precampaña que carece de la firma del representante del partido político por $3,495.05.</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$730.40</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5</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39 FORMALES</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Presentó 39 contratos de donación por concepto de apoyo para la precampaña que carecen de la firma del representante de finanzas, por $17,547.60.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$28,485.60</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6</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7 FORMALES</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Presentó 7 recibos y contratos de donación por concepto de lonas que carecen de la firma del representante de finanzas, por $11,250.00.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$5,112.80</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4</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SUSTANCIAL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No presentó documentación soporte de una póliza de ingresos por concepto de aportación de arrendamiento de bienes muebles, por $1,500.00.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$1,460.80</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7</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SUSTANCIAL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No presentó la documentación soporte de pólizas por concepto de aportaciones de simpatizantes de bardas y volantes, por $17,680.00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$17,675.68</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9</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SUSTANCIAL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Morena no reportó una lona detectada en el monitoreo de la UTF, por $200.00.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$292.16</w:t>
            </w:r>
          </w:p>
        </w:tc>
      </w:tr>
      <w:tr w:rsidR="00A256AB" w:rsidRPr="00776C8D" w:rsidTr="00776C8D">
        <w:tc>
          <w:tcPr>
            <w:tcW w:w="551" w:type="pct"/>
            <w:vMerge/>
            <w:vAlign w:val="center"/>
          </w:tcPr>
          <w:p w:rsidR="00A256AB" w:rsidRPr="00776C8D" w:rsidRDefault="00A256AB" w:rsidP="00A256AB">
            <w:pPr>
              <w:jc w:val="center"/>
              <w:rPr>
                <w:rFonts w:ascii="Arial" w:hAnsi="Arial" w:cs="Arial"/>
                <w:sz w:val="16"/>
                <w:szCs w:val="16"/>
                <w:lang w:val="es-ES_tradnl"/>
              </w:rPr>
            </w:pPr>
          </w:p>
        </w:tc>
        <w:tc>
          <w:tcPr>
            <w:tcW w:w="761"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10</w:t>
            </w:r>
          </w:p>
        </w:tc>
        <w:tc>
          <w:tcPr>
            <w:tcW w:w="719"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SUSTANCIAL</w:t>
            </w:r>
          </w:p>
        </w:tc>
        <w:tc>
          <w:tcPr>
            <w:tcW w:w="2557" w:type="pct"/>
          </w:tcPr>
          <w:p w:rsidR="00A256AB" w:rsidRPr="00776C8D" w:rsidRDefault="00A256AB" w:rsidP="00A256AB">
            <w:pPr>
              <w:jc w:val="both"/>
              <w:rPr>
                <w:rFonts w:ascii="Arial" w:hAnsi="Arial" w:cs="Arial"/>
                <w:sz w:val="16"/>
                <w:szCs w:val="16"/>
                <w:lang w:val="es-ES_tradnl"/>
              </w:rPr>
            </w:pPr>
            <w:r w:rsidRPr="00776C8D">
              <w:rPr>
                <w:rFonts w:ascii="Arial" w:hAnsi="Arial" w:cs="Arial"/>
                <w:sz w:val="16"/>
                <w:szCs w:val="16"/>
                <w:lang w:val="es-ES_tradnl"/>
              </w:rPr>
              <w:t>Morena no reportó un gasto por concepto de la pinta de 5 bardas y una manta, por $7,125.00.</w:t>
            </w:r>
          </w:p>
        </w:tc>
        <w:tc>
          <w:tcPr>
            <w:tcW w:w="413" w:type="pct"/>
            <w:vAlign w:val="center"/>
          </w:tcPr>
          <w:p w:rsidR="00A256AB" w:rsidRPr="00776C8D" w:rsidRDefault="00A256AB" w:rsidP="00A256AB">
            <w:pPr>
              <w:jc w:val="center"/>
              <w:rPr>
                <w:rFonts w:ascii="Arial" w:hAnsi="Arial" w:cs="Arial"/>
                <w:sz w:val="16"/>
                <w:szCs w:val="16"/>
                <w:lang w:val="es-ES_tradnl"/>
              </w:rPr>
            </w:pPr>
            <w:r w:rsidRPr="00776C8D">
              <w:rPr>
                <w:rFonts w:ascii="Arial" w:hAnsi="Arial" w:cs="Arial"/>
                <w:sz w:val="16"/>
                <w:szCs w:val="16"/>
                <w:lang w:val="es-ES_tradnl"/>
              </w:rPr>
              <w:t>$10,663.84</w:t>
            </w:r>
          </w:p>
        </w:tc>
      </w:tr>
    </w:tbl>
    <w:p w:rsidR="00A256AB" w:rsidRPr="00776C8D" w:rsidRDefault="00A256AB" w:rsidP="00A256AB">
      <w:pPr>
        <w:jc w:val="both"/>
        <w:rPr>
          <w:rFonts w:ascii="Arial" w:hAnsi="Arial" w:cs="Arial"/>
          <w:i/>
          <w:iCs/>
          <w:sz w:val="16"/>
          <w:szCs w:val="16"/>
        </w:rPr>
      </w:pPr>
      <w:r w:rsidRPr="00776C8D">
        <w:rPr>
          <w:rFonts w:ascii="Arial" w:hAnsi="Arial" w:cs="Arial"/>
          <w:b/>
          <w:bCs/>
          <w:i/>
          <w:iCs/>
          <w:sz w:val="16"/>
          <w:szCs w:val="16"/>
        </w:rPr>
        <w:t>Fuente:</w:t>
      </w:r>
      <w:r w:rsidRPr="00776C8D">
        <w:rPr>
          <w:rFonts w:ascii="Arial" w:hAnsi="Arial" w:cs="Arial"/>
          <w:i/>
          <w:iCs/>
          <w:sz w:val="16"/>
          <w:szCs w:val="16"/>
        </w:rPr>
        <w:t xml:space="preserve"> Elaboración propia con base en acuerdo INE/CG234/2016 e INE/CG235/2016</w:t>
      </w:r>
      <w:r w:rsidR="00362B5D" w:rsidRPr="00776C8D">
        <w:rPr>
          <w:rFonts w:ascii="Arial" w:hAnsi="Arial" w:cs="Arial"/>
          <w:i/>
          <w:iCs/>
          <w:sz w:val="16"/>
          <w:szCs w:val="16"/>
        </w:rPr>
        <w:t>.</w:t>
      </w:r>
    </w:p>
    <w:p w:rsidR="00362B5D" w:rsidRDefault="00362B5D" w:rsidP="00A256AB">
      <w:pPr>
        <w:jc w:val="both"/>
        <w:rPr>
          <w:rFonts w:ascii="Arial" w:hAnsi="Arial" w:cs="Arial"/>
          <w:sz w:val="16"/>
          <w:szCs w:val="16"/>
        </w:rPr>
      </w:pPr>
    </w:p>
    <w:p w:rsidR="00362B5D" w:rsidRPr="00A85D78" w:rsidRDefault="00362B5D" w:rsidP="00A256AB">
      <w:pPr>
        <w:jc w:val="both"/>
        <w:rPr>
          <w:rFonts w:ascii="Arial" w:hAnsi="Arial" w:cs="Arial"/>
          <w:sz w:val="16"/>
          <w:szCs w:val="16"/>
        </w:rPr>
      </w:pPr>
    </w:p>
    <w:p w:rsidR="00A256AB" w:rsidRDefault="00A256AB" w:rsidP="00776C8D">
      <w:pPr>
        <w:spacing w:line="360" w:lineRule="auto"/>
        <w:jc w:val="both"/>
        <w:rPr>
          <w:rFonts w:ascii="Arial" w:hAnsi="Arial" w:cs="Arial"/>
          <w:sz w:val="24"/>
          <w:szCs w:val="24"/>
        </w:rPr>
      </w:pPr>
      <w:r w:rsidRPr="00A85D78">
        <w:rPr>
          <w:rFonts w:ascii="Arial" w:hAnsi="Arial" w:cs="Arial"/>
          <w:sz w:val="24"/>
          <w:szCs w:val="24"/>
        </w:rPr>
        <w:t>De los 3 partidos que decidieron realizar precampaña; el más multado fue MORENA; con 50 infracciones, que lo hicieron acreedor a una sanción por $64,421.28</w:t>
      </w:r>
      <w:r w:rsidR="00362B5D">
        <w:rPr>
          <w:rFonts w:ascii="Arial" w:hAnsi="Arial" w:cs="Arial"/>
          <w:sz w:val="24"/>
          <w:szCs w:val="24"/>
        </w:rPr>
        <w:t>.</w:t>
      </w:r>
    </w:p>
    <w:p w:rsidR="00362B5D" w:rsidRDefault="00362B5D" w:rsidP="00776C8D">
      <w:pPr>
        <w:spacing w:line="360" w:lineRule="auto"/>
        <w:jc w:val="both"/>
        <w:rPr>
          <w:rFonts w:ascii="Arial" w:hAnsi="Arial" w:cs="Arial"/>
          <w:sz w:val="24"/>
          <w:szCs w:val="24"/>
        </w:rPr>
      </w:pPr>
    </w:p>
    <w:p w:rsidR="00362B5D" w:rsidRPr="00A85D78" w:rsidRDefault="00362B5D" w:rsidP="00776C8D">
      <w:pPr>
        <w:spacing w:line="360" w:lineRule="auto"/>
        <w:jc w:val="both"/>
        <w:rPr>
          <w:rFonts w:ascii="Arial" w:hAnsi="Arial" w:cs="Arial"/>
          <w:sz w:val="24"/>
          <w:szCs w:val="24"/>
        </w:rPr>
      </w:pPr>
    </w:p>
    <w:p w:rsidR="00A256AB" w:rsidRPr="00A85D78" w:rsidRDefault="00A256AB" w:rsidP="00776C8D">
      <w:pPr>
        <w:spacing w:line="360" w:lineRule="auto"/>
        <w:rPr>
          <w:rFonts w:ascii="Arial" w:hAnsi="Arial" w:cs="Arial"/>
          <w:b/>
          <w:sz w:val="24"/>
          <w:szCs w:val="24"/>
        </w:rPr>
      </w:pPr>
      <w:r w:rsidRPr="00A85D78">
        <w:rPr>
          <w:rFonts w:ascii="Arial" w:hAnsi="Arial" w:cs="Arial"/>
          <w:b/>
          <w:sz w:val="24"/>
          <w:szCs w:val="24"/>
        </w:rPr>
        <w:t>4.2.2.2 Campaña.</w:t>
      </w:r>
    </w:p>
    <w:p w:rsidR="00A256AB" w:rsidRDefault="00A256AB" w:rsidP="00776C8D">
      <w:pPr>
        <w:spacing w:line="360" w:lineRule="auto"/>
        <w:jc w:val="both"/>
        <w:rPr>
          <w:rFonts w:ascii="Arial" w:hAnsi="Arial" w:cs="Arial"/>
          <w:sz w:val="24"/>
          <w:szCs w:val="24"/>
        </w:rPr>
      </w:pPr>
      <w:r w:rsidRPr="00A85D78">
        <w:rPr>
          <w:rFonts w:ascii="Arial" w:hAnsi="Arial" w:cs="Arial"/>
          <w:sz w:val="24"/>
          <w:szCs w:val="24"/>
        </w:rPr>
        <w:t>En la elección extraordinaria de Chiautla, participaron 2 Coaliciones una conformada por PRI-PVEM-</w:t>
      </w:r>
      <w:r w:rsidR="00EC38F0">
        <w:rPr>
          <w:rFonts w:ascii="Arial" w:hAnsi="Arial" w:cs="Arial"/>
          <w:sz w:val="24"/>
          <w:szCs w:val="24"/>
        </w:rPr>
        <w:t>NUAL</w:t>
      </w:r>
      <w:r w:rsidRPr="00A85D78">
        <w:rPr>
          <w:rFonts w:ascii="Arial" w:hAnsi="Arial" w:cs="Arial"/>
          <w:sz w:val="24"/>
          <w:szCs w:val="24"/>
        </w:rPr>
        <w:t xml:space="preserve"> y otra integrada por PRD-PT; además de 5 partidos políticos en solitario, de los cuales; el Partido Acción Nacional, no fue objeto de ninguna medida de apremio resultado de la fiscalización de los gastos de campaña. En la tabla 4.21, se presentan las principales faltas cometidas por los partidos y coaliciones; así como sus sancione</w:t>
      </w:r>
      <w:r w:rsidR="00362B5D">
        <w:rPr>
          <w:rFonts w:ascii="Arial" w:hAnsi="Arial" w:cs="Arial"/>
          <w:sz w:val="24"/>
          <w:szCs w:val="24"/>
        </w:rPr>
        <w:t>s.</w:t>
      </w:r>
    </w:p>
    <w:p w:rsidR="00362B5D" w:rsidRPr="00A85D78" w:rsidRDefault="00362B5D" w:rsidP="00A256AB">
      <w:pPr>
        <w:jc w:val="both"/>
        <w:rPr>
          <w:rFonts w:ascii="Arial" w:hAnsi="Arial" w:cs="Arial"/>
          <w:sz w:val="24"/>
          <w:szCs w:val="24"/>
        </w:rPr>
      </w:pPr>
    </w:p>
    <w:p w:rsidR="00A256AB" w:rsidRDefault="00A256AB" w:rsidP="00776C8D">
      <w:pPr>
        <w:tabs>
          <w:tab w:val="left" w:pos="5070"/>
        </w:tabs>
        <w:jc w:val="both"/>
        <w:rPr>
          <w:rStyle w:val="Ttulodellibro"/>
          <w:rFonts w:ascii="Arial" w:hAnsi="Arial" w:cs="Arial"/>
          <w:b/>
          <w:i/>
          <w:color w:val="auto"/>
          <w:sz w:val="20"/>
          <w:szCs w:val="20"/>
        </w:rPr>
      </w:pPr>
      <w:r w:rsidRPr="00776C8D">
        <w:rPr>
          <w:rStyle w:val="Ttulodellibro"/>
          <w:rFonts w:ascii="Arial" w:hAnsi="Arial" w:cs="Arial"/>
          <w:b/>
          <w:i/>
          <w:color w:val="auto"/>
          <w:sz w:val="20"/>
          <w:szCs w:val="20"/>
        </w:rPr>
        <w:t>Tabla 4.21 Multas proceso electoral extraordinario Chiautla 2016.</w:t>
      </w:r>
    </w:p>
    <w:p w:rsidR="00776C8D" w:rsidRPr="00776C8D" w:rsidRDefault="00776C8D" w:rsidP="00776C8D">
      <w:pPr>
        <w:tabs>
          <w:tab w:val="left" w:pos="5070"/>
        </w:tabs>
        <w:jc w:val="both"/>
        <w:rPr>
          <w:rStyle w:val="Ttulodellibro"/>
          <w:rFonts w:ascii="Arial" w:hAnsi="Arial" w:cs="Arial"/>
          <w:b/>
          <w:i/>
          <w:color w:val="auto"/>
          <w:sz w:val="20"/>
          <w:szCs w:val="20"/>
        </w:rPr>
      </w:pPr>
    </w:p>
    <w:tbl>
      <w:tblPr>
        <w:tblStyle w:val="Tablaconcuadrcula"/>
        <w:tblW w:w="5000" w:type="pct"/>
        <w:tblLayout w:type="fixed"/>
        <w:tblLook w:val="04A0" w:firstRow="1" w:lastRow="0" w:firstColumn="1" w:lastColumn="0" w:noHBand="0" w:noVBand="1"/>
      </w:tblPr>
      <w:tblGrid>
        <w:gridCol w:w="562"/>
        <w:gridCol w:w="994"/>
        <w:gridCol w:w="1177"/>
        <w:gridCol w:w="1238"/>
        <w:gridCol w:w="3454"/>
        <w:gridCol w:w="1069"/>
      </w:tblGrid>
      <w:tr w:rsidR="00A256AB" w:rsidRPr="00A85D78" w:rsidTr="00F245EA">
        <w:tc>
          <w:tcPr>
            <w:tcW w:w="331"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COA</w:t>
            </w:r>
          </w:p>
        </w:tc>
        <w:tc>
          <w:tcPr>
            <w:tcW w:w="585"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PARTIDO</w:t>
            </w:r>
          </w:p>
        </w:tc>
        <w:tc>
          <w:tcPr>
            <w:tcW w:w="693"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TIPO DE FALTA</w:t>
            </w:r>
          </w:p>
        </w:tc>
        <w:tc>
          <w:tcPr>
            <w:tcW w:w="729"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CONCLUSIÓN EN DICTAMEN</w:t>
            </w:r>
          </w:p>
        </w:tc>
        <w:tc>
          <w:tcPr>
            <w:tcW w:w="2033"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CONCEPTO MULTA</w:t>
            </w:r>
          </w:p>
        </w:tc>
        <w:tc>
          <w:tcPr>
            <w:tcW w:w="629" w:type="pct"/>
            <w:shd w:val="clear" w:color="auto" w:fill="FBE4D5" w:themeFill="accent2" w:themeFillTint="33"/>
            <w:vAlign w:val="center"/>
          </w:tcPr>
          <w:p w:rsidR="00A256AB" w:rsidRPr="00F245EA" w:rsidRDefault="00A256AB" w:rsidP="00F245EA">
            <w:pPr>
              <w:jc w:val="center"/>
              <w:rPr>
                <w:rFonts w:ascii="Arial" w:hAnsi="Arial" w:cs="Arial"/>
                <w:b/>
                <w:sz w:val="15"/>
                <w:szCs w:val="15"/>
                <w:lang w:val="es-ES_tradnl"/>
              </w:rPr>
            </w:pPr>
            <w:r w:rsidRPr="00F245EA">
              <w:rPr>
                <w:rFonts w:ascii="Arial" w:hAnsi="Arial" w:cs="Arial"/>
                <w:b/>
                <w:sz w:val="15"/>
                <w:szCs w:val="15"/>
                <w:lang w:val="es-ES_tradnl"/>
              </w:rPr>
              <w:t>MONTO</w:t>
            </w:r>
          </w:p>
        </w:tc>
      </w:tr>
      <w:tr w:rsidR="00A256AB" w:rsidRPr="00A85D78" w:rsidTr="00F245EA">
        <w:trPr>
          <w:trHeight w:val="280"/>
        </w:trPr>
        <w:tc>
          <w:tcPr>
            <w:tcW w:w="331"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PRI-PVEM-NUAL</w:t>
            </w: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693" w:type="pct"/>
            <w:vMerge w:val="restar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2033" w:type="pct"/>
            <w:vMerge w:val="restar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Derivado de los cuestionarios aplicados a los representantes de casilla y representantes generales el día de la Jornada Electoral, se determinó que se omitió reportar los gastos por un monto de $1,856.00 en alimentos</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$1,387.76</w:t>
            </w:r>
          </w:p>
        </w:tc>
      </w:tr>
      <w:tr w:rsidR="00A256AB" w:rsidRPr="00A85D78" w:rsidTr="00F245EA">
        <w:trPr>
          <w:trHeight w:val="467"/>
        </w:trPr>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693" w:type="pct"/>
            <w:vMerge/>
            <w:vAlign w:val="center"/>
          </w:tcPr>
          <w:p w:rsidR="00A256AB" w:rsidRPr="00F245EA" w:rsidRDefault="00A256AB" w:rsidP="00A256AB">
            <w:pPr>
              <w:jc w:val="center"/>
              <w:rPr>
                <w:rFonts w:ascii="Arial" w:hAnsi="Arial" w:cs="Arial"/>
                <w:sz w:val="15"/>
                <w:szCs w:val="15"/>
                <w:lang w:val="es-ES_tradnl"/>
              </w:rPr>
            </w:pPr>
          </w:p>
        </w:tc>
        <w:tc>
          <w:tcPr>
            <w:tcW w:w="729" w:type="pct"/>
            <w:vMerge/>
            <w:vAlign w:val="center"/>
          </w:tcPr>
          <w:p w:rsidR="00A256AB" w:rsidRPr="00A85D78" w:rsidRDefault="00A256AB" w:rsidP="00A256AB">
            <w:pPr>
              <w:jc w:val="center"/>
              <w:rPr>
                <w:rFonts w:ascii="Arial" w:hAnsi="Arial" w:cs="Arial"/>
                <w:sz w:val="16"/>
                <w:szCs w:val="16"/>
                <w:lang w:val="es-ES_tradnl"/>
              </w:rPr>
            </w:pPr>
          </w:p>
        </w:tc>
        <w:tc>
          <w:tcPr>
            <w:tcW w:w="2033" w:type="pct"/>
            <w:vMerge/>
            <w:vAlign w:val="center"/>
          </w:tcPr>
          <w:p w:rsidR="00A256AB" w:rsidRPr="00A85D78" w:rsidRDefault="00A256AB" w:rsidP="00A256AB">
            <w:pPr>
              <w:jc w:val="both"/>
              <w:rPr>
                <w:rFonts w:ascii="Arial" w:hAnsi="Arial" w:cs="Arial"/>
                <w:sz w:val="16"/>
                <w:szCs w:val="16"/>
                <w:lang w:val="es-ES_tradnl"/>
              </w:rPr>
            </w:pP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$584.32</w:t>
            </w:r>
          </w:p>
        </w:tc>
      </w:tr>
      <w:tr w:rsidR="00A256AB" w:rsidRPr="00A85D78" w:rsidTr="00F245EA">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693" w:type="pct"/>
            <w:vMerge/>
            <w:vAlign w:val="center"/>
          </w:tcPr>
          <w:p w:rsidR="00A256AB" w:rsidRPr="00F245EA" w:rsidRDefault="00A256AB" w:rsidP="00A256AB">
            <w:pPr>
              <w:jc w:val="center"/>
              <w:rPr>
                <w:rFonts w:ascii="Arial" w:hAnsi="Arial" w:cs="Arial"/>
                <w:sz w:val="15"/>
                <w:szCs w:val="15"/>
                <w:lang w:val="es-ES_tradnl"/>
              </w:rPr>
            </w:pPr>
          </w:p>
        </w:tc>
        <w:tc>
          <w:tcPr>
            <w:tcW w:w="729" w:type="pct"/>
            <w:vMerge/>
            <w:vAlign w:val="center"/>
          </w:tcPr>
          <w:p w:rsidR="00A256AB" w:rsidRPr="00A85D78" w:rsidRDefault="00A256AB" w:rsidP="00A256AB">
            <w:pPr>
              <w:jc w:val="center"/>
              <w:rPr>
                <w:rFonts w:ascii="Arial" w:hAnsi="Arial" w:cs="Arial"/>
                <w:sz w:val="16"/>
                <w:szCs w:val="16"/>
                <w:lang w:val="es-ES_tradnl"/>
              </w:rPr>
            </w:pPr>
          </w:p>
        </w:tc>
        <w:tc>
          <w:tcPr>
            <w:tcW w:w="2033" w:type="pct"/>
            <w:vMerge/>
            <w:vAlign w:val="center"/>
          </w:tcPr>
          <w:p w:rsidR="00A256AB" w:rsidRPr="00A85D78" w:rsidRDefault="00A256AB" w:rsidP="00A256AB">
            <w:pPr>
              <w:jc w:val="both"/>
              <w:rPr>
                <w:rFonts w:ascii="Arial" w:hAnsi="Arial" w:cs="Arial"/>
                <w:sz w:val="16"/>
                <w:szCs w:val="16"/>
                <w:lang w:val="es-ES_tradnl"/>
              </w:rPr>
            </w:pP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$657.36</w:t>
            </w:r>
          </w:p>
        </w:tc>
      </w:tr>
      <w:tr w:rsidR="00A256AB" w:rsidRPr="00A85D78" w:rsidTr="00F245EA">
        <w:trPr>
          <w:trHeight w:val="310"/>
        </w:trPr>
        <w:tc>
          <w:tcPr>
            <w:tcW w:w="331"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PRD-PT</w:t>
            </w: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693" w:type="pct"/>
            <w:vMerge w:val="restar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2033" w:type="pct"/>
            <w:vMerge w:val="restar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La Coalición PRD-PT no acredit</w:t>
            </w:r>
            <w:r w:rsidR="00F245EA">
              <w:rPr>
                <w:rFonts w:ascii="Arial" w:hAnsi="Arial" w:cs="Arial"/>
                <w:sz w:val="16"/>
                <w:szCs w:val="16"/>
                <w:lang w:val="es-ES_tradnl"/>
              </w:rPr>
              <w:t>ó</w:t>
            </w:r>
            <w:r w:rsidRPr="00A85D78">
              <w:rPr>
                <w:rFonts w:ascii="Arial" w:hAnsi="Arial" w:cs="Arial"/>
                <w:sz w:val="16"/>
                <w:szCs w:val="16"/>
                <w:lang w:val="es-ES_tradnl"/>
              </w:rPr>
              <w:t xml:space="preserve"> haber realizado el pago mediante cheque de un gasto, por $8,120.00.</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$6,062.32</w:t>
            </w:r>
          </w:p>
        </w:tc>
      </w:tr>
      <w:tr w:rsidR="00A256AB" w:rsidRPr="00A85D78" w:rsidTr="00F245EA">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693" w:type="pct"/>
            <w:vMerge/>
            <w:vAlign w:val="center"/>
          </w:tcPr>
          <w:p w:rsidR="00A256AB" w:rsidRPr="00F245EA" w:rsidRDefault="00A256AB" w:rsidP="00A256AB">
            <w:pPr>
              <w:jc w:val="center"/>
              <w:rPr>
                <w:rFonts w:ascii="Arial" w:hAnsi="Arial" w:cs="Arial"/>
                <w:sz w:val="15"/>
                <w:szCs w:val="15"/>
                <w:lang w:val="es-ES_tradnl"/>
              </w:rPr>
            </w:pPr>
          </w:p>
        </w:tc>
        <w:tc>
          <w:tcPr>
            <w:tcW w:w="729" w:type="pct"/>
            <w:vMerge/>
            <w:vAlign w:val="center"/>
          </w:tcPr>
          <w:p w:rsidR="00A256AB" w:rsidRPr="00A85D78" w:rsidRDefault="00A256AB" w:rsidP="00A256AB">
            <w:pPr>
              <w:jc w:val="center"/>
              <w:rPr>
                <w:rFonts w:ascii="Arial" w:hAnsi="Arial" w:cs="Arial"/>
                <w:sz w:val="16"/>
                <w:szCs w:val="16"/>
                <w:lang w:val="es-ES_tradnl"/>
              </w:rPr>
            </w:pPr>
          </w:p>
        </w:tc>
        <w:tc>
          <w:tcPr>
            <w:tcW w:w="2033" w:type="pct"/>
            <w:vMerge/>
            <w:vAlign w:val="center"/>
          </w:tcPr>
          <w:p w:rsidR="00A256AB" w:rsidRPr="00A85D78" w:rsidRDefault="00A256AB" w:rsidP="00A256AB">
            <w:pPr>
              <w:jc w:val="both"/>
              <w:rPr>
                <w:rFonts w:ascii="Arial" w:hAnsi="Arial" w:cs="Arial"/>
                <w:sz w:val="16"/>
                <w:szCs w:val="16"/>
                <w:lang w:val="es-ES_tradnl"/>
              </w:rPr>
            </w:pP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$1,972.08</w:t>
            </w:r>
          </w:p>
        </w:tc>
      </w:tr>
      <w:tr w:rsidR="00A256AB" w:rsidRPr="00A85D78" w:rsidTr="00F245EA">
        <w:trPr>
          <w:trHeight w:val="618"/>
        </w:trPr>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693" w:type="pct"/>
            <w:vMerge w:val="restar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2033" w:type="pct"/>
            <w:vMerge w:val="restar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La Coalición PRD-PT realiz</w:t>
            </w:r>
            <w:r w:rsidR="00F245EA">
              <w:rPr>
                <w:rFonts w:ascii="Arial" w:hAnsi="Arial" w:cs="Arial"/>
                <w:sz w:val="16"/>
                <w:szCs w:val="16"/>
                <w:lang w:val="es-ES_tradnl"/>
              </w:rPr>
              <w:t>ó</w:t>
            </w:r>
            <w:r w:rsidRPr="00A85D78">
              <w:rPr>
                <w:rFonts w:ascii="Arial" w:hAnsi="Arial" w:cs="Arial"/>
                <w:sz w:val="16"/>
                <w:szCs w:val="16"/>
                <w:lang w:val="es-ES_tradnl"/>
              </w:rPr>
              <w:t xml:space="preserve"> el pago de 3 gastos que superan el tope de los 90 días de salario, en efectivo y no con cheque a nombre del prestador de servicios y con la leyenda para abono en cuenta del beneficiario", por $23,299.67.</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$17,383.52</w:t>
            </w:r>
          </w:p>
        </w:tc>
      </w:tr>
      <w:tr w:rsidR="00A256AB" w:rsidRPr="00A85D78" w:rsidTr="00F245EA">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693" w:type="pct"/>
            <w:vMerge/>
            <w:vAlign w:val="center"/>
          </w:tcPr>
          <w:p w:rsidR="00A256AB" w:rsidRPr="00F245EA" w:rsidRDefault="00A256AB" w:rsidP="00A256AB">
            <w:pPr>
              <w:jc w:val="center"/>
              <w:rPr>
                <w:rFonts w:ascii="Arial" w:hAnsi="Arial" w:cs="Arial"/>
                <w:sz w:val="15"/>
                <w:szCs w:val="15"/>
                <w:lang w:val="es-ES_tradnl"/>
              </w:rPr>
            </w:pPr>
          </w:p>
        </w:tc>
        <w:tc>
          <w:tcPr>
            <w:tcW w:w="729" w:type="pct"/>
            <w:vMerge/>
            <w:vAlign w:val="center"/>
          </w:tcPr>
          <w:p w:rsidR="00A256AB" w:rsidRPr="00A85D78" w:rsidRDefault="00A256AB" w:rsidP="00A256AB">
            <w:pPr>
              <w:jc w:val="center"/>
              <w:rPr>
                <w:rFonts w:ascii="Arial" w:hAnsi="Arial" w:cs="Arial"/>
                <w:sz w:val="16"/>
                <w:szCs w:val="16"/>
                <w:lang w:val="es-ES_tradnl"/>
              </w:rPr>
            </w:pPr>
          </w:p>
        </w:tc>
        <w:tc>
          <w:tcPr>
            <w:tcW w:w="2033" w:type="pct"/>
            <w:vMerge/>
            <w:vAlign w:val="center"/>
          </w:tcPr>
          <w:p w:rsidR="00A256AB" w:rsidRPr="00A85D78" w:rsidRDefault="00A256AB" w:rsidP="00A256AB">
            <w:pPr>
              <w:jc w:val="both"/>
              <w:rPr>
                <w:rFonts w:ascii="Arial" w:hAnsi="Arial" w:cs="Arial"/>
                <w:sz w:val="16"/>
                <w:szCs w:val="16"/>
                <w:lang w:val="es-ES_tradnl"/>
              </w:rPr>
            </w:pP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$5,770.16</w:t>
            </w:r>
          </w:p>
        </w:tc>
      </w:tr>
      <w:tr w:rsidR="00A256AB" w:rsidRPr="00A85D78" w:rsidTr="00F245EA">
        <w:trPr>
          <w:trHeight w:val="579"/>
        </w:trPr>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693" w:type="pct"/>
            <w:vMerge w:val="restar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2033" w:type="pct"/>
            <w:vMerge w:val="restar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 xml:space="preserve">Derivado de los cuestionarios aplicados a los representantes de casilla y representantes generales el día de la Jornada Electoral, se </w:t>
            </w:r>
            <w:r w:rsidRPr="00A85D78">
              <w:rPr>
                <w:rFonts w:ascii="Arial" w:hAnsi="Arial" w:cs="Arial"/>
                <w:sz w:val="16"/>
                <w:szCs w:val="16"/>
                <w:lang w:val="es-ES_tradnl"/>
              </w:rPr>
              <w:lastRenderedPageBreak/>
              <w:t>determinó que se omitió reportar los gastos por un monto de $835.20 en alimentos</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lastRenderedPageBreak/>
              <w:t>$876.48</w:t>
            </w:r>
          </w:p>
        </w:tc>
      </w:tr>
      <w:tr w:rsidR="00A256AB" w:rsidRPr="00A85D78" w:rsidTr="00F245EA">
        <w:tc>
          <w:tcPr>
            <w:tcW w:w="331" w:type="pct"/>
            <w:vMerge/>
            <w:vAlign w:val="center"/>
          </w:tcPr>
          <w:p w:rsidR="00A256AB" w:rsidRPr="00A85D78" w:rsidRDefault="00A256AB" w:rsidP="00A256AB">
            <w:pPr>
              <w:jc w:val="center"/>
              <w:rPr>
                <w:rFonts w:ascii="Arial" w:hAnsi="Arial" w:cs="Arial"/>
                <w:sz w:val="16"/>
                <w:szCs w:val="16"/>
                <w:lang w:val="es-ES_tradnl"/>
              </w:rPr>
            </w:pPr>
          </w:p>
        </w:tc>
        <w:tc>
          <w:tcPr>
            <w:tcW w:w="585"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693" w:type="pct"/>
            <w:vMerge/>
            <w:vAlign w:val="center"/>
          </w:tcPr>
          <w:p w:rsidR="00A256AB" w:rsidRPr="00A85D78" w:rsidRDefault="00A256AB" w:rsidP="00A256AB">
            <w:pPr>
              <w:jc w:val="center"/>
              <w:rPr>
                <w:rFonts w:ascii="Arial" w:hAnsi="Arial" w:cs="Arial"/>
                <w:sz w:val="16"/>
                <w:szCs w:val="16"/>
                <w:lang w:val="es-ES_tradnl"/>
              </w:rPr>
            </w:pPr>
          </w:p>
        </w:tc>
        <w:tc>
          <w:tcPr>
            <w:tcW w:w="729" w:type="pct"/>
            <w:vMerge/>
            <w:vAlign w:val="center"/>
          </w:tcPr>
          <w:p w:rsidR="00A256AB" w:rsidRPr="00A85D78" w:rsidRDefault="00A256AB" w:rsidP="00A256AB">
            <w:pPr>
              <w:jc w:val="center"/>
              <w:rPr>
                <w:rFonts w:ascii="Arial" w:hAnsi="Arial" w:cs="Arial"/>
                <w:sz w:val="16"/>
                <w:szCs w:val="16"/>
                <w:lang w:val="es-ES_tradnl"/>
              </w:rPr>
            </w:pPr>
          </w:p>
        </w:tc>
        <w:tc>
          <w:tcPr>
            <w:tcW w:w="2033" w:type="pct"/>
            <w:vMerge/>
            <w:vAlign w:val="center"/>
          </w:tcPr>
          <w:p w:rsidR="00A256AB" w:rsidRPr="00A85D78" w:rsidRDefault="00A256AB" w:rsidP="00A256AB">
            <w:pPr>
              <w:jc w:val="both"/>
              <w:rPr>
                <w:rFonts w:ascii="Arial" w:hAnsi="Arial" w:cs="Arial"/>
                <w:sz w:val="16"/>
                <w:szCs w:val="16"/>
                <w:lang w:val="es-ES_tradnl"/>
              </w:rPr>
            </w:pP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$292.16</w:t>
            </w:r>
          </w:p>
        </w:tc>
      </w:tr>
      <w:tr w:rsidR="00A256AB" w:rsidRPr="00A85D78" w:rsidTr="00F245EA">
        <w:tc>
          <w:tcPr>
            <w:tcW w:w="916" w:type="pct"/>
            <w:gridSpan w:val="2"/>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693" w:type="pct"/>
            <w:vMerge w:val="restar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2 FORMALES</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MC report</w:t>
            </w:r>
            <w:r w:rsidR="00F245EA">
              <w:rPr>
                <w:rFonts w:ascii="Arial" w:hAnsi="Arial" w:cs="Arial"/>
                <w:sz w:val="16"/>
                <w:szCs w:val="16"/>
                <w:lang w:val="es-ES_tradnl"/>
              </w:rPr>
              <w:t>ó</w:t>
            </w:r>
            <w:r w:rsidRPr="00A85D78">
              <w:rPr>
                <w:rFonts w:ascii="Arial" w:hAnsi="Arial" w:cs="Arial"/>
                <w:sz w:val="16"/>
                <w:szCs w:val="16"/>
                <w:lang w:val="es-ES_tradnl"/>
              </w:rPr>
              <w:t xml:space="preserve"> diferencias entre saldos de ingresos y gastos reportados en el informe de campana, contra los saldos reportados en el SIF 2.0 por</w:t>
            </w:r>
            <w:r w:rsidR="00F245EA">
              <w:rPr>
                <w:rFonts w:ascii="Arial" w:hAnsi="Arial" w:cs="Arial"/>
                <w:sz w:val="16"/>
                <w:szCs w:val="16"/>
                <w:lang w:val="es-ES_tradnl"/>
              </w:rPr>
              <w:t xml:space="preserve"> </w:t>
            </w:r>
            <w:r w:rsidRPr="00A85D78">
              <w:rPr>
                <w:rFonts w:ascii="Arial" w:hAnsi="Arial" w:cs="Arial"/>
                <w:sz w:val="16"/>
                <w:szCs w:val="16"/>
                <w:lang w:val="es-ES_tradnl"/>
              </w:rPr>
              <w:t>$28,240.20.</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$730.40</w:t>
            </w:r>
          </w:p>
        </w:tc>
      </w:tr>
      <w:tr w:rsidR="00A256AB" w:rsidRPr="00A85D78" w:rsidTr="00F245EA">
        <w:tc>
          <w:tcPr>
            <w:tcW w:w="916" w:type="pct"/>
            <w:gridSpan w:val="2"/>
            <w:vMerge/>
            <w:vAlign w:val="center"/>
          </w:tcPr>
          <w:p w:rsidR="00A256AB" w:rsidRPr="00A85D78" w:rsidRDefault="00A256AB" w:rsidP="00A256AB">
            <w:pPr>
              <w:jc w:val="center"/>
              <w:rPr>
                <w:rFonts w:ascii="Arial" w:hAnsi="Arial" w:cs="Arial"/>
                <w:sz w:val="16"/>
                <w:szCs w:val="16"/>
                <w:lang w:val="es-ES_tradnl"/>
              </w:rPr>
            </w:pPr>
          </w:p>
        </w:tc>
        <w:tc>
          <w:tcPr>
            <w:tcW w:w="693" w:type="pct"/>
            <w:vMerge/>
            <w:vAlign w:val="center"/>
          </w:tcPr>
          <w:p w:rsidR="00A256AB" w:rsidRPr="00F245EA" w:rsidRDefault="00A256AB" w:rsidP="00A256AB">
            <w:pPr>
              <w:jc w:val="center"/>
              <w:rPr>
                <w:rFonts w:ascii="Arial" w:hAnsi="Arial" w:cs="Arial"/>
                <w:sz w:val="15"/>
                <w:szCs w:val="15"/>
                <w:lang w:val="es-ES_tradnl"/>
              </w:rPr>
            </w:pP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 xml:space="preserve">MC omitió </w:t>
            </w:r>
            <w:proofErr w:type="spellStart"/>
            <w:r w:rsidRPr="00A85D78">
              <w:rPr>
                <w:rFonts w:ascii="Arial" w:hAnsi="Arial" w:cs="Arial"/>
                <w:sz w:val="16"/>
                <w:szCs w:val="16"/>
                <w:lang w:val="es-ES_tradnl"/>
              </w:rPr>
              <w:t>aperturar</w:t>
            </w:r>
            <w:proofErr w:type="spellEnd"/>
            <w:r w:rsidRPr="00A85D78">
              <w:rPr>
                <w:rFonts w:ascii="Arial" w:hAnsi="Arial" w:cs="Arial"/>
                <w:sz w:val="16"/>
                <w:szCs w:val="16"/>
                <w:lang w:val="es-ES_tradnl"/>
              </w:rPr>
              <w:t xml:space="preserve"> una cuenta bancaria para el manejo de los recursos de su candidato Jorge Ramos Corchado.</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$730.40</w:t>
            </w:r>
          </w:p>
        </w:tc>
      </w:tr>
      <w:tr w:rsidR="00A256AB" w:rsidRPr="00A85D78" w:rsidTr="00F245EA">
        <w:tc>
          <w:tcPr>
            <w:tcW w:w="916" w:type="pct"/>
            <w:gridSpan w:val="2"/>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10 FORMALES</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Morena present</w:t>
            </w:r>
            <w:r w:rsidR="00F245EA">
              <w:rPr>
                <w:rFonts w:ascii="Arial" w:hAnsi="Arial" w:cs="Arial"/>
                <w:sz w:val="16"/>
                <w:szCs w:val="16"/>
                <w:lang w:val="es-ES_tradnl"/>
              </w:rPr>
              <w:t>ó</w:t>
            </w:r>
            <w:r w:rsidRPr="00A85D78">
              <w:rPr>
                <w:rFonts w:ascii="Arial" w:hAnsi="Arial" w:cs="Arial"/>
                <w:sz w:val="16"/>
                <w:szCs w:val="16"/>
                <w:lang w:val="es-ES_tradnl"/>
              </w:rPr>
              <w:t xml:space="preserve"> 10 cheques sin la leyenda "para abono a cuenta del beneficiario", por $314,667.64.</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$7,304.00</w:t>
            </w:r>
          </w:p>
        </w:tc>
      </w:tr>
      <w:tr w:rsidR="00A256AB" w:rsidRPr="00A85D78" w:rsidTr="00F245EA">
        <w:tc>
          <w:tcPr>
            <w:tcW w:w="916" w:type="pct"/>
            <w:gridSpan w:val="2"/>
            <w:vMerge/>
            <w:vAlign w:val="center"/>
          </w:tcPr>
          <w:p w:rsidR="00A256AB" w:rsidRPr="00A85D78" w:rsidRDefault="00A256AB" w:rsidP="00A256AB">
            <w:pPr>
              <w:jc w:val="center"/>
              <w:rPr>
                <w:rFonts w:ascii="Arial" w:hAnsi="Arial" w:cs="Arial"/>
                <w:sz w:val="16"/>
                <w:szCs w:val="16"/>
                <w:lang w:val="es-ES_tradnl"/>
              </w:rPr>
            </w:pP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Morena omitió presentar la documentación soporte de los gastos realizados el día de la jornada electoral, por $4,969.60.</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$4,966.72</w:t>
            </w:r>
          </w:p>
        </w:tc>
      </w:tr>
      <w:tr w:rsidR="00A256AB" w:rsidRPr="00A85D78" w:rsidTr="00F245EA">
        <w:tc>
          <w:tcPr>
            <w:tcW w:w="916" w:type="pct"/>
            <w:gridSpan w:val="2"/>
            <w:vMerge/>
            <w:vAlign w:val="center"/>
          </w:tcPr>
          <w:p w:rsidR="00A256AB" w:rsidRPr="00A85D78" w:rsidRDefault="00A256AB" w:rsidP="00A256AB">
            <w:pPr>
              <w:jc w:val="center"/>
              <w:rPr>
                <w:rFonts w:ascii="Arial" w:hAnsi="Arial" w:cs="Arial"/>
                <w:sz w:val="16"/>
                <w:szCs w:val="16"/>
                <w:lang w:val="es-ES_tradnl"/>
              </w:rPr>
            </w:pP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2033" w:type="pct"/>
            <w:vAlign w:val="center"/>
          </w:tcPr>
          <w:p w:rsidR="00A256AB" w:rsidRPr="00A85D78" w:rsidRDefault="00F245EA" w:rsidP="00A256AB">
            <w:pPr>
              <w:jc w:val="both"/>
              <w:rPr>
                <w:rFonts w:ascii="Arial" w:hAnsi="Arial" w:cs="Arial"/>
                <w:sz w:val="16"/>
                <w:szCs w:val="16"/>
                <w:lang w:val="es-ES_tradnl"/>
              </w:rPr>
            </w:pPr>
            <w:r>
              <w:rPr>
                <w:rFonts w:ascii="Arial" w:hAnsi="Arial" w:cs="Arial"/>
                <w:sz w:val="16"/>
                <w:szCs w:val="16"/>
                <w:lang w:val="es-ES_tradnl"/>
              </w:rPr>
              <w:t>E</w:t>
            </w:r>
            <w:r w:rsidR="00A256AB" w:rsidRPr="00A85D78">
              <w:rPr>
                <w:rFonts w:ascii="Arial" w:hAnsi="Arial" w:cs="Arial"/>
                <w:sz w:val="16"/>
                <w:szCs w:val="16"/>
                <w:lang w:val="es-ES_tradnl"/>
              </w:rPr>
              <w:t>l candidato a Presidente Municipal, tuvo gastos superiores al tope máximo de los permitidos por un monto de $16,839.02</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$16,799.20</w:t>
            </w:r>
          </w:p>
        </w:tc>
      </w:tr>
      <w:tr w:rsidR="00A256AB" w:rsidRPr="00A85D78" w:rsidTr="00F245EA">
        <w:tc>
          <w:tcPr>
            <w:tcW w:w="916" w:type="pct"/>
            <w:gridSpan w:val="2"/>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Derivado de los cuestionarios aplicados a los representantes de casilla y representantes generales el día de la Jornada Electoral, se determinó que se omitió reportar los gastos por un monto de $185.60 en alimentos</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$219.12</w:t>
            </w:r>
          </w:p>
        </w:tc>
      </w:tr>
      <w:tr w:rsidR="00A256AB" w:rsidRPr="00A85D78" w:rsidTr="00F245EA">
        <w:tc>
          <w:tcPr>
            <w:tcW w:w="916" w:type="pct"/>
            <w:gridSpan w:val="2"/>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PFD</w:t>
            </w: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EI PFD no report</w:t>
            </w:r>
            <w:r w:rsidR="00F245EA">
              <w:rPr>
                <w:rFonts w:ascii="Arial" w:hAnsi="Arial" w:cs="Arial"/>
                <w:sz w:val="16"/>
                <w:szCs w:val="16"/>
                <w:lang w:val="es-ES_tradnl"/>
              </w:rPr>
              <w:t>ó</w:t>
            </w:r>
            <w:r w:rsidRPr="00A85D78">
              <w:rPr>
                <w:rFonts w:ascii="Arial" w:hAnsi="Arial" w:cs="Arial"/>
                <w:sz w:val="16"/>
                <w:szCs w:val="16"/>
                <w:lang w:val="es-ES_tradnl"/>
              </w:rPr>
              <w:t xml:space="preserve"> el gasto por el usa 0 goce temporal de las oficias del partido como casa de campana, por $3,500.00.</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$5,185.84</w:t>
            </w:r>
          </w:p>
        </w:tc>
      </w:tr>
      <w:tr w:rsidR="00A256AB" w:rsidRPr="00A85D78" w:rsidTr="00F245EA">
        <w:tc>
          <w:tcPr>
            <w:tcW w:w="916" w:type="pct"/>
            <w:gridSpan w:val="2"/>
            <w:vMerge/>
            <w:vAlign w:val="center"/>
          </w:tcPr>
          <w:p w:rsidR="00A256AB" w:rsidRPr="00A85D78" w:rsidRDefault="00A256AB" w:rsidP="00A256AB">
            <w:pPr>
              <w:jc w:val="center"/>
              <w:rPr>
                <w:rFonts w:ascii="Arial" w:hAnsi="Arial" w:cs="Arial"/>
                <w:sz w:val="16"/>
                <w:szCs w:val="16"/>
                <w:lang w:val="es-ES_tradnl"/>
              </w:rPr>
            </w:pPr>
          </w:p>
        </w:tc>
        <w:tc>
          <w:tcPr>
            <w:tcW w:w="693" w:type="pct"/>
            <w:vAlign w:val="center"/>
          </w:tcPr>
          <w:p w:rsidR="00A256AB" w:rsidRPr="00F245EA" w:rsidRDefault="00A256AB" w:rsidP="00A256AB">
            <w:pPr>
              <w:jc w:val="center"/>
              <w:rPr>
                <w:rFonts w:ascii="Arial" w:hAnsi="Arial" w:cs="Arial"/>
                <w:sz w:val="15"/>
                <w:szCs w:val="15"/>
                <w:lang w:val="es-ES_tradnl"/>
              </w:rPr>
            </w:pPr>
            <w:r w:rsidRPr="00F245EA">
              <w:rPr>
                <w:rFonts w:ascii="Arial" w:hAnsi="Arial" w:cs="Arial"/>
                <w:sz w:val="15"/>
                <w:szCs w:val="15"/>
                <w:lang w:val="es-ES_tradnl"/>
              </w:rPr>
              <w:t>SUSTANCIAL</w:t>
            </w:r>
          </w:p>
        </w:tc>
        <w:tc>
          <w:tcPr>
            <w:tcW w:w="7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2033" w:type="pct"/>
            <w:vAlign w:val="center"/>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Derivado de los cuestionarios aplicados a los representantes de casilla y representantes generales el día de la Jornada Electoral, se determinó que se omitió reportar los gastos por un monto de $460.00 en alimentos</w:t>
            </w:r>
          </w:p>
        </w:tc>
        <w:tc>
          <w:tcPr>
            <w:tcW w:w="62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$657.36</w:t>
            </w:r>
          </w:p>
        </w:tc>
      </w:tr>
    </w:tbl>
    <w:p w:rsidR="00A256AB" w:rsidRPr="00776C8D" w:rsidRDefault="00A256AB" w:rsidP="00A256AB">
      <w:pPr>
        <w:jc w:val="both"/>
        <w:rPr>
          <w:rFonts w:ascii="Arial" w:hAnsi="Arial" w:cs="Arial"/>
          <w:i/>
          <w:iCs/>
          <w:sz w:val="16"/>
          <w:szCs w:val="16"/>
        </w:rPr>
      </w:pPr>
      <w:r w:rsidRPr="00776C8D">
        <w:rPr>
          <w:rFonts w:ascii="Arial" w:hAnsi="Arial" w:cs="Arial"/>
          <w:b/>
          <w:bCs/>
          <w:i/>
          <w:iCs/>
          <w:sz w:val="16"/>
          <w:szCs w:val="16"/>
        </w:rPr>
        <w:t>Fuente:</w:t>
      </w:r>
      <w:r w:rsidRPr="00776C8D">
        <w:rPr>
          <w:rFonts w:ascii="Arial" w:hAnsi="Arial" w:cs="Arial"/>
          <w:i/>
          <w:iCs/>
          <w:sz w:val="16"/>
          <w:szCs w:val="16"/>
        </w:rPr>
        <w:t xml:space="preserve"> Elaboración propia con base en acuerdo INE/CG250/2016 e INE/CG251/2016</w:t>
      </w:r>
      <w:r w:rsidR="00776C8D" w:rsidRPr="00776C8D">
        <w:rPr>
          <w:rFonts w:ascii="Arial" w:hAnsi="Arial" w:cs="Arial"/>
          <w:i/>
          <w:iCs/>
          <w:sz w:val="16"/>
          <w:szCs w:val="16"/>
        </w:rPr>
        <w:t>.</w:t>
      </w:r>
    </w:p>
    <w:p w:rsidR="00776C8D" w:rsidRPr="00A85D78" w:rsidRDefault="00776C8D" w:rsidP="00A256AB">
      <w:pPr>
        <w:jc w:val="both"/>
        <w:rPr>
          <w:rFonts w:ascii="Arial" w:hAnsi="Arial" w:cs="Arial"/>
          <w:sz w:val="16"/>
          <w:szCs w:val="16"/>
        </w:rPr>
      </w:pPr>
    </w:p>
    <w:p w:rsidR="00776C8D" w:rsidRDefault="00776C8D" w:rsidP="00776C8D">
      <w:pPr>
        <w:spacing w:line="360" w:lineRule="auto"/>
        <w:jc w:val="both"/>
        <w:rPr>
          <w:rFonts w:ascii="Arial" w:hAnsi="Arial" w:cs="Arial"/>
          <w:sz w:val="24"/>
          <w:szCs w:val="24"/>
        </w:rPr>
      </w:pPr>
    </w:p>
    <w:p w:rsidR="00A256AB" w:rsidRDefault="00A256AB" w:rsidP="00776C8D">
      <w:pPr>
        <w:spacing w:line="360" w:lineRule="auto"/>
        <w:jc w:val="both"/>
        <w:rPr>
          <w:rFonts w:ascii="Arial" w:hAnsi="Arial" w:cs="Arial"/>
          <w:sz w:val="24"/>
          <w:szCs w:val="24"/>
        </w:rPr>
      </w:pPr>
      <w:r w:rsidRPr="00A85D78">
        <w:rPr>
          <w:rFonts w:ascii="Arial" w:hAnsi="Arial" w:cs="Arial"/>
          <w:sz w:val="24"/>
          <w:szCs w:val="24"/>
        </w:rPr>
        <w:t>La elección extraordinaria en Chiautla, arroj</w:t>
      </w:r>
      <w:r w:rsidR="00F245EA">
        <w:rPr>
          <w:rFonts w:ascii="Arial" w:hAnsi="Arial" w:cs="Arial"/>
          <w:sz w:val="24"/>
          <w:szCs w:val="24"/>
        </w:rPr>
        <w:t>ó</w:t>
      </w:r>
      <w:r w:rsidRPr="00A85D78">
        <w:rPr>
          <w:rFonts w:ascii="Arial" w:hAnsi="Arial" w:cs="Arial"/>
          <w:sz w:val="24"/>
          <w:szCs w:val="24"/>
        </w:rPr>
        <w:t xml:space="preserve"> multas de campaña por un total de $71,579.20; nuevamente MORENA fue el partido más sancionado con 12 conductas infractoras,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la suma más alta respecto de las multas fue para la Coalición PRD-PT con un monto de $32,356.72, equivalente al 45.20% de las multas aprobadas por el Consejo General del INE. </w:t>
      </w:r>
    </w:p>
    <w:p w:rsidR="00776C8D" w:rsidRDefault="00776C8D" w:rsidP="00776C8D">
      <w:pPr>
        <w:spacing w:line="360" w:lineRule="auto"/>
        <w:jc w:val="both"/>
        <w:rPr>
          <w:rFonts w:ascii="Arial" w:hAnsi="Arial" w:cs="Arial"/>
          <w:sz w:val="24"/>
          <w:szCs w:val="24"/>
        </w:rPr>
      </w:pPr>
    </w:p>
    <w:p w:rsidR="00776C8D" w:rsidRPr="00A85D78" w:rsidRDefault="00776C8D" w:rsidP="00776C8D">
      <w:pPr>
        <w:spacing w:line="360" w:lineRule="auto"/>
        <w:jc w:val="both"/>
        <w:rPr>
          <w:rFonts w:ascii="Arial" w:hAnsi="Arial" w:cs="Arial"/>
          <w:sz w:val="24"/>
          <w:szCs w:val="24"/>
        </w:rPr>
      </w:pPr>
    </w:p>
    <w:p w:rsidR="00A256AB" w:rsidRPr="00A85D78" w:rsidRDefault="00A256AB" w:rsidP="00776C8D">
      <w:pPr>
        <w:spacing w:line="360" w:lineRule="auto"/>
        <w:jc w:val="both"/>
        <w:rPr>
          <w:rFonts w:ascii="Arial" w:hAnsi="Arial" w:cs="Arial"/>
          <w:b/>
          <w:sz w:val="24"/>
          <w:szCs w:val="24"/>
        </w:rPr>
      </w:pPr>
      <w:r w:rsidRPr="00A85D78">
        <w:rPr>
          <w:rFonts w:ascii="Arial" w:hAnsi="Arial" w:cs="Arial"/>
          <w:b/>
          <w:sz w:val="24"/>
          <w:szCs w:val="24"/>
        </w:rPr>
        <w:t>4.2.3 Elección de Gobernador 2017.</w:t>
      </w:r>
    </w:p>
    <w:p w:rsidR="00A256AB" w:rsidRPr="00A85D78" w:rsidRDefault="00A256AB" w:rsidP="00776C8D">
      <w:pPr>
        <w:spacing w:line="360" w:lineRule="auto"/>
        <w:jc w:val="both"/>
        <w:rPr>
          <w:rFonts w:ascii="Arial" w:hAnsi="Arial" w:cs="Arial"/>
          <w:b/>
          <w:sz w:val="24"/>
          <w:szCs w:val="24"/>
        </w:rPr>
      </w:pPr>
      <w:r w:rsidRPr="00A85D78">
        <w:rPr>
          <w:rFonts w:ascii="Arial" w:hAnsi="Arial" w:cs="Arial"/>
          <w:b/>
          <w:sz w:val="24"/>
          <w:szCs w:val="24"/>
        </w:rPr>
        <w:t>4.2.3.1 Precampaña</w:t>
      </w:r>
      <w:r w:rsidR="00927E74">
        <w:rPr>
          <w:rFonts w:ascii="Arial" w:hAnsi="Arial" w:cs="Arial"/>
          <w:b/>
          <w:sz w:val="24"/>
          <w:szCs w:val="24"/>
        </w:rPr>
        <w:t>.</w:t>
      </w:r>
    </w:p>
    <w:p w:rsidR="00A256AB" w:rsidRDefault="00A256AB" w:rsidP="00776C8D">
      <w:pPr>
        <w:spacing w:line="360" w:lineRule="auto"/>
        <w:jc w:val="both"/>
        <w:rPr>
          <w:rFonts w:ascii="Arial" w:hAnsi="Arial" w:cs="Arial"/>
          <w:sz w:val="24"/>
          <w:szCs w:val="24"/>
        </w:rPr>
      </w:pPr>
      <w:r w:rsidRPr="00A85D78">
        <w:rPr>
          <w:rFonts w:ascii="Arial" w:hAnsi="Arial" w:cs="Arial"/>
          <w:sz w:val="24"/>
          <w:szCs w:val="24"/>
        </w:rPr>
        <w:t xml:space="preserve">Dos años más tarde de asumir el control de la fiscalización de partidos políticos en el ámbito local y particularmente en el Estado de México, la Unidad Técnica de Fiscalización, del INE; con la experiencia previa de dos procesos electorales un ordinario para la renovación de ayuntamientos y diputados locales; así como una elección extraordinaria del Ayuntamiento de Chiautla; hizo frente a su primer elección de Gobernador de la Entidad; el proceso previo auditado por el Instituto Electoral del Estado de México en el año de 2011, fue el que menor número de sanciones económicas  por concepto de fiscalización arrojó en precampaña y campaña; por lo que la actuación del Instituto Nacional Electoral, fue exhaustiva </w:t>
      </w:r>
      <w:r w:rsidRPr="00A85D78">
        <w:rPr>
          <w:rFonts w:ascii="Arial" w:hAnsi="Arial" w:cs="Arial"/>
          <w:sz w:val="24"/>
          <w:szCs w:val="24"/>
        </w:rPr>
        <w:lastRenderedPageBreak/>
        <w:t>desde el proceso de precampaña, con un saldo de 68 infracciones detectadas durante el proceso de revisión de informes de precampaña; cómo podemos observar en la tabla 4.22</w:t>
      </w:r>
      <w:r w:rsidR="00805545">
        <w:rPr>
          <w:rFonts w:ascii="Arial" w:hAnsi="Arial" w:cs="Arial"/>
          <w:sz w:val="24"/>
          <w:szCs w:val="24"/>
        </w:rPr>
        <w:t>.</w:t>
      </w:r>
    </w:p>
    <w:p w:rsidR="00805545" w:rsidRPr="00A85D78" w:rsidRDefault="00805545" w:rsidP="00A256AB">
      <w:pPr>
        <w:jc w:val="both"/>
        <w:rPr>
          <w:rFonts w:ascii="Arial" w:hAnsi="Arial" w:cs="Arial"/>
          <w:sz w:val="24"/>
          <w:szCs w:val="24"/>
        </w:rPr>
      </w:pPr>
    </w:p>
    <w:p w:rsidR="00A256AB" w:rsidRDefault="00A256AB" w:rsidP="00776C8D">
      <w:pPr>
        <w:tabs>
          <w:tab w:val="left" w:pos="5070"/>
        </w:tabs>
        <w:jc w:val="both"/>
        <w:rPr>
          <w:rStyle w:val="Ttulodellibro"/>
          <w:rFonts w:ascii="Arial" w:hAnsi="Arial" w:cs="Arial"/>
          <w:b/>
          <w:i/>
          <w:color w:val="auto"/>
          <w:sz w:val="20"/>
          <w:szCs w:val="20"/>
        </w:rPr>
      </w:pPr>
      <w:r w:rsidRPr="00776C8D">
        <w:rPr>
          <w:rStyle w:val="Ttulodellibro"/>
          <w:rFonts w:ascii="Arial" w:hAnsi="Arial" w:cs="Arial"/>
          <w:b/>
          <w:i/>
          <w:color w:val="auto"/>
          <w:sz w:val="20"/>
          <w:szCs w:val="20"/>
        </w:rPr>
        <w:t>Tabla: 4.22. Infracciones de precampaña Elección de Gobernador 2017 por partido.</w:t>
      </w:r>
    </w:p>
    <w:p w:rsidR="00776C8D" w:rsidRPr="00776C8D" w:rsidRDefault="00776C8D" w:rsidP="00776C8D">
      <w:pPr>
        <w:tabs>
          <w:tab w:val="left" w:pos="5070"/>
        </w:tabs>
        <w:jc w:val="both"/>
        <w:rPr>
          <w:rStyle w:val="Ttulodellibro"/>
          <w:rFonts w:ascii="Arial" w:hAnsi="Arial" w:cs="Arial"/>
          <w:b/>
          <w:i/>
          <w:color w:val="auto"/>
          <w:sz w:val="20"/>
          <w:szCs w:val="20"/>
        </w:rPr>
      </w:pPr>
    </w:p>
    <w:tbl>
      <w:tblPr>
        <w:tblStyle w:val="Tablaconcuadrcula"/>
        <w:tblW w:w="5000" w:type="pct"/>
        <w:jc w:val="center"/>
        <w:tblLook w:val="04A0" w:firstRow="1" w:lastRow="0" w:firstColumn="1" w:lastColumn="0" w:noHBand="0" w:noVBand="1"/>
      </w:tblPr>
      <w:tblGrid>
        <w:gridCol w:w="1838"/>
        <w:gridCol w:w="2022"/>
        <w:gridCol w:w="2750"/>
        <w:gridCol w:w="1884"/>
      </w:tblGrid>
      <w:tr w:rsidR="00A256AB" w:rsidRPr="00A85D78" w:rsidTr="00776C8D">
        <w:trPr>
          <w:jc w:val="center"/>
        </w:trPr>
        <w:tc>
          <w:tcPr>
            <w:tcW w:w="108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90"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61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10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776C8D">
        <w:trPr>
          <w:trHeight w:val="284"/>
          <w:jc w:val="center"/>
        </w:trPr>
        <w:tc>
          <w:tcPr>
            <w:tcW w:w="108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 FORMALES</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3,5,6,7,8 y 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$10,568.60</w:t>
            </w:r>
          </w:p>
        </w:tc>
      </w:tr>
      <w:tr w:rsidR="00A256AB" w:rsidRPr="00A85D78" w:rsidTr="00776C8D">
        <w:trPr>
          <w:trHeight w:val="260"/>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$120,060.00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$885,660.00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$28,600.21</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$40,096.80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$85,000.00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$4,893.45</w:t>
            </w:r>
          </w:p>
        </w:tc>
      </w:tr>
      <w:tr w:rsidR="00A256AB" w:rsidRPr="00A85D78" w:rsidTr="00776C8D">
        <w:trPr>
          <w:trHeight w:val="278"/>
          <w:jc w:val="center"/>
        </w:trPr>
        <w:tc>
          <w:tcPr>
            <w:tcW w:w="108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 FORMALES</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2,3,6 y 8</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$3,019.60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$936,065.62</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$115,799.95</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$5,284.30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$86,813.50</w:t>
            </w:r>
          </w:p>
        </w:tc>
      </w:tr>
      <w:tr w:rsidR="00A256AB" w:rsidRPr="00A85D78" w:rsidTr="00776C8D">
        <w:trPr>
          <w:trHeight w:val="278"/>
          <w:jc w:val="center"/>
        </w:trPr>
        <w:tc>
          <w:tcPr>
            <w:tcW w:w="108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 FORMALES</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2,3,4,6,10,12,13,14,</w:t>
            </w:r>
            <w:r w:rsidR="00600C69" w:rsidRPr="00A85D78">
              <w:rPr>
                <w:rFonts w:ascii="Arial" w:hAnsi="Arial" w:cs="Arial"/>
                <w:sz w:val="16"/>
                <w:szCs w:val="16"/>
                <w:lang w:val="es-ES_tradnl"/>
              </w:rPr>
              <w:t>18 y</w:t>
            </w:r>
            <w:r w:rsidRPr="00A85D78">
              <w:rPr>
                <w:rFonts w:ascii="Arial" w:hAnsi="Arial" w:cs="Arial"/>
                <w:sz w:val="16"/>
                <w:szCs w:val="16"/>
                <w:lang w:val="es-ES_tradnl"/>
              </w:rPr>
              <w:t xml:space="preserve"> 20</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$7,549.00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$390,000.00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$800,000.00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$35,981.67</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$693,042.00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$337,479.86</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$105.48</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$276,350.49</w:t>
            </w:r>
          </w:p>
        </w:tc>
      </w:tr>
      <w:tr w:rsidR="00A256AB" w:rsidRPr="00A85D78" w:rsidTr="00776C8D">
        <w:trPr>
          <w:trHeight w:val="278"/>
          <w:jc w:val="center"/>
        </w:trPr>
        <w:tc>
          <w:tcPr>
            <w:tcW w:w="108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 FORMALES</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4,5,6,10,13,18,22 y 23</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$6,039.20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$18,810.00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$66,000.00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$2,465.00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$2,846,762.85</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$899,741.87</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$1,051,917.00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$1,712,379.93</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$161,777.69</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$31,496.95</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$12,748.37</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$10,350.86</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$2,465.00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$15,098.00</w:t>
            </w:r>
          </w:p>
        </w:tc>
      </w:tr>
      <w:tr w:rsidR="00A256AB" w:rsidRPr="00A85D78" w:rsidTr="00776C8D">
        <w:trPr>
          <w:trHeight w:val="278"/>
          <w:jc w:val="center"/>
        </w:trPr>
        <w:tc>
          <w:tcPr>
            <w:tcW w:w="108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19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 FORMALES</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2,4,6,7,8,9,14,15 y 19</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$6,794.10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$460,035.19</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$1,949,536.80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$6,960.00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$52,056.02</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$29,047.44</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$2,361,920.06</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$823,118.30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$3,774.50</w:t>
            </w:r>
          </w:p>
        </w:tc>
      </w:tr>
      <w:tr w:rsidR="00A256AB" w:rsidRPr="00A85D78" w:rsidTr="00776C8D">
        <w:trPr>
          <w:trHeight w:val="278"/>
          <w:jc w:val="center"/>
        </w:trPr>
        <w:tc>
          <w:tcPr>
            <w:tcW w:w="1082" w:type="pct"/>
            <w:vMerge/>
            <w:vAlign w:val="center"/>
          </w:tcPr>
          <w:p w:rsidR="00A256AB" w:rsidRPr="00A85D78" w:rsidRDefault="00A256AB" w:rsidP="00A256AB">
            <w:pPr>
              <w:jc w:val="center"/>
              <w:rPr>
                <w:rFonts w:ascii="Arial" w:hAnsi="Arial" w:cs="Arial"/>
                <w:sz w:val="16"/>
                <w:szCs w:val="16"/>
                <w:lang w:val="es-ES_tradnl"/>
              </w:rPr>
            </w:pPr>
          </w:p>
        </w:tc>
        <w:tc>
          <w:tcPr>
            <w:tcW w:w="1190" w:type="pc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1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109"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$177,401.50</w:t>
            </w:r>
          </w:p>
        </w:tc>
      </w:tr>
    </w:tbl>
    <w:p w:rsidR="00A256AB" w:rsidRPr="00776C8D" w:rsidRDefault="00A256AB" w:rsidP="00776C8D">
      <w:pPr>
        <w:rPr>
          <w:rFonts w:ascii="Arial" w:hAnsi="Arial" w:cs="Arial"/>
          <w:i/>
          <w:iCs/>
          <w:sz w:val="16"/>
          <w:szCs w:val="16"/>
        </w:rPr>
      </w:pPr>
      <w:r w:rsidRPr="00776C8D">
        <w:rPr>
          <w:rFonts w:ascii="Arial" w:hAnsi="Arial" w:cs="Arial"/>
          <w:b/>
          <w:bCs/>
          <w:i/>
          <w:iCs/>
          <w:sz w:val="16"/>
          <w:szCs w:val="16"/>
        </w:rPr>
        <w:t>Fuente:</w:t>
      </w:r>
      <w:r w:rsidRPr="00776C8D">
        <w:rPr>
          <w:rFonts w:ascii="Arial" w:hAnsi="Arial" w:cs="Arial"/>
          <w:i/>
          <w:iCs/>
          <w:sz w:val="16"/>
          <w:szCs w:val="16"/>
        </w:rPr>
        <w:t xml:space="preserve"> Elaboración propia con base en el acuerdo INE/CG128/2017 e INE/CG129/2017</w:t>
      </w:r>
      <w:r w:rsidR="00776C8D" w:rsidRPr="00776C8D">
        <w:rPr>
          <w:rFonts w:ascii="Arial" w:hAnsi="Arial" w:cs="Arial"/>
          <w:i/>
          <w:iCs/>
          <w:sz w:val="16"/>
          <w:szCs w:val="16"/>
        </w:rPr>
        <w:t>.</w:t>
      </w:r>
    </w:p>
    <w:p w:rsidR="00776C8D" w:rsidRPr="00A85D78" w:rsidRDefault="00776C8D" w:rsidP="00A256AB">
      <w:pPr>
        <w:jc w:val="center"/>
        <w:rPr>
          <w:rFonts w:ascii="Arial" w:hAnsi="Arial" w:cs="Arial"/>
          <w:sz w:val="16"/>
          <w:szCs w:val="16"/>
        </w:rPr>
      </w:pPr>
    </w:p>
    <w:p w:rsidR="00A256AB" w:rsidRPr="00A85D78" w:rsidRDefault="00A256AB" w:rsidP="00776C8D">
      <w:pPr>
        <w:spacing w:line="360" w:lineRule="auto"/>
        <w:jc w:val="both"/>
        <w:rPr>
          <w:rFonts w:ascii="Arial" w:hAnsi="Arial" w:cs="Arial"/>
          <w:sz w:val="24"/>
          <w:szCs w:val="24"/>
        </w:rPr>
      </w:pPr>
      <w:r w:rsidRPr="00A85D78">
        <w:rPr>
          <w:rFonts w:ascii="Arial" w:hAnsi="Arial" w:cs="Arial"/>
          <w:sz w:val="24"/>
          <w:szCs w:val="24"/>
        </w:rPr>
        <w:t xml:space="preserve">La actividad realizada por la Unidad Técnica de Fiscalización del INE, en la precampaña de Gobernador 2017, fue contundente, no solamente por el número de infracciones detectadas; mismas que obran desglosadas en el Anexo V de la presente investigación; sino también por el monto total de las multas en su conjunto $17, 571,067.16; siendo el partido más multado el Partido del Trabajo con un total de $6,838,052.72, seguido de MORENA con $5,870,643.91. </w:t>
      </w:r>
    </w:p>
    <w:p w:rsidR="00A256AB" w:rsidRPr="00A85D78" w:rsidRDefault="00A256AB" w:rsidP="00776C8D">
      <w:pPr>
        <w:spacing w:line="360" w:lineRule="auto"/>
        <w:jc w:val="both"/>
        <w:rPr>
          <w:rFonts w:ascii="Arial" w:hAnsi="Arial" w:cs="Arial"/>
          <w:sz w:val="24"/>
          <w:szCs w:val="24"/>
        </w:rPr>
      </w:pPr>
    </w:p>
    <w:p w:rsidR="00A256AB" w:rsidRPr="00A85D78" w:rsidRDefault="00A256AB" w:rsidP="00776C8D">
      <w:pPr>
        <w:spacing w:line="360" w:lineRule="auto"/>
        <w:jc w:val="both"/>
        <w:rPr>
          <w:rFonts w:ascii="Arial" w:hAnsi="Arial" w:cs="Arial"/>
          <w:b/>
          <w:sz w:val="24"/>
          <w:szCs w:val="24"/>
        </w:rPr>
      </w:pPr>
      <w:r w:rsidRPr="00A85D78">
        <w:rPr>
          <w:rFonts w:ascii="Arial" w:hAnsi="Arial" w:cs="Arial"/>
          <w:b/>
          <w:sz w:val="24"/>
          <w:szCs w:val="24"/>
        </w:rPr>
        <w:t>4.2.3.2 Campaña</w:t>
      </w:r>
      <w:r w:rsidR="00927E74">
        <w:rPr>
          <w:rFonts w:ascii="Arial" w:hAnsi="Arial" w:cs="Arial"/>
          <w:b/>
          <w:sz w:val="24"/>
          <w:szCs w:val="24"/>
        </w:rPr>
        <w:t>.</w:t>
      </w:r>
    </w:p>
    <w:p w:rsidR="00A256AB" w:rsidRDefault="00A256AB" w:rsidP="00776C8D">
      <w:pPr>
        <w:spacing w:line="360" w:lineRule="auto"/>
        <w:jc w:val="both"/>
        <w:rPr>
          <w:rFonts w:ascii="Arial" w:hAnsi="Arial" w:cs="Arial"/>
          <w:sz w:val="24"/>
          <w:szCs w:val="24"/>
        </w:rPr>
      </w:pPr>
      <w:r w:rsidRPr="00A85D78">
        <w:rPr>
          <w:rFonts w:ascii="Arial" w:hAnsi="Arial" w:cs="Arial"/>
          <w:sz w:val="24"/>
          <w:szCs w:val="24"/>
        </w:rPr>
        <w:t>Para la Elección a Gobernador, los partidos PRI, Partido Verde Ecologista de México, Nueva Alianza y Partido Encuentro Social, se coaligaron, mientras que MORENA, PAN, PRD y Partido del Trabajo, compitieron en solitario; los resultados del trabajo de  fiscalización del INE, por la magnitud de las sanciones encontradas serán expresadas en Tablas por Partido Político; no omitiendo que las infracciones a detalle pueden consultarse en el Anexo VI al presente estudio; siendo estas las Tablas 4.23.1 a 4,23.5</w:t>
      </w:r>
      <w:r w:rsidR="00776C8D">
        <w:rPr>
          <w:rFonts w:ascii="Arial" w:hAnsi="Arial" w:cs="Arial"/>
          <w:sz w:val="24"/>
          <w:szCs w:val="24"/>
        </w:rPr>
        <w:t>.</w:t>
      </w:r>
    </w:p>
    <w:p w:rsidR="00776C8D" w:rsidRPr="00A85D78" w:rsidRDefault="00776C8D" w:rsidP="00776C8D">
      <w:pPr>
        <w:spacing w:line="360" w:lineRule="auto"/>
        <w:jc w:val="both"/>
        <w:rPr>
          <w:rFonts w:ascii="Arial" w:hAnsi="Arial" w:cs="Arial"/>
          <w:sz w:val="24"/>
          <w:szCs w:val="24"/>
        </w:rPr>
      </w:pPr>
    </w:p>
    <w:p w:rsidR="00A256AB" w:rsidRPr="00776C8D" w:rsidRDefault="00A256AB" w:rsidP="00776C8D">
      <w:pPr>
        <w:tabs>
          <w:tab w:val="left" w:pos="5070"/>
        </w:tabs>
        <w:jc w:val="both"/>
        <w:rPr>
          <w:rStyle w:val="Ttulodellibro"/>
          <w:b/>
          <w:i/>
          <w:color w:val="auto"/>
          <w:sz w:val="20"/>
          <w:szCs w:val="20"/>
        </w:rPr>
      </w:pPr>
      <w:r w:rsidRPr="00776C8D">
        <w:rPr>
          <w:rStyle w:val="Ttulodellibro"/>
          <w:rFonts w:ascii="Arial" w:hAnsi="Arial" w:cs="Arial"/>
          <w:b/>
          <w:i/>
          <w:color w:val="auto"/>
          <w:sz w:val="20"/>
          <w:szCs w:val="20"/>
        </w:rPr>
        <w:t>Tabla 4.23.1 Conductas Infractoras PAN Gobernador 2017</w:t>
      </w:r>
      <w:r w:rsidR="00776C8D" w:rsidRPr="00776C8D">
        <w:rPr>
          <w:rStyle w:val="Ttulodellibro"/>
          <w:rFonts w:ascii="Arial" w:hAnsi="Arial" w:cs="Arial"/>
          <w:b/>
          <w:i/>
          <w:color w:val="auto"/>
          <w:sz w:val="20"/>
          <w:szCs w:val="20"/>
        </w:rPr>
        <w:t>.</w:t>
      </w:r>
    </w:p>
    <w:p w:rsidR="00776C8D" w:rsidRPr="00A85D78" w:rsidRDefault="00776C8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776C8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776C8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148" w:type="pct"/>
            <w:vAlign w:val="center"/>
          </w:tcPr>
          <w:p w:rsidR="00A256AB" w:rsidRPr="00A85D78" w:rsidRDefault="00A256AB" w:rsidP="00F245EA">
            <w:pPr>
              <w:rPr>
                <w:rFonts w:ascii="Arial" w:hAnsi="Arial" w:cs="Arial"/>
                <w:sz w:val="16"/>
                <w:szCs w:val="16"/>
                <w:lang w:val="es-ES_tradnl"/>
              </w:rPr>
            </w:pPr>
            <w:r w:rsidRPr="00A85D78">
              <w:rPr>
                <w:rFonts w:ascii="Arial" w:hAnsi="Arial" w:cs="Arial"/>
                <w:sz w:val="16"/>
                <w:szCs w:val="16"/>
                <w:lang w:val="es-ES_tradnl"/>
              </w:rPr>
              <w:t>10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2,3,6,7,8,20,35,36,37 y 38</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$7,549.00</w:t>
            </w:r>
          </w:p>
        </w:tc>
      </w:tr>
      <w:tr w:rsidR="00A256AB" w:rsidRPr="00A85D78" w:rsidTr="00776C8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vAlign w:val="center"/>
          </w:tcPr>
          <w:p w:rsidR="00A256AB" w:rsidRPr="00A85D78" w:rsidRDefault="00A256AB" w:rsidP="00F245EA">
            <w:pPr>
              <w:rPr>
                <w:rFonts w:ascii="Arial" w:hAnsi="Arial" w:cs="Arial"/>
                <w:sz w:val="16"/>
                <w:szCs w:val="16"/>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$7,549.00</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F245EA">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$47,558.70</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F245EA">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$200,048.50</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F245EA">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$184,950.50</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F245EA">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$18,872.50</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F245EA">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$1,570,579.17</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$10,722,844.14</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$910,518.42</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$2,073,808.89</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$799,892.97</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$322,441.14</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$36,092,012.66</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$20,751,281.37</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25</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$5,872,701.98</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$2,882,547.36</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28</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$409,499.94</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29</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$899,615.96</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30</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$109,920.49</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31</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$786,552.99</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32</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$2,926,959.77</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33</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$84,383.44</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39</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$532,609.47</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40</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$8,426,375.33</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27</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$3,797,250.18</w:t>
            </w:r>
          </w:p>
        </w:tc>
      </w:tr>
      <w:tr w:rsidR="00A256AB" w:rsidRPr="00A85D78" w:rsidTr="00776C8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sz w:val="16"/>
                <w:szCs w:val="16"/>
                <w:lang w:val="es-ES_tradnl"/>
              </w:rPr>
            </w:pP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44</w:t>
            </w:r>
          </w:p>
        </w:tc>
        <w:tc>
          <w:tcPr>
            <w:tcW w:w="1212"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$7,675,725.00</w:t>
            </w:r>
          </w:p>
        </w:tc>
      </w:tr>
    </w:tbl>
    <w:p w:rsidR="00A256AB" w:rsidRPr="00A85D78" w:rsidRDefault="00A256AB" w:rsidP="00A256AB">
      <w:pPr>
        <w:jc w:val="center"/>
        <w:rPr>
          <w:rFonts w:ascii="Arial" w:hAnsi="Arial" w:cs="Arial"/>
          <w:sz w:val="16"/>
          <w:szCs w:val="16"/>
        </w:rPr>
      </w:pPr>
      <w:r w:rsidRPr="00A85D78">
        <w:rPr>
          <w:rFonts w:ascii="Arial" w:hAnsi="Arial" w:cs="Arial"/>
          <w:sz w:val="16"/>
          <w:szCs w:val="16"/>
        </w:rPr>
        <w:t>Fuente: Elaboración propia con base en INE/CG310/2017, INE/CG311/2017 e</w:t>
      </w:r>
      <w:r w:rsidRPr="00A85D78">
        <w:rPr>
          <w:rFonts w:ascii="Arial" w:hAnsi="Arial" w:cs="Arial"/>
        </w:rPr>
        <w:t xml:space="preserve"> </w:t>
      </w:r>
      <w:r w:rsidRPr="00A85D78">
        <w:rPr>
          <w:rFonts w:ascii="Arial" w:hAnsi="Arial" w:cs="Arial"/>
          <w:sz w:val="16"/>
          <w:szCs w:val="16"/>
        </w:rPr>
        <w:t>INE/CG445/2017</w:t>
      </w:r>
    </w:p>
    <w:p w:rsidR="00776C8D" w:rsidRDefault="00776C8D" w:rsidP="00A256AB">
      <w:pPr>
        <w:rPr>
          <w:rFonts w:ascii="Arial" w:hAnsi="Arial" w:cs="Arial"/>
          <w:sz w:val="24"/>
          <w:szCs w:val="24"/>
        </w:rPr>
      </w:pPr>
    </w:p>
    <w:p w:rsidR="00776C8D" w:rsidRDefault="00776C8D" w:rsidP="00A256AB">
      <w:pPr>
        <w:rPr>
          <w:rFonts w:ascii="Arial" w:hAnsi="Arial" w:cs="Arial"/>
          <w:sz w:val="24"/>
          <w:szCs w:val="24"/>
        </w:rPr>
      </w:pPr>
    </w:p>
    <w:p w:rsidR="00A256AB" w:rsidRDefault="00A256AB" w:rsidP="00816F8E">
      <w:pPr>
        <w:tabs>
          <w:tab w:val="left" w:pos="5070"/>
        </w:tabs>
        <w:jc w:val="both"/>
        <w:rPr>
          <w:rFonts w:ascii="Arial" w:hAnsi="Arial" w:cs="Arial"/>
          <w:sz w:val="24"/>
          <w:szCs w:val="24"/>
        </w:rPr>
      </w:pPr>
      <w:r w:rsidRPr="00816F8E">
        <w:rPr>
          <w:rStyle w:val="Ttulodellibro"/>
          <w:rFonts w:ascii="Arial" w:hAnsi="Arial" w:cs="Arial"/>
          <w:b/>
          <w:i/>
          <w:color w:val="auto"/>
          <w:sz w:val="20"/>
          <w:szCs w:val="20"/>
        </w:rPr>
        <w:t>Tabla. 4.23.2 Conductas Infractoras PRD Gobernador 2017</w:t>
      </w:r>
      <w:r w:rsidR="00816F8E" w:rsidRPr="00816F8E">
        <w:rPr>
          <w:rStyle w:val="Ttulodellibro"/>
          <w:rFonts w:ascii="Arial" w:hAnsi="Arial" w:cs="Arial"/>
          <w:b/>
          <w:i/>
          <w:color w:val="auto"/>
          <w:sz w:val="20"/>
          <w:szCs w:val="20"/>
        </w:rPr>
        <w:t>.</w:t>
      </w:r>
    </w:p>
    <w:p w:rsidR="00816F8E" w:rsidRPr="00A85D78" w:rsidRDefault="00816F8E" w:rsidP="00A256AB">
      <w:pPr>
        <w:rPr>
          <w:rFonts w:ascii="Arial" w:hAnsi="Arial" w:cs="Arial"/>
          <w:sz w:val="24"/>
          <w:szCs w:val="24"/>
        </w:rPr>
      </w:pPr>
    </w:p>
    <w:tbl>
      <w:tblPr>
        <w:tblStyle w:val="Tablaconcuadrcula"/>
        <w:tblW w:w="5000" w:type="pct"/>
        <w:jc w:val="center"/>
        <w:tblLook w:val="04A0" w:firstRow="1" w:lastRow="0" w:firstColumn="1" w:lastColumn="0" w:noHBand="0" w:noVBand="1"/>
      </w:tblPr>
      <w:tblGrid>
        <w:gridCol w:w="1308"/>
        <w:gridCol w:w="1998"/>
        <w:gridCol w:w="3078"/>
        <w:gridCol w:w="2110"/>
      </w:tblGrid>
      <w:tr w:rsidR="00A256AB" w:rsidRPr="00A85D78" w:rsidTr="00816F8E">
        <w:trPr>
          <w:jc w:val="center"/>
        </w:trPr>
        <w:tc>
          <w:tcPr>
            <w:tcW w:w="770"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76"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812"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42"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816F8E">
        <w:trPr>
          <w:trHeight w:val="284"/>
          <w:jc w:val="center"/>
        </w:trPr>
        <w:tc>
          <w:tcPr>
            <w:tcW w:w="770"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176" w:type="pct"/>
            <w:vAlign w:val="center"/>
          </w:tcPr>
          <w:p w:rsidR="00A256AB" w:rsidRPr="00A85D78" w:rsidRDefault="00A256AB" w:rsidP="00816F8E">
            <w:pPr>
              <w:rPr>
                <w:rFonts w:ascii="Arial" w:hAnsi="Arial" w:cs="Arial"/>
                <w:sz w:val="16"/>
                <w:szCs w:val="16"/>
                <w:lang w:val="es-ES_tradnl"/>
              </w:rPr>
            </w:pPr>
            <w:r w:rsidRPr="00A85D78">
              <w:rPr>
                <w:rFonts w:ascii="Arial" w:hAnsi="Arial" w:cs="Arial"/>
                <w:sz w:val="16"/>
                <w:szCs w:val="16"/>
                <w:lang w:val="es-ES_tradnl"/>
              </w:rPr>
              <w:t>6 FORMALES</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5,6,7,9,38 Y 39</w:t>
            </w:r>
          </w:p>
        </w:tc>
        <w:tc>
          <w:tcPr>
            <w:tcW w:w="124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$4,529.40</w:t>
            </w:r>
          </w:p>
        </w:tc>
      </w:tr>
      <w:tr w:rsidR="00A256AB" w:rsidRPr="00A85D78" w:rsidTr="00816F8E">
        <w:trPr>
          <w:trHeight w:val="260"/>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vAlign w:val="center"/>
          </w:tcPr>
          <w:p w:rsidR="00A256AB" w:rsidRPr="00A85D78" w:rsidRDefault="00A256AB" w:rsidP="00816F8E">
            <w:pPr>
              <w:rPr>
                <w:rFonts w:ascii="Arial" w:hAnsi="Arial" w:cs="Arial"/>
                <w:sz w:val="16"/>
                <w:szCs w:val="16"/>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4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$400,000.00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$203,700.00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$52,394.24</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$480,901.20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$1,099,167.6</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$6,700,733.30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$503,764.80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$1,204,518.21</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$5,032,179.90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$74,838.60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$15,018,946.14</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$47,931.78</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25</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$12,502,150.58</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$14,204,284.41</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27</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$5,832,342.29</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28</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$1,068,858.63</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29</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$508,870.92</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30</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$6,606,907.91</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$169,852.50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$245,342.50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$18,872.50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$754.00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32</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$75,301.78</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34</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$38,814.53</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35</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$17,009.05</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37</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$2,098,744.86</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41</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$1,500.00</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33</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$1,434,104.83</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36</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$1,367,174.68</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sz w:val="16"/>
                <w:szCs w:val="16"/>
                <w:lang w:val="es-ES_tradnl"/>
              </w:rPr>
            </w:pPr>
            <w:r w:rsidRPr="00A85D78">
              <w:rPr>
                <w:rFonts w:ascii="Arial" w:hAnsi="Arial" w:cs="Arial"/>
                <w:sz w:val="16"/>
                <w:szCs w:val="16"/>
                <w:lang w:val="es-ES_tradnl"/>
              </w:rPr>
              <w:t>SUSTANCIAL</w:t>
            </w: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40</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$5,759.88</w:t>
            </w:r>
          </w:p>
        </w:tc>
      </w:tr>
      <w:tr w:rsidR="00A256AB" w:rsidRPr="00A85D78" w:rsidTr="00816F8E">
        <w:trPr>
          <w:trHeight w:val="278"/>
          <w:jc w:val="center"/>
        </w:trPr>
        <w:tc>
          <w:tcPr>
            <w:tcW w:w="770" w:type="pct"/>
            <w:vMerge/>
            <w:vAlign w:val="center"/>
          </w:tcPr>
          <w:p w:rsidR="00A256AB" w:rsidRPr="00A85D78" w:rsidRDefault="00A256AB" w:rsidP="00A256AB">
            <w:pPr>
              <w:jc w:val="center"/>
              <w:rPr>
                <w:rFonts w:ascii="Arial" w:hAnsi="Arial" w:cs="Arial"/>
                <w:sz w:val="16"/>
                <w:szCs w:val="16"/>
                <w:lang w:val="es-ES_tradnl"/>
              </w:rPr>
            </w:pPr>
          </w:p>
        </w:tc>
        <w:tc>
          <w:tcPr>
            <w:tcW w:w="1176" w:type="pct"/>
          </w:tcPr>
          <w:p w:rsidR="00A256AB" w:rsidRPr="00A85D78" w:rsidRDefault="00A256AB" w:rsidP="00816F8E">
            <w:pPr>
              <w:rPr>
                <w:rFonts w:ascii="Arial" w:hAnsi="Arial" w:cs="Arial"/>
                <w:sz w:val="16"/>
                <w:szCs w:val="16"/>
                <w:lang w:val="es-ES_tradnl"/>
              </w:rPr>
            </w:pPr>
          </w:p>
        </w:tc>
        <w:tc>
          <w:tcPr>
            <w:tcW w:w="1812"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45</w:t>
            </w:r>
          </w:p>
        </w:tc>
        <w:tc>
          <w:tcPr>
            <w:tcW w:w="124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$1,724,175.00</w:t>
            </w:r>
          </w:p>
        </w:tc>
      </w:tr>
    </w:tbl>
    <w:p w:rsidR="00A256AB" w:rsidRPr="00816F8E" w:rsidRDefault="00A256AB" w:rsidP="00816F8E">
      <w:pPr>
        <w:rPr>
          <w:rFonts w:ascii="Arial" w:hAnsi="Arial" w:cs="Arial"/>
          <w:i/>
          <w:iCs/>
          <w:sz w:val="16"/>
          <w:szCs w:val="16"/>
        </w:rPr>
      </w:pPr>
      <w:r w:rsidRPr="00816F8E">
        <w:rPr>
          <w:rFonts w:ascii="Arial" w:hAnsi="Arial" w:cs="Arial"/>
          <w:b/>
          <w:bCs/>
          <w:i/>
          <w:iCs/>
          <w:sz w:val="16"/>
          <w:szCs w:val="16"/>
        </w:rPr>
        <w:t>Fuente:</w:t>
      </w:r>
      <w:r w:rsidRPr="00816F8E">
        <w:rPr>
          <w:rFonts w:ascii="Arial" w:hAnsi="Arial" w:cs="Arial"/>
          <w:i/>
          <w:iCs/>
          <w:sz w:val="16"/>
          <w:szCs w:val="16"/>
        </w:rPr>
        <w:t xml:space="preserve"> Elaboración propia con base en INE/CG310/2017, INE/CG311/2017 e</w:t>
      </w:r>
      <w:r w:rsidRPr="00816F8E">
        <w:rPr>
          <w:rFonts w:ascii="Arial" w:hAnsi="Arial" w:cs="Arial"/>
          <w:i/>
          <w:iCs/>
        </w:rPr>
        <w:t xml:space="preserve"> </w:t>
      </w:r>
      <w:r w:rsidRPr="00816F8E">
        <w:rPr>
          <w:rFonts w:ascii="Arial" w:hAnsi="Arial" w:cs="Arial"/>
          <w:i/>
          <w:iCs/>
          <w:sz w:val="16"/>
          <w:szCs w:val="16"/>
        </w:rPr>
        <w:t>INE/CG445/2017</w:t>
      </w:r>
    </w:p>
    <w:p w:rsidR="00816F8E" w:rsidRDefault="00816F8E" w:rsidP="00A256AB">
      <w:pPr>
        <w:rPr>
          <w:rFonts w:ascii="Arial" w:hAnsi="Arial" w:cs="Arial"/>
          <w:sz w:val="24"/>
          <w:szCs w:val="24"/>
        </w:rPr>
      </w:pPr>
    </w:p>
    <w:p w:rsidR="000130C0" w:rsidRDefault="000130C0" w:rsidP="00816F8E">
      <w:pPr>
        <w:tabs>
          <w:tab w:val="left" w:pos="5070"/>
        </w:tabs>
        <w:jc w:val="both"/>
        <w:rPr>
          <w:rStyle w:val="Ttulodellibro"/>
          <w:rFonts w:ascii="Arial" w:hAnsi="Arial" w:cs="Arial"/>
          <w:b/>
          <w:i/>
          <w:color w:val="auto"/>
          <w:sz w:val="20"/>
          <w:szCs w:val="20"/>
        </w:rPr>
      </w:pPr>
    </w:p>
    <w:p w:rsidR="00A256AB" w:rsidRDefault="00A256AB" w:rsidP="00816F8E">
      <w:pPr>
        <w:tabs>
          <w:tab w:val="left" w:pos="5070"/>
        </w:tabs>
        <w:jc w:val="both"/>
        <w:rPr>
          <w:rStyle w:val="Ttulodellibro"/>
          <w:rFonts w:ascii="Arial" w:hAnsi="Arial" w:cs="Arial"/>
          <w:b/>
          <w:i/>
          <w:color w:val="auto"/>
          <w:sz w:val="20"/>
          <w:szCs w:val="20"/>
        </w:rPr>
      </w:pPr>
      <w:r w:rsidRPr="00816F8E">
        <w:rPr>
          <w:rStyle w:val="Ttulodellibro"/>
          <w:rFonts w:ascii="Arial" w:hAnsi="Arial" w:cs="Arial"/>
          <w:b/>
          <w:i/>
          <w:color w:val="auto"/>
          <w:sz w:val="20"/>
          <w:szCs w:val="20"/>
        </w:rPr>
        <w:lastRenderedPageBreak/>
        <w:t>Tabla. 4.23.3 Conductas Infractoras PT Gobernador 2017</w:t>
      </w:r>
      <w:r w:rsidR="00816F8E">
        <w:rPr>
          <w:rStyle w:val="Ttulodellibro"/>
          <w:rFonts w:ascii="Arial" w:hAnsi="Arial" w:cs="Arial"/>
          <w:b/>
          <w:i/>
          <w:color w:val="auto"/>
          <w:sz w:val="20"/>
          <w:szCs w:val="20"/>
        </w:rPr>
        <w:t>.</w:t>
      </w:r>
    </w:p>
    <w:p w:rsidR="00E04C13" w:rsidRPr="00816F8E" w:rsidRDefault="00E04C13" w:rsidP="00816F8E">
      <w:pPr>
        <w:tabs>
          <w:tab w:val="left" w:pos="5070"/>
        </w:tabs>
        <w:jc w:val="both"/>
        <w:rPr>
          <w:rStyle w:val="Ttulodellibro"/>
          <w:b/>
          <w:i/>
          <w:color w:val="auto"/>
          <w:sz w:val="20"/>
          <w:szCs w:val="20"/>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816F8E">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816F8E">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148" w:type="pct"/>
            <w:vAlign w:val="center"/>
          </w:tcPr>
          <w:p w:rsidR="00A256AB" w:rsidRPr="00A85D78" w:rsidRDefault="00A256AB" w:rsidP="00EC38F0">
            <w:pPr>
              <w:rPr>
                <w:rFonts w:ascii="Arial" w:hAnsi="Arial" w:cs="Arial"/>
                <w:sz w:val="16"/>
                <w:szCs w:val="16"/>
                <w:lang w:val="es-ES_tradnl"/>
              </w:rPr>
            </w:pPr>
            <w:r w:rsidRPr="00A85D78">
              <w:rPr>
                <w:rFonts w:ascii="Arial" w:hAnsi="Arial" w:cs="Arial"/>
                <w:sz w:val="16"/>
                <w:szCs w:val="16"/>
                <w:lang w:val="es-ES_tradnl"/>
              </w:rPr>
              <w:t>5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2,4,6,24 Y 25</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$3,774.50</w:t>
            </w:r>
          </w:p>
        </w:tc>
      </w:tr>
      <w:tr w:rsidR="00A256AB" w:rsidRPr="00A85D78" w:rsidTr="00816F8E">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$49,068.50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$256,666.00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$4,529.40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$42,221.10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212"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$3,699,976.77</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$5,403,394.68</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$1,324,613.31</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$3,164,192.34</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$2,095,677.24</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$356,286.21</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$34,278.00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$15,098.00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$965,081.94</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$87,000.00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$279,075.59</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$368,446.36</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$240,425.40</w:t>
            </w:r>
          </w:p>
        </w:tc>
      </w:tr>
      <w:tr w:rsidR="00A256AB" w:rsidRPr="00A85D78" w:rsidTr="00816F8E">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sz w:val="16"/>
                <w:szCs w:val="16"/>
                <w:lang w:val="es-ES_tradnl"/>
              </w:rPr>
            </w:pP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$2,274,300.00</w:t>
            </w:r>
          </w:p>
        </w:tc>
      </w:tr>
    </w:tbl>
    <w:p w:rsidR="00A256AB" w:rsidRPr="00816F8E" w:rsidRDefault="00A256AB" w:rsidP="00816F8E">
      <w:pPr>
        <w:rPr>
          <w:rFonts w:ascii="Arial" w:hAnsi="Arial" w:cs="Arial"/>
          <w:i/>
          <w:iCs/>
          <w:sz w:val="16"/>
          <w:szCs w:val="16"/>
        </w:rPr>
      </w:pPr>
      <w:r w:rsidRPr="00816F8E">
        <w:rPr>
          <w:rFonts w:ascii="Arial" w:hAnsi="Arial" w:cs="Arial"/>
          <w:b/>
          <w:bCs/>
          <w:i/>
          <w:iCs/>
          <w:sz w:val="16"/>
          <w:szCs w:val="16"/>
        </w:rPr>
        <w:t>Fuente:</w:t>
      </w:r>
      <w:r w:rsidRPr="00816F8E">
        <w:rPr>
          <w:rFonts w:ascii="Arial" w:hAnsi="Arial" w:cs="Arial"/>
          <w:i/>
          <w:iCs/>
          <w:sz w:val="16"/>
          <w:szCs w:val="16"/>
        </w:rPr>
        <w:t xml:space="preserve"> Elaboración propia con base en INE/CG310/2017, INE/CG311/2017 e</w:t>
      </w:r>
      <w:r w:rsidRPr="00816F8E">
        <w:rPr>
          <w:rFonts w:ascii="Arial" w:hAnsi="Arial" w:cs="Arial"/>
          <w:i/>
          <w:iCs/>
        </w:rPr>
        <w:t xml:space="preserve"> </w:t>
      </w:r>
      <w:r w:rsidRPr="00816F8E">
        <w:rPr>
          <w:rFonts w:ascii="Arial" w:hAnsi="Arial" w:cs="Arial"/>
          <w:i/>
          <w:iCs/>
          <w:sz w:val="16"/>
          <w:szCs w:val="16"/>
        </w:rPr>
        <w:t>INE/CG445/2017</w:t>
      </w:r>
    </w:p>
    <w:p w:rsidR="00816F8E" w:rsidRDefault="00816F8E" w:rsidP="00A256AB">
      <w:pPr>
        <w:rPr>
          <w:rFonts w:ascii="Arial" w:hAnsi="Arial" w:cs="Arial"/>
          <w:sz w:val="24"/>
          <w:szCs w:val="24"/>
        </w:rPr>
      </w:pPr>
    </w:p>
    <w:p w:rsidR="00816F8E" w:rsidRDefault="00816F8E" w:rsidP="00A256AB">
      <w:pPr>
        <w:rPr>
          <w:rFonts w:ascii="Arial" w:hAnsi="Arial" w:cs="Arial"/>
          <w:sz w:val="24"/>
          <w:szCs w:val="24"/>
        </w:rPr>
      </w:pPr>
    </w:p>
    <w:p w:rsidR="00A256AB" w:rsidRPr="00816F8E" w:rsidRDefault="00A256AB" w:rsidP="00816F8E">
      <w:pPr>
        <w:tabs>
          <w:tab w:val="left" w:pos="5070"/>
        </w:tabs>
        <w:jc w:val="both"/>
        <w:rPr>
          <w:rStyle w:val="Ttulodellibro"/>
          <w:rFonts w:ascii="Arial" w:hAnsi="Arial" w:cs="Arial"/>
          <w:b/>
          <w:i/>
          <w:color w:val="auto"/>
          <w:sz w:val="20"/>
          <w:szCs w:val="20"/>
        </w:rPr>
      </w:pPr>
      <w:r w:rsidRPr="00816F8E">
        <w:rPr>
          <w:rStyle w:val="Ttulodellibro"/>
          <w:rFonts w:ascii="Arial" w:hAnsi="Arial" w:cs="Arial"/>
          <w:b/>
          <w:i/>
          <w:color w:val="auto"/>
          <w:sz w:val="20"/>
          <w:szCs w:val="20"/>
        </w:rPr>
        <w:t>Tabla. 4.23.4 Conductas Infractoras MORENA Gobernador 2017</w:t>
      </w:r>
      <w:r w:rsidR="00816F8E" w:rsidRPr="00816F8E">
        <w:rPr>
          <w:rStyle w:val="Ttulodellibro"/>
          <w:rFonts w:ascii="Arial" w:hAnsi="Arial" w:cs="Arial"/>
          <w:b/>
          <w:i/>
          <w:color w:val="auto"/>
          <w:sz w:val="20"/>
          <w:szCs w:val="20"/>
        </w:rPr>
        <w:t>.</w:t>
      </w:r>
    </w:p>
    <w:p w:rsidR="00816F8E" w:rsidRPr="00A85D78" w:rsidRDefault="00816F8E" w:rsidP="00A256AB">
      <w:pPr>
        <w:rPr>
          <w:rFonts w:ascii="Arial" w:hAnsi="Arial" w:cs="Arial"/>
          <w:sz w:val="24"/>
          <w:szCs w:val="24"/>
        </w:rPr>
      </w:pPr>
    </w:p>
    <w:tbl>
      <w:tblPr>
        <w:tblStyle w:val="Tablaconcuadrcula"/>
        <w:tblW w:w="5000" w:type="pct"/>
        <w:jc w:val="center"/>
        <w:tblLook w:val="04A0" w:firstRow="1" w:lastRow="0" w:firstColumn="1" w:lastColumn="0" w:noHBand="0" w:noVBand="1"/>
      </w:tblPr>
      <w:tblGrid>
        <w:gridCol w:w="1374"/>
        <w:gridCol w:w="1813"/>
        <w:gridCol w:w="3323"/>
        <w:gridCol w:w="1984"/>
      </w:tblGrid>
      <w:tr w:rsidR="00A256AB" w:rsidRPr="00A85D78" w:rsidTr="00816F8E">
        <w:trPr>
          <w:jc w:val="center"/>
        </w:trPr>
        <w:tc>
          <w:tcPr>
            <w:tcW w:w="809" w:type="pct"/>
            <w:shd w:val="clear" w:color="auto" w:fill="FBE4D5" w:themeFill="accent2" w:themeFillTint="33"/>
            <w:vAlign w:val="center"/>
          </w:tcPr>
          <w:p w:rsidR="00A256AB" w:rsidRPr="00A85D78" w:rsidRDefault="00A256AB" w:rsidP="00EC38F0">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067" w:type="pct"/>
            <w:shd w:val="clear" w:color="auto" w:fill="FBE4D5" w:themeFill="accent2" w:themeFillTint="33"/>
            <w:vAlign w:val="center"/>
          </w:tcPr>
          <w:p w:rsidR="00A256AB" w:rsidRPr="00A85D78" w:rsidRDefault="00A256AB" w:rsidP="00EC38F0">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956" w:type="pct"/>
            <w:shd w:val="clear" w:color="auto" w:fill="FBE4D5" w:themeFill="accent2" w:themeFillTint="33"/>
            <w:vAlign w:val="center"/>
          </w:tcPr>
          <w:p w:rsidR="00A256AB" w:rsidRPr="00A85D78" w:rsidRDefault="00A256AB" w:rsidP="00EC38F0">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168" w:type="pct"/>
            <w:shd w:val="clear" w:color="auto" w:fill="FBE4D5" w:themeFill="accent2" w:themeFillTint="33"/>
            <w:vAlign w:val="center"/>
          </w:tcPr>
          <w:p w:rsidR="00A256AB" w:rsidRPr="00A85D78" w:rsidRDefault="00A256AB" w:rsidP="00EC38F0">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816F8E">
        <w:trPr>
          <w:trHeight w:val="284"/>
          <w:jc w:val="center"/>
        </w:trPr>
        <w:tc>
          <w:tcPr>
            <w:tcW w:w="809"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Align w:val="center"/>
          </w:tcPr>
          <w:p w:rsidR="00A256AB" w:rsidRPr="00A85D78" w:rsidRDefault="00A256AB" w:rsidP="00816F8E">
            <w:pPr>
              <w:rPr>
                <w:rFonts w:ascii="Arial" w:hAnsi="Arial" w:cs="Arial"/>
                <w:sz w:val="16"/>
                <w:szCs w:val="16"/>
                <w:lang w:val="es-ES_tradnl"/>
              </w:rPr>
            </w:pPr>
            <w:r w:rsidRPr="00A85D78">
              <w:rPr>
                <w:rFonts w:ascii="Arial" w:hAnsi="Arial" w:cs="Arial"/>
                <w:sz w:val="16"/>
                <w:szCs w:val="16"/>
                <w:lang w:val="es-ES_tradnl"/>
              </w:rPr>
              <w:t>12 FORMALES</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2,12,14,15,23,24,41,42,43,44,45 y 46</w:t>
            </w:r>
          </w:p>
        </w:tc>
        <w:tc>
          <w:tcPr>
            <w:tcW w:w="1168"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$9,058.80</w:t>
            </w:r>
          </w:p>
        </w:tc>
      </w:tr>
      <w:tr w:rsidR="00A256AB" w:rsidRPr="00A85D78" w:rsidTr="00816F8E">
        <w:trPr>
          <w:trHeight w:val="260"/>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168"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$14,343.10</w:t>
            </w:r>
          </w:p>
        </w:tc>
      </w:tr>
      <w:tr w:rsidR="00A256AB" w:rsidRPr="00A85D78" w:rsidTr="00816F8E">
        <w:trPr>
          <w:trHeight w:val="74"/>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168" w:type="pct"/>
            <w:vAlign w:val="center"/>
          </w:tcPr>
          <w:p w:rsidR="00A256AB" w:rsidRPr="00A85D78" w:rsidRDefault="00A256AB" w:rsidP="00EC38F0">
            <w:pPr>
              <w:jc w:val="right"/>
              <w:rPr>
                <w:rFonts w:ascii="Arial" w:hAnsi="Arial" w:cs="Arial"/>
                <w:sz w:val="16"/>
                <w:szCs w:val="16"/>
                <w:lang w:val="es-ES_tradnl"/>
              </w:rPr>
            </w:pPr>
            <w:r w:rsidRPr="00A85D78">
              <w:rPr>
                <w:rFonts w:ascii="Arial" w:hAnsi="Arial" w:cs="Arial"/>
                <w:sz w:val="16"/>
                <w:szCs w:val="16"/>
                <w:lang w:val="es-ES_tradnl"/>
              </w:rPr>
              <w:t>$55,862.60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$139,656.50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$26,421.50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$3,948,298.38</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$172,609.74</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$85,012.95</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27</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$2,251,623.66</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28</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$872,682.54</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29</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$3,352,559.03</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30</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$254,240.76</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32</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$232,656.66</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33</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$386,561.88</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34</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$1,031,753.88</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$32,440.50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$2,712,819.85</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$3,209,535.79</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$421,080.00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$34,800.00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$33,384,107.17</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$112,520.00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$7,869,474.80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$62,071.15</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25</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$60,003.00</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35</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$4,723,483.92</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37</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$475,592.72</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38</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$6,225,318.71</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40</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$1,319,318.72</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47</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$10,740,890.13</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48</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$2,641,490.51</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36</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$204,693.06</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39</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$4,537,189.46</w:t>
            </w:r>
          </w:p>
        </w:tc>
      </w:tr>
      <w:tr w:rsidR="00A256AB" w:rsidRPr="00A85D78" w:rsidTr="00816F8E">
        <w:trPr>
          <w:trHeight w:val="278"/>
          <w:jc w:val="center"/>
        </w:trPr>
        <w:tc>
          <w:tcPr>
            <w:tcW w:w="809" w:type="pct"/>
            <w:vMerge/>
            <w:vAlign w:val="center"/>
          </w:tcPr>
          <w:p w:rsidR="00A256AB" w:rsidRPr="00A85D78" w:rsidRDefault="00A256AB" w:rsidP="00A256AB">
            <w:pPr>
              <w:jc w:val="center"/>
              <w:rPr>
                <w:rFonts w:ascii="Arial" w:hAnsi="Arial" w:cs="Arial"/>
                <w:sz w:val="16"/>
                <w:szCs w:val="16"/>
                <w:lang w:val="es-ES_tradnl"/>
              </w:rPr>
            </w:pPr>
          </w:p>
        </w:tc>
        <w:tc>
          <w:tcPr>
            <w:tcW w:w="1067" w:type="pct"/>
          </w:tcPr>
          <w:p w:rsidR="00A256AB" w:rsidRPr="00A85D78" w:rsidRDefault="00A256AB" w:rsidP="00A256AB">
            <w:pPr>
              <w:rPr>
                <w:rFonts w:ascii="Arial" w:hAnsi="Arial" w:cs="Arial"/>
                <w:sz w:val="16"/>
                <w:szCs w:val="16"/>
                <w:lang w:val="es-ES_tradnl"/>
              </w:rPr>
            </w:pPr>
          </w:p>
        </w:tc>
        <w:tc>
          <w:tcPr>
            <w:tcW w:w="1956"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54</w:t>
            </w:r>
          </w:p>
        </w:tc>
        <w:tc>
          <w:tcPr>
            <w:tcW w:w="1168"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$4,983,525.00</w:t>
            </w:r>
          </w:p>
        </w:tc>
      </w:tr>
    </w:tbl>
    <w:p w:rsidR="00A256AB" w:rsidRPr="00A85D78" w:rsidRDefault="00A256AB" w:rsidP="00A256AB">
      <w:pPr>
        <w:jc w:val="center"/>
        <w:rPr>
          <w:rFonts w:ascii="Arial" w:hAnsi="Arial" w:cs="Arial"/>
          <w:sz w:val="16"/>
          <w:szCs w:val="16"/>
        </w:rPr>
      </w:pPr>
      <w:r w:rsidRPr="00A85D78">
        <w:rPr>
          <w:rFonts w:ascii="Arial" w:hAnsi="Arial" w:cs="Arial"/>
          <w:sz w:val="16"/>
          <w:szCs w:val="16"/>
        </w:rPr>
        <w:t>Fuente: Elaboración propia con base en INE/CG310/2017, INE/CG311/2017 e</w:t>
      </w:r>
      <w:r w:rsidRPr="00A85D78">
        <w:rPr>
          <w:rFonts w:ascii="Arial" w:hAnsi="Arial" w:cs="Arial"/>
        </w:rPr>
        <w:t xml:space="preserve"> </w:t>
      </w:r>
      <w:r w:rsidRPr="00A85D78">
        <w:rPr>
          <w:rFonts w:ascii="Arial" w:hAnsi="Arial" w:cs="Arial"/>
          <w:sz w:val="16"/>
          <w:szCs w:val="16"/>
        </w:rPr>
        <w:t>INE/CG445/2017</w:t>
      </w:r>
    </w:p>
    <w:p w:rsidR="00816F8E" w:rsidRDefault="00816F8E" w:rsidP="00A256AB">
      <w:pPr>
        <w:jc w:val="both"/>
        <w:rPr>
          <w:rFonts w:ascii="Arial" w:hAnsi="Arial" w:cs="Arial"/>
          <w:sz w:val="24"/>
          <w:szCs w:val="24"/>
        </w:rPr>
      </w:pPr>
    </w:p>
    <w:p w:rsidR="00816F8E" w:rsidRDefault="00816F8E" w:rsidP="00A256AB">
      <w:pPr>
        <w:jc w:val="both"/>
        <w:rPr>
          <w:rFonts w:ascii="Arial" w:hAnsi="Arial" w:cs="Arial"/>
          <w:sz w:val="24"/>
          <w:szCs w:val="24"/>
        </w:rPr>
      </w:pPr>
    </w:p>
    <w:p w:rsidR="00A256AB" w:rsidRPr="00816F8E" w:rsidRDefault="00A256AB" w:rsidP="00816F8E">
      <w:pPr>
        <w:tabs>
          <w:tab w:val="left" w:pos="5070"/>
        </w:tabs>
        <w:jc w:val="both"/>
        <w:rPr>
          <w:rStyle w:val="Ttulodellibro"/>
          <w:b/>
          <w:i/>
          <w:color w:val="auto"/>
          <w:sz w:val="20"/>
          <w:szCs w:val="20"/>
        </w:rPr>
      </w:pPr>
      <w:r w:rsidRPr="00816F8E">
        <w:rPr>
          <w:rStyle w:val="Ttulodellibro"/>
          <w:rFonts w:ascii="Arial" w:hAnsi="Arial" w:cs="Arial"/>
          <w:b/>
          <w:i/>
          <w:color w:val="auto"/>
          <w:sz w:val="20"/>
          <w:szCs w:val="20"/>
        </w:rPr>
        <w:t>Tabla. 4.23.5 Conductas Infractoras Coalición PRI-PVEM-</w:t>
      </w:r>
      <w:r w:rsidR="00EC38F0" w:rsidRPr="00816F8E">
        <w:rPr>
          <w:rStyle w:val="Ttulodellibro"/>
          <w:rFonts w:ascii="Arial" w:hAnsi="Arial" w:cs="Arial"/>
          <w:b/>
          <w:i/>
          <w:color w:val="auto"/>
          <w:sz w:val="20"/>
          <w:szCs w:val="20"/>
        </w:rPr>
        <w:t>NUAL</w:t>
      </w:r>
      <w:r w:rsidRPr="00816F8E">
        <w:rPr>
          <w:rStyle w:val="Ttulodellibro"/>
          <w:rFonts w:ascii="Arial" w:hAnsi="Arial" w:cs="Arial"/>
          <w:b/>
          <w:i/>
          <w:color w:val="auto"/>
          <w:sz w:val="20"/>
          <w:szCs w:val="20"/>
        </w:rPr>
        <w:t>-PES Gobernador 2017</w:t>
      </w:r>
      <w:r w:rsidR="00816F8E">
        <w:rPr>
          <w:rStyle w:val="Ttulodellibro"/>
          <w:rFonts w:ascii="Arial" w:hAnsi="Arial" w:cs="Arial"/>
          <w:b/>
          <w:i/>
          <w:color w:val="auto"/>
          <w:sz w:val="20"/>
          <w:szCs w:val="20"/>
        </w:rPr>
        <w:t>.</w:t>
      </w:r>
    </w:p>
    <w:p w:rsidR="00EC38F0" w:rsidRPr="00A85D78" w:rsidRDefault="00EC38F0"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684"/>
        <w:gridCol w:w="1408"/>
        <w:gridCol w:w="1728"/>
        <w:gridCol w:w="3167"/>
        <w:gridCol w:w="1507"/>
      </w:tblGrid>
      <w:tr w:rsidR="00A256AB" w:rsidRPr="00A85D78" w:rsidTr="00816F8E">
        <w:trPr>
          <w:jc w:val="center"/>
        </w:trPr>
        <w:tc>
          <w:tcPr>
            <w:tcW w:w="403" w:type="pct"/>
            <w:shd w:val="clear" w:color="auto" w:fill="FBE4D5" w:themeFill="accent2" w:themeFillTint="33"/>
          </w:tcPr>
          <w:p w:rsidR="00A256AB" w:rsidRPr="00A85D78" w:rsidRDefault="00A256AB" w:rsidP="00A256AB">
            <w:pPr>
              <w:jc w:val="center"/>
              <w:rPr>
                <w:rFonts w:ascii="Arial" w:hAnsi="Arial" w:cs="Arial"/>
                <w:b/>
                <w:sz w:val="16"/>
                <w:szCs w:val="16"/>
                <w:lang w:val="es-ES_tradnl"/>
              </w:rPr>
            </w:pPr>
          </w:p>
        </w:tc>
        <w:tc>
          <w:tcPr>
            <w:tcW w:w="82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01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864"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887" w:type="pct"/>
            <w:shd w:val="clear" w:color="auto" w:fill="FBE4D5" w:themeFill="accent2" w:themeFillTint="33"/>
            <w:vAlign w:val="center"/>
          </w:tcPr>
          <w:p w:rsidR="00A256AB" w:rsidRPr="00A85D78" w:rsidRDefault="00A256AB" w:rsidP="00816F8E">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816F8E">
        <w:trPr>
          <w:trHeight w:val="284"/>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sz w:val="16"/>
                <w:szCs w:val="16"/>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 FORMALES</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 7, 12, 13, 14, 15, 16, 28, 29, 30, 31, 32, 33, 34, 35, 42, 43, 44 y 45</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$8,605.86</w:t>
            </w:r>
          </w:p>
        </w:tc>
      </w:tr>
      <w:tr w:rsidR="00A256AB" w:rsidRPr="00A85D78" w:rsidTr="00816F8E">
        <w:trPr>
          <w:trHeight w:val="260"/>
          <w:jc w:val="center"/>
        </w:trPr>
        <w:tc>
          <w:tcPr>
            <w:tcW w:w="403" w:type="pct"/>
            <w:vMerge/>
            <w:vAlign w:val="center"/>
          </w:tcPr>
          <w:p w:rsidR="00A256AB" w:rsidRPr="00A85D78" w:rsidRDefault="00A256AB" w:rsidP="00EC38F0">
            <w:pPr>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tcPr>
          <w:p w:rsidR="00A256AB" w:rsidRPr="00A85D78" w:rsidRDefault="00A256AB" w:rsidP="00A256AB">
            <w:pP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$1,811.76</w:t>
            </w:r>
          </w:p>
        </w:tc>
      </w:tr>
      <w:tr w:rsidR="00A256AB" w:rsidRPr="00A85D78" w:rsidTr="00816F8E">
        <w:trPr>
          <w:trHeight w:val="278"/>
          <w:jc w:val="center"/>
        </w:trPr>
        <w:tc>
          <w:tcPr>
            <w:tcW w:w="403" w:type="pct"/>
            <w:vMerge/>
            <w:vAlign w:val="center"/>
          </w:tcPr>
          <w:p w:rsidR="00A256AB" w:rsidRPr="00A85D78" w:rsidRDefault="00A256AB" w:rsidP="00EC38F0">
            <w:pPr>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tcPr>
          <w:p w:rsidR="00A256AB" w:rsidRPr="00A85D78" w:rsidRDefault="00A256AB" w:rsidP="00A256AB">
            <w:pP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$1,811.76</w:t>
            </w:r>
          </w:p>
        </w:tc>
      </w:tr>
      <w:tr w:rsidR="00A256AB" w:rsidRPr="00A85D78" w:rsidTr="00816F8E">
        <w:trPr>
          <w:trHeight w:val="278"/>
          <w:jc w:val="center"/>
        </w:trPr>
        <w:tc>
          <w:tcPr>
            <w:tcW w:w="403" w:type="pct"/>
            <w:vMerge/>
            <w:vAlign w:val="center"/>
          </w:tcPr>
          <w:p w:rsidR="00A256AB" w:rsidRPr="00A85D78" w:rsidRDefault="00A256AB" w:rsidP="00EC38F0">
            <w:pPr>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tcPr>
          <w:p w:rsidR="00A256AB" w:rsidRPr="00A85D78" w:rsidRDefault="00A256AB" w:rsidP="00A256AB">
            <w:pP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$2,113.72</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$5,877.42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$1,230.64</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$1,262.04</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$1,443.60</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$5,425.32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$1,135.97</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$1,164.96</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$1,332.55</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$81,379.73</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$17,039.60</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$17,474.43</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$19,988.24</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$2,260.55</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$473.32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$485.40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$555.23</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$173,791.38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$36,389.11</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$37,317.70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$42,686.11</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$357,384.77</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$74,830.61</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$76,740.16</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$87,779.76</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$23,213.51</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$4,860.53</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$4,984.57</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$5,701.63</w:t>
            </w:r>
          </w:p>
        </w:tc>
      </w:tr>
      <w:tr w:rsidR="00A256AB" w:rsidRPr="00A85D78" w:rsidTr="00816F8E">
        <w:trPr>
          <w:trHeight w:val="278"/>
          <w:jc w:val="center"/>
        </w:trPr>
        <w:tc>
          <w:tcPr>
            <w:tcW w:w="403" w:type="pct"/>
            <w:vMerge w:val="restart"/>
            <w:textDirection w:val="btLr"/>
          </w:tcPr>
          <w:p w:rsidR="00A256AB" w:rsidRPr="00A85D78" w:rsidRDefault="00A256AB" w:rsidP="00A256AB">
            <w:pPr>
              <w:ind w:left="113" w:right="113"/>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19</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$615,209.02</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$128,814.85</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$132,101.99</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$151,105.77</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20</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$2,153,166.98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$450,838.44</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$462,343.08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$528,854.34</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21</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$15,772,973.08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$3,302,606.15</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$3,386,883.18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$3,874,109.77</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$50,030.62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$10,475.61</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$10,742.93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$12,288.37</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$9,745,762.15</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$2,040,605.40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$2,092,678.26</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$2,393,724.51</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25</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$13,443,400.74</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$2,814,831.28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$2,886,661.10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$3,301,927.28</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$333.47</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$69.82</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$71.60</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$81.91</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27</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$10,502.77</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$2,199.11</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$2,255.23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$2,579.66</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49</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$3,296,106.34</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$690,151.50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$707,763.02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$809,579.63</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$69,475.87</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$14,547.13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$14,918.35</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$17,064.45</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36</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$18,302.88</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$3,832.33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$3,930.12</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$4,495.50</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37</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$1,947,461.06</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$407,766.93</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$418,172.47</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$478,329.47</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38</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$224.59</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$47.03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$48.23</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$55.16</w:t>
            </w:r>
          </w:p>
        </w:tc>
      </w:tr>
      <w:tr w:rsidR="00A256AB" w:rsidRPr="00A85D78" w:rsidTr="00816F8E">
        <w:trPr>
          <w:trHeight w:val="278"/>
          <w:jc w:val="center"/>
        </w:trPr>
        <w:tc>
          <w:tcPr>
            <w:tcW w:w="403" w:type="pct"/>
            <w:vMerge w:val="restart"/>
            <w:textDirection w:val="btLr"/>
            <w:vAlign w:val="center"/>
          </w:tcPr>
          <w:p w:rsidR="00A256AB" w:rsidRPr="00EC38F0" w:rsidRDefault="00A256AB" w:rsidP="00EC38F0">
            <w:pPr>
              <w:ind w:left="113" w:right="113"/>
              <w:jc w:val="center"/>
              <w:rPr>
                <w:rFonts w:ascii="Arial" w:hAnsi="Arial" w:cs="Arial"/>
                <w:caps/>
                <w:lang w:val="es-ES_tradnl"/>
              </w:rPr>
            </w:pPr>
            <w:r w:rsidRPr="00EC38F0">
              <w:rPr>
                <w:rFonts w:ascii="Arial" w:hAnsi="Arial" w:cs="Arial"/>
                <w:caps/>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39</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$2,602,924.88</w:t>
            </w:r>
          </w:p>
        </w:tc>
      </w:tr>
      <w:tr w:rsidR="00A256AB" w:rsidRPr="00A85D78" w:rsidTr="00816F8E">
        <w:trPr>
          <w:trHeight w:val="278"/>
          <w:jc w:val="center"/>
        </w:trPr>
        <w:tc>
          <w:tcPr>
            <w:tcW w:w="403" w:type="pct"/>
            <w:vMerge/>
            <w:vAlign w:val="center"/>
          </w:tcPr>
          <w:p w:rsidR="00A256AB" w:rsidRPr="00EC38F0" w:rsidRDefault="00A256AB" w:rsidP="00EC38F0">
            <w:pPr>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$545,010.49</w:t>
            </w:r>
          </w:p>
        </w:tc>
      </w:tr>
      <w:tr w:rsidR="00A256AB" w:rsidRPr="00A85D78" w:rsidTr="00816F8E">
        <w:trPr>
          <w:trHeight w:val="278"/>
          <w:jc w:val="center"/>
        </w:trPr>
        <w:tc>
          <w:tcPr>
            <w:tcW w:w="403" w:type="pct"/>
            <w:vMerge/>
            <w:vAlign w:val="center"/>
          </w:tcPr>
          <w:p w:rsidR="00A256AB" w:rsidRPr="00EC38F0" w:rsidRDefault="00A256AB" w:rsidP="00EC38F0">
            <w:pPr>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$558,918.25</w:t>
            </w:r>
          </w:p>
        </w:tc>
      </w:tr>
      <w:tr w:rsidR="00A256AB" w:rsidRPr="00A85D78" w:rsidTr="00816F8E">
        <w:trPr>
          <w:trHeight w:val="278"/>
          <w:jc w:val="center"/>
        </w:trPr>
        <w:tc>
          <w:tcPr>
            <w:tcW w:w="403" w:type="pct"/>
            <w:vMerge/>
            <w:vAlign w:val="center"/>
          </w:tcPr>
          <w:p w:rsidR="00A256AB" w:rsidRPr="00EC38F0" w:rsidRDefault="00A256AB" w:rsidP="00EC38F0">
            <w:pPr>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$639,322.51</w:t>
            </w:r>
          </w:p>
        </w:tc>
      </w:tr>
      <w:tr w:rsidR="00A256AB" w:rsidRPr="00A85D78" w:rsidTr="00816F8E">
        <w:trPr>
          <w:trHeight w:val="278"/>
          <w:jc w:val="center"/>
        </w:trPr>
        <w:tc>
          <w:tcPr>
            <w:tcW w:w="403" w:type="pct"/>
            <w:vMerge w:val="restart"/>
            <w:textDirection w:val="btLr"/>
            <w:vAlign w:val="center"/>
          </w:tcPr>
          <w:p w:rsidR="00A256AB" w:rsidRPr="00EC38F0" w:rsidRDefault="00A256AB" w:rsidP="00EC38F0">
            <w:pPr>
              <w:ind w:left="113" w:right="113"/>
              <w:jc w:val="center"/>
              <w:rPr>
                <w:rFonts w:ascii="Arial" w:hAnsi="Arial" w:cs="Arial"/>
                <w:caps/>
                <w:sz w:val="16"/>
                <w:szCs w:val="16"/>
                <w:lang w:val="es-ES_tradnl"/>
              </w:rPr>
            </w:pPr>
            <w:r w:rsidRPr="00EC38F0">
              <w:rPr>
                <w:rFonts w:ascii="Arial" w:hAnsi="Arial" w:cs="Arial"/>
                <w:caps/>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40</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$9,780.85</w:t>
            </w:r>
          </w:p>
        </w:tc>
      </w:tr>
      <w:tr w:rsidR="00A256AB" w:rsidRPr="00A85D78" w:rsidTr="00816F8E">
        <w:trPr>
          <w:trHeight w:val="278"/>
          <w:jc w:val="center"/>
        </w:trPr>
        <w:tc>
          <w:tcPr>
            <w:tcW w:w="403" w:type="pct"/>
            <w:vMerge/>
            <w:textDirection w:val="btLr"/>
            <w:vAlign w:val="center"/>
          </w:tcPr>
          <w:p w:rsidR="00A256AB" w:rsidRPr="00EC38F0" w:rsidRDefault="00A256AB" w:rsidP="00EC38F0">
            <w:pPr>
              <w:ind w:left="113" w:right="113"/>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$2,047.95</w:t>
            </w:r>
          </w:p>
        </w:tc>
      </w:tr>
      <w:tr w:rsidR="00A256AB" w:rsidRPr="00A85D78" w:rsidTr="00816F8E">
        <w:trPr>
          <w:trHeight w:val="278"/>
          <w:jc w:val="center"/>
        </w:trPr>
        <w:tc>
          <w:tcPr>
            <w:tcW w:w="403" w:type="pct"/>
            <w:vMerge/>
            <w:textDirection w:val="btLr"/>
            <w:vAlign w:val="center"/>
          </w:tcPr>
          <w:p w:rsidR="00A256AB" w:rsidRPr="00EC38F0" w:rsidRDefault="00A256AB" w:rsidP="00EC38F0">
            <w:pPr>
              <w:ind w:left="113" w:right="113"/>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$2,100.21</w:t>
            </w:r>
          </w:p>
        </w:tc>
      </w:tr>
      <w:tr w:rsidR="00A256AB" w:rsidRPr="00A85D78" w:rsidTr="00816F8E">
        <w:trPr>
          <w:trHeight w:val="278"/>
          <w:jc w:val="center"/>
        </w:trPr>
        <w:tc>
          <w:tcPr>
            <w:tcW w:w="403" w:type="pct"/>
            <w:vMerge/>
            <w:textDirection w:val="btLr"/>
            <w:vAlign w:val="center"/>
          </w:tcPr>
          <w:p w:rsidR="00A256AB" w:rsidRPr="00EC38F0" w:rsidRDefault="00A256AB" w:rsidP="00EC38F0">
            <w:pPr>
              <w:ind w:left="113" w:right="113"/>
              <w:jc w:val="center"/>
              <w:rPr>
                <w:rFonts w:ascii="Arial" w:hAnsi="Arial" w:cs="Arial"/>
                <w:caps/>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$2,402.34</w:t>
            </w:r>
          </w:p>
        </w:tc>
      </w:tr>
      <w:tr w:rsidR="00A256AB" w:rsidRPr="00A85D78" w:rsidTr="00816F8E">
        <w:trPr>
          <w:trHeight w:val="278"/>
          <w:jc w:val="center"/>
        </w:trPr>
        <w:tc>
          <w:tcPr>
            <w:tcW w:w="403" w:type="pct"/>
            <w:vMerge w:val="restart"/>
            <w:textDirection w:val="btLr"/>
            <w:vAlign w:val="center"/>
          </w:tcPr>
          <w:p w:rsidR="00A256AB" w:rsidRPr="00EC38F0" w:rsidRDefault="00A256AB" w:rsidP="00EC38F0">
            <w:pPr>
              <w:ind w:left="113" w:right="113"/>
              <w:jc w:val="center"/>
              <w:rPr>
                <w:rFonts w:ascii="Arial" w:hAnsi="Arial" w:cs="Arial"/>
                <w:caps/>
                <w:lang w:val="es-ES_tradnl"/>
              </w:rPr>
            </w:pPr>
            <w:r w:rsidRPr="00EC38F0">
              <w:rPr>
                <w:rFonts w:ascii="Arial" w:hAnsi="Arial" w:cs="Arial"/>
                <w:caps/>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41</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$25,367.72</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$5,311.59</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$5,447.13</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vAlign w:val="center"/>
          </w:tcPr>
          <w:p w:rsidR="00A256AB" w:rsidRPr="00A85D78" w:rsidRDefault="00A256AB" w:rsidP="00A256AB">
            <w:pPr>
              <w:jc w:val="cente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$6,230.74</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46</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$39,529.80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$8,276.90</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$8,488.11</w:t>
            </w:r>
          </w:p>
        </w:tc>
      </w:tr>
      <w:tr w:rsidR="00A256AB" w:rsidRPr="00A85D78" w:rsidTr="00816F8E">
        <w:trPr>
          <w:trHeight w:val="278"/>
          <w:jc w:val="center"/>
        </w:trPr>
        <w:tc>
          <w:tcPr>
            <w:tcW w:w="403" w:type="pct"/>
            <w:vMerge/>
            <w:textDirection w:val="btLr"/>
            <w:vAlign w:val="center"/>
          </w:tcPr>
          <w:p w:rsidR="00A256AB" w:rsidRPr="00A85D78" w:rsidRDefault="00A256AB" w:rsidP="00EC38F0">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$9,709.19</w:t>
            </w:r>
          </w:p>
        </w:tc>
      </w:tr>
      <w:tr w:rsidR="00A256AB" w:rsidRPr="00A85D78" w:rsidTr="00816F8E">
        <w:trPr>
          <w:trHeight w:val="278"/>
          <w:jc w:val="center"/>
        </w:trPr>
        <w:tc>
          <w:tcPr>
            <w:tcW w:w="403" w:type="pct"/>
            <w:vMerge w:val="restart"/>
            <w:textDirection w:val="btLr"/>
            <w:vAlign w:val="center"/>
          </w:tcPr>
          <w:p w:rsidR="00A256AB" w:rsidRPr="00A85D78" w:rsidRDefault="00A256AB" w:rsidP="00EC38F0">
            <w:pPr>
              <w:ind w:left="113" w:right="113"/>
              <w:jc w:val="center"/>
              <w:rPr>
                <w:rFonts w:ascii="Arial" w:hAnsi="Arial" w:cs="Arial"/>
                <w:lang w:val="es-ES_tradnl"/>
              </w:rPr>
            </w:pPr>
            <w:r w:rsidRPr="00A85D78">
              <w:rPr>
                <w:rFonts w:ascii="Arial" w:hAnsi="Arial" w:cs="Arial"/>
                <w:sz w:val="16"/>
                <w:szCs w:val="16"/>
                <w:lang w:val="es-ES_tradnl"/>
              </w:rPr>
              <w:t>COALICIÓN</w:t>
            </w: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01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864"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51</w:t>
            </w: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$262,275.00</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$1,968,825.00</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$3,990,075.00</w:t>
            </w:r>
          </w:p>
        </w:tc>
      </w:tr>
      <w:tr w:rsidR="00A256AB" w:rsidRPr="00A85D78" w:rsidTr="00816F8E">
        <w:trPr>
          <w:trHeight w:val="278"/>
          <w:jc w:val="center"/>
        </w:trPr>
        <w:tc>
          <w:tcPr>
            <w:tcW w:w="403" w:type="pct"/>
            <w:vMerge/>
            <w:textDirection w:val="btLr"/>
          </w:tcPr>
          <w:p w:rsidR="00A256AB" w:rsidRPr="00A85D78" w:rsidRDefault="00A256AB" w:rsidP="00A256AB">
            <w:pPr>
              <w:ind w:left="113" w:right="113"/>
              <w:jc w:val="center"/>
              <w:rPr>
                <w:rFonts w:ascii="Arial" w:hAnsi="Arial" w:cs="Arial"/>
                <w:sz w:val="16"/>
                <w:szCs w:val="16"/>
                <w:lang w:val="es-ES_tradnl"/>
              </w:rPr>
            </w:pPr>
          </w:p>
        </w:tc>
        <w:tc>
          <w:tcPr>
            <w:tcW w:w="82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17" w:type="pct"/>
            <w:vMerge/>
          </w:tcPr>
          <w:p w:rsidR="00A256AB" w:rsidRPr="00A85D78" w:rsidRDefault="00A256AB" w:rsidP="00A256AB">
            <w:pPr>
              <w:rPr>
                <w:rFonts w:ascii="Arial" w:hAnsi="Arial" w:cs="Arial"/>
                <w:sz w:val="16"/>
                <w:szCs w:val="16"/>
                <w:lang w:val="es-ES_tradnl"/>
              </w:rPr>
            </w:pPr>
          </w:p>
        </w:tc>
        <w:tc>
          <w:tcPr>
            <w:tcW w:w="1864" w:type="pct"/>
            <w:vMerge/>
            <w:vAlign w:val="center"/>
          </w:tcPr>
          <w:p w:rsidR="00A256AB" w:rsidRPr="00A85D78" w:rsidRDefault="00A256AB" w:rsidP="00A256AB">
            <w:pPr>
              <w:jc w:val="center"/>
              <w:rPr>
                <w:rFonts w:ascii="Arial" w:hAnsi="Arial" w:cs="Arial"/>
                <w:sz w:val="16"/>
                <w:szCs w:val="16"/>
                <w:lang w:val="es-ES_tradnl"/>
              </w:rPr>
            </w:pPr>
          </w:p>
        </w:tc>
        <w:tc>
          <w:tcPr>
            <w:tcW w:w="887" w:type="pct"/>
            <w:vAlign w:val="center"/>
          </w:tcPr>
          <w:p w:rsidR="00A256AB" w:rsidRPr="00A85D78" w:rsidRDefault="00A256AB" w:rsidP="00816F8E">
            <w:pPr>
              <w:jc w:val="right"/>
              <w:rPr>
                <w:rFonts w:ascii="Arial" w:hAnsi="Arial" w:cs="Arial"/>
                <w:sz w:val="16"/>
                <w:szCs w:val="16"/>
                <w:lang w:val="es-ES_tradnl"/>
              </w:rPr>
            </w:pPr>
            <w:r w:rsidRPr="00A85D78">
              <w:rPr>
                <w:rFonts w:ascii="Arial" w:hAnsi="Arial" w:cs="Arial"/>
                <w:sz w:val="16"/>
                <w:szCs w:val="16"/>
                <w:lang w:val="es-ES_tradnl"/>
              </w:rPr>
              <w:t>$108,375.00</w:t>
            </w:r>
          </w:p>
        </w:tc>
      </w:tr>
    </w:tbl>
    <w:p w:rsidR="00A256AB" w:rsidRPr="00816F8E" w:rsidRDefault="00A256AB" w:rsidP="00816F8E">
      <w:pPr>
        <w:rPr>
          <w:rFonts w:ascii="Arial" w:hAnsi="Arial" w:cs="Arial"/>
          <w:i/>
          <w:iCs/>
          <w:sz w:val="16"/>
          <w:szCs w:val="16"/>
        </w:rPr>
      </w:pPr>
      <w:r w:rsidRPr="00816F8E">
        <w:rPr>
          <w:rFonts w:ascii="Arial" w:hAnsi="Arial" w:cs="Arial"/>
          <w:b/>
          <w:bCs/>
          <w:i/>
          <w:iCs/>
          <w:sz w:val="16"/>
          <w:szCs w:val="16"/>
        </w:rPr>
        <w:t>Fuente:</w:t>
      </w:r>
      <w:r w:rsidRPr="00816F8E">
        <w:rPr>
          <w:rFonts w:ascii="Arial" w:hAnsi="Arial" w:cs="Arial"/>
          <w:i/>
          <w:iCs/>
          <w:sz w:val="16"/>
          <w:szCs w:val="16"/>
        </w:rPr>
        <w:t xml:space="preserve"> Elaboración propia con base en INE/CG310/2017, INE/CG311/2017 e</w:t>
      </w:r>
      <w:r w:rsidRPr="00816F8E">
        <w:rPr>
          <w:rFonts w:ascii="Arial" w:hAnsi="Arial" w:cs="Arial"/>
          <w:i/>
          <w:iCs/>
        </w:rPr>
        <w:t xml:space="preserve"> </w:t>
      </w:r>
      <w:r w:rsidRPr="00816F8E">
        <w:rPr>
          <w:rFonts w:ascii="Arial" w:hAnsi="Arial" w:cs="Arial"/>
          <w:i/>
          <w:iCs/>
          <w:sz w:val="16"/>
          <w:szCs w:val="16"/>
        </w:rPr>
        <w:t>INE/CG445/2017</w:t>
      </w:r>
    </w:p>
    <w:p w:rsidR="00816F8E" w:rsidRDefault="00816F8E" w:rsidP="00A256AB">
      <w:pPr>
        <w:jc w:val="both"/>
        <w:rPr>
          <w:rFonts w:ascii="Arial" w:hAnsi="Arial" w:cs="Arial"/>
          <w:sz w:val="24"/>
          <w:szCs w:val="24"/>
        </w:rPr>
      </w:pPr>
    </w:p>
    <w:p w:rsidR="00A256AB" w:rsidRDefault="00A256AB" w:rsidP="00816F8E">
      <w:pPr>
        <w:spacing w:line="360" w:lineRule="auto"/>
        <w:jc w:val="both"/>
        <w:rPr>
          <w:rFonts w:ascii="Arial" w:hAnsi="Arial" w:cs="Arial"/>
          <w:sz w:val="24"/>
          <w:szCs w:val="24"/>
        </w:rPr>
      </w:pPr>
      <w:r w:rsidRPr="00A85D78">
        <w:rPr>
          <w:rFonts w:ascii="Arial" w:hAnsi="Arial" w:cs="Arial"/>
          <w:sz w:val="24"/>
          <w:szCs w:val="24"/>
        </w:rPr>
        <w:t xml:space="preserve">Cabe destacar que no se toma en consideración las multas relativas a los candidatos independientes </w:t>
      </w:r>
      <w:r w:rsidR="00600C69" w:rsidRPr="00A85D78">
        <w:rPr>
          <w:rFonts w:ascii="Arial" w:hAnsi="Arial" w:cs="Arial"/>
          <w:sz w:val="24"/>
          <w:szCs w:val="24"/>
        </w:rPr>
        <w:t>María</w:t>
      </w:r>
      <w:r w:rsidRPr="00A85D78">
        <w:rPr>
          <w:rFonts w:ascii="Arial" w:hAnsi="Arial" w:cs="Arial"/>
          <w:sz w:val="24"/>
          <w:szCs w:val="24"/>
        </w:rPr>
        <w:t xml:space="preserve"> Teresa Castell de Oro Palacios e Isidro Pastor Medrano, por tratarse este estudio únicamente sobre partidos políticos.</w:t>
      </w:r>
    </w:p>
    <w:p w:rsidR="00A256AB" w:rsidRDefault="00A256AB" w:rsidP="00816F8E">
      <w:pPr>
        <w:spacing w:line="360" w:lineRule="auto"/>
        <w:jc w:val="both"/>
        <w:rPr>
          <w:rFonts w:ascii="Arial" w:hAnsi="Arial" w:cs="Arial"/>
          <w:sz w:val="24"/>
          <w:szCs w:val="24"/>
        </w:rPr>
      </w:pPr>
      <w:r w:rsidRPr="00A85D78">
        <w:rPr>
          <w:rFonts w:ascii="Arial" w:hAnsi="Arial" w:cs="Arial"/>
          <w:sz w:val="24"/>
          <w:szCs w:val="24"/>
        </w:rPr>
        <w:t>De las tablas anteriores en las que se analizó a detalle las conductas infractoras de cada partido durante la campaña podemos resumir en la Tabla 4.24, lo siguiente</w:t>
      </w:r>
      <w:r w:rsidR="00816F8E">
        <w:rPr>
          <w:rFonts w:ascii="Arial" w:hAnsi="Arial" w:cs="Arial"/>
          <w:sz w:val="24"/>
          <w:szCs w:val="24"/>
        </w:rPr>
        <w:t>.</w:t>
      </w:r>
    </w:p>
    <w:p w:rsidR="00816F8E" w:rsidRPr="00A85D78" w:rsidRDefault="00816F8E" w:rsidP="00A256AB">
      <w:pPr>
        <w:jc w:val="both"/>
        <w:rPr>
          <w:rFonts w:ascii="Arial" w:hAnsi="Arial" w:cs="Arial"/>
          <w:sz w:val="24"/>
          <w:szCs w:val="24"/>
        </w:rPr>
      </w:pPr>
    </w:p>
    <w:p w:rsidR="00A256AB" w:rsidRPr="00C7298B" w:rsidRDefault="00A256AB" w:rsidP="00C7298B">
      <w:pPr>
        <w:tabs>
          <w:tab w:val="left" w:pos="5070"/>
        </w:tabs>
        <w:jc w:val="both"/>
        <w:rPr>
          <w:rStyle w:val="Ttulodellibro"/>
          <w:rFonts w:ascii="Arial" w:hAnsi="Arial" w:cs="Arial"/>
          <w:b/>
          <w:i/>
          <w:color w:val="auto"/>
          <w:sz w:val="20"/>
          <w:szCs w:val="20"/>
        </w:rPr>
      </w:pPr>
      <w:r w:rsidRPr="00C7298B">
        <w:rPr>
          <w:rStyle w:val="Ttulodellibro"/>
          <w:rFonts w:ascii="Arial" w:hAnsi="Arial" w:cs="Arial"/>
          <w:b/>
          <w:i/>
          <w:color w:val="auto"/>
          <w:sz w:val="20"/>
          <w:szCs w:val="20"/>
        </w:rPr>
        <w:t>Tabla 4.24 Resumen de conductas infractoras y total de multas por partido</w:t>
      </w:r>
      <w:r w:rsidR="00816F8E" w:rsidRPr="00C7298B">
        <w:rPr>
          <w:rStyle w:val="Ttulodellibro"/>
          <w:rFonts w:ascii="Arial" w:hAnsi="Arial" w:cs="Arial"/>
          <w:b/>
          <w:i/>
          <w:color w:val="auto"/>
          <w:sz w:val="20"/>
          <w:szCs w:val="20"/>
        </w:rPr>
        <w:t>.</w:t>
      </w:r>
    </w:p>
    <w:p w:rsidR="00816F8E" w:rsidRPr="00A85D78" w:rsidRDefault="00816F8E"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766"/>
        <w:gridCol w:w="1449"/>
        <w:gridCol w:w="2093"/>
        <w:gridCol w:w="2093"/>
        <w:gridCol w:w="2093"/>
      </w:tblGrid>
      <w:tr w:rsidR="00A256AB" w:rsidRPr="00A85D78" w:rsidTr="00C7298B">
        <w:trPr>
          <w:jc w:val="center"/>
        </w:trPr>
        <w:tc>
          <w:tcPr>
            <w:tcW w:w="45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COA</w:t>
            </w:r>
          </w:p>
        </w:tc>
        <w:tc>
          <w:tcPr>
            <w:tcW w:w="85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23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CONDUCTAS INFRACTORAS</w:t>
            </w:r>
          </w:p>
        </w:tc>
        <w:tc>
          <w:tcPr>
            <w:tcW w:w="123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DE MULTAS POR PARTIDO</w:t>
            </w:r>
          </w:p>
        </w:tc>
        <w:tc>
          <w:tcPr>
            <w:tcW w:w="123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DE MULTAS POR PARTIDO Y/O COALICIÓN</w:t>
            </w:r>
          </w:p>
        </w:tc>
      </w:tr>
      <w:tr w:rsidR="00A256AB" w:rsidRPr="00A85D78" w:rsidTr="00C7298B">
        <w:trPr>
          <w:jc w:val="center"/>
        </w:trPr>
        <w:tc>
          <w:tcPr>
            <w:tcW w:w="451" w:type="pct"/>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232"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36</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$108,114,048.87</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$108,114,048.87</w:t>
            </w:r>
          </w:p>
        </w:tc>
      </w:tr>
      <w:tr w:rsidR="00A256AB" w:rsidRPr="00A85D78" w:rsidTr="00C7298B">
        <w:trPr>
          <w:jc w:val="center"/>
        </w:trPr>
        <w:tc>
          <w:tcPr>
            <w:tcW w:w="451" w:type="pct"/>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232"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38</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$78,744,426.02</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$78,744,426.02</w:t>
            </w:r>
          </w:p>
        </w:tc>
      </w:tr>
      <w:tr w:rsidR="00A256AB" w:rsidRPr="00A85D78" w:rsidTr="00C7298B">
        <w:trPr>
          <w:jc w:val="center"/>
        </w:trPr>
        <w:tc>
          <w:tcPr>
            <w:tcW w:w="451" w:type="pct"/>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232"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24</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$20,664,105.34</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$20,664,105.34</w:t>
            </w:r>
          </w:p>
        </w:tc>
      </w:tr>
      <w:tr w:rsidR="00A256AB" w:rsidRPr="00A85D78" w:rsidTr="00C7298B">
        <w:trPr>
          <w:jc w:val="center"/>
        </w:trPr>
        <w:tc>
          <w:tcPr>
            <w:tcW w:w="451" w:type="pct"/>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232"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39</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$96,583,695.68</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$96,583,695.68</w:t>
            </w:r>
          </w:p>
        </w:tc>
      </w:tr>
      <w:tr w:rsidR="00A256AB" w:rsidRPr="00A85D78" w:rsidTr="00C7298B">
        <w:trPr>
          <w:jc w:val="center"/>
        </w:trPr>
        <w:tc>
          <w:tcPr>
            <w:tcW w:w="451" w:type="pct"/>
            <w:vMerge w:val="restart"/>
            <w:textDirection w:val="btLr"/>
          </w:tcPr>
          <w:p w:rsidR="00A256AB" w:rsidRPr="00A85D78" w:rsidRDefault="00A256AB" w:rsidP="00A256AB">
            <w:pPr>
              <w:ind w:left="113" w:right="113"/>
              <w:rPr>
                <w:rFonts w:ascii="Arial" w:hAnsi="Arial" w:cs="Arial"/>
                <w:sz w:val="16"/>
                <w:szCs w:val="16"/>
                <w:lang w:val="es-ES_tradnl"/>
              </w:rPr>
            </w:pPr>
            <w:r w:rsidRPr="00A85D78">
              <w:rPr>
                <w:rFonts w:ascii="Arial" w:hAnsi="Arial" w:cs="Arial"/>
                <w:sz w:val="16"/>
                <w:szCs w:val="16"/>
                <w:lang w:val="es-ES_tradnl"/>
              </w:rPr>
              <w:t>COALICIÓN</w:t>
            </w: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232"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45</w:t>
            </w: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$50,720,766.36</w:t>
            </w:r>
          </w:p>
        </w:tc>
        <w:tc>
          <w:tcPr>
            <w:tcW w:w="1232" w:type="pct"/>
            <w:vMerge w:val="restar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$90,581,471.13</w:t>
            </w:r>
          </w:p>
        </w:tc>
      </w:tr>
      <w:tr w:rsidR="00A256AB" w:rsidRPr="00A85D78" w:rsidTr="00C7298B">
        <w:trPr>
          <w:jc w:val="center"/>
        </w:trPr>
        <w:tc>
          <w:tcPr>
            <w:tcW w:w="451" w:type="pct"/>
            <w:vMerge/>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232" w:type="pct"/>
            <w:vMerge/>
          </w:tcPr>
          <w:p w:rsidR="00A256AB" w:rsidRPr="00A85D78" w:rsidRDefault="00A256AB" w:rsidP="00A256AB">
            <w:pPr>
              <w:jc w:val="center"/>
              <w:rPr>
                <w:rFonts w:ascii="Arial" w:hAnsi="Arial" w:cs="Arial"/>
                <w:sz w:val="16"/>
                <w:szCs w:val="16"/>
                <w:lang w:val="es-ES_tradnl"/>
              </w:rPr>
            </w:pP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$12,534,029.05</w:t>
            </w:r>
          </w:p>
        </w:tc>
        <w:tc>
          <w:tcPr>
            <w:tcW w:w="1232" w:type="pct"/>
            <w:vMerge/>
          </w:tcPr>
          <w:p w:rsidR="00A256AB" w:rsidRPr="00A85D78" w:rsidRDefault="00A256AB" w:rsidP="00A256AB">
            <w:pPr>
              <w:jc w:val="both"/>
              <w:rPr>
                <w:rFonts w:ascii="Arial" w:hAnsi="Arial" w:cs="Arial"/>
                <w:sz w:val="16"/>
                <w:szCs w:val="16"/>
                <w:lang w:val="es-ES_tradnl"/>
              </w:rPr>
            </w:pPr>
          </w:p>
        </w:tc>
      </w:tr>
      <w:tr w:rsidR="00A256AB" w:rsidRPr="00A85D78" w:rsidTr="00C7298B">
        <w:trPr>
          <w:jc w:val="center"/>
        </w:trPr>
        <w:tc>
          <w:tcPr>
            <w:tcW w:w="451" w:type="pct"/>
            <w:vMerge/>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232" w:type="pct"/>
            <w:vMerge/>
          </w:tcPr>
          <w:p w:rsidR="00A256AB" w:rsidRPr="00A85D78" w:rsidRDefault="00A256AB" w:rsidP="00A256AB">
            <w:pPr>
              <w:jc w:val="center"/>
              <w:rPr>
                <w:rFonts w:ascii="Arial" w:hAnsi="Arial" w:cs="Arial"/>
                <w:sz w:val="16"/>
                <w:szCs w:val="16"/>
                <w:lang w:val="es-ES_tradnl"/>
              </w:rPr>
            </w:pP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$14,824,839.28</w:t>
            </w:r>
          </w:p>
        </w:tc>
        <w:tc>
          <w:tcPr>
            <w:tcW w:w="1232" w:type="pct"/>
            <w:vMerge/>
          </w:tcPr>
          <w:p w:rsidR="00A256AB" w:rsidRPr="00A85D78" w:rsidRDefault="00A256AB" w:rsidP="00A256AB">
            <w:pPr>
              <w:jc w:val="both"/>
              <w:rPr>
                <w:rFonts w:ascii="Arial" w:hAnsi="Arial" w:cs="Arial"/>
                <w:sz w:val="16"/>
                <w:szCs w:val="16"/>
                <w:lang w:val="es-ES_tradnl"/>
              </w:rPr>
            </w:pPr>
          </w:p>
        </w:tc>
      </w:tr>
      <w:tr w:rsidR="00A256AB" w:rsidRPr="00A85D78" w:rsidTr="00C7298B">
        <w:trPr>
          <w:jc w:val="center"/>
        </w:trPr>
        <w:tc>
          <w:tcPr>
            <w:tcW w:w="451" w:type="pct"/>
            <w:vMerge/>
          </w:tcPr>
          <w:p w:rsidR="00A256AB" w:rsidRPr="00A85D78" w:rsidRDefault="00A256AB" w:rsidP="00A256AB">
            <w:pPr>
              <w:jc w:val="both"/>
              <w:rPr>
                <w:rFonts w:ascii="Arial" w:hAnsi="Arial" w:cs="Arial"/>
                <w:sz w:val="16"/>
                <w:szCs w:val="16"/>
                <w:lang w:val="es-ES_tradnl"/>
              </w:rPr>
            </w:pPr>
          </w:p>
        </w:tc>
        <w:tc>
          <w:tcPr>
            <w:tcW w:w="85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232" w:type="pct"/>
            <w:vMerge/>
          </w:tcPr>
          <w:p w:rsidR="00A256AB" w:rsidRPr="00A85D78" w:rsidRDefault="00A256AB" w:rsidP="00A256AB">
            <w:pPr>
              <w:jc w:val="center"/>
              <w:rPr>
                <w:rFonts w:ascii="Arial" w:hAnsi="Arial" w:cs="Arial"/>
                <w:sz w:val="16"/>
                <w:szCs w:val="16"/>
                <w:lang w:val="es-ES_tradnl"/>
              </w:rPr>
            </w:pPr>
          </w:p>
        </w:tc>
        <w:tc>
          <w:tcPr>
            <w:tcW w:w="123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$12,501836.44</w:t>
            </w:r>
          </w:p>
        </w:tc>
        <w:tc>
          <w:tcPr>
            <w:tcW w:w="1232" w:type="pct"/>
            <w:vMerge/>
          </w:tcPr>
          <w:p w:rsidR="00A256AB" w:rsidRPr="00A85D78" w:rsidRDefault="00A256AB" w:rsidP="00A256AB">
            <w:pPr>
              <w:jc w:val="both"/>
              <w:rPr>
                <w:rFonts w:ascii="Arial" w:hAnsi="Arial" w:cs="Arial"/>
                <w:sz w:val="16"/>
                <w:szCs w:val="16"/>
                <w:lang w:val="es-ES_tradnl"/>
              </w:rPr>
            </w:pPr>
          </w:p>
        </w:tc>
      </w:tr>
      <w:tr w:rsidR="00A256AB" w:rsidRPr="00A85D78" w:rsidTr="00C7298B">
        <w:trPr>
          <w:jc w:val="center"/>
        </w:trPr>
        <w:tc>
          <w:tcPr>
            <w:tcW w:w="1304" w:type="pct"/>
            <w:gridSpan w:val="2"/>
          </w:tcPr>
          <w:p w:rsidR="00A256AB" w:rsidRPr="00A85D78" w:rsidRDefault="00A256AB" w:rsidP="00C7298B">
            <w:pPr>
              <w:jc w:val="center"/>
              <w:rPr>
                <w:rFonts w:ascii="Arial" w:hAnsi="Arial" w:cs="Arial"/>
                <w:b/>
                <w:sz w:val="20"/>
                <w:szCs w:val="20"/>
                <w:lang w:val="es-ES_tradnl"/>
              </w:rPr>
            </w:pPr>
            <w:r w:rsidRPr="00A85D78">
              <w:rPr>
                <w:rFonts w:ascii="Arial" w:hAnsi="Arial" w:cs="Arial"/>
                <w:b/>
                <w:sz w:val="20"/>
                <w:szCs w:val="20"/>
                <w:lang w:val="es-ES_tradnl"/>
              </w:rPr>
              <w:t>TOTAL</w:t>
            </w:r>
          </w:p>
        </w:tc>
        <w:tc>
          <w:tcPr>
            <w:tcW w:w="1232" w:type="pct"/>
          </w:tcPr>
          <w:p w:rsidR="00A256AB" w:rsidRPr="00A85D78" w:rsidRDefault="00A256AB" w:rsidP="00C7298B">
            <w:pPr>
              <w:jc w:val="center"/>
              <w:rPr>
                <w:rFonts w:ascii="Arial" w:hAnsi="Arial" w:cs="Arial"/>
                <w:b/>
                <w:sz w:val="20"/>
                <w:szCs w:val="20"/>
                <w:lang w:val="es-ES_tradnl"/>
              </w:rPr>
            </w:pPr>
            <w:r w:rsidRPr="00A85D78">
              <w:rPr>
                <w:rFonts w:ascii="Arial" w:hAnsi="Arial" w:cs="Arial"/>
                <w:b/>
                <w:sz w:val="20"/>
                <w:szCs w:val="20"/>
                <w:lang w:val="es-ES_tradnl"/>
              </w:rPr>
              <w:t>182</w:t>
            </w:r>
          </w:p>
        </w:tc>
        <w:tc>
          <w:tcPr>
            <w:tcW w:w="1232" w:type="pct"/>
          </w:tcPr>
          <w:p w:rsidR="00A256AB" w:rsidRPr="00A85D78" w:rsidRDefault="00A256AB" w:rsidP="00C7298B">
            <w:pPr>
              <w:jc w:val="center"/>
              <w:rPr>
                <w:rFonts w:ascii="Arial" w:hAnsi="Arial" w:cs="Arial"/>
                <w:b/>
                <w:sz w:val="20"/>
                <w:szCs w:val="20"/>
                <w:lang w:val="es-ES_tradnl"/>
              </w:rPr>
            </w:pPr>
            <w:r w:rsidRPr="00A85D78">
              <w:rPr>
                <w:rFonts w:ascii="Arial" w:hAnsi="Arial" w:cs="Arial"/>
                <w:b/>
                <w:sz w:val="20"/>
                <w:szCs w:val="20"/>
                <w:lang w:val="es-ES_tradnl"/>
              </w:rPr>
              <w:t>$394,687,747.04</w:t>
            </w:r>
          </w:p>
        </w:tc>
        <w:tc>
          <w:tcPr>
            <w:tcW w:w="1232" w:type="pct"/>
          </w:tcPr>
          <w:p w:rsidR="00A256AB" w:rsidRPr="00A85D78" w:rsidRDefault="00A256AB" w:rsidP="00C7298B">
            <w:pPr>
              <w:jc w:val="center"/>
              <w:rPr>
                <w:rFonts w:ascii="Arial" w:hAnsi="Arial" w:cs="Arial"/>
                <w:b/>
                <w:sz w:val="20"/>
                <w:szCs w:val="20"/>
                <w:lang w:val="es-ES_tradnl"/>
              </w:rPr>
            </w:pPr>
            <w:r w:rsidRPr="00A85D78">
              <w:rPr>
                <w:rFonts w:ascii="Arial" w:hAnsi="Arial" w:cs="Arial"/>
                <w:b/>
                <w:sz w:val="20"/>
                <w:szCs w:val="20"/>
                <w:lang w:val="es-ES_tradnl"/>
              </w:rPr>
              <w:t>$394,687,747.04</w:t>
            </w:r>
          </w:p>
        </w:tc>
      </w:tr>
    </w:tbl>
    <w:p w:rsidR="00A256AB" w:rsidRPr="00816F8E" w:rsidRDefault="00A256AB" w:rsidP="00816F8E">
      <w:pPr>
        <w:rPr>
          <w:rFonts w:ascii="Arial" w:hAnsi="Arial" w:cs="Arial"/>
          <w:i/>
          <w:iCs/>
          <w:sz w:val="16"/>
          <w:szCs w:val="16"/>
        </w:rPr>
      </w:pPr>
      <w:r w:rsidRPr="00816F8E">
        <w:rPr>
          <w:rFonts w:ascii="Arial" w:hAnsi="Arial" w:cs="Arial"/>
          <w:b/>
          <w:bCs/>
          <w:i/>
          <w:iCs/>
          <w:sz w:val="16"/>
          <w:szCs w:val="16"/>
        </w:rPr>
        <w:t>Fuente:</w:t>
      </w:r>
      <w:r w:rsidRPr="00816F8E">
        <w:rPr>
          <w:rFonts w:ascii="Arial" w:hAnsi="Arial" w:cs="Arial"/>
          <w:i/>
          <w:iCs/>
          <w:sz w:val="16"/>
          <w:szCs w:val="16"/>
        </w:rPr>
        <w:t xml:space="preserve"> Elaboración propia con base en INE/CG310/2017, INE/CG311/2017 e</w:t>
      </w:r>
      <w:r w:rsidRPr="00816F8E">
        <w:rPr>
          <w:rFonts w:ascii="Arial" w:hAnsi="Arial" w:cs="Arial"/>
          <w:i/>
          <w:iCs/>
        </w:rPr>
        <w:t xml:space="preserve"> </w:t>
      </w:r>
      <w:r w:rsidRPr="00816F8E">
        <w:rPr>
          <w:rFonts w:ascii="Arial" w:hAnsi="Arial" w:cs="Arial"/>
          <w:i/>
          <w:iCs/>
          <w:sz w:val="16"/>
          <w:szCs w:val="16"/>
        </w:rPr>
        <w:t>INE/CG445/2017</w:t>
      </w:r>
    </w:p>
    <w:p w:rsidR="00816F8E" w:rsidRDefault="00816F8E" w:rsidP="00A256AB">
      <w:pPr>
        <w:jc w:val="both"/>
        <w:rPr>
          <w:rFonts w:ascii="Arial" w:hAnsi="Arial" w:cs="Arial"/>
          <w:sz w:val="24"/>
          <w:szCs w:val="24"/>
        </w:rPr>
      </w:pPr>
    </w:p>
    <w:p w:rsidR="00F93313" w:rsidRDefault="00F93313" w:rsidP="00A256AB">
      <w:pPr>
        <w:jc w:val="both"/>
        <w:rPr>
          <w:rFonts w:ascii="Arial" w:hAnsi="Arial" w:cs="Arial"/>
          <w:sz w:val="24"/>
          <w:szCs w:val="24"/>
        </w:rPr>
      </w:pPr>
    </w:p>
    <w:p w:rsidR="00A256AB" w:rsidRDefault="00A256AB" w:rsidP="00F93313">
      <w:pPr>
        <w:spacing w:line="360" w:lineRule="auto"/>
        <w:jc w:val="both"/>
        <w:rPr>
          <w:rFonts w:ascii="Arial" w:hAnsi="Arial" w:cs="Arial"/>
          <w:sz w:val="24"/>
          <w:szCs w:val="24"/>
        </w:rPr>
      </w:pPr>
      <w:r w:rsidRPr="00A85D78">
        <w:rPr>
          <w:rFonts w:ascii="Arial" w:hAnsi="Arial" w:cs="Arial"/>
          <w:sz w:val="24"/>
          <w:szCs w:val="24"/>
        </w:rPr>
        <w:t xml:space="preserve">En la tabla anterior observamos que el la Coalición PRI-PVEM-NUAL-PES, fue la que más conductas infractoras cometió, durante el proceso electoral para elegir Gobernador 2017; con un total de 45 faltas, el partido que menos conductas infractoras tuvo fue el PT;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el partido más multado fue el PAN cuya sanción ascendió a $108,114,048.87; mientras que la multa más baja fue para el PT con $20,664,105.34.</w:t>
      </w:r>
    </w:p>
    <w:p w:rsidR="00F93313" w:rsidRPr="00A85D78" w:rsidRDefault="00F93313" w:rsidP="00F93313">
      <w:pPr>
        <w:spacing w:line="360" w:lineRule="auto"/>
        <w:jc w:val="both"/>
        <w:rPr>
          <w:rFonts w:ascii="Arial" w:hAnsi="Arial" w:cs="Arial"/>
          <w:sz w:val="24"/>
          <w:szCs w:val="24"/>
        </w:rPr>
      </w:pPr>
    </w:p>
    <w:p w:rsidR="00A256AB" w:rsidRDefault="00A256AB" w:rsidP="00F93313">
      <w:pPr>
        <w:spacing w:line="360" w:lineRule="auto"/>
        <w:jc w:val="both"/>
        <w:rPr>
          <w:rFonts w:ascii="Arial" w:hAnsi="Arial" w:cs="Arial"/>
          <w:sz w:val="24"/>
          <w:szCs w:val="24"/>
        </w:rPr>
      </w:pPr>
      <w:r w:rsidRPr="00A85D78">
        <w:rPr>
          <w:rFonts w:ascii="Arial" w:hAnsi="Arial" w:cs="Arial"/>
          <w:sz w:val="24"/>
          <w:szCs w:val="24"/>
        </w:rPr>
        <w:t>La elección de Gobernador 2017, ha sido hasta el momento la elección revisada con mayor exhaustividad y rigurosidad en la historia del Estado de México, en ella se tienen cifras record de conductas infractoras detectadas con 182 y de multas económicas impuestas con $394,687,747.04.</w:t>
      </w:r>
    </w:p>
    <w:p w:rsidR="00F93313" w:rsidRDefault="00F93313" w:rsidP="00F93313">
      <w:pPr>
        <w:spacing w:line="360" w:lineRule="auto"/>
        <w:jc w:val="both"/>
        <w:rPr>
          <w:rFonts w:ascii="Arial" w:hAnsi="Arial" w:cs="Arial"/>
          <w:sz w:val="24"/>
          <w:szCs w:val="24"/>
        </w:rPr>
      </w:pPr>
    </w:p>
    <w:p w:rsidR="00F93313" w:rsidRPr="00A85D78" w:rsidRDefault="00F93313" w:rsidP="00F93313">
      <w:pPr>
        <w:spacing w:line="360" w:lineRule="auto"/>
        <w:jc w:val="both"/>
        <w:rPr>
          <w:rFonts w:ascii="Arial" w:hAnsi="Arial" w:cs="Arial"/>
          <w:sz w:val="24"/>
          <w:szCs w:val="24"/>
        </w:rPr>
      </w:pPr>
    </w:p>
    <w:p w:rsidR="00A256AB" w:rsidRPr="00A85D78" w:rsidRDefault="00A256AB" w:rsidP="00F93313">
      <w:pPr>
        <w:spacing w:line="360" w:lineRule="auto"/>
        <w:jc w:val="both"/>
        <w:rPr>
          <w:rFonts w:ascii="Arial" w:hAnsi="Arial" w:cs="Arial"/>
          <w:b/>
          <w:sz w:val="24"/>
          <w:szCs w:val="24"/>
        </w:rPr>
      </w:pPr>
      <w:r w:rsidRPr="00A85D78">
        <w:rPr>
          <w:rFonts w:ascii="Arial" w:hAnsi="Arial" w:cs="Arial"/>
          <w:b/>
          <w:sz w:val="24"/>
          <w:szCs w:val="24"/>
        </w:rPr>
        <w:t>4.2.4 Elecciones para renovar Ayuntamientos y Diputados Locales 2018.</w:t>
      </w:r>
    </w:p>
    <w:p w:rsidR="00A256AB" w:rsidRPr="00A85D78" w:rsidRDefault="00A256AB" w:rsidP="00F93313">
      <w:pPr>
        <w:spacing w:line="360" w:lineRule="auto"/>
        <w:jc w:val="both"/>
        <w:rPr>
          <w:rFonts w:ascii="Arial" w:hAnsi="Arial" w:cs="Arial"/>
          <w:b/>
          <w:sz w:val="24"/>
          <w:szCs w:val="24"/>
        </w:rPr>
      </w:pPr>
      <w:r w:rsidRPr="00A85D78">
        <w:rPr>
          <w:rFonts w:ascii="Arial" w:hAnsi="Arial" w:cs="Arial"/>
          <w:b/>
          <w:sz w:val="24"/>
          <w:szCs w:val="24"/>
        </w:rPr>
        <w:t>4.2.4.1 Precampaña</w:t>
      </w:r>
      <w:r w:rsidR="00927E74">
        <w:rPr>
          <w:rFonts w:ascii="Arial" w:hAnsi="Arial" w:cs="Arial"/>
          <w:b/>
          <w:sz w:val="24"/>
          <w:szCs w:val="24"/>
        </w:rPr>
        <w:t>.</w:t>
      </w:r>
    </w:p>
    <w:p w:rsidR="00A256AB" w:rsidRDefault="00A256AB" w:rsidP="00F93313">
      <w:pPr>
        <w:spacing w:line="360" w:lineRule="auto"/>
        <w:jc w:val="both"/>
        <w:rPr>
          <w:rFonts w:ascii="Arial" w:hAnsi="Arial" w:cs="Arial"/>
          <w:sz w:val="24"/>
          <w:szCs w:val="24"/>
        </w:rPr>
      </w:pPr>
      <w:r w:rsidRPr="00A85D78">
        <w:rPr>
          <w:rFonts w:ascii="Arial" w:hAnsi="Arial" w:cs="Arial"/>
          <w:sz w:val="24"/>
          <w:szCs w:val="24"/>
        </w:rPr>
        <w:t>Después de 3 procesos en los que la Unidad Técnica de Fiscalización del INE; sancionó con rigor las infracciones cometidas por los partidos en materia de fiscalización, en el Estado de México, para la precampaña de 2018, los partidos fueron mucho más precavidos en su manera de seleccionar a sus candidatos y pocos llevaron a cabo precampañas como anteriormente lo hacían; no obstante las previsiones, el INE tuvo a bien sancionar a algunos institutos políticos en esta etapa del proceso electoral; en la Tabla 4.25 se presentan los principales hallazgos de la autoridad fiscalizadora durante la precampaña local.</w:t>
      </w:r>
    </w:p>
    <w:p w:rsidR="00F93313" w:rsidRPr="00A85D78" w:rsidRDefault="00F93313" w:rsidP="00F93313">
      <w:pPr>
        <w:spacing w:line="360" w:lineRule="auto"/>
        <w:jc w:val="both"/>
        <w:rPr>
          <w:rFonts w:ascii="Arial" w:hAnsi="Arial" w:cs="Arial"/>
          <w:sz w:val="24"/>
          <w:szCs w:val="24"/>
        </w:rPr>
      </w:pPr>
    </w:p>
    <w:p w:rsidR="00A256AB" w:rsidRPr="00F93313" w:rsidRDefault="00A256AB" w:rsidP="00F93313">
      <w:pPr>
        <w:tabs>
          <w:tab w:val="left" w:pos="5070"/>
        </w:tabs>
        <w:jc w:val="both"/>
        <w:rPr>
          <w:rStyle w:val="Ttulodellibro"/>
          <w:b/>
          <w:i/>
          <w:color w:val="auto"/>
          <w:sz w:val="20"/>
          <w:szCs w:val="20"/>
        </w:rPr>
      </w:pPr>
      <w:r w:rsidRPr="00F93313">
        <w:rPr>
          <w:rStyle w:val="Ttulodellibro"/>
          <w:rFonts w:ascii="Arial" w:hAnsi="Arial" w:cs="Arial"/>
          <w:b/>
          <w:i/>
          <w:color w:val="auto"/>
          <w:sz w:val="20"/>
          <w:szCs w:val="20"/>
        </w:rPr>
        <w:t>Tabla.4.25 Multas de precampaña elección ordinaria 2018.</w:t>
      </w:r>
    </w:p>
    <w:p w:rsidR="00F93313" w:rsidRPr="00A85D78" w:rsidRDefault="00F93313" w:rsidP="00A256AB">
      <w:pPr>
        <w:jc w:val="both"/>
        <w:rPr>
          <w:rFonts w:ascii="Arial" w:hAnsi="Arial" w:cs="Arial"/>
          <w:sz w:val="24"/>
          <w:szCs w:val="24"/>
        </w:rPr>
      </w:pPr>
    </w:p>
    <w:tbl>
      <w:tblPr>
        <w:tblStyle w:val="Tablaconcuadrcula"/>
        <w:tblW w:w="0" w:type="auto"/>
        <w:tblLook w:val="04A0" w:firstRow="1" w:lastRow="0" w:firstColumn="1" w:lastColumn="0" w:noHBand="0" w:noVBand="1"/>
      </w:tblPr>
      <w:tblGrid>
        <w:gridCol w:w="985"/>
        <w:gridCol w:w="1496"/>
        <w:gridCol w:w="1257"/>
        <w:gridCol w:w="3650"/>
        <w:gridCol w:w="1106"/>
      </w:tblGrid>
      <w:tr w:rsidR="00A256AB" w:rsidRPr="00A85D78" w:rsidTr="00C758A2">
        <w:tc>
          <w:tcPr>
            <w:tcW w:w="0" w:type="auto"/>
            <w:shd w:val="clear" w:color="auto" w:fill="FBE4D5" w:themeFill="accent2" w:themeFillTint="33"/>
            <w:vAlign w:val="center"/>
          </w:tcPr>
          <w:p w:rsidR="00A256AB" w:rsidRPr="00A85D78" w:rsidRDefault="00A256AB" w:rsidP="00C758A2">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0" w:type="auto"/>
            <w:shd w:val="clear" w:color="auto" w:fill="FBE4D5" w:themeFill="accent2" w:themeFillTint="33"/>
            <w:vAlign w:val="center"/>
          </w:tcPr>
          <w:p w:rsidR="00A256AB" w:rsidRPr="00A85D78" w:rsidRDefault="00A256AB" w:rsidP="00C758A2">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0" w:type="auto"/>
            <w:shd w:val="clear" w:color="auto" w:fill="FBE4D5" w:themeFill="accent2" w:themeFillTint="33"/>
            <w:vAlign w:val="center"/>
          </w:tcPr>
          <w:p w:rsidR="00A256AB" w:rsidRPr="00A85D78" w:rsidRDefault="00A256AB" w:rsidP="00C758A2">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0" w:type="auto"/>
            <w:shd w:val="clear" w:color="auto" w:fill="FBE4D5" w:themeFill="accent2" w:themeFillTint="33"/>
            <w:vAlign w:val="center"/>
          </w:tcPr>
          <w:p w:rsidR="00A256AB" w:rsidRPr="00A85D78" w:rsidRDefault="00A256AB" w:rsidP="00C758A2">
            <w:pPr>
              <w:jc w:val="center"/>
              <w:rPr>
                <w:rFonts w:ascii="Arial" w:hAnsi="Arial" w:cs="Arial"/>
                <w:b/>
                <w:sz w:val="16"/>
                <w:szCs w:val="16"/>
                <w:lang w:val="es-ES_tradnl"/>
              </w:rPr>
            </w:pPr>
            <w:r w:rsidRPr="00A85D78">
              <w:rPr>
                <w:rFonts w:ascii="Arial" w:hAnsi="Arial" w:cs="Arial"/>
                <w:b/>
                <w:sz w:val="16"/>
                <w:szCs w:val="16"/>
                <w:lang w:val="es-ES_tradnl"/>
              </w:rPr>
              <w:t>CONCEPTO DE LA FALTA</w:t>
            </w:r>
          </w:p>
        </w:tc>
        <w:tc>
          <w:tcPr>
            <w:tcW w:w="0" w:type="auto"/>
            <w:shd w:val="clear" w:color="auto" w:fill="FBE4D5" w:themeFill="accent2" w:themeFillTint="33"/>
            <w:vAlign w:val="center"/>
          </w:tcPr>
          <w:p w:rsidR="00A256AB" w:rsidRPr="00A85D78" w:rsidRDefault="00A256AB" w:rsidP="00C758A2">
            <w:pPr>
              <w:jc w:val="center"/>
              <w:rPr>
                <w:rFonts w:ascii="Arial" w:hAnsi="Arial" w:cs="Arial"/>
                <w:b/>
                <w:sz w:val="16"/>
                <w:szCs w:val="16"/>
                <w:lang w:val="es-ES_tradnl"/>
              </w:rPr>
            </w:pPr>
            <w:r w:rsidRPr="00A85D78">
              <w:rPr>
                <w:rFonts w:ascii="Arial" w:hAnsi="Arial" w:cs="Arial"/>
                <w:b/>
                <w:sz w:val="16"/>
                <w:szCs w:val="16"/>
                <w:lang w:val="es-ES_tradnl"/>
              </w:rPr>
              <w:t>MULTA</w:t>
            </w:r>
          </w:p>
        </w:tc>
      </w:tr>
      <w:tr w:rsidR="00A256AB" w:rsidRPr="00A85D78" w:rsidTr="00A256AB">
        <w:tc>
          <w:tcPr>
            <w:tcW w:w="0" w:type="auto"/>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FORMALES</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Omitió presentar los estados de cuenta y conciliaciones bancarias del mes de febrero de 2018, así como la evidencia de la cancelación.</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$754.90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FORMALES</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Duplic</w:t>
            </w:r>
            <w:r w:rsidR="00C758A2">
              <w:rPr>
                <w:rFonts w:ascii="Arial" w:hAnsi="Arial" w:cs="Arial"/>
                <w:sz w:val="16"/>
                <w:szCs w:val="16"/>
                <w:lang w:val="es-ES_tradnl"/>
              </w:rPr>
              <w:t>ó</w:t>
            </w:r>
            <w:r w:rsidRPr="00A85D78">
              <w:rPr>
                <w:rFonts w:ascii="Arial" w:hAnsi="Arial" w:cs="Arial"/>
                <w:sz w:val="16"/>
                <w:szCs w:val="16"/>
                <w:lang w:val="es-ES_tradnl"/>
              </w:rPr>
              <w:t xml:space="preserve"> el registro contable de un gasto y al realizar la cancelación de una de las pólizas no lo hizo por el importe total registrado.</w:t>
            </w:r>
          </w:p>
        </w:tc>
        <w:tc>
          <w:tcPr>
            <w:tcW w:w="0" w:type="auto"/>
          </w:tcPr>
          <w:p w:rsidR="00A256AB" w:rsidRPr="00A85D78" w:rsidRDefault="00A256AB" w:rsidP="00A256AB">
            <w:pPr>
              <w:jc w:val="right"/>
              <w:rPr>
                <w:rFonts w:ascii="Arial" w:hAnsi="Arial" w:cs="Arial"/>
                <w:lang w:val="es-ES_tradnl"/>
              </w:rPr>
            </w:pPr>
            <w:r w:rsidRPr="00A85D78">
              <w:rPr>
                <w:rFonts w:ascii="Arial" w:hAnsi="Arial" w:cs="Arial"/>
                <w:sz w:val="16"/>
                <w:szCs w:val="16"/>
                <w:lang w:val="es-ES_tradnl"/>
              </w:rPr>
              <w:t>$754.90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FORMAL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presentar los estados de cuenta y conciliaciones bancarias correspondientes al mes de febrero de 2018, de Presidentes Municipales</w:t>
            </w:r>
          </w:p>
        </w:tc>
        <w:tc>
          <w:tcPr>
            <w:tcW w:w="0" w:type="auto"/>
          </w:tcPr>
          <w:p w:rsidR="00A256AB" w:rsidRPr="00A85D78" w:rsidRDefault="00A256AB" w:rsidP="00A256AB">
            <w:pPr>
              <w:jc w:val="right"/>
              <w:rPr>
                <w:rFonts w:ascii="Arial" w:hAnsi="Arial" w:cs="Arial"/>
                <w:lang w:val="es-ES_tradnl"/>
              </w:rPr>
            </w:pPr>
            <w:r w:rsidRPr="00A85D78">
              <w:rPr>
                <w:rFonts w:ascii="Arial" w:hAnsi="Arial" w:cs="Arial"/>
                <w:sz w:val="16"/>
                <w:szCs w:val="16"/>
                <w:lang w:val="es-ES_tradnl"/>
              </w:rPr>
              <w:t>$754.90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realizar el registro contable de 16 de sus operaciones en tiempo real, excediendo los tres días posteriores en que se realizó la operación, por un importe de $26,332.80</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$1,316.64</w:t>
            </w:r>
          </w:p>
        </w:tc>
      </w:tr>
      <w:tr w:rsidR="00A256AB" w:rsidRPr="00A85D78" w:rsidTr="00A256AB">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lastRenderedPageBreak/>
              <w:t>PRI</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R</w:t>
            </w:r>
            <w:r w:rsidR="00A256AB" w:rsidRPr="00A85D78">
              <w:rPr>
                <w:rFonts w:ascii="Arial" w:hAnsi="Arial" w:cs="Arial"/>
                <w:sz w:val="16"/>
                <w:szCs w:val="16"/>
                <w:lang w:val="es-ES_tradnl"/>
              </w:rPr>
              <w:t>eportó gastos, no obstante, no realizó el prorrateo entre la totalidad de precandidatos beneficiados, por un monto de $9,669.08</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$2,900.72</w:t>
            </w:r>
          </w:p>
        </w:tc>
      </w:tr>
      <w:tr w:rsidR="00A256AB" w:rsidRPr="00A85D78" w:rsidTr="00A256AB">
        <w:tc>
          <w:tcPr>
            <w:tcW w:w="0" w:type="auto"/>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Informó de manera extemporánea 77 eventos de la agenda de actos públicos, de manera posterior a su celebración.</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$290,636.50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Informó de manera extemporánea 127 eventos de la agenda de actos públicos, de manera posterior a su celebración.</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$479,361.50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Omitió realizar el registro contable en periodo de corrección de 22 operaciones en tiempo real, excediendo los tres días posteriores en que se realizó la operación, por un importe de $38,000.00.</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$5,700.00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realizar el registro contable en periodo de corrección de 6 operaciones en tiempo real, excediendo los tres días posteriores en que se realizó la operación, por un importe de $6,925.00</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1,038.75</w:t>
            </w:r>
          </w:p>
        </w:tc>
      </w:tr>
      <w:tr w:rsidR="00A256AB" w:rsidRPr="00A85D78" w:rsidTr="00A256AB">
        <w:tc>
          <w:tcPr>
            <w:tcW w:w="0" w:type="auto"/>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VÍA RADICAL</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FORMAL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Omitió dar aviso respecto de la apertura de la cuenta bancaria y a su vez omitió presentar la documentación soporte de la misma.</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$754.90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Presentó fuera de tiempo 16 informes para el periodo de precampaña, en ejercicio a la garantía de audiencia.</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$199,031.63</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Presentó fuera de tiempo 33 informes para el periodo de precampaña, en ejercicio a la garantía de audiencia.</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$248,144.76</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Omitió reportar los ingresos por las aportaciones recibidas de sus simpatizantes para el desarrollo de su evento, por un monto de $10,703.08.</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$16,054.62</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reportar los ingresos por las aportaciones recibidas de sus simpatizantes para el desarrollo de su evento, por un monto de $30,833.40</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$46,250.10</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reportar gastos realizados por concepto de bardas, rotulación de un vehículo, lonas y mantas por un importe de $11,04214</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$16,563.21</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Omitió reportar gastos realizados por concepto de páginas de internet y redes sociales por un monto de $328,856.50.</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$493,284.75</w:t>
            </w:r>
          </w:p>
        </w:tc>
      </w:tr>
      <w:tr w:rsidR="00A256AB" w:rsidRPr="00A85D78" w:rsidTr="00A256AB">
        <w:tc>
          <w:tcPr>
            <w:tcW w:w="0" w:type="auto"/>
            <w:vMerge/>
            <w:vAlign w:val="center"/>
          </w:tcPr>
          <w:p w:rsidR="00A256AB" w:rsidRPr="00A85D78" w:rsidRDefault="00A256AB" w:rsidP="00A256AB">
            <w:pPr>
              <w:jc w:val="center"/>
              <w:rPr>
                <w:rFonts w:ascii="Arial" w:hAnsi="Arial" w:cs="Arial"/>
                <w:sz w:val="16"/>
                <w:szCs w:val="16"/>
                <w:lang w:val="es-ES_tradnl"/>
              </w:rPr>
            </w:pPr>
          </w:p>
        </w:tc>
        <w:tc>
          <w:tcPr>
            <w:tcW w:w="0" w:type="auto"/>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0" w:type="auto"/>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0" w:type="auto"/>
          </w:tcPr>
          <w:p w:rsidR="00A256AB" w:rsidRPr="00A85D78" w:rsidRDefault="00C758A2" w:rsidP="00A256AB">
            <w:pPr>
              <w:jc w:val="both"/>
              <w:rPr>
                <w:rFonts w:ascii="Arial" w:hAnsi="Arial" w:cs="Arial"/>
                <w:sz w:val="16"/>
                <w:szCs w:val="16"/>
                <w:lang w:val="es-ES_tradnl"/>
              </w:rPr>
            </w:pPr>
            <w:r>
              <w:rPr>
                <w:rFonts w:ascii="Arial" w:hAnsi="Arial" w:cs="Arial"/>
                <w:sz w:val="16"/>
                <w:szCs w:val="16"/>
                <w:lang w:val="es-ES_tradnl"/>
              </w:rPr>
              <w:t>O</w:t>
            </w:r>
            <w:r w:rsidR="00A256AB" w:rsidRPr="00A85D78">
              <w:rPr>
                <w:rFonts w:ascii="Arial" w:hAnsi="Arial" w:cs="Arial"/>
                <w:sz w:val="16"/>
                <w:szCs w:val="16"/>
                <w:lang w:val="es-ES_tradnl"/>
              </w:rPr>
              <w:t>mitió reportar gastos realizados por concepto de radio y televisión por un importe de $221,997.88</w:t>
            </w:r>
          </w:p>
        </w:tc>
        <w:tc>
          <w:tcPr>
            <w:tcW w:w="0" w:type="auto"/>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$332,996.82</w:t>
            </w:r>
          </w:p>
        </w:tc>
      </w:tr>
    </w:tbl>
    <w:p w:rsidR="00A256AB" w:rsidRPr="00A85D78" w:rsidRDefault="00A256AB" w:rsidP="00A256AB">
      <w:pPr>
        <w:jc w:val="both"/>
        <w:rPr>
          <w:rFonts w:ascii="Arial" w:hAnsi="Arial" w:cs="Arial"/>
          <w:sz w:val="16"/>
          <w:szCs w:val="16"/>
        </w:rPr>
      </w:pPr>
      <w:r w:rsidRPr="00A85D78">
        <w:rPr>
          <w:rFonts w:ascii="Arial" w:hAnsi="Arial" w:cs="Arial"/>
          <w:sz w:val="16"/>
          <w:szCs w:val="16"/>
        </w:rPr>
        <w:t>Fuente: Elaboración propia con base en acuerdo INE/CG331/2018 e INE/CG332/2018</w:t>
      </w:r>
    </w:p>
    <w:p w:rsidR="00F93313" w:rsidRDefault="00F93313" w:rsidP="00F93313">
      <w:pPr>
        <w:spacing w:line="360" w:lineRule="auto"/>
        <w:jc w:val="both"/>
        <w:rPr>
          <w:rFonts w:ascii="Arial" w:hAnsi="Arial" w:cs="Arial"/>
          <w:sz w:val="24"/>
          <w:szCs w:val="24"/>
        </w:rPr>
      </w:pPr>
    </w:p>
    <w:p w:rsidR="00A256AB" w:rsidRPr="00A85D78" w:rsidRDefault="00A256AB" w:rsidP="00F93313">
      <w:pPr>
        <w:spacing w:line="360" w:lineRule="auto"/>
        <w:jc w:val="both"/>
        <w:rPr>
          <w:rFonts w:ascii="Arial" w:hAnsi="Arial" w:cs="Arial"/>
          <w:sz w:val="24"/>
          <w:szCs w:val="24"/>
        </w:rPr>
      </w:pPr>
      <w:r w:rsidRPr="00A85D78">
        <w:rPr>
          <w:rFonts w:ascii="Arial" w:hAnsi="Arial" w:cs="Arial"/>
          <w:sz w:val="24"/>
          <w:szCs w:val="24"/>
        </w:rPr>
        <w:t>La precampaña 2018, dej</w:t>
      </w:r>
      <w:r w:rsidR="00C758A2">
        <w:rPr>
          <w:rFonts w:ascii="Arial" w:hAnsi="Arial" w:cs="Arial"/>
          <w:sz w:val="24"/>
          <w:szCs w:val="24"/>
        </w:rPr>
        <w:t>ó</w:t>
      </w:r>
      <w:r w:rsidRPr="00A85D78">
        <w:rPr>
          <w:rFonts w:ascii="Arial" w:hAnsi="Arial" w:cs="Arial"/>
          <w:sz w:val="24"/>
          <w:szCs w:val="24"/>
        </w:rPr>
        <w:t xml:space="preserve"> multas fuertes para el partido Vía Radical, en su primer proceso electoral, donde cometió errores importantes que los demás partidos aprendieron a raíz de 2015: la entrega extemporánea de informes de precampaña. Vía Radical cometió 8 conductas infractoras que redundaron en más de un millón de pesos en multas ($1,353,080.79).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el PRD fue el segundo partido más multado con $776,736.75.</w:t>
      </w:r>
    </w:p>
    <w:p w:rsidR="00A256AB" w:rsidRPr="00A85D78" w:rsidRDefault="00A256AB" w:rsidP="00A256AB">
      <w:pPr>
        <w:jc w:val="both"/>
        <w:rPr>
          <w:rFonts w:ascii="Arial" w:hAnsi="Arial" w:cs="Arial"/>
          <w:sz w:val="24"/>
          <w:szCs w:val="24"/>
        </w:rPr>
      </w:pPr>
    </w:p>
    <w:p w:rsidR="00A256AB" w:rsidRPr="00A85D78" w:rsidRDefault="00A256AB" w:rsidP="00F93313">
      <w:pPr>
        <w:spacing w:line="360" w:lineRule="auto"/>
        <w:jc w:val="both"/>
        <w:rPr>
          <w:rFonts w:ascii="Arial" w:hAnsi="Arial" w:cs="Arial"/>
          <w:b/>
          <w:sz w:val="24"/>
          <w:szCs w:val="24"/>
        </w:rPr>
      </w:pPr>
      <w:r w:rsidRPr="00A85D78">
        <w:rPr>
          <w:rFonts w:ascii="Arial" w:hAnsi="Arial" w:cs="Arial"/>
          <w:b/>
          <w:sz w:val="24"/>
          <w:szCs w:val="24"/>
        </w:rPr>
        <w:t>4.2.4.2 Campaña.</w:t>
      </w:r>
    </w:p>
    <w:p w:rsidR="00A256AB" w:rsidRDefault="00A256AB" w:rsidP="00F93313">
      <w:pPr>
        <w:spacing w:line="360" w:lineRule="auto"/>
        <w:jc w:val="both"/>
        <w:rPr>
          <w:rFonts w:ascii="Arial" w:hAnsi="Arial" w:cs="Arial"/>
          <w:sz w:val="24"/>
          <w:szCs w:val="24"/>
        </w:rPr>
      </w:pPr>
      <w:r w:rsidRPr="00A85D78">
        <w:rPr>
          <w:rFonts w:ascii="Arial" w:hAnsi="Arial" w:cs="Arial"/>
          <w:sz w:val="24"/>
          <w:szCs w:val="24"/>
        </w:rPr>
        <w:t xml:space="preserve">En la elección para renovar los ayuntamientos y Diputados Locales 2018, participaron 10 partidos políticos en solitario, así como 2 coaliciones en las que estuvieron involucrados 6 de estos 10 partidos; en primera instancia la Coalición “por el Estado de México al Frente”, integrada por PAN, PRD y MC; así como la Coalición Juntos Haremos Historia, conformada por MORENA, PT y PES. Cabe destacar que esta elección fue dentro de las auditadas por la Unidad Técnica de </w:t>
      </w:r>
      <w:r w:rsidRPr="00A85D78">
        <w:rPr>
          <w:rFonts w:ascii="Arial" w:hAnsi="Arial" w:cs="Arial"/>
          <w:sz w:val="24"/>
          <w:szCs w:val="24"/>
        </w:rPr>
        <w:lastRenderedPageBreak/>
        <w:t>Fiscalización, desde el 2015, la que menor monto total de multas dej</w:t>
      </w:r>
      <w:r w:rsidR="00C758A2">
        <w:rPr>
          <w:rFonts w:ascii="Arial" w:hAnsi="Arial" w:cs="Arial"/>
          <w:sz w:val="24"/>
          <w:szCs w:val="24"/>
        </w:rPr>
        <w:t>ó</w:t>
      </w:r>
      <w:r w:rsidRPr="00A85D78">
        <w:rPr>
          <w:rFonts w:ascii="Arial" w:hAnsi="Arial" w:cs="Arial"/>
          <w:sz w:val="24"/>
          <w:szCs w:val="24"/>
        </w:rPr>
        <w:t xml:space="preserve"> como saldo con $9,973,595.63; en las tablas 4.26.1 a </w:t>
      </w:r>
      <w:r w:rsidR="00600C69" w:rsidRPr="00A85D78">
        <w:rPr>
          <w:rFonts w:ascii="Arial" w:hAnsi="Arial" w:cs="Arial"/>
          <w:sz w:val="24"/>
          <w:szCs w:val="24"/>
        </w:rPr>
        <w:t>4.26.12,</w:t>
      </w:r>
      <w:r w:rsidRPr="00A85D78">
        <w:rPr>
          <w:rFonts w:ascii="Arial" w:hAnsi="Arial" w:cs="Arial"/>
          <w:sz w:val="24"/>
          <w:szCs w:val="24"/>
        </w:rPr>
        <w:t xml:space="preserve"> detallaremos por partido político las conductas infractoras sancionadas</w:t>
      </w:r>
    </w:p>
    <w:p w:rsidR="00F93313" w:rsidRPr="00A85D78" w:rsidRDefault="00F93313" w:rsidP="00F93313">
      <w:pPr>
        <w:spacing w:line="360" w:lineRule="auto"/>
        <w:jc w:val="both"/>
        <w:rPr>
          <w:rFonts w:ascii="Arial" w:hAnsi="Arial" w:cs="Arial"/>
          <w:sz w:val="24"/>
          <w:szCs w:val="24"/>
        </w:rPr>
      </w:pPr>
    </w:p>
    <w:p w:rsidR="00A256AB" w:rsidRPr="00F93313" w:rsidRDefault="00A256AB" w:rsidP="00F93313">
      <w:pPr>
        <w:tabs>
          <w:tab w:val="left" w:pos="5070"/>
        </w:tabs>
        <w:jc w:val="both"/>
        <w:rPr>
          <w:rStyle w:val="Ttulodellibro"/>
          <w:rFonts w:ascii="Arial" w:hAnsi="Arial" w:cs="Arial"/>
          <w:b/>
          <w:i/>
          <w:color w:val="auto"/>
          <w:sz w:val="20"/>
          <w:szCs w:val="20"/>
        </w:rPr>
      </w:pPr>
      <w:r w:rsidRPr="00F93313">
        <w:rPr>
          <w:rStyle w:val="Ttulodellibro"/>
          <w:rFonts w:ascii="Arial" w:hAnsi="Arial" w:cs="Arial"/>
          <w:b/>
          <w:i/>
          <w:color w:val="auto"/>
          <w:sz w:val="20"/>
          <w:szCs w:val="20"/>
        </w:rPr>
        <w:t>Tabla 4.26.1 Conductas Infractoras PAN 2018</w:t>
      </w:r>
      <w:r w:rsidR="00F93313" w:rsidRPr="00F93313">
        <w:rPr>
          <w:rStyle w:val="Ttulodellibro"/>
          <w:rFonts w:ascii="Arial" w:hAnsi="Arial" w:cs="Arial"/>
          <w:b/>
          <w:i/>
          <w:color w:val="auto"/>
          <w:sz w:val="20"/>
          <w:szCs w:val="20"/>
        </w:rPr>
        <w:t>.</w:t>
      </w:r>
    </w:p>
    <w:p w:rsidR="00F93313" w:rsidRPr="00A85D78" w:rsidRDefault="00F93313"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F93313">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F93313">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2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$1,612.00</w:t>
            </w:r>
          </w:p>
        </w:tc>
      </w:tr>
      <w:tr w:rsidR="00A256AB" w:rsidRPr="00A85D78" w:rsidTr="00F93313">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$4,755.40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$3,949.40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$3,954.00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$15,076.44</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$45,000.00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$42,164.46</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 BIS</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$3,506.00</w:t>
            </w:r>
          </w:p>
        </w:tc>
      </w:tr>
    </w:tbl>
    <w:p w:rsidR="00A256AB" w:rsidRPr="00F93313" w:rsidRDefault="00A256AB" w:rsidP="00F93313">
      <w:pPr>
        <w:rPr>
          <w:rFonts w:ascii="Arial" w:hAnsi="Arial" w:cs="Arial"/>
          <w:i/>
          <w:iCs/>
          <w:sz w:val="16"/>
          <w:szCs w:val="16"/>
        </w:rPr>
      </w:pPr>
      <w:r w:rsidRPr="00F93313">
        <w:rPr>
          <w:rFonts w:ascii="Arial" w:hAnsi="Arial" w:cs="Arial"/>
          <w:b/>
          <w:bCs/>
          <w:i/>
          <w:iCs/>
          <w:sz w:val="16"/>
          <w:szCs w:val="16"/>
        </w:rPr>
        <w:t>Fuente:</w:t>
      </w:r>
      <w:r w:rsidRPr="00F93313">
        <w:rPr>
          <w:rFonts w:ascii="Arial" w:hAnsi="Arial" w:cs="Arial"/>
          <w:i/>
          <w:iCs/>
          <w:sz w:val="16"/>
          <w:szCs w:val="16"/>
        </w:rPr>
        <w:t xml:space="preserve"> Elaboración propia con base en INE/CG1128/2018 e INE/CG1130/2018 </w:t>
      </w:r>
    </w:p>
    <w:p w:rsidR="00F93313" w:rsidRDefault="00F93313" w:rsidP="00A256AB">
      <w:pPr>
        <w:jc w:val="both"/>
        <w:rPr>
          <w:rFonts w:ascii="Arial" w:hAnsi="Arial" w:cs="Arial"/>
          <w:sz w:val="24"/>
          <w:szCs w:val="24"/>
        </w:rPr>
      </w:pPr>
    </w:p>
    <w:p w:rsidR="00F93313" w:rsidRDefault="00F93313" w:rsidP="00A256AB">
      <w:pPr>
        <w:jc w:val="both"/>
        <w:rPr>
          <w:rFonts w:ascii="Arial" w:hAnsi="Arial" w:cs="Arial"/>
          <w:sz w:val="24"/>
          <w:szCs w:val="24"/>
        </w:rPr>
      </w:pPr>
    </w:p>
    <w:p w:rsidR="00A256AB" w:rsidRPr="00F93313" w:rsidRDefault="00A256AB" w:rsidP="00F93313">
      <w:pPr>
        <w:tabs>
          <w:tab w:val="left" w:pos="5070"/>
        </w:tabs>
        <w:jc w:val="both"/>
        <w:rPr>
          <w:rStyle w:val="Ttulodellibro"/>
          <w:b/>
          <w:i/>
          <w:color w:val="auto"/>
          <w:sz w:val="20"/>
          <w:szCs w:val="20"/>
        </w:rPr>
      </w:pPr>
      <w:r w:rsidRPr="00F93313">
        <w:rPr>
          <w:rStyle w:val="Ttulodellibro"/>
          <w:rFonts w:ascii="Arial" w:hAnsi="Arial" w:cs="Arial"/>
          <w:b/>
          <w:i/>
          <w:color w:val="auto"/>
          <w:sz w:val="20"/>
          <w:szCs w:val="20"/>
        </w:rPr>
        <w:t>Tabla 4.26.2 Conductas Infractoras PRI 2018</w:t>
      </w:r>
      <w:r w:rsidR="00F93313" w:rsidRPr="00F93313">
        <w:rPr>
          <w:rStyle w:val="Ttulodellibro"/>
          <w:rFonts w:ascii="Arial" w:hAnsi="Arial" w:cs="Arial"/>
          <w:b/>
          <w:i/>
          <w:color w:val="auto"/>
          <w:sz w:val="20"/>
          <w:szCs w:val="20"/>
        </w:rPr>
        <w:t>.</w:t>
      </w:r>
    </w:p>
    <w:p w:rsidR="00F93313" w:rsidRPr="00A85D78" w:rsidRDefault="00F93313"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F93313">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F93313">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4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3,5,8 Y 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$3,224.00</w:t>
            </w:r>
          </w:p>
        </w:tc>
      </w:tr>
      <w:tr w:rsidR="00A256AB" w:rsidRPr="00A85D78" w:rsidTr="00F93313">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 BIS</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$609,812.46</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$2,015.00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$12,090.00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$25,136.03</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$18,195.93</w:t>
            </w:r>
          </w:p>
        </w:tc>
      </w:tr>
    </w:tbl>
    <w:p w:rsidR="00A256AB" w:rsidRPr="00F93313" w:rsidRDefault="00A256AB" w:rsidP="00F93313">
      <w:pPr>
        <w:rPr>
          <w:rFonts w:ascii="Arial" w:hAnsi="Arial" w:cs="Arial"/>
          <w:i/>
          <w:iCs/>
          <w:sz w:val="16"/>
          <w:szCs w:val="16"/>
        </w:rPr>
      </w:pPr>
      <w:r w:rsidRPr="00F93313">
        <w:rPr>
          <w:rFonts w:ascii="Arial" w:hAnsi="Arial" w:cs="Arial"/>
          <w:b/>
          <w:bCs/>
          <w:i/>
          <w:iCs/>
          <w:sz w:val="16"/>
          <w:szCs w:val="16"/>
        </w:rPr>
        <w:t>Fuente:</w:t>
      </w:r>
      <w:r w:rsidRPr="00F93313">
        <w:rPr>
          <w:rFonts w:ascii="Arial" w:hAnsi="Arial" w:cs="Arial"/>
          <w:i/>
          <w:iCs/>
          <w:sz w:val="16"/>
          <w:szCs w:val="16"/>
        </w:rPr>
        <w:t xml:space="preserve"> Elaboración propia con base en INE/CG1128/2018 e INE/CG1130/2018 </w:t>
      </w:r>
    </w:p>
    <w:p w:rsidR="00F93313" w:rsidRDefault="00F93313" w:rsidP="00A256AB">
      <w:pPr>
        <w:jc w:val="both"/>
        <w:rPr>
          <w:rFonts w:ascii="Arial" w:hAnsi="Arial" w:cs="Arial"/>
          <w:sz w:val="24"/>
          <w:szCs w:val="24"/>
        </w:rPr>
      </w:pPr>
    </w:p>
    <w:p w:rsidR="00F93313" w:rsidRDefault="00F93313" w:rsidP="00A256AB">
      <w:pPr>
        <w:jc w:val="both"/>
        <w:rPr>
          <w:rFonts w:ascii="Arial" w:hAnsi="Arial" w:cs="Arial"/>
          <w:sz w:val="24"/>
          <w:szCs w:val="24"/>
        </w:rPr>
      </w:pPr>
    </w:p>
    <w:p w:rsidR="00A256AB" w:rsidRPr="00F93313" w:rsidRDefault="00A256AB" w:rsidP="00F93313">
      <w:pPr>
        <w:tabs>
          <w:tab w:val="left" w:pos="5070"/>
        </w:tabs>
        <w:jc w:val="both"/>
        <w:rPr>
          <w:rStyle w:val="Ttulodellibro"/>
          <w:b/>
          <w:i/>
          <w:color w:val="auto"/>
          <w:sz w:val="20"/>
          <w:szCs w:val="20"/>
        </w:rPr>
      </w:pPr>
      <w:r w:rsidRPr="00F93313">
        <w:rPr>
          <w:rStyle w:val="Ttulodellibro"/>
          <w:rFonts w:ascii="Arial" w:hAnsi="Arial" w:cs="Arial"/>
          <w:b/>
          <w:i/>
          <w:color w:val="auto"/>
          <w:sz w:val="20"/>
          <w:szCs w:val="20"/>
        </w:rPr>
        <w:t>Tabla 4.26.3 Conductas Infractoras PRD 2018</w:t>
      </w:r>
      <w:r w:rsidR="00F93313" w:rsidRPr="00F93313">
        <w:rPr>
          <w:rStyle w:val="Ttulodellibro"/>
          <w:rFonts w:ascii="Arial" w:hAnsi="Arial" w:cs="Arial"/>
          <w:b/>
          <w:i/>
          <w:color w:val="auto"/>
          <w:sz w:val="20"/>
          <w:szCs w:val="20"/>
        </w:rPr>
        <w:t>.</w:t>
      </w:r>
    </w:p>
    <w:p w:rsidR="00F93313" w:rsidRPr="00A85D78" w:rsidRDefault="00F93313"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F93313">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F93313">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2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2 </w:t>
            </w:r>
            <w:r w:rsidR="00600C69" w:rsidRPr="00A85D78">
              <w:rPr>
                <w:rFonts w:ascii="Arial" w:hAnsi="Arial" w:cs="Arial"/>
                <w:sz w:val="16"/>
                <w:szCs w:val="16"/>
                <w:lang w:val="es-ES_tradnl"/>
              </w:rPr>
              <w:t>y</w:t>
            </w:r>
            <w:r w:rsidRPr="00A85D78">
              <w:rPr>
                <w:rFonts w:ascii="Arial" w:hAnsi="Arial" w:cs="Arial"/>
                <w:sz w:val="16"/>
                <w:szCs w:val="16"/>
                <w:lang w:val="es-ES_tradnl"/>
              </w:rPr>
              <w:t xml:space="preserve"> 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$1,612.00</w:t>
            </w:r>
          </w:p>
        </w:tc>
      </w:tr>
      <w:tr w:rsidR="00A256AB" w:rsidRPr="00A85D78" w:rsidTr="00F93313">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$1,370.20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$7,495.80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$8,578.07</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$5,671.46</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$13,645.82</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$5,394.00</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$19,836.95</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$6,586.52</w:t>
            </w:r>
          </w:p>
        </w:tc>
      </w:tr>
      <w:tr w:rsidR="00A256AB" w:rsidRPr="00A85D78" w:rsidTr="00F93313">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$926.45</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p>
    <w:p w:rsidR="00F93313" w:rsidRDefault="00F93313" w:rsidP="00A256AB">
      <w:pPr>
        <w:jc w:val="both"/>
        <w:rPr>
          <w:rFonts w:ascii="Arial" w:hAnsi="Arial" w:cs="Arial"/>
          <w:sz w:val="24"/>
          <w:szCs w:val="24"/>
        </w:rPr>
      </w:pPr>
    </w:p>
    <w:p w:rsidR="009853BD" w:rsidRDefault="009853BD" w:rsidP="009853BD">
      <w:pPr>
        <w:tabs>
          <w:tab w:val="left" w:pos="5070"/>
        </w:tabs>
        <w:jc w:val="both"/>
        <w:rPr>
          <w:rStyle w:val="Ttulodellibro"/>
          <w:rFonts w:ascii="Arial" w:hAnsi="Arial" w:cs="Arial"/>
          <w:b/>
          <w:i/>
          <w:color w:val="auto"/>
          <w:sz w:val="20"/>
          <w:szCs w:val="20"/>
        </w:rPr>
      </w:pPr>
    </w:p>
    <w:p w:rsidR="00E04C13" w:rsidRDefault="00E04C13">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Pr="009853BD" w:rsidRDefault="00A256AB" w:rsidP="009853BD">
      <w:pPr>
        <w:tabs>
          <w:tab w:val="left" w:pos="5070"/>
        </w:tabs>
        <w:jc w:val="both"/>
        <w:rPr>
          <w:rStyle w:val="Ttulodellibro"/>
          <w:rFonts w:ascii="Arial" w:hAnsi="Arial" w:cs="Arial"/>
          <w:b/>
          <w:i/>
          <w:color w:val="auto"/>
          <w:sz w:val="20"/>
          <w:szCs w:val="20"/>
        </w:rPr>
      </w:pPr>
      <w:r w:rsidRPr="009853BD">
        <w:rPr>
          <w:rStyle w:val="Ttulodellibro"/>
          <w:rFonts w:ascii="Arial" w:hAnsi="Arial" w:cs="Arial"/>
          <w:b/>
          <w:i/>
          <w:color w:val="auto"/>
          <w:sz w:val="20"/>
          <w:szCs w:val="20"/>
        </w:rPr>
        <w:lastRenderedPageBreak/>
        <w:t>Tabla 4.26.4 Conductas Infractoras PT 2018</w:t>
      </w:r>
      <w:r w:rsidR="00F93313" w:rsidRPr="009853BD">
        <w:rPr>
          <w:rStyle w:val="Ttulodellibro"/>
          <w:rFonts w:ascii="Arial" w:hAnsi="Arial" w:cs="Arial"/>
          <w:b/>
          <w:i/>
          <w:color w:val="auto"/>
          <w:sz w:val="20"/>
          <w:szCs w:val="20"/>
        </w:rPr>
        <w:t>.</w:t>
      </w:r>
    </w:p>
    <w:p w:rsidR="00F93313" w:rsidRPr="00A85D78" w:rsidRDefault="00F93313"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9853B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1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$806.00</w:t>
            </w:r>
          </w:p>
        </w:tc>
      </w:tr>
      <w:tr w:rsidR="00A256AB" w:rsidRPr="00A85D78" w:rsidTr="009853B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$6,186.44</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$35,749.83</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$187,014.08</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$13,702.00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$20,553.00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$322.40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$2,901.60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$3,000.00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$2,974.31</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w:t>
      </w:r>
      <w:r w:rsidR="009853BD" w:rsidRPr="009853BD">
        <w:rPr>
          <w:rFonts w:ascii="Arial" w:hAnsi="Arial" w:cs="Arial"/>
          <w:i/>
          <w:iCs/>
          <w:sz w:val="16"/>
          <w:szCs w:val="16"/>
        </w:rPr>
        <w:t>.</w:t>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A256AB" w:rsidRPr="009853BD" w:rsidRDefault="00A256AB" w:rsidP="009853BD">
      <w:pPr>
        <w:tabs>
          <w:tab w:val="left" w:pos="5070"/>
        </w:tabs>
        <w:jc w:val="both"/>
        <w:rPr>
          <w:rStyle w:val="Ttulodellibro"/>
          <w:rFonts w:ascii="Arial" w:hAnsi="Arial" w:cs="Arial"/>
          <w:b/>
          <w:i/>
          <w:color w:val="auto"/>
          <w:sz w:val="20"/>
          <w:szCs w:val="20"/>
        </w:rPr>
      </w:pPr>
      <w:r w:rsidRPr="009853BD">
        <w:rPr>
          <w:rStyle w:val="Ttulodellibro"/>
          <w:rFonts w:ascii="Arial" w:hAnsi="Arial" w:cs="Arial"/>
          <w:b/>
          <w:i/>
          <w:color w:val="auto"/>
          <w:sz w:val="20"/>
          <w:szCs w:val="20"/>
        </w:rPr>
        <w:t>Tabla 4.26.5 Conductas Infractoras PVEM 2018</w:t>
      </w:r>
      <w:r w:rsidR="009853BD" w:rsidRPr="009853BD">
        <w:rPr>
          <w:rStyle w:val="Ttulodellibro"/>
          <w:rFonts w:ascii="Arial" w:hAnsi="Arial" w:cs="Arial"/>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9853B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5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1,5,6,</w:t>
            </w:r>
            <w:r w:rsidR="00600C69" w:rsidRPr="00A85D78">
              <w:rPr>
                <w:rFonts w:ascii="Arial" w:hAnsi="Arial" w:cs="Arial"/>
                <w:sz w:val="16"/>
                <w:szCs w:val="16"/>
                <w:lang w:val="es-ES_tradnl"/>
              </w:rPr>
              <w:t>11, Y</w:t>
            </w:r>
            <w:r w:rsidRPr="00A85D78">
              <w:rPr>
                <w:rFonts w:ascii="Arial" w:hAnsi="Arial" w:cs="Arial"/>
                <w:sz w:val="16"/>
                <w:szCs w:val="16"/>
                <w:lang w:val="es-ES_tradnl"/>
              </w:rPr>
              <w:t xml:space="preserve"> 12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$4,030.00</w:t>
            </w:r>
          </w:p>
        </w:tc>
      </w:tr>
      <w:tr w:rsidR="00A256AB" w:rsidRPr="00A85D78" w:rsidTr="009853B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$266,786.00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$533,572.00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$26,033.80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$38,929.80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$15,126.34</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$30,751.50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$32,371.25</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$57,081.73</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w:t>
      </w:r>
      <w:r w:rsidR="009853BD">
        <w:rPr>
          <w:rFonts w:ascii="Arial" w:hAnsi="Arial" w:cs="Arial"/>
          <w:i/>
          <w:iCs/>
          <w:sz w:val="16"/>
          <w:szCs w:val="16"/>
        </w:rPr>
        <w:t>.</w:t>
      </w:r>
    </w:p>
    <w:p w:rsidR="009853BD" w:rsidRDefault="009853BD" w:rsidP="00A256AB">
      <w:pPr>
        <w:jc w:val="both"/>
        <w:rPr>
          <w:rFonts w:ascii="Arial" w:hAnsi="Arial" w:cs="Arial"/>
          <w:sz w:val="24"/>
          <w:szCs w:val="24"/>
        </w:rPr>
      </w:pPr>
    </w:p>
    <w:p w:rsidR="009853BD" w:rsidRDefault="009853BD" w:rsidP="009853BD">
      <w:pPr>
        <w:tabs>
          <w:tab w:val="left" w:pos="5070"/>
        </w:tabs>
        <w:jc w:val="both"/>
        <w:rPr>
          <w:rStyle w:val="Ttulodellibro"/>
          <w:rFonts w:ascii="Arial" w:hAnsi="Arial" w:cs="Arial"/>
          <w:b/>
          <w:i/>
          <w:color w:val="auto"/>
          <w:sz w:val="20"/>
          <w:szCs w:val="20"/>
        </w:rPr>
      </w:pPr>
    </w:p>
    <w:p w:rsidR="00A256AB" w:rsidRPr="009853BD" w:rsidRDefault="00A256AB" w:rsidP="009853BD">
      <w:pPr>
        <w:tabs>
          <w:tab w:val="left" w:pos="5070"/>
        </w:tabs>
        <w:jc w:val="both"/>
        <w:rPr>
          <w:rStyle w:val="Ttulodellibro"/>
          <w:b/>
          <w:i/>
          <w:color w:val="auto"/>
          <w:sz w:val="20"/>
          <w:szCs w:val="20"/>
        </w:rPr>
      </w:pPr>
      <w:r w:rsidRPr="009853BD">
        <w:rPr>
          <w:rStyle w:val="Ttulodellibro"/>
          <w:rFonts w:ascii="Arial" w:hAnsi="Arial" w:cs="Arial"/>
          <w:b/>
          <w:i/>
          <w:color w:val="auto"/>
          <w:sz w:val="20"/>
          <w:szCs w:val="20"/>
        </w:rPr>
        <w:t>Tabla 4.26.6 Conductas Infractoras MC 2018</w:t>
      </w:r>
      <w:r w:rsidR="009853BD" w:rsidRPr="009853BD">
        <w:rPr>
          <w:rStyle w:val="Ttulodellibro"/>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9853B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2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2 </w:t>
            </w:r>
            <w:r w:rsidR="00600C69" w:rsidRPr="00A85D78">
              <w:rPr>
                <w:rFonts w:ascii="Arial" w:hAnsi="Arial" w:cs="Arial"/>
                <w:sz w:val="16"/>
                <w:szCs w:val="16"/>
                <w:lang w:val="es-ES_tradnl"/>
              </w:rPr>
              <w:t>y</w:t>
            </w:r>
            <w:r w:rsidRPr="00A85D78">
              <w:rPr>
                <w:rFonts w:ascii="Arial" w:hAnsi="Arial" w:cs="Arial"/>
                <w:sz w:val="16"/>
                <w:szCs w:val="16"/>
                <w:lang w:val="es-ES_tradnl"/>
              </w:rPr>
              <w:t xml:space="preserve"> 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$1,612.00</w:t>
            </w:r>
          </w:p>
        </w:tc>
      </w:tr>
      <w:tr w:rsidR="00A256AB" w:rsidRPr="00A85D78" w:rsidTr="009853B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$80.60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$2,498.60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$9,035.02</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$3,486.10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$9,879.10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$5,220.00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$9,672.00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 BIS</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$1,945.43</w:t>
            </w:r>
          </w:p>
        </w:tc>
      </w:tr>
    </w:tbl>
    <w:p w:rsidR="00A256AB" w:rsidRPr="00A85D78" w:rsidRDefault="00A256AB" w:rsidP="009853BD">
      <w:pPr>
        <w:rPr>
          <w:rFonts w:ascii="Arial" w:hAnsi="Arial" w:cs="Arial"/>
          <w:sz w:val="16"/>
          <w:szCs w:val="16"/>
        </w:rPr>
      </w:pPr>
      <w:r w:rsidRPr="009853BD">
        <w:rPr>
          <w:rFonts w:ascii="Arial" w:hAnsi="Arial" w:cs="Arial"/>
          <w:b/>
          <w:bCs/>
          <w:sz w:val="16"/>
          <w:szCs w:val="16"/>
        </w:rPr>
        <w:t>Fuente:</w:t>
      </w:r>
      <w:r w:rsidRPr="00A85D78">
        <w:rPr>
          <w:rFonts w:ascii="Arial" w:hAnsi="Arial" w:cs="Arial"/>
          <w:sz w:val="16"/>
          <w:szCs w:val="16"/>
        </w:rPr>
        <w:t xml:space="preserve"> Elaboración propia con base en INE/CG1128/2018 e INE/CG1130/2018</w:t>
      </w:r>
      <w:r w:rsidR="009853BD">
        <w:rPr>
          <w:rFonts w:ascii="Arial" w:hAnsi="Arial" w:cs="Arial"/>
          <w:sz w:val="16"/>
          <w:szCs w:val="16"/>
        </w:rPr>
        <w:t>.</w:t>
      </w:r>
      <w:r w:rsidRPr="00A85D78">
        <w:rPr>
          <w:rFonts w:ascii="Arial" w:hAnsi="Arial" w:cs="Arial"/>
          <w:sz w:val="16"/>
          <w:szCs w:val="16"/>
        </w:rPr>
        <w:t xml:space="preserve"> </w:t>
      </w:r>
    </w:p>
    <w:p w:rsidR="009853BD" w:rsidRDefault="009853BD" w:rsidP="00A256AB">
      <w:pPr>
        <w:jc w:val="both"/>
        <w:rPr>
          <w:rFonts w:ascii="Arial" w:hAnsi="Arial" w:cs="Arial"/>
          <w:sz w:val="24"/>
          <w:szCs w:val="24"/>
        </w:rPr>
      </w:pPr>
    </w:p>
    <w:p w:rsidR="009853BD" w:rsidRDefault="009853BD" w:rsidP="009853BD">
      <w:pPr>
        <w:tabs>
          <w:tab w:val="left" w:pos="5070"/>
        </w:tabs>
        <w:jc w:val="both"/>
        <w:rPr>
          <w:rStyle w:val="Ttulodellibro"/>
          <w:rFonts w:ascii="Arial" w:hAnsi="Arial" w:cs="Arial"/>
          <w:b/>
          <w:i/>
          <w:color w:val="auto"/>
          <w:sz w:val="20"/>
          <w:szCs w:val="20"/>
        </w:rPr>
      </w:pPr>
    </w:p>
    <w:p w:rsidR="00A256AB" w:rsidRPr="009853BD" w:rsidRDefault="00A256AB" w:rsidP="009853BD">
      <w:pPr>
        <w:tabs>
          <w:tab w:val="left" w:pos="5070"/>
        </w:tabs>
        <w:jc w:val="both"/>
        <w:rPr>
          <w:rStyle w:val="Ttulodellibro"/>
          <w:b/>
          <w:i/>
          <w:color w:val="auto"/>
          <w:sz w:val="20"/>
          <w:szCs w:val="20"/>
        </w:rPr>
      </w:pPr>
      <w:r w:rsidRPr="009853BD">
        <w:rPr>
          <w:rStyle w:val="Ttulodellibro"/>
          <w:rFonts w:ascii="Arial" w:hAnsi="Arial" w:cs="Arial"/>
          <w:b/>
          <w:i/>
          <w:color w:val="auto"/>
          <w:sz w:val="20"/>
          <w:szCs w:val="20"/>
        </w:rPr>
        <w:t>Tabla 4.26.7 Conductas Infractoras NUAL 2018</w:t>
      </w:r>
      <w:r w:rsidR="009853BD" w:rsidRPr="009853BD">
        <w:rPr>
          <w:rStyle w:val="Ttulodellibro"/>
          <w:rFonts w:ascii="Arial" w:hAnsi="Arial" w:cs="Arial"/>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9853B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1148"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2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4 </w:t>
            </w:r>
            <w:r w:rsidR="00600C69" w:rsidRPr="00A85D78">
              <w:rPr>
                <w:rFonts w:ascii="Arial" w:hAnsi="Arial" w:cs="Arial"/>
                <w:sz w:val="16"/>
                <w:szCs w:val="16"/>
                <w:lang w:val="es-ES_tradnl"/>
              </w:rPr>
              <w:t>y</w:t>
            </w:r>
            <w:r w:rsidRPr="00A85D78">
              <w:rPr>
                <w:rFonts w:ascii="Arial" w:hAnsi="Arial" w:cs="Arial"/>
                <w:sz w:val="16"/>
                <w:szCs w:val="16"/>
                <w:lang w:val="es-ES_tradnl"/>
              </w:rPr>
              <w:t xml:space="preserve"> 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$1,612.00</w:t>
            </w:r>
          </w:p>
        </w:tc>
      </w:tr>
      <w:tr w:rsidR="00A256AB" w:rsidRPr="00A85D78" w:rsidTr="009853B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$11,767.60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$38,688.00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$11,932.95</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$24,763.33</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$13,643.38</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$130,600.27</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A256AB" w:rsidRPr="009853BD" w:rsidRDefault="00A256AB" w:rsidP="009853BD">
      <w:pPr>
        <w:tabs>
          <w:tab w:val="left" w:pos="5070"/>
        </w:tabs>
        <w:jc w:val="both"/>
        <w:rPr>
          <w:rStyle w:val="Ttulodellibro"/>
          <w:rFonts w:ascii="Arial" w:hAnsi="Arial" w:cs="Arial"/>
          <w:b/>
          <w:i/>
          <w:color w:val="auto"/>
          <w:sz w:val="20"/>
          <w:szCs w:val="20"/>
        </w:rPr>
      </w:pPr>
      <w:r w:rsidRPr="009853BD">
        <w:rPr>
          <w:rStyle w:val="Ttulodellibro"/>
          <w:rFonts w:ascii="Arial" w:hAnsi="Arial" w:cs="Arial"/>
          <w:b/>
          <w:i/>
          <w:color w:val="auto"/>
          <w:sz w:val="20"/>
          <w:szCs w:val="20"/>
        </w:rPr>
        <w:t>Tabla 4.26.8 Conductas Infractoras MORENA 2018</w:t>
      </w:r>
      <w:r w:rsidR="009853BD" w:rsidRPr="009853BD">
        <w:rPr>
          <w:rStyle w:val="Ttulodellibro"/>
          <w:rFonts w:ascii="Arial" w:hAnsi="Arial" w:cs="Arial"/>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344"/>
        <w:gridCol w:w="2047"/>
        <w:gridCol w:w="3515"/>
        <w:gridCol w:w="1588"/>
      </w:tblGrid>
      <w:tr w:rsidR="00A256AB" w:rsidRPr="00A85D78" w:rsidTr="009853BD">
        <w:trPr>
          <w:jc w:val="center"/>
        </w:trPr>
        <w:tc>
          <w:tcPr>
            <w:tcW w:w="79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205"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20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935"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79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205" w:type="pct"/>
            <w:vAlign w:val="center"/>
          </w:tcPr>
          <w:p w:rsidR="00A256AB" w:rsidRPr="00A85D78" w:rsidRDefault="00A256AB" w:rsidP="00C758A2">
            <w:pPr>
              <w:rPr>
                <w:rFonts w:ascii="Arial" w:hAnsi="Arial" w:cs="Arial"/>
                <w:sz w:val="16"/>
                <w:szCs w:val="16"/>
                <w:lang w:val="es-ES_tradnl"/>
              </w:rPr>
            </w:pPr>
            <w:r w:rsidRPr="00A85D78">
              <w:rPr>
                <w:rFonts w:ascii="Arial" w:hAnsi="Arial" w:cs="Arial"/>
                <w:sz w:val="16"/>
                <w:szCs w:val="16"/>
                <w:lang w:val="es-ES_tradnl"/>
              </w:rPr>
              <w:t>6 FORMALES</w:t>
            </w: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4,5,6,10,14,15</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$4,836.00</w:t>
            </w:r>
          </w:p>
        </w:tc>
      </w:tr>
      <w:tr w:rsidR="00A256AB" w:rsidRPr="00A85D78" w:rsidTr="009853BD">
        <w:trPr>
          <w:trHeight w:val="260"/>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$86,645.00</w:t>
            </w:r>
          </w:p>
        </w:tc>
      </w:tr>
      <w:tr w:rsidR="00A256AB" w:rsidRPr="00A85D78" w:rsidTr="009853BD">
        <w:trPr>
          <w:trHeight w:val="278"/>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$3,465.80</w:t>
            </w:r>
          </w:p>
        </w:tc>
      </w:tr>
      <w:tr w:rsidR="00A256AB" w:rsidRPr="00A85D78" w:rsidTr="009853BD">
        <w:trPr>
          <w:trHeight w:val="278"/>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$12,976.60</w:t>
            </w:r>
          </w:p>
        </w:tc>
      </w:tr>
      <w:tr w:rsidR="00A256AB" w:rsidRPr="00A85D78" w:rsidTr="009853BD">
        <w:trPr>
          <w:trHeight w:val="278"/>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$22,262.80</w:t>
            </w:r>
          </w:p>
        </w:tc>
      </w:tr>
      <w:tr w:rsidR="00A256AB" w:rsidRPr="00A85D78" w:rsidTr="009853BD">
        <w:trPr>
          <w:trHeight w:val="278"/>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$78,934.47</w:t>
            </w:r>
          </w:p>
        </w:tc>
      </w:tr>
      <w:tr w:rsidR="00A256AB" w:rsidRPr="00A85D78" w:rsidTr="009853BD">
        <w:trPr>
          <w:trHeight w:val="278"/>
          <w:jc w:val="center"/>
        </w:trPr>
        <w:tc>
          <w:tcPr>
            <w:tcW w:w="791" w:type="pct"/>
            <w:vMerge/>
            <w:vAlign w:val="center"/>
          </w:tcPr>
          <w:p w:rsidR="00A256AB" w:rsidRPr="00A85D78" w:rsidRDefault="00A256AB" w:rsidP="00A256AB">
            <w:pPr>
              <w:jc w:val="center"/>
              <w:rPr>
                <w:rFonts w:ascii="Arial" w:hAnsi="Arial" w:cs="Arial"/>
                <w:sz w:val="16"/>
                <w:szCs w:val="16"/>
                <w:lang w:val="es-ES_tradnl"/>
              </w:rPr>
            </w:pPr>
          </w:p>
        </w:tc>
        <w:tc>
          <w:tcPr>
            <w:tcW w:w="1205" w:type="pct"/>
          </w:tcPr>
          <w:p w:rsidR="00A256AB" w:rsidRPr="00A85D78" w:rsidRDefault="00A256AB" w:rsidP="00A256AB">
            <w:pPr>
              <w:rPr>
                <w:rFonts w:ascii="Arial" w:hAnsi="Arial" w:cs="Arial"/>
                <w:lang w:val="es-ES_tradnl"/>
              </w:rPr>
            </w:pPr>
          </w:p>
        </w:tc>
        <w:tc>
          <w:tcPr>
            <w:tcW w:w="20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935"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$436,917.51</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A256AB" w:rsidRPr="009853BD" w:rsidRDefault="00A256AB" w:rsidP="009853BD">
      <w:pPr>
        <w:tabs>
          <w:tab w:val="left" w:pos="5070"/>
        </w:tabs>
        <w:jc w:val="both"/>
        <w:rPr>
          <w:rStyle w:val="Ttulodellibro"/>
          <w:rFonts w:ascii="Arial" w:hAnsi="Arial" w:cs="Arial"/>
          <w:b/>
          <w:i/>
          <w:color w:val="auto"/>
          <w:sz w:val="20"/>
          <w:szCs w:val="20"/>
        </w:rPr>
      </w:pPr>
      <w:r w:rsidRPr="009853BD">
        <w:rPr>
          <w:rStyle w:val="Ttulodellibro"/>
          <w:rFonts w:ascii="Arial" w:hAnsi="Arial" w:cs="Arial"/>
          <w:b/>
          <w:i/>
          <w:color w:val="auto"/>
          <w:sz w:val="20"/>
          <w:szCs w:val="20"/>
        </w:rPr>
        <w:t>Tabla 4.26.9 Conductas Infractoras PES 2018</w:t>
      </w:r>
      <w:r w:rsidR="009853BD" w:rsidRPr="009853BD">
        <w:rPr>
          <w:rStyle w:val="Ttulodellibro"/>
          <w:rFonts w:ascii="Arial" w:hAnsi="Arial" w:cs="Arial"/>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9853BD">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148"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4,11 </w:t>
            </w:r>
            <w:r w:rsidR="00600C69" w:rsidRPr="00A85D78">
              <w:rPr>
                <w:rFonts w:ascii="Arial" w:hAnsi="Arial" w:cs="Arial"/>
                <w:sz w:val="16"/>
                <w:szCs w:val="16"/>
                <w:lang w:val="es-ES_tradnl"/>
              </w:rPr>
              <w:t>y</w:t>
            </w:r>
            <w:r w:rsidRPr="00A85D78">
              <w:rPr>
                <w:rFonts w:ascii="Arial" w:hAnsi="Arial" w:cs="Arial"/>
                <w:sz w:val="16"/>
                <w:szCs w:val="16"/>
                <w:lang w:val="es-ES_tradnl"/>
              </w:rPr>
              <w:t xml:space="preserve"> 15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$2,418.00</w:t>
            </w:r>
          </w:p>
        </w:tc>
      </w:tr>
      <w:tr w:rsidR="00A256AB" w:rsidRPr="00A85D78" w:rsidTr="009853BD">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$21,762.00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$29,016.00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$41,912.00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$1,145.00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$8,062.90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$10,311.54</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$9,982.49</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$4,000.00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r w:rsidR="00C758A2">
              <w:rPr>
                <w:rFonts w:ascii="Arial" w:hAnsi="Arial" w:cs="Arial"/>
                <w:sz w:val="16"/>
                <w:szCs w:val="16"/>
                <w:lang w:val="es-ES_tradnl"/>
              </w:rPr>
              <w:t xml:space="preserve"> </w:t>
            </w:r>
            <w:r w:rsidRPr="00A85D78">
              <w:rPr>
                <w:rFonts w:ascii="Arial" w:hAnsi="Arial" w:cs="Arial"/>
                <w:sz w:val="16"/>
                <w:szCs w:val="16"/>
                <w:lang w:val="es-ES_tradnl"/>
              </w:rPr>
              <w:t>BIS</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$915.70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$5,400.20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$2,256.80</w:t>
            </w:r>
          </w:p>
        </w:tc>
      </w:tr>
      <w:tr w:rsidR="00A256AB" w:rsidRPr="00A85D78" w:rsidTr="009853BD">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$25,200</w:t>
            </w:r>
          </w:p>
        </w:tc>
      </w:tr>
    </w:tbl>
    <w:p w:rsidR="00A256AB" w:rsidRPr="009853BD" w:rsidRDefault="00A256AB" w:rsidP="009853BD">
      <w:pPr>
        <w:rPr>
          <w:rFonts w:ascii="Arial" w:hAnsi="Arial" w:cs="Arial"/>
          <w:i/>
          <w:iCs/>
          <w:sz w:val="24"/>
          <w:szCs w:val="24"/>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r w:rsidRPr="009853BD">
        <w:rPr>
          <w:rFonts w:ascii="Arial" w:hAnsi="Arial" w:cs="Arial"/>
          <w:i/>
          <w:iCs/>
          <w:sz w:val="24"/>
          <w:szCs w:val="24"/>
        </w:rPr>
        <w:tab/>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A256AB" w:rsidRPr="003B3F94" w:rsidRDefault="00A256AB" w:rsidP="003B3F94">
      <w:pPr>
        <w:tabs>
          <w:tab w:val="left" w:pos="5070"/>
        </w:tabs>
        <w:jc w:val="both"/>
        <w:rPr>
          <w:rStyle w:val="Ttulodellibro"/>
          <w:rFonts w:ascii="Arial" w:hAnsi="Arial" w:cs="Arial"/>
          <w:b/>
          <w:i/>
          <w:color w:val="auto"/>
          <w:sz w:val="20"/>
          <w:szCs w:val="20"/>
        </w:rPr>
      </w:pPr>
      <w:r w:rsidRPr="003B3F94">
        <w:rPr>
          <w:rStyle w:val="Ttulodellibro"/>
          <w:rFonts w:ascii="Arial" w:hAnsi="Arial" w:cs="Arial"/>
          <w:b/>
          <w:i/>
          <w:color w:val="auto"/>
          <w:sz w:val="20"/>
          <w:szCs w:val="20"/>
        </w:rPr>
        <w:t>Tabla 4.26.10 Conductas Infractoras Vía Radical 2018</w:t>
      </w:r>
      <w:r w:rsidR="009853BD" w:rsidRPr="003B3F94">
        <w:rPr>
          <w:rStyle w:val="Ttulodellibro"/>
          <w:rFonts w:ascii="Arial" w:hAnsi="Arial" w:cs="Arial"/>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80"/>
        <w:gridCol w:w="1950"/>
        <w:gridCol w:w="3005"/>
        <w:gridCol w:w="2059"/>
      </w:tblGrid>
      <w:tr w:rsidR="00A256AB" w:rsidRPr="00A85D78" w:rsidTr="00A87D9F">
        <w:trPr>
          <w:jc w:val="center"/>
        </w:trPr>
        <w:tc>
          <w:tcPr>
            <w:tcW w:w="871"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148"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769"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21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A87D9F">
        <w:trPr>
          <w:trHeight w:val="284"/>
          <w:jc w:val="center"/>
        </w:trPr>
        <w:tc>
          <w:tcPr>
            <w:tcW w:w="87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VIA RADICAL</w:t>
            </w:r>
          </w:p>
        </w:tc>
        <w:tc>
          <w:tcPr>
            <w:tcW w:w="1148"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 FORMALES</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6 </w:t>
            </w:r>
            <w:r w:rsidR="00600C69" w:rsidRPr="00A85D78">
              <w:rPr>
                <w:rFonts w:ascii="Arial" w:hAnsi="Arial" w:cs="Arial"/>
                <w:sz w:val="16"/>
                <w:szCs w:val="16"/>
                <w:lang w:val="es-ES_tradnl"/>
              </w:rPr>
              <w:t>y</w:t>
            </w:r>
            <w:r w:rsidRPr="00A85D78">
              <w:rPr>
                <w:rFonts w:ascii="Arial" w:hAnsi="Arial" w:cs="Arial"/>
                <w:sz w:val="16"/>
                <w:szCs w:val="16"/>
                <w:lang w:val="es-ES_tradnl"/>
              </w:rPr>
              <w:t xml:space="preserve"> 12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$1,612.00</w:t>
            </w:r>
          </w:p>
        </w:tc>
      </w:tr>
      <w:tr w:rsidR="00A256AB" w:rsidRPr="00A85D78" w:rsidTr="00A87D9F">
        <w:trPr>
          <w:trHeight w:val="260"/>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$373,178.00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$567,021.00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$5,642.00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$63,271.00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$20,764.00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$701,597.24</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$350,396.24</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$89.10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$22.30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$269,700.74</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$1,109,111.50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$486,133.50</w:t>
            </w:r>
          </w:p>
        </w:tc>
      </w:tr>
      <w:tr w:rsidR="00A256AB" w:rsidRPr="00A85D78" w:rsidTr="00A87D9F">
        <w:trPr>
          <w:trHeight w:val="278"/>
          <w:jc w:val="center"/>
        </w:trPr>
        <w:tc>
          <w:tcPr>
            <w:tcW w:w="871" w:type="pct"/>
            <w:vMerge/>
            <w:vAlign w:val="center"/>
          </w:tcPr>
          <w:p w:rsidR="00A256AB" w:rsidRPr="00A85D78" w:rsidRDefault="00A256AB" w:rsidP="00A256AB">
            <w:pPr>
              <w:jc w:val="center"/>
              <w:rPr>
                <w:rFonts w:ascii="Arial" w:hAnsi="Arial" w:cs="Arial"/>
                <w:sz w:val="16"/>
                <w:szCs w:val="16"/>
                <w:lang w:val="es-ES_tradnl"/>
              </w:rPr>
            </w:pPr>
          </w:p>
        </w:tc>
        <w:tc>
          <w:tcPr>
            <w:tcW w:w="1148"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769"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212"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$45,511.15</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A256AB" w:rsidRDefault="00A256AB" w:rsidP="009853BD">
      <w:pPr>
        <w:tabs>
          <w:tab w:val="left" w:pos="5070"/>
        </w:tabs>
        <w:jc w:val="both"/>
        <w:rPr>
          <w:rStyle w:val="Ttulodellibro"/>
          <w:rFonts w:ascii="Arial" w:hAnsi="Arial" w:cs="Arial"/>
          <w:b/>
          <w:i/>
          <w:color w:val="auto"/>
          <w:sz w:val="20"/>
          <w:szCs w:val="20"/>
        </w:rPr>
      </w:pPr>
      <w:r w:rsidRPr="009853BD">
        <w:rPr>
          <w:rStyle w:val="Ttulodellibro"/>
          <w:rFonts w:ascii="Arial" w:hAnsi="Arial" w:cs="Arial"/>
          <w:b/>
          <w:i/>
          <w:color w:val="auto"/>
          <w:sz w:val="20"/>
          <w:szCs w:val="20"/>
        </w:rPr>
        <w:t>Tabla 4.26.11 Conductas Infractoras Coalición “Por el Estado de México al Frente” 2018</w:t>
      </w:r>
      <w:r w:rsidR="009853BD">
        <w:rPr>
          <w:rStyle w:val="Ttulodellibro"/>
          <w:rFonts w:ascii="Arial" w:hAnsi="Arial" w:cs="Arial"/>
          <w:b/>
          <w:i/>
          <w:color w:val="auto"/>
          <w:sz w:val="20"/>
          <w:szCs w:val="20"/>
        </w:rPr>
        <w:t>.</w:t>
      </w:r>
    </w:p>
    <w:p w:rsidR="009853BD" w:rsidRPr="009853BD" w:rsidRDefault="009853BD" w:rsidP="009853BD">
      <w:pPr>
        <w:tabs>
          <w:tab w:val="left" w:pos="5070"/>
        </w:tabs>
        <w:jc w:val="both"/>
        <w:rPr>
          <w:rStyle w:val="Ttulodellibro"/>
          <w:b/>
          <w:i/>
          <w:color w:val="auto"/>
          <w:sz w:val="20"/>
          <w:szCs w:val="20"/>
        </w:rPr>
      </w:pPr>
    </w:p>
    <w:tbl>
      <w:tblPr>
        <w:tblStyle w:val="Tablaconcuadrcula"/>
        <w:tblW w:w="5000" w:type="pct"/>
        <w:jc w:val="center"/>
        <w:tblLook w:val="04A0" w:firstRow="1" w:lastRow="0" w:firstColumn="1" w:lastColumn="0" w:noHBand="0" w:noVBand="1"/>
      </w:tblPr>
      <w:tblGrid>
        <w:gridCol w:w="718"/>
        <w:gridCol w:w="1257"/>
        <w:gridCol w:w="1813"/>
        <w:gridCol w:w="2791"/>
        <w:gridCol w:w="1915"/>
      </w:tblGrid>
      <w:tr w:rsidR="00A256AB" w:rsidRPr="00A85D78" w:rsidTr="009853BD">
        <w:trPr>
          <w:jc w:val="center"/>
        </w:trPr>
        <w:tc>
          <w:tcPr>
            <w:tcW w:w="42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
        </w:tc>
        <w:tc>
          <w:tcPr>
            <w:tcW w:w="740"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06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64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12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853BD">
        <w:trPr>
          <w:trHeight w:val="284"/>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 FORMALES</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1,6,8,11 Y 14</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$1,692.60</w:t>
            </w:r>
          </w:p>
        </w:tc>
      </w:tr>
      <w:tr w:rsidR="00A256AB" w:rsidRPr="00A85D78" w:rsidTr="009853BD">
        <w:trPr>
          <w:trHeight w:val="260"/>
          <w:jc w:val="center"/>
        </w:trPr>
        <w:tc>
          <w:tcPr>
            <w:tcW w:w="423" w:type="pct"/>
            <w:vMerge/>
            <w:vAlign w:val="center"/>
          </w:tcPr>
          <w:p w:rsidR="00A256AB" w:rsidRPr="00A85D78" w:rsidRDefault="00A256AB" w:rsidP="00C758A2">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tcPr>
          <w:p w:rsidR="00A256AB" w:rsidRPr="00A85D78" w:rsidRDefault="00A256AB" w:rsidP="00A256AB">
            <w:pPr>
              <w:jc w:val="center"/>
              <w:rPr>
                <w:rFonts w:ascii="Arial" w:hAnsi="Arial" w:cs="Arial"/>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$1,531.40</w:t>
            </w:r>
          </w:p>
        </w:tc>
      </w:tr>
      <w:tr w:rsidR="00A256AB" w:rsidRPr="00A85D78" w:rsidTr="009853BD">
        <w:trPr>
          <w:trHeight w:val="278"/>
          <w:jc w:val="center"/>
        </w:trPr>
        <w:tc>
          <w:tcPr>
            <w:tcW w:w="423" w:type="pct"/>
            <w:vMerge/>
            <w:vAlign w:val="center"/>
          </w:tcPr>
          <w:p w:rsidR="00A256AB" w:rsidRPr="00A85D78" w:rsidRDefault="00A256AB" w:rsidP="00C758A2">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tcPr>
          <w:p w:rsidR="00A256AB" w:rsidRPr="00A85D78" w:rsidRDefault="00A256AB" w:rsidP="00A256AB">
            <w:pPr>
              <w:jc w:val="center"/>
              <w:rPr>
                <w:rFonts w:ascii="Arial" w:hAnsi="Arial" w:cs="Arial"/>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$644.80</w:t>
            </w:r>
          </w:p>
        </w:tc>
      </w:tr>
      <w:tr w:rsidR="00A256AB" w:rsidRPr="00A85D78" w:rsidTr="009853BD">
        <w:trPr>
          <w:trHeight w:val="278"/>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$21,278.40</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$18,376.80</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$8,704.80</w:t>
            </w:r>
          </w:p>
        </w:tc>
      </w:tr>
      <w:tr w:rsidR="00A256AB" w:rsidRPr="00A85D78" w:rsidTr="009853BD">
        <w:trPr>
          <w:trHeight w:val="278"/>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$114,548.72</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$98,928.44</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$46,860.84</w:t>
            </w:r>
          </w:p>
        </w:tc>
      </w:tr>
      <w:tr w:rsidR="00A256AB" w:rsidRPr="00A85D78" w:rsidTr="009853BD">
        <w:trPr>
          <w:trHeight w:val="278"/>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$9,965.38</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$8,606.46</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$4,076.64</w:t>
            </w:r>
          </w:p>
        </w:tc>
      </w:tr>
      <w:tr w:rsidR="00A256AB" w:rsidRPr="00A85D78" w:rsidTr="009853BD">
        <w:trPr>
          <w:trHeight w:val="278"/>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13</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$76,885.95</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$66,401.50</w:t>
            </w:r>
          </w:p>
        </w:tc>
      </w:tr>
      <w:tr w:rsidR="00A256AB" w:rsidRPr="00A85D78" w:rsidTr="009853BD">
        <w:trPr>
          <w:trHeight w:val="278"/>
          <w:jc w:val="center"/>
        </w:trPr>
        <w:tc>
          <w:tcPr>
            <w:tcW w:w="423" w:type="pct"/>
            <w:vMerge/>
            <w:textDirection w:val="btLr"/>
            <w:vAlign w:val="center"/>
          </w:tcPr>
          <w:p w:rsidR="00A256AB" w:rsidRPr="00A85D78" w:rsidRDefault="00A256AB" w:rsidP="00C758A2">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$31,453.34</w:t>
            </w:r>
          </w:p>
        </w:tc>
      </w:tr>
      <w:tr w:rsidR="00A256AB" w:rsidRPr="00A85D78" w:rsidTr="009853BD">
        <w:trPr>
          <w:trHeight w:val="278"/>
          <w:jc w:val="center"/>
        </w:trPr>
        <w:tc>
          <w:tcPr>
            <w:tcW w:w="423" w:type="pct"/>
            <w:vMerge w:val="restart"/>
            <w:textDirection w:val="btLr"/>
            <w:vAlign w:val="center"/>
          </w:tcPr>
          <w:p w:rsidR="00A256AB" w:rsidRPr="00A85D78" w:rsidRDefault="00A256AB" w:rsidP="00C758A2">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$7,695.22</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$6,645.87</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$3,148.04</w:t>
            </w:r>
          </w:p>
        </w:tc>
      </w:tr>
      <w:tr w:rsidR="00A256AB" w:rsidRPr="00A85D78" w:rsidTr="009853BD">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$12,342.96</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$10,659.83</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$5,049.39</w:t>
            </w:r>
          </w:p>
        </w:tc>
      </w:tr>
      <w:tr w:rsidR="00A256AB" w:rsidRPr="00A85D78" w:rsidTr="009853BD">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$164,487.98</w:t>
            </w:r>
          </w:p>
        </w:tc>
      </w:tr>
      <w:tr w:rsidR="00A256AB" w:rsidRPr="00A85D78" w:rsidTr="009853BD">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$142,057.80</w:t>
            </w:r>
          </w:p>
        </w:tc>
      </w:tr>
      <w:tr w:rsidR="00A256AB" w:rsidRPr="00A85D78" w:rsidTr="009853BD">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$67,290.53</w:t>
            </w:r>
          </w:p>
        </w:tc>
      </w:tr>
      <w:tr w:rsidR="00A256AB" w:rsidRPr="00A85D78" w:rsidTr="009853BD">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$164,514.20</w:t>
            </w:r>
          </w:p>
        </w:tc>
      </w:tr>
      <w:tr w:rsidR="00A256AB" w:rsidRPr="00A85D78" w:rsidTr="009853BD">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$142,080.44</w:t>
            </w:r>
          </w:p>
        </w:tc>
      </w:tr>
      <w:tr w:rsidR="00A256AB" w:rsidRPr="00A85D78" w:rsidTr="009853BD">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$67,301.26</w:t>
            </w:r>
          </w:p>
        </w:tc>
      </w:tr>
      <w:tr w:rsidR="00A256AB" w:rsidRPr="00A85D78" w:rsidTr="009853BD">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 BIS</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$242,140.53</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$209,121.36</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$99,057.49</w:t>
            </w:r>
          </w:p>
        </w:tc>
      </w:tr>
      <w:tr w:rsidR="00A256AB" w:rsidRPr="00A85D78" w:rsidTr="009853BD">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$1,404.96</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$1,213.37</w:t>
            </w:r>
          </w:p>
        </w:tc>
      </w:tr>
      <w:tr w:rsidR="00A256AB" w:rsidRPr="00A85D78" w:rsidTr="009853BD">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C758A2">
            <w:pPr>
              <w:jc w:val="right"/>
              <w:rPr>
                <w:rFonts w:ascii="Arial" w:hAnsi="Arial" w:cs="Arial"/>
                <w:sz w:val="16"/>
                <w:szCs w:val="16"/>
                <w:lang w:val="es-ES_tradnl"/>
              </w:rPr>
            </w:pPr>
            <w:r w:rsidRPr="00A85D78">
              <w:rPr>
                <w:rFonts w:ascii="Arial" w:hAnsi="Arial" w:cs="Arial"/>
                <w:sz w:val="16"/>
                <w:szCs w:val="16"/>
                <w:lang w:val="es-ES_tradnl"/>
              </w:rPr>
              <w:t>$574.75</w:t>
            </w:r>
          </w:p>
        </w:tc>
      </w:tr>
    </w:tbl>
    <w:p w:rsidR="00A256AB" w:rsidRPr="009C1FE1" w:rsidRDefault="00A256AB" w:rsidP="009C1FE1">
      <w:pPr>
        <w:rPr>
          <w:rFonts w:ascii="Arial" w:hAnsi="Arial" w:cs="Arial"/>
          <w:i/>
          <w:iCs/>
          <w:sz w:val="16"/>
          <w:szCs w:val="16"/>
        </w:rPr>
      </w:pPr>
      <w:r w:rsidRPr="009C1FE1">
        <w:rPr>
          <w:rFonts w:ascii="Arial" w:hAnsi="Arial" w:cs="Arial"/>
          <w:b/>
          <w:bCs/>
          <w:i/>
          <w:iCs/>
          <w:sz w:val="16"/>
          <w:szCs w:val="16"/>
        </w:rPr>
        <w:t>Fuente:</w:t>
      </w:r>
      <w:r w:rsidRPr="009C1FE1">
        <w:rPr>
          <w:rFonts w:ascii="Arial" w:hAnsi="Arial" w:cs="Arial"/>
          <w:i/>
          <w:iCs/>
          <w:sz w:val="16"/>
          <w:szCs w:val="16"/>
        </w:rPr>
        <w:t xml:space="preserve"> Elaboración propia con base en INE/CG1128/2018 e INE/CG1130/2018 </w:t>
      </w:r>
    </w:p>
    <w:p w:rsidR="009853BD" w:rsidRDefault="009853BD" w:rsidP="00A256AB">
      <w:pPr>
        <w:jc w:val="both"/>
        <w:rPr>
          <w:rFonts w:ascii="Arial" w:hAnsi="Arial" w:cs="Arial"/>
          <w:sz w:val="24"/>
          <w:szCs w:val="24"/>
        </w:rPr>
      </w:pPr>
    </w:p>
    <w:p w:rsidR="009853BD" w:rsidRDefault="009853BD" w:rsidP="00A256AB">
      <w:pPr>
        <w:jc w:val="both"/>
        <w:rPr>
          <w:rFonts w:ascii="Arial" w:hAnsi="Arial" w:cs="Arial"/>
          <w:sz w:val="24"/>
          <w:szCs w:val="24"/>
        </w:rPr>
      </w:pPr>
    </w:p>
    <w:p w:rsidR="00E04C13" w:rsidRDefault="00E04C13">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Pr="009C1FE1" w:rsidRDefault="00A256AB" w:rsidP="009C1FE1">
      <w:pPr>
        <w:tabs>
          <w:tab w:val="left" w:pos="5070"/>
        </w:tabs>
        <w:jc w:val="both"/>
        <w:rPr>
          <w:rStyle w:val="Ttulodellibro"/>
          <w:b/>
          <w:i/>
          <w:color w:val="auto"/>
          <w:sz w:val="20"/>
          <w:szCs w:val="20"/>
        </w:rPr>
      </w:pPr>
      <w:r w:rsidRPr="009C1FE1">
        <w:rPr>
          <w:rStyle w:val="Ttulodellibro"/>
          <w:rFonts w:ascii="Arial" w:hAnsi="Arial" w:cs="Arial"/>
          <w:b/>
          <w:i/>
          <w:color w:val="auto"/>
          <w:sz w:val="20"/>
          <w:szCs w:val="20"/>
        </w:rPr>
        <w:lastRenderedPageBreak/>
        <w:t>Tabla 4.26.12 Conductas Infractoras Coalición Juntos Haremos Historia 2018</w:t>
      </w:r>
      <w:r w:rsidR="009853BD" w:rsidRPr="009C1FE1">
        <w:rPr>
          <w:rStyle w:val="Ttulodellibro"/>
          <w:b/>
          <w:i/>
          <w:color w:val="auto"/>
          <w:sz w:val="20"/>
          <w:szCs w:val="20"/>
        </w:rPr>
        <w:t>.</w:t>
      </w:r>
    </w:p>
    <w:p w:rsidR="009853BD" w:rsidRPr="00A85D78" w:rsidRDefault="009853BD"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718"/>
        <w:gridCol w:w="1257"/>
        <w:gridCol w:w="1813"/>
        <w:gridCol w:w="2791"/>
        <w:gridCol w:w="1915"/>
      </w:tblGrid>
      <w:tr w:rsidR="00A256AB" w:rsidRPr="00A85D78" w:rsidTr="009C1FE1">
        <w:trPr>
          <w:jc w:val="center"/>
        </w:trPr>
        <w:tc>
          <w:tcPr>
            <w:tcW w:w="42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
        </w:tc>
        <w:tc>
          <w:tcPr>
            <w:tcW w:w="740"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06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TIPO DE FALTA</w:t>
            </w:r>
          </w:p>
        </w:tc>
        <w:tc>
          <w:tcPr>
            <w:tcW w:w="164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CONCLUSIÓN EN DICTAMEN</w:t>
            </w:r>
          </w:p>
        </w:tc>
        <w:tc>
          <w:tcPr>
            <w:tcW w:w="112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MONTO</w:t>
            </w:r>
          </w:p>
        </w:tc>
      </w:tr>
      <w:tr w:rsidR="00A256AB" w:rsidRPr="00A85D78" w:rsidTr="009C1FE1">
        <w:trPr>
          <w:trHeight w:val="284"/>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 FORMALES</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1,4,6,8,10,13,15,19,20 Y 21</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$3,747.90</w:t>
            </w:r>
          </w:p>
        </w:tc>
      </w:tr>
      <w:tr w:rsidR="00A256AB" w:rsidRPr="00A85D78" w:rsidTr="009C1FE1">
        <w:trPr>
          <w:trHeight w:val="260"/>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tcPr>
          <w:p w:rsidR="00A256AB" w:rsidRPr="00A85D78" w:rsidRDefault="00A256AB" w:rsidP="00A256AB">
            <w:pPr>
              <w:jc w:val="center"/>
              <w:rPr>
                <w:rFonts w:ascii="Arial" w:hAnsi="Arial" w:cs="Arial"/>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$1,990.82</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tcPr>
          <w:p w:rsidR="00A256AB" w:rsidRPr="00A85D78" w:rsidRDefault="00A256AB" w:rsidP="00A256AB">
            <w:pPr>
              <w:jc w:val="center"/>
              <w:rPr>
                <w:rFonts w:ascii="Arial" w:hAnsi="Arial" w:cs="Arial"/>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$2,321.28</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$461,966.96</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$298,980.86</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$256,417.61</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$499,032.88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$309,078.43</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$265,077.68</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$15,966.05</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$9,888.65</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$8,480.89</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$22,112.61</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$13,695.55</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$11,745.83</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5</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$97,726.41</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$51,910.58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$60,527.32</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7</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$86,406.38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$45,897.58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$53,516.21</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$313,190.48</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$166,361.39</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$193,976.04</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$351,996.50</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$186,974.48</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$218,010.74</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$6,527.47</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$3,467.28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$4,042.82</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16</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$1,182,033.54</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$627,875.88</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$732,098.19</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22 BIS</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$98,371.41</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$52,253.20</w:t>
            </w:r>
          </w:p>
        </w:tc>
      </w:tr>
      <w:tr w:rsidR="00A256AB" w:rsidRPr="00A85D78" w:rsidTr="009C1FE1">
        <w:trPr>
          <w:trHeight w:val="278"/>
          <w:jc w:val="center"/>
        </w:trPr>
        <w:tc>
          <w:tcPr>
            <w:tcW w:w="423" w:type="pct"/>
            <w:vMerge/>
            <w:textDirection w:val="btLr"/>
            <w:vAlign w:val="center"/>
          </w:tcPr>
          <w:p w:rsidR="00A256AB" w:rsidRPr="00A85D78" w:rsidRDefault="00A256AB" w:rsidP="00A256AB">
            <w:pPr>
              <w:ind w:left="113" w:right="113"/>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$60,926.81</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17</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$946.08</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$502.54</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$585.96</w:t>
            </w:r>
          </w:p>
        </w:tc>
      </w:tr>
      <w:tr w:rsidR="00A256AB" w:rsidRPr="00A85D78" w:rsidTr="009C1FE1">
        <w:trPr>
          <w:trHeight w:val="278"/>
          <w:jc w:val="center"/>
        </w:trPr>
        <w:tc>
          <w:tcPr>
            <w:tcW w:w="423" w:type="pct"/>
            <w:vMerge w:val="restart"/>
            <w:textDirection w:val="btLr"/>
            <w:vAlign w:val="center"/>
          </w:tcPr>
          <w:p w:rsidR="00A256AB" w:rsidRPr="00A85D78" w:rsidRDefault="00A256AB" w:rsidP="00A256AB">
            <w:pPr>
              <w:ind w:left="113" w:right="113"/>
              <w:jc w:val="center"/>
              <w:rPr>
                <w:rFonts w:ascii="Arial" w:hAnsi="Arial" w:cs="Arial"/>
                <w:sz w:val="16"/>
                <w:szCs w:val="16"/>
                <w:lang w:val="es-ES_tradnl"/>
              </w:rPr>
            </w:pPr>
            <w:r w:rsidRPr="00A85D78">
              <w:rPr>
                <w:rFonts w:ascii="Arial" w:hAnsi="Arial" w:cs="Arial"/>
                <w:sz w:val="16"/>
                <w:szCs w:val="16"/>
                <w:lang w:val="es-ES_tradnl"/>
              </w:rPr>
              <w:t>COA</w:t>
            </w: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067"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SUSTANCIAL</w:t>
            </w:r>
          </w:p>
        </w:tc>
        <w:tc>
          <w:tcPr>
            <w:tcW w:w="1643"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w:t>
            </w: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$10,881.00</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$5,779.80</w:t>
            </w:r>
          </w:p>
        </w:tc>
      </w:tr>
      <w:tr w:rsidR="00A256AB" w:rsidRPr="00A85D78" w:rsidTr="009C1FE1">
        <w:trPr>
          <w:trHeight w:val="278"/>
          <w:jc w:val="center"/>
        </w:trPr>
        <w:tc>
          <w:tcPr>
            <w:tcW w:w="423" w:type="pct"/>
            <w:vMerge/>
            <w:vAlign w:val="center"/>
          </w:tcPr>
          <w:p w:rsidR="00A256AB" w:rsidRPr="00A85D78" w:rsidRDefault="00A256AB" w:rsidP="00A256AB">
            <w:pPr>
              <w:jc w:val="center"/>
              <w:rPr>
                <w:rFonts w:ascii="Arial" w:hAnsi="Arial" w:cs="Arial"/>
                <w:sz w:val="16"/>
                <w:szCs w:val="16"/>
                <w:lang w:val="es-ES_tradnl"/>
              </w:rPr>
            </w:pPr>
          </w:p>
        </w:tc>
        <w:tc>
          <w:tcPr>
            <w:tcW w:w="740" w:type="pc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1067" w:type="pct"/>
            <w:vMerge/>
            <w:vAlign w:val="center"/>
          </w:tcPr>
          <w:p w:rsidR="00A256AB" w:rsidRPr="00A85D78" w:rsidRDefault="00A256AB" w:rsidP="00A256AB">
            <w:pPr>
              <w:jc w:val="center"/>
              <w:rPr>
                <w:rFonts w:ascii="Arial" w:hAnsi="Arial" w:cs="Arial"/>
                <w:sz w:val="16"/>
                <w:szCs w:val="16"/>
                <w:lang w:val="es-ES_tradnl"/>
              </w:rPr>
            </w:pPr>
          </w:p>
        </w:tc>
        <w:tc>
          <w:tcPr>
            <w:tcW w:w="1643" w:type="pct"/>
            <w:vMerge/>
            <w:vAlign w:val="center"/>
          </w:tcPr>
          <w:p w:rsidR="00A256AB" w:rsidRPr="00A85D78" w:rsidRDefault="00A256AB" w:rsidP="00A256AB">
            <w:pPr>
              <w:jc w:val="center"/>
              <w:rPr>
                <w:rFonts w:ascii="Arial" w:hAnsi="Arial" w:cs="Arial"/>
                <w:sz w:val="16"/>
                <w:szCs w:val="16"/>
                <w:lang w:val="es-ES_tradnl"/>
              </w:rPr>
            </w:pPr>
          </w:p>
        </w:tc>
        <w:tc>
          <w:tcPr>
            <w:tcW w:w="1127" w:type="pct"/>
            <w:vAlign w:val="center"/>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$6,739.20</w:t>
            </w:r>
          </w:p>
        </w:tc>
      </w:tr>
    </w:tbl>
    <w:p w:rsidR="00A256AB" w:rsidRPr="009853BD" w:rsidRDefault="00A256AB" w:rsidP="009853BD">
      <w:pPr>
        <w:rPr>
          <w:rFonts w:ascii="Arial" w:hAnsi="Arial" w:cs="Arial"/>
          <w:i/>
          <w:iCs/>
          <w:sz w:val="16"/>
          <w:szCs w:val="16"/>
        </w:rPr>
      </w:pPr>
      <w:r w:rsidRPr="009853BD">
        <w:rPr>
          <w:rFonts w:ascii="Arial" w:hAnsi="Arial" w:cs="Arial"/>
          <w:b/>
          <w:bCs/>
          <w:i/>
          <w:iCs/>
          <w:sz w:val="16"/>
          <w:szCs w:val="16"/>
        </w:rPr>
        <w:t>Fuente:</w:t>
      </w:r>
      <w:r w:rsidRPr="009853BD">
        <w:rPr>
          <w:rFonts w:ascii="Arial" w:hAnsi="Arial" w:cs="Arial"/>
          <w:i/>
          <w:iCs/>
          <w:sz w:val="16"/>
          <w:szCs w:val="16"/>
        </w:rPr>
        <w:t xml:space="preserve"> Elaboración propia con base en INE/CG1128/2018 e INE/CG1130/2018 </w:t>
      </w:r>
    </w:p>
    <w:p w:rsidR="009853BD" w:rsidRDefault="009853BD" w:rsidP="009853BD">
      <w:pPr>
        <w:spacing w:line="360" w:lineRule="auto"/>
        <w:jc w:val="both"/>
        <w:rPr>
          <w:rFonts w:ascii="Arial" w:hAnsi="Arial" w:cs="Arial"/>
          <w:sz w:val="24"/>
          <w:szCs w:val="24"/>
        </w:rPr>
      </w:pPr>
    </w:p>
    <w:p w:rsidR="009853BD" w:rsidRDefault="009853BD" w:rsidP="009853BD">
      <w:pPr>
        <w:spacing w:line="360" w:lineRule="auto"/>
        <w:jc w:val="both"/>
        <w:rPr>
          <w:rFonts w:ascii="Arial" w:hAnsi="Arial" w:cs="Arial"/>
          <w:sz w:val="24"/>
          <w:szCs w:val="24"/>
        </w:rPr>
      </w:pPr>
    </w:p>
    <w:p w:rsidR="00A256AB" w:rsidRPr="00A85D78" w:rsidRDefault="00A256AB" w:rsidP="009853BD">
      <w:pPr>
        <w:spacing w:line="360" w:lineRule="auto"/>
        <w:jc w:val="both"/>
        <w:rPr>
          <w:rFonts w:ascii="Arial" w:hAnsi="Arial" w:cs="Arial"/>
          <w:sz w:val="24"/>
          <w:szCs w:val="24"/>
        </w:rPr>
      </w:pPr>
      <w:r w:rsidRPr="00A85D78">
        <w:rPr>
          <w:rFonts w:ascii="Arial" w:hAnsi="Arial" w:cs="Arial"/>
          <w:sz w:val="24"/>
          <w:szCs w:val="24"/>
        </w:rPr>
        <w:lastRenderedPageBreak/>
        <w:t xml:space="preserve">En la Tabla 4.27, se establece un resumen de </w:t>
      </w:r>
      <w:r w:rsidR="00C758A2">
        <w:rPr>
          <w:rFonts w:ascii="Arial" w:hAnsi="Arial" w:cs="Arial"/>
          <w:sz w:val="24"/>
          <w:szCs w:val="24"/>
        </w:rPr>
        <w:t>l</w:t>
      </w:r>
      <w:r w:rsidRPr="00A85D78">
        <w:rPr>
          <w:rFonts w:ascii="Arial" w:hAnsi="Arial" w:cs="Arial"/>
          <w:sz w:val="24"/>
          <w:szCs w:val="24"/>
        </w:rPr>
        <w:t>os datos presentados en las tablas antes presentadas; de tal forma que podemos ver las conductas infractoras por partido en solitario y como integrante de una coalición; así como las multas.</w:t>
      </w:r>
    </w:p>
    <w:p w:rsidR="00A256AB" w:rsidRPr="00A85D78" w:rsidRDefault="00A256AB" w:rsidP="009853BD">
      <w:pPr>
        <w:spacing w:line="360" w:lineRule="auto"/>
        <w:jc w:val="both"/>
        <w:rPr>
          <w:rFonts w:ascii="Arial" w:hAnsi="Arial" w:cs="Arial"/>
          <w:sz w:val="24"/>
          <w:szCs w:val="24"/>
        </w:rPr>
      </w:pPr>
      <w:r w:rsidRPr="00A85D78">
        <w:rPr>
          <w:rFonts w:ascii="Arial" w:hAnsi="Arial" w:cs="Arial"/>
          <w:sz w:val="24"/>
          <w:szCs w:val="24"/>
        </w:rPr>
        <w:t>De nueva cuenta el partido más sancionado fue el extinto Vía Radical, con un total de casi 4 millones de pesos en multas producto de 15 infracciones; seguido de MORENA con $3,796,943.85 en multas; el Partido menos sancionado fue Nueva Alianza con únicamente $233,007.53.</w:t>
      </w:r>
    </w:p>
    <w:p w:rsidR="00A256AB" w:rsidRPr="00A85D78" w:rsidRDefault="00A256AB" w:rsidP="00A256AB">
      <w:pPr>
        <w:tabs>
          <w:tab w:val="left" w:pos="6720"/>
        </w:tabs>
        <w:jc w:val="both"/>
        <w:rPr>
          <w:rFonts w:ascii="Arial" w:hAnsi="Arial" w:cs="Arial"/>
          <w:sz w:val="24"/>
          <w:szCs w:val="24"/>
        </w:rPr>
      </w:pPr>
    </w:p>
    <w:p w:rsidR="00A256AB" w:rsidRPr="00A85D78" w:rsidRDefault="00A256AB" w:rsidP="00A256AB">
      <w:pPr>
        <w:tabs>
          <w:tab w:val="left" w:pos="6720"/>
        </w:tabs>
        <w:jc w:val="both"/>
        <w:rPr>
          <w:rFonts w:ascii="Arial" w:hAnsi="Arial" w:cs="Arial"/>
          <w:sz w:val="24"/>
          <w:szCs w:val="24"/>
        </w:rPr>
      </w:pPr>
    </w:p>
    <w:p w:rsidR="00A256AB" w:rsidRDefault="00A256AB" w:rsidP="002233E7">
      <w:pPr>
        <w:tabs>
          <w:tab w:val="left" w:pos="5070"/>
        </w:tabs>
        <w:jc w:val="both"/>
        <w:rPr>
          <w:rStyle w:val="Ttulodellibro"/>
          <w:rFonts w:ascii="Arial" w:hAnsi="Arial" w:cs="Arial"/>
          <w:b/>
          <w:i/>
          <w:color w:val="auto"/>
          <w:sz w:val="20"/>
          <w:szCs w:val="20"/>
        </w:rPr>
      </w:pPr>
      <w:r w:rsidRPr="002233E7">
        <w:rPr>
          <w:rStyle w:val="Ttulodellibro"/>
          <w:rFonts w:ascii="Arial" w:hAnsi="Arial" w:cs="Arial"/>
          <w:b/>
          <w:i/>
          <w:color w:val="auto"/>
          <w:sz w:val="20"/>
          <w:szCs w:val="20"/>
        </w:rPr>
        <w:t>Tabla 4.27 Resumen de conductas infractoras y total de multas por partido</w:t>
      </w:r>
      <w:r w:rsidR="002233E7">
        <w:rPr>
          <w:rStyle w:val="Ttulodellibro"/>
          <w:rFonts w:ascii="Arial" w:hAnsi="Arial" w:cs="Arial"/>
          <w:b/>
          <w:i/>
          <w:color w:val="auto"/>
          <w:sz w:val="20"/>
          <w:szCs w:val="20"/>
        </w:rPr>
        <w:t>.</w:t>
      </w:r>
    </w:p>
    <w:p w:rsidR="002233E7" w:rsidRPr="002233E7" w:rsidRDefault="002233E7" w:rsidP="002233E7">
      <w:pPr>
        <w:tabs>
          <w:tab w:val="left" w:pos="5070"/>
        </w:tabs>
        <w:jc w:val="both"/>
        <w:rPr>
          <w:rStyle w:val="Ttulodellibro"/>
          <w:rFonts w:ascii="Arial" w:hAnsi="Arial" w:cs="Arial"/>
          <w:b/>
          <w:i/>
          <w:color w:val="auto"/>
          <w:sz w:val="20"/>
          <w:szCs w:val="20"/>
        </w:rPr>
      </w:pPr>
    </w:p>
    <w:tbl>
      <w:tblPr>
        <w:tblStyle w:val="Tablaconcuadrcula"/>
        <w:tblW w:w="5000" w:type="pct"/>
        <w:jc w:val="center"/>
        <w:tblLook w:val="04A0" w:firstRow="1" w:lastRow="0" w:firstColumn="1" w:lastColumn="0" w:noHBand="0" w:noVBand="1"/>
      </w:tblPr>
      <w:tblGrid>
        <w:gridCol w:w="1194"/>
        <w:gridCol w:w="1215"/>
        <w:gridCol w:w="892"/>
        <w:gridCol w:w="868"/>
        <w:gridCol w:w="1240"/>
        <w:gridCol w:w="1351"/>
        <w:gridCol w:w="1734"/>
      </w:tblGrid>
      <w:tr w:rsidR="00A256AB" w:rsidRPr="00A85D78" w:rsidTr="006B510F">
        <w:trPr>
          <w:jc w:val="center"/>
        </w:trPr>
        <w:tc>
          <w:tcPr>
            <w:tcW w:w="703" w:type="pct"/>
            <w:vMerge w:val="restart"/>
            <w:shd w:val="clear" w:color="auto" w:fill="FBE4D5" w:themeFill="accent2" w:themeFillTint="33"/>
          </w:tcPr>
          <w:p w:rsidR="00A256AB" w:rsidRPr="00A85D78" w:rsidRDefault="00A256AB" w:rsidP="00A256AB">
            <w:pPr>
              <w:jc w:val="center"/>
              <w:rPr>
                <w:rFonts w:ascii="Arial" w:hAnsi="Arial" w:cs="Arial"/>
                <w:b/>
                <w:sz w:val="16"/>
                <w:szCs w:val="16"/>
                <w:lang w:val="es-ES_tradnl"/>
              </w:rPr>
            </w:pPr>
          </w:p>
        </w:tc>
        <w:tc>
          <w:tcPr>
            <w:tcW w:w="715" w:type="pct"/>
            <w:vMerge w:val="restar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036" w:type="pct"/>
            <w:gridSpan w:val="2"/>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CONDUCTAS INFRACTORAS</w:t>
            </w:r>
          </w:p>
        </w:tc>
        <w:tc>
          <w:tcPr>
            <w:tcW w:w="1525" w:type="pct"/>
            <w:gridSpan w:val="2"/>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DE MULTAS POR PARTIDO</w:t>
            </w:r>
          </w:p>
        </w:tc>
        <w:tc>
          <w:tcPr>
            <w:tcW w:w="1021" w:type="pct"/>
            <w:vMerge w:val="restar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proofErr w:type="gramStart"/>
            <w:r w:rsidRPr="00A85D78">
              <w:rPr>
                <w:rFonts w:ascii="Arial" w:hAnsi="Arial" w:cs="Arial"/>
                <w:b/>
                <w:sz w:val="16"/>
                <w:szCs w:val="16"/>
                <w:lang w:val="es-ES_tradnl"/>
              </w:rPr>
              <w:t>TOTAL</w:t>
            </w:r>
            <w:proofErr w:type="gramEnd"/>
            <w:r w:rsidRPr="00A85D78">
              <w:rPr>
                <w:rFonts w:ascii="Arial" w:hAnsi="Arial" w:cs="Arial"/>
                <w:b/>
                <w:sz w:val="16"/>
                <w:szCs w:val="16"/>
                <w:lang w:val="es-ES_tradnl"/>
              </w:rPr>
              <w:t xml:space="preserve"> DE MULTAS POR PARTIDO Y/O COALICIÓN</w:t>
            </w:r>
          </w:p>
        </w:tc>
      </w:tr>
      <w:tr w:rsidR="00A256AB" w:rsidRPr="00A85D78" w:rsidTr="006B510F">
        <w:trPr>
          <w:jc w:val="center"/>
        </w:trPr>
        <w:tc>
          <w:tcPr>
            <w:tcW w:w="703" w:type="pct"/>
            <w:vMerge/>
          </w:tcPr>
          <w:p w:rsidR="00A256AB" w:rsidRPr="00A85D78" w:rsidRDefault="00A256AB" w:rsidP="00A256AB">
            <w:pPr>
              <w:jc w:val="center"/>
              <w:rPr>
                <w:rFonts w:ascii="Arial" w:hAnsi="Arial" w:cs="Arial"/>
                <w:sz w:val="16"/>
                <w:szCs w:val="16"/>
                <w:lang w:val="es-ES_tradnl"/>
              </w:rPr>
            </w:pPr>
          </w:p>
        </w:tc>
        <w:tc>
          <w:tcPr>
            <w:tcW w:w="715" w:type="pct"/>
            <w:vMerge/>
          </w:tcPr>
          <w:p w:rsidR="00A256AB" w:rsidRPr="00A85D78" w:rsidRDefault="00A256AB" w:rsidP="00A256AB">
            <w:pPr>
              <w:jc w:val="center"/>
              <w:rPr>
                <w:rFonts w:ascii="Arial" w:hAnsi="Arial" w:cs="Arial"/>
                <w:sz w:val="16"/>
                <w:szCs w:val="16"/>
                <w:lang w:val="es-ES_tradnl"/>
              </w:rPr>
            </w:pPr>
          </w:p>
        </w:tc>
        <w:tc>
          <w:tcPr>
            <w:tcW w:w="525" w:type="pct"/>
            <w:shd w:val="clear" w:color="auto" w:fill="FBE4D5" w:themeFill="accent2" w:themeFillTint="33"/>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SOLO</w:t>
            </w:r>
          </w:p>
        </w:tc>
        <w:tc>
          <w:tcPr>
            <w:tcW w:w="511" w:type="pct"/>
            <w:shd w:val="clear" w:color="auto" w:fill="FBE4D5" w:themeFill="accent2" w:themeFillTint="33"/>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COA</w:t>
            </w:r>
          </w:p>
        </w:tc>
        <w:tc>
          <w:tcPr>
            <w:tcW w:w="730" w:type="pct"/>
            <w:shd w:val="clear" w:color="auto" w:fill="FBE4D5" w:themeFill="accent2" w:themeFillTint="33"/>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SOLO</w:t>
            </w:r>
          </w:p>
        </w:tc>
        <w:tc>
          <w:tcPr>
            <w:tcW w:w="795" w:type="pct"/>
            <w:shd w:val="clear" w:color="auto" w:fill="FBE4D5" w:themeFill="accent2" w:themeFillTint="33"/>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COA</w:t>
            </w:r>
          </w:p>
        </w:tc>
        <w:tc>
          <w:tcPr>
            <w:tcW w:w="1021" w:type="pct"/>
            <w:vMerge/>
          </w:tcPr>
          <w:p w:rsidR="00A256AB" w:rsidRPr="00A85D78" w:rsidRDefault="00A256AB" w:rsidP="00A256AB">
            <w:pPr>
              <w:jc w:val="right"/>
              <w:rPr>
                <w:rFonts w:ascii="Arial" w:hAnsi="Arial" w:cs="Arial"/>
                <w:sz w:val="16"/>
                <w:szCs w:val="16"/>
                <w:lang w:val="es-ES_tradnl"/>
              </w:rPr>
            </w:pPr>
          </w:p>
        </w:tc>
      </w:tr>
      <w:tr w:rsidR="00A256AB" w:rsidRPr="00A85D78" w:rsidTr="006B510F">
        <w:trPr>
          <w:jc w:val="center"/>
        </w:trPr>
        <w:tc>
          <w:tcPr>
            <w:tcW w:w="703" w:type="pct"/>
            <w:vMerge w:val="restart"/>
            <w:vAlign w:val="center"/>
          </w:tcPr>
          <w:p w:rsidR="00A256AB" w:rsidRPr="00A85D78" w:rsidRDefault="00A256AB" w:rsidP="00A256AB">
            <w:pPr>
              <w:jc w:val="center"/>
              <w:rPr>
                <w:rFonts w:ascii="Arial" w:hAnsi="Arial" w:cs="Arial"/>
                <w:sz w:val="12"/>
                <w:szCs w:val="12"/>
                <w:lang w:val="es-ES_tradnl"/>
              </w:rPr>
            </w:pPr>
            <w:r w:rsidRPr="00A85D78">
              <w:rPr>
                <w:rFonts w:ascii="Arial" w:hAnsi="Arial" w:cs="Arial"/>
                <w:sz w:val="12"/>
                <w:szCs w:val="12"/>
                <w:lang w:val="es-ES_tradnl"/>
              </w:rPr>
              <w:t>POR EL ESTADO DE MEX AL FRENTE</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PAN</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9</w:t>
            </w:r>
          </w:p>
        </w:tc>
        <w:tc>
          <w:tcPr>
            <w:tcW w:w="51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$120,017.70</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$816,956.90</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$936,974.60</w:t>
            </w:r>
          </w:p>
        </w:tc>
      </w:tr>
      <w:tr w:rsidR="00A256AB" w:rsidRPr="00A85D78" w:rsidTr="006B510F">
        <w:trPr>
          <w:jc w:val="center"/>
        </w:trPr>
        <w:tc>
          <w:tcPr>
            <w:tcW w:w="703" w:type="pct"/>
            <w:vMerge/>
          </w:tcPr>
          <w:p w:rsidR="00A256AB" w:rsidRPr="00A85D78" w:rsidRDefault="00A256AB" w:rsidP="00A256AB">
            <w:pPr>
              <w:jc w:val="center"/>
              <w:rPr>
                <w:rFonts w:ascii="Arial" w:hAnsi="Arial" w:cs="Arial"/>
                <w:sz w:val="16"/>
                <w:szCs w:val="16"/>
                <w:lang w:val="es-ES_tradnl"/>
              </w:rPr>
            </w:pP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PRD</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w:t>
            </w:r>
          </w:p>
        </w:tc>
        <w:tc>
          <w:tcPr>
            <w:tcW w:w="511" w:type="pct"/>
            <w:vMerge/>
          </w:tcPr>
          <w:p w:rsidR="00A256AB" w:rsidRPr="00A85D78" w:rsidRDefault="00A256AB" w:rsidP="00A256AB">
            <w:pPr>
              <w:jc w:val="center"/>
              <w:rPr>
                <w:rFonts w:ascii="Arial" w:hAnsi="Arial" w:cs="Arial"/>
                <w:sz w:val="16"/>
                <w:szCs w:val="16"/>
                <w:lang w:val="es-ES_tradnl"/>
              </w:rPr>
            </w:pP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$71,117.27</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$705,623.27</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$776,740.54</w:t>
            </w:r>
          </w:p>
        </w:tc>
      </w:tr>
      <w:tr w:rsidR="00A256AB" w:rsidRPr="00A85D78" w:rsidTr="006B510F">
        <w:trPr>
          <w:jc w:val="center"/>
        </w:trPr>
        <w:tc>
          <w:tcPr>
            <w:tcW w:w="703" w:type="pct"/>
            <w:vMerge/>
          </w:tcPr>
          <w:p w:rsidR="00A256AB" w:rsidRPr="00A85D78" w:rsidRDefault="00A256AB" w:rsidP="00A256AB">
            <w:pPr>
              <w:jc w:val="center"/>
              <w:rPr>
                <w:rFonts w:ascii="Arial" w:hAnsi="Arial" w:cs="Arial"/>
                <w:sz w:val="16"/>
                <w:szCs w:val="16"/>
                <w:lang w:val="es-ES_tradnl"/>
              </w:rPr>
            </w:pP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MC</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511" w:type="pct"/>
            <w:vMerge/>
          </w:tcPr>
          <w:p w:rsidR="00A256AB" w:rsidRPr="00A85D78" w:rsidRDefault="00A256AB" w:rsidP="00A256AB">
            <w:pPr>
              <w:jc w:val="center"/>
              <w:rPr>
                <w:rFonts w:ascii="Arial" w:hAnsi="Arial" w:cs="Arial"/>
                <w:sz w:val="16"/>
                <w:szCs w:val="16"/>
                <w:lang w:val="es-ES_tradnl"/>
              </w:rPr>
            </w:pP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$43,428.85</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$334,791.88</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$378,220.73</w:t>
            </w:r>
          </w:p>
        </w:tc>
      </w:tr>
      <w:tr w:rsidR="00A256AB" w:rsidRPr="00A85D78" w:rsidTr="006B510F">
        <w:trPr>
          <w:jc w:val="center"/>
        </w:trPr>
        <w:tc>
          <w:tcPr>
            <w:tcW w:w="703" w:type="pct"/>
            <w:vMerge w:val="restart"/>
            <w:vAlign w:val="center"/>
          </w:tcPr>
          <w:p w:rsidR="00A256AB" w:rsidRPr="00A85D78" w:rsidRDefault="00A256AB" w:rsidP="00A256AB">
            <w:pPr>
              <w:jc w:val="center"/>
              <w:rPr>
                <w:rFonts w:ascii="Arial" w:hAnsi="Arial" w:cs="Arial"/>
                <w:sz w:val="12"/>
                <w:szCs w:val="12"/>
                <w:lang w:val="es-ES_tradnl"/>
              </w:rPr>
            </w:pPr>
            <w:r w:rsidRPr="00A85D78">
              <w:rPr>
                <w:rFonts w:ascii="Arial" w:hAnsi="Arial" w:cs="Arial"/>
                <w:sz w:val="12"/>
                <w:szCs w:val="12"/>
                <w:lang w:val="es-ES_tradnl"/>
              </w:rPr>
              <w:t>JUNTOS HAREMOS HISTORIA</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12</w:t>
            </w:r>
          </w:p>
        </w:tc>
        <w:tc>
          <w:tcPr>
            <w:tcW w:w="511" w:type="pct"/>
            <w:vMerge w:val="restart"/>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23</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$646,038.18</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$3,150,905.67</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$3,796,943.85</w:t>
            </w:r>
          </w:p>
        </w:tc>
      </w:tr>
      <w:tr w:rsidR="00A256AB" w:rsidRPr="00A85D78" w:rsidTr="006B510F">
        <w:trPr>
          <w:jc w:val="center"/>
        </w:trPr>
        <w:tc>
          <w:tcPr>
            <w:tcW w:w="703" w:type="pct"/>
            <w:vMerge/>
          </w:tcPr>
          <w:p w:rsidR="00A256AB" w:rsidRPr="00A85D78" w:rsidRDefault="00A256AB" w:rsidP="00A256AB">
            <w:pPr>
              <w:jc w:val="center"/>
              <w:rPr>
                <w:rFonts w:ascii="Arial" w:hAnsi="Arial" w:cs="Arial"/>
                <w:sz w:val="16"/>
                <w:szCs w:val="16"/>
                <w:lang w:val="es-ES_tradnl"/>
              </w:rPr>
            </w:pP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PT</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10</w:t>
            </w:r>
          </w:p>
        </w:tc>
        <w:tc>
          <w:tcPr>
            <w:tcW w:w="511" w:type="pct"/>
            <w:vMerge/>
          </w:tcPr>
          <w:p w:rsidR="00A256AB" w:rsidRPr="00A85D78" w:rsidRDefault="00A256AB" w:rsidP="00A256AB">
            <w:pPr>
              <w:jc w:val="center"/>
              <w:rPr>
                <w:rFonts w:ascii="Arial" w:hAnsi="Arial" w:cs="Arial"/>
                <w:sz w:val="16"/>
                <w:szCs w:val="16"/>
                <w:lang w:val="es-ES_tradnl"/>
              </w:rPr>
            </w:pP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$273,209.66</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$1,774,657.04</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$2,047,866.70</w:t>
            </w:r>
          </w:p>
        </w:tc>
      </w:tr>
      <w:tr w:rsidR="00A256AB" w:rsidRPr="00A85D78" w:rsidTr="006B510F">
        <w:trPr>
          <w:jc w:val="center"/>
        </w:trPr>
        <w:tc>
          <w:tcPr>
            <w:tcW w:w="703" w:type="pct"/>
            <w:vMerge/>
          </w:tcPr>
          <w:p w:rsidR="00A256AB" w:rsidRPr="00A85D78" w:rsidRDefault="00A256AB" w:rsidP="00A256AB">
            <w:pPr>
              <w:jc w:val="center"/>
              <w:rPr>
                <w:rFonts w:ascii="Arial" w:hAnsi="Arial" w:cs="Arial"/>
                <w:sz w:val="16"/>
                <w:szCs w:val="16"/>
                <w:lang w:val="es-ES_tradnl"/>
              </w:rPr>
            </w:pP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PES</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511" w:type="pct"/>
            <w:vMerge/>
          </w:tcPr>
          <w:p w:rsidR="00A256AB" w:rsidRPr="00A85D78" w:rsidRDefault="00A256AB" w:rsidP="00A256AB">
            <w:pPr>
              <w:jc w:val="center"/>
              <w:rPr>
                <w:rFonts w:ascii="Arial" w:hAnsi="Arial" w:cs="Arial"/>
                <w:sz w:val="16"/>
                <w:szCs w:val="16"/>
                <w:lang w:val="es-ES_tradnl"/>
              </w:rPr>
            </w:pP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$162,382.63</w:t>
            </w:r>
          </w:p>
        </w:tc>
        <w:tc>
          <w:tcPr>
            <w:tcW w:w="795"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$1,874,466.58</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$2,036,849.21</w:t>
            </w:r>
          </w:p>
        </w:tc>
      </w:tr>
      <w:tr w:rsidR="00A256AB" w:rsidRPr="00A85D78" w:rsidTr="006B510F">
        <w:trPr>
          <w:jc w:val="center"/>
        </w:trPr>
        <w:tc>
          <w:tcPr>
            <w:tcW w:w="70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PRI</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511"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$670,473.42</w:t>
            </w:r>
          </w:p>
        </w:tc>
        <w:tc>
          <w:tcPr>
            <w:tcW w:w="79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$670,473.42</w:t>
            </w:r>
          </w:p>
        </w:tc>
      </w:tr>
      <w:tr w:rsidR="00A256AB" w:rsidRPr="00A85D78" w:rsidTr="006B510F">
        <w:trPr>
          <w:jc w:val="center"/>
        </w:trPr>
        <w:tc>
          <w:tcPr>
            <w:tcW w:w="70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PVEM</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14</w:t>
            </w:r>
          </w:p>
        </w:tc>
        <w:tc>
          <w:tcPr>
            <w:tcW w:w="511"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$1,004,682.42</w:t>
            </w:r>
          </w:p>
        </w:tc>
        <w:tc>
          <w:tcPr>
            <w:tcW w:w="79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$1,004,682.42</w:t>
            </w:r>
          </w:p>
        </w:tc>
      </w:tr>
      <w:tr w:rsidR="00A256AB" w:rsidRPr="00A85D78" w:rsidTr="006B510F">
        <w:trPr>
          <w:jc w:val="center"/>
        </w:trPr>
        <w:tc>
          <w:tcPr>
            <w:tcW w:w="70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NUAL</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8</w:t>
            </w:r>
          </w:p>
        </w:tc>
        <w:tc>
          <w:tcPr>
            <w:tcW w:w="511"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$233,007.53</w:t>
            </w:r>
          </w:p>
        </w:tc>
        <w:tc>
          <w:tcPr>
            <w:tcW w:w="79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$233,007.53</w:t>
            </w:r>
          </w:p>
        </w:tc>
      </w:tr>
      <w:tr w:rsidR="00A256AB" w:rsidRPr="00A85D78" w:rsidTr="006B510F">
        <w:trPr>
          <w:jc w:val="center"/>
        </w:trPr>
        <w:tc>
          <w:tcPr>
            <w:tcW w:w="70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1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VÍA RADICAL</w:t>
            </w:r>
          </w:p>
        </w:tc>
        <w:tc>
          <w:tcPr>
            <w:tcW w:w="52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15</w:t>
            </w:r>
          </w:p>
        </w:tc>
        <w:tc>
          <w:tcPr>
            <w:tcW w:w="511"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730"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$3,994,049.53</w:t>
            </w:r>
          </w:p>
        </w:tc>
        <w:tc>
          <w:tcPr>
            <w:tcW w:w="795"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021"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$3,994,049.53</w:t>
            </w:r>
          </w:p>
        </w:tc>
      </w:tr>
      <w:tr w:rsidR="00A256AB" w:rsidRPr="00A85D78" w:rsidTr="006B510F">
        <w:trPr>
          <w:jc w:val="center"/>
        </w:trPr>
        <w:tc>
          <w:tcPr>
            <w:tcW w:w="1418" w:type="pct"/>
            <w:gridSpan w:val="2"/>
          </w:tcPr>
          <w:p w:rsidR="00A256AB" w:rsidRPr="006B510F" w:rsidRDefault="00A256AB" w:rsidP="00A256AB">
            <w:pPr>
              <w:jc w:val="center"/>
              <w:rPr>
                <w:rFonts w:ascii="Arial" w:hAnsi="Arial" w:cs="Arial"/>
                <w:b/>
                <w:bCs/>
                <w:sz w:val="16"/>
                <w:szCs w:val="16"/>
                <w:lang w:val="es-ES_tradnl"/>
              </w:rPr>
            </w:pPr>
            <w:r w:rsidRPr="006B510F">
              <w:rPr>
                <w:rFonts w:ascii="Arial" w:hAnsi="Arial" w:cs="Arial"/>
                <w:b/>
                <w:bCs/>
                <w:sz w:val="16"/>
                <w:szCs w:val="16"/>
                <w:lang w:val="es-ES_tradnl"/>
              </w:rPr>
              <w:t>TOTAL</w:t>
            </w:r>
          </w:p>
        </w:tc>
        <w:tc>
          <w:tcPr>
            <w:tcW w:w="525" w:type="pct"/>
          </w:tcPr>
          <w:p w:rsidR="00A256AB" w:rsidRPr="006B510F" w:rsidRDefault="00A256AB" w:rsidP="00A256AB">
            <w:pPr>
              <w:jc w:val="center"/>
              <w:rPr>
                <w:rFonts w:ascii="Arial" w:hAnsi="Arial" w:cs="Arial"/>
                <w:b/>
                <w:bCs/>
                <w:sz w:val="16"/>
                <w:szCs w:val="16"/>
                <w:lang w:val="es-ES_tradnl"/>
              </w:rPr>
            </w:pPr>
            <w:r w:rsidRPr="006B510F">
              <w:rPr>
                <w:rFonts w:ascii="Arial" w:hAnsi="Arial" w:cs="Arial"/>
                <w:b/>
                <w:bCs/>
                <w:sz w:val="16"/>
                <w:szCs w:val="16"/>
                <w:lang w:val="es-ES_tradnl"/>
              </w:rPr>
              <w:t>118</w:t>
            </w:r>
          </w:p>
        </w:tc>
        <w:tc>
          <w:tcPr>
            <w:tcW w:w="511" w:type="pct"/>
          </w:tcPr>
          <w:p w:rsidR="00A256AB" w:rsidRPr="006B510F" w:rsidRDefault="00A256AB" w:rsidP="00A256AB">
            <w:pPr>
              <w:jc w:val="center"/>
              <w:rPr>
                <w:rFonts w:ascii="Arial" w:hAnsi="Arial" w:cs="Arial"/>
                <w:b/>
                <w:bCs/>
                <w:sz w:val="16"/>
                <w:szCs w:val="16"/>
                <w:lang w:val="es-ES_tradnl"/>
              </w:rPr>
            </w:pPr>
            <w:r w:rsidRPr="006B510F">
              <w:rPr>
                <w:rFonts w:ascii="Arial" w:hAnsi="Arial" w:cs="Arial"/>
                <w:b/>
                <w:bCs/>
                <w:sz w:val="16"/>
                <w:szCs w:val="16"/>
                <w:lang w:val="es-ES_tradnl"/>
              </w:rPr>
              <w:t>38</w:t>
            </w:r>
          </w:p>
        </w:tc>
        <w:tc>
          <w:tcPr>
            <w:tcW w:w="730" w:type="pct"/>
          </w:tcPr>
          <w:p w:rsidR="00A256AB" w:rsidRPr="006B510F" w:rsidRDefault="00A256AB" w:rsidP="00A256AB">
            <w:pPr>
              <w:jc w:val="right"/>
              <w:rPr>
                <w:rFonts w:ascii="Arial" w:hAnsi="Arial" w:cs="Arial"/>
                <w:b/>
                <w:bCs/>
                <w:sz w:val="16"/>
                <w:szCs w:val="16"/>
                <w:lang w:val="es-ES_tradnl"/>
              </w:rPr>
            </w:pPr>
            <w:r w:rsidRPr="006B510F">
              <w:rPr>
                <w:rFonts w:ascii="Arial" w:hAnsi="Arial" w:cs="Arial"/>
                <w:b/>
                <w:bCs/>
                <w:sz w:val="16"/>
                <w:szCs w:val="16"/>
                <w:lang w:val="es-ES_tradnl"/>
              </w:rPr>
              <w:t>$7,218,407.19</w:t>
            </w:r>
          </w:p>
        </w:tc>
        <w:tc>
          <w:tcPr>
            <w:tcW w:w="795" w:type="pct"/>
          </w:tcPr>
          <w:p w:rsidR="00A256AB" w:rsidRPr="006B510F" w:rsidRDefault="00A256AB" w:rsidP="00A256AB">
            <w:pPr>
              <w:jc w:val="right"/>
              <w:rPr>
                <w:rFonts w:ascii="Arial" w:hAnsi="Arial" w:cs="Arial"/>
                <w:b/>
                <w:bCs/>
                <w:sz w:val="16"/>
                <w:szCs w:val="16"/>
                <w:lang w:val="es-ES_tradnl"/>
              </w:rPr>
            </w:pPr>
            <w:r w:rsidRPr="006B510F">
              <w:rPr>
                <w:rFonts w:ascii="Arial" w:hAnsi="Arial" w:cs="Arial"/>
                <w:b/>
                <w:bCs/>
                <w:sz w:val="16"/>
                <w:szCs w:val="16"/>
                <w:lang w:val="es-ES_tradnl"/>
              </w:rPr>
              <w:t>$8,657,401.34</w:t>
            </w:r>
          </w:p>
        </w:tc>
        <w:tc>
          <w:tcPr>
            <w:tcW w:w="1021" w:type="pct"/>
          </w:tcPr>
          <w:p w:rsidR="00A256AB" w:rsidRPr="006B510F" w:rsidRDefault="00A256AB" w:rsidP="00A256AB">
            <w:pPr>
              <w:jc w:val="right"/>
              <w:rPr>
                <w:rFonts w:ascii="Arial" w:hAnsi="Arial" w:cs="Arial"/>
                <w:b/>
                <w:bCs/>
                <w:sz w:val="16"/>
                <w:szCs w:val="16"/>
                <w:lang w:val="es-ES_tradnl"/>
              </w:rPr>
            </w:pPr>
            <w:r w:rsidRPr="006B510F">
              <w:rPr>
                <w:rFonts w:ascii="Arial" w:hAnsi="Arial" w:cs="Arial"/>
                <w:b/>
                <w:bCs/>
                <w:sz w:val="16"/>
                <w:szCs w:val="16"/>
                <w:lang w:val="es-ES_tradnl"/>
              </w:rPr>
              <w:t>$9,973,595.63</w:t>
            </w:r>
          </w:p>
        </w:tc>
      </w:tr>
    </w:tbl>
    <w:p w:rsidR="00A256AB" w:rsidRPr="009C1FE1" w:rsidRDefault="00A256AB" w:rsidP="009C1FE1">
      <w:pPr>
        <w:rPr>
          <w:rFonts w:ascii="Arial" w:hAnsi="Arial" w:cs="Arial"/>
          <w:i/>
          <w:iCs/>
          <w:sz w:val="16"/>
          <w:szCs w:val="16"/>
        </w:rPr>
      </w:pPr>
      <w:r w:rsidRPr="009C1FE1">
        <w:rPr>
          <w:rFonts w:ascii="Arial" w:hAnsi="Arial" w:cs="Arial"/>
          <w:b/>
          <w:bCs/>
          <w:i/>
          <w:iCs/>
          <w:sz w:val="16"/>
          <w:szCs w:val="16"/>
        </w:rPr>
        <w:t>Fuente:</w:t>
      </w:r>
      <w:r w:rsidRPr="009C1FE1">
        <w:rPr>
          <w:rFonts w:ascii="Arial" w:hAnsi="Arial" w:cs="Arial"/>
          <w:i/>
          <w:iCs/>
          <w:sz w:val="16"/>
          <w:szCs w:val="16"/>
        </w:rPr>
        <w:t xml:space="preserve"> Elaboración propia con base en INE/CG1128/2018 e INE/CG1130/2018 </w:t>
      </w:r>
    </w:p>
    <w:p w:rsidR="009C1FE1" w:rsidRDefault="009C1FE1" w:rsidP="009C1FE1">
      <w:pPr>
        <w:spacing w:line="360" w:lineRule="auto"/>
        <w:jc w:val="both"/>
        <w:rPr>
          <w:rFonts w:ascii="Arial" w:hAnsi="Arial" w:cs="Arial"/>
          <w:sz w:val="24"/>
          <w:szCs w:val="24"/>
        </w:rPr>
      </w:pPr>
    </w:p>
    <w:p w:rsidR="009C1FE1" w:rsidRDefault="009C1FE1" w:rsidP="009C1FE1">
      <w:pPr>
        <w:spacing w:line="360" w:lineRule="auto"/>
        <w:jc w:val="both"/>
        <w:rPr>
          <w:rFonts w:ascii="Arial" w:hAnsi="Arial" w:cs="Arial"/>
          <w:sz w:val="24"/>
          <w:szCs w:val="24"/>
        </w:rPr>
      </w:pPr>
    </w:p>
    <w:p w:rsidR="00A256AB" w:rsidRPr="00A85D78" w:rsidRDefault="00A256AB" w:rsidP="009C1FE1">
      <w:pPr>
        <w:spacing w:line="360" w:lineRule="auto"/>
        <w:jc w:val="both"/>
        <w:rPr>
          <w:rFonts w:ascii="Arial" w:hAnsi="Arial" w:cs="Arial"/>
          <w:sz w:val="24"/>
          <w:szCs w:val="24"/>
        </w:rPr>
      </w:pPr>
      <w:r w:rsidRPr="00A85D78">
        <w:rPr>
          <w:rFonts w:ascii="Arial" w:hAnsi="Arial" w:cs="Arial"/>
          <w:sz w:val="24"/>
          <w:szCs w:val="24"/>
        </w:rPr>
        <w:t>En las tablas 4.28 y 4.29 realizaremos un comparativo final, en el que se puede apreciar la evolución de la fiscalización electoral en datos duros, relativos a conductas infractoras y sanciones económicas en precampañas y campañas en el periodo 2009 – 2018.</w:t>
      </w: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pPr>
    </w:p>
    <w:p w:rsidR="00A256AB" w:rsidRPr="00A85D78" w:rsidRDefault="00A256AB" w:rsidP="00A256AB">
      <w:pPr>
        <w:rPr>
          <w:rFonts w:ascii="Arial" w:hAnsi="Arial" w:cs="Arial"/>
          <w:sz w:val="24"/>
          <w:szCs w:val="24"/>
        </w:rPr>
        <w:sectPr w:rsidR="00A256AB" w:rsidRPr="00A85D78">
          <w:pgSz w:w="11906" w:h="16838"/>
          <w:pgMar w:top="1417" w:right="1701" w:bottom="1417" w:left="1701" w:header="708" w:footer="708" w:gutter="0"/>
          <w:cols w:space="708"/>
          <w:docGrid w:linePitch="360"/>
        </w:sectPr>
      </w:pPr>
    </w:p>
    <w:p w:rsidR="00A256AB" w:rsidRPr="00A85D78" w:rsidRDefault="00A256AB" w:rsidP="002233E7">
      <w:pPr>
        <w:spacing w:line="360" w:lineRule="auto"/>
        <w:rPr>
          <w:rFonts w:ascii="Arial" w:hAnsi="Arial" w:cs="Arial"/>
          <w:b/>
          <w:sz w:val="24"/>
          <w:szCs w:val="24"/>
        </w:rPr>
      </w:pPr>
      <w:r w:rsidRPr="00A85D78">
        <w:rPr>
          <w:rFonts w:ascii="Arial" w:hAnsi="Arial" w:cs="Arial"/>
          <w:b/>
          <w:sz w:val="24"/>
          <w:szCs w:val="24"/>
        </w:rPr>
        <w:lastRenderedPageBreak/>
        <w:t xml:space="preserve">4.2.5 Resumen de </w:t>
      </w:r>
      <w:r w:rsidR="00927E74">
        <w:rPr>
          <w:rFonts w:ascii="Arial" w:hAnsi="Arial" w:cs="Arial"/>
          <w:b/>
          <w:sz w:val="24"/>
          <w:szCs w:val="24"/>
        </w:rPr>
        <w:t>h</w:t>
      </w:r>
      <w:r w:rsidRPr="00A85D78">
        <w:rPr>
          <w:rFonts w:ascii="Arial" w:hAnsi="Arial" w:cs="Arial"/>
          <w:b/>
          <w:sz w:val="24"/>
          <w:szCs w:val="24"/>
        </w:rPr>
        <w:t xml:space="preserve">allazgos de </w:t>
      </w:r>
      <w:r w:rsidR="00927E74">
        <w:rPr>
          <w:rFonts w:ascii="Arial" w:hAnsi="Arial" w:cs="Arial"/>
          <w:b/>
          <w:sz w:val="24"/>
          <w:szCs w:val="24"/>
        </w:rPr>
        <w:t>i</w:t>
      </w:r>
      <w:r w:rsidRPr="00A85D78">
        <w:rPr>
          <w:rFonts w:ascii="Arial" w:hAnsi="Arial" w:cs="Arial"/>
          <w:b/>
          <w:sz w:val="24"/>
          <w:szCs w:val="24"/>
        </w:rPr>
        <w:t>nvestigación.</w:t>
      </w:r>
    </w:p>
    <w:p w:rsidR="00A256AB" w:rsidRPr="00A85D78" w:rsidRDefault="00A256AB" w:rsidP="002233E7">
      <w:pPr>
        <w:spacing w:line="360" w:lineRule="auto"/>
        <w:rPr>
          <w:rFonts w:ascii="Arial" w:hAnsi="Arial" w:cs="Arial"/>
          <w:b/>
          <w:sz w:val="24"/>
          <w:szCs w:val="24"/>
        </w:rPr>
      </w:pPr>
      <w:r w:rsidRPr="00A85D78">
        <w:rPr>
          <w:rFonts w:ascii="Arial" w:hAnsi="Arial" w:cs="Arial"/>
          <w:b/>
          <w:sz w:val="24"/>
          <w:szCs w:val="24"/>
        </w:rPr>
        <w:t xml:space="preserve">4.2.5.1 Resumen de multas de precampaña 2009 </w:t>
      </w:r>
      <w:r w:rsidR="0099249B">
        <w:rPr>
          <w:rFonts w:ascii="Arial" w:hAnsi="Arial" w:cs="Arial"/>
          <w:b/>
          <w:sz w:val="24"/>
          <w:szCs w:val="24"/>
        </w:rPr>
        <w:t>–</w:t>
      </w:r>
      <w:r w:rsidRPr="00A85D78">
        <w:rPr>
          <w:rFonts w:ascii="Arial" w:hAnsi="Arial" w:cs="Arial"/>
          <w:b/>
          <w:sz w:val="24"/>
          <w:szCs w:val="24"/>
        </w:rPr>
        <w:t xml:space="preserve"> 2018</w:t>
      </w:r>
      <w:r w:rsidR="0099249B">
        <w:rPr>
          <w:rFonts w:ascii="Arial" w:hAnsi="Arial" w:cs="Arial"/>
          <w:b/>
          <w:sz w:val="24"/>
          <w:szCs w:val="24"/>
        </w:rPr>
        <w:t>.</w:t>
      </w:r>
    </w:p>
    <w:p w:rsidR="00A256AB" w:rsidRDefault="00A256AB" w:rsidP="002233E7">
      <w:pPr>
        <w:spacing w:line="360" w:lineRule="auto"/>
        <w:jc w:val="both"/>
        <w:rPr>
          <w:rFonts w:ascii="Arial" w:hAnsi="Arial" w:cs="Arial"/>
          <w:sz w:val="24"/>
          <w:szCs w:val="24"/>
        </w:rPr>
      </w:pPr>
      <w:r w:rsidRPr="00A85D78">
        <w:rPr>
          <w:rFonts w:ascii="Arial" w:hAnsi="Arial" w:cs="Arial"/>
          <w:sz w:val="24"/>
          <w:szCs w:val="24"/>
        </w:rPr>
        <w:t>En el caso de las precampañas se evidencia con claridad, que la actuación del Instituto Electoral del Estado de México, en relación con la fiscalización de partidos políticos fue menos rigurosa en la imposición de sanciones económicas que la que actualmente realiza la Unidad Técnica de Fiscalización del INE; las multas se incrementaron notablemente a partir de que el INE tomó el control de la auditoria en el ámbito local; como puede observarse en la tabla 4.28</w:t>
      </w:r>
      <w:r w:rsidR="00FF0AEA">
        <w:rPr>
          <w:rFonts w:ascii="Arial" w:hAnsi="Arial" w:cs="Arial"/>
          <w:sz w:val="24"/>
          <w:szCs w:val="24"/>
        </w:rPr>
        <w:t>.</w:t>
      </w:r>
    </w:p>
    <w:p w:rsidR="002233E7" w:rsidRPr="00A85D78" w:rsidRDefault="002233E7" w:rsidP="002233E7">
      <w:pPr>
        <w:spacing w:line="360" w:lineRule="auto"/>
        <w:jc w:val="both"/>
        <w:rPr>
          <w:rFonts w:ascii="Arial" w:hAnsi="Arial" w:cs="Arial"/>
          <w:sz w:val="24"/>
          <w:szCs w:val="24"/>
        </w:rPr>
      </w:pPr>
    </w:p>
    <w:p w:rsidR="00A256AB" w:rsidRDefault="00A256AB" w:rsidP="002233E7">
      <w:pPr>
        <w:tabs>
          <w:tab w:val="left" w:pos="5070"/>
        </w:tabs>
        <w:jc w:val="both"/>
        <w:rPr>
          <w:rStyle w:val="Ttulodellibro"/>
          <w:rFonts w:ascii="Arial" w:hAnsi="Arial" w:cs="Arial"/>
          <w:b/>
          <w:i/>
          <w:color w:val="auto"/>
          <w:sz w:val="20"/>
          <w:szCs w:val="20"/>
        </w:rPr>
      </w:pPr>
      <w:r w:rsidRPr="002233E7">
        <w:rPr>
          <w:rStyle w:val="Ttulodellibro"/>
          <w:rFonts w:ascii="Arial" w:hAnsi="Arial" w:cs="Arial"/>
          <w:b/>
          <w:i/>
          <w:color w:val="auto"/>
          <w:sz w:val="20"/>
          <w:szCs w:val="20"/>
        </w:rPr>
        <w:t>Tabla 4.28.1 Multas precampaña por Partido 2009-2018</w:t>
      </w:r>
      <w:r w:rsidR="002233E7">
        <w:rPr>
          <w:rStyle w:val="Ttulodellibro"/>
          <w:rFonts w:ascii="Arial" w:hAnsi="Arial" w:cs="Arial"/>
          <w:b/>
          <w:i/>
          <w:color w:val="auto"/>
          <w:sz w:val="20"/>
          <w:szCs w:val="20"/>
        </w:rPr>
        <w:t>.</w:t>
      </w:r>
    </w:p>
    <w:p w:rsidR="002233E7" w:rsidRPr="002233E7" w:rsidRDefault="002233E7" w:rsidP="002233E7">
      <w:pPr>
        <w:tabs>
          <w:tab w:val="left" w:pos="5070"/>
        </w:tabs>
        <w:jc w:val="both"/>
        <w:rPr>
          <w:rStyle w:val="Ttulodellibro"/>
          <w:rFonts w:ascii="Arial" w:hAnsi="Arial" w:cs="Arial"/>
          <w:b/>
          <w:i/>
          <w:color w:val="auto"/>
          <w:sz w:val="20"/>
          <w:szCs w:val="20"/>
        </w:rPr>
      </w:pPr>
    </w:p>
    <w:tbl>
      <w:tblPr>
        <w:tblStyle w:val="Tablaconcuadrcula"/>
        <w:tblW w:w="0" w:type="auto"/>
        <w:tblLook w:val="04A0" w:firstRow="1" w:lastRow="0" w:firstColumn="1" w:lastColumn="0" w:noHBand="0" w:noVBand="1"/>
      </w:tblPr>
      <w:tblGrid>
        <w:gridCol w:w="1697"/>
        <w:gridCol w:w="1667"/>
        <w:gridCol w:w="1759"/>
        <w:gridCol w:w="1696"/>
        <w:gridCol w:w="1727"/>
        <w:gridCol w:w="1969"/>
        <w:gridCol w:w="1759"/>
        <w:gridCol w:w="1718"/>
      </w:tblGrid>
      <w:tr w:rsidR="00A256AB" w:rsidRPr="00A85D78" w:rsidTr="00A256AB">
        <w:tc>
          <w:tcPr>
            <w:tcW w:w="1746" w:type="dxa"/>
            <w:vMerge w:val="restart"/>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PARTIDO</w:t>
            </w:r>
          </w:p>
        </w:tc>
        <w:tc>
          <w:tcPr>
            <w:tcW w:w="5238" w:type="dxa"/>
            <w:gridSpan w:val="3"/>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IEEM</w:t>
            </w:r>
          </w:p>
        </w:tc>
        <w:tc>
          <w:tcPr>
            <w:tcW w:w="7234" w:type="dxa"/>
            <w:gridSpan w:val="4"/>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INE</w:t>
            </w:r>
          </w:p>
        </w:tc>
      </w:tr>
      <w:tr w:rsidR="00A256AB" w:rsidRPr="00A85D78" w:rsidTr="00A256AB">
        <w:tc>
          <w:tcPr>
            <w:tcW w:w="1746" w:type="dxa"/>
            <w:vMerge/>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p>
        </w:tc>
        <w:tc>
          <w:tcPr>
            <w:tcW w:w="1736"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765"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GOBERNADOR</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995"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PM EXTRAORDINARIA</w:t>
            </w:r>
          </w:p>
        </w:tc>
        <w:tc>
          <w:tcPr>
            <w:tcW w:w="1765"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GOBERNADOR</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r>
      <w:tr w:rsidR="00A256AB" w:rsidRPr="00A85D78" w:rsidTr="00A256AB">
        <w:tc>
          <w:tcPr>
            <w:tcW w:w="1746" w:type="dxa"/>
            <w:vMerge/>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p>
        </w:tc>
        <w:tc>
          <w:tcPr>
            <w:tcW w:w="1736"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2009</w:t>
            </w:r>
          </w:p>
        </w:tc>
        <w:tc>
          <w:tcPr>
            <w:tcW w:w="1765"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2011</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2012</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2015</w:t>
            </w:r>
          </w:p>
        </w:tc>
        <w:tc>
          <w:tcPr>
            <w:tcW w:w="1995"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2016</w:t>
            </w:r>
          </w:p>
        </w:tc>
        <w:tc>
          <w:tcPr>
            <w:tcW w:w="1765"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2017</w:t>
            </w:r>
          </w:p>
        </w:tc>
        <w:tc>
          <w:tcPr>
            <w:tcW w:w="1737"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2018</w:t>
            </w: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PAN</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$17,010.00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$8,862.00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$701.00</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$1,174,879.06</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$3,581.34</w:t>
            </w: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PRI</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$730.40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$1,146,982.97</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$2,900.72</w:t>
            </w: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PRD</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$16,984,042.59</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$2,540,508.50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$776,736.75</w:t>
            </w: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PT</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$6,838,052.72</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PVEM</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M.C.</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$17,010.00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$8,862.00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$1,703,594.38</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$1,460.00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NUAL</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$11,340.00</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PSD</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PFD</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MORENA</w:t>
            </w:r>
          </w:p>
        </w:tc>
        <w:tc>
          <w:tcPr>
            <w:tcW w:w="1737" w:type="dxa"/>
          </w:tcPr>
          <w:p w:rsidR="00A256AB" w:rsidRPr="00A85D78" w:rsidRDefault="00A256AB" w:rsidP="00A256AB">
            <w:pPr>
              <w:jc w:val="right"/>
              <w:rPr>
                <w:rFonts w:ascii="Arial" w:hAnsi="Arial" w:cs="Arial"/>
                <w:lang w:val="es-ES_tradnl"/>
              </w:rPr>
            </w:pPr>
            <w:r w:rsidRPr="00A85D78">
              <w:rPr>
                <w:rFonts w:ascii="Arial" w:hAnsi="Arial" w:cs="Arial"/>
                <w:sz w:val="20"/>
                <w:szCs w:val="20"/>
                <w:lang w:val="es-ES_tradnl"/>
              </w:rPr>
              <w:t>$0</w:t>
            </w:r>
          </w:p>
        </w:tc>
        <w:tc>
          <w:tcPr>
            <w:tcW w:w="1765" w:type="dxa"/>
          </w:tcPr>
          <w:p w:rsidR="00A256AB" w:rsidRPr="00A85D78" w:rsidRDefault="00A256AB" w:rsidP="00A256AB">
            <w:pPr>
              <w:jc w:val="right"/>
              <w:rPr>
                <w:rFonts w:ascii="Arial" w:hAnsi="Arial" w:cs="Arial"/>
                <w:sz w:val="20"/>
                <w:szCs w:val="20"/>
                <w:lang w:val="es-ES_tradnl"/>
              </w:rPr>
            </w:pPr>
          </w:p>
        </w:tc>
        <w:tc>
          <w:tcPr>
            <w:tcW w:w="1737" w:type="dxa"/>
          </w:tcPr>
          <w:p w:rsidR="00A256AB" w:rsidRPr="00A85D78" w:rsidRDefault="00A256AB" w:rsidP="00A256AB">
            <w:pPr>
              <w:jc w:val="right"/>
              <w:rPr>
                <w:rFonts w:ascii="Arial" w:hAnsi="Arial" w:cs="Arial"/>
                <w:sz w:val="20"/>
                <w:szCs w:val="20"/>
                <w:lang w:val="es-ES_tradnl"/>
              </w:rPr>
            </w:pP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$7,360.50</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$64,421.28</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$5,870,643.91</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PES</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$1,402.00</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VÍA RADICAL</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$1,353,080.79</w:t>
            </w:r>
          </w:p>
        </w:tc>
      </w:tr>
      <w:tr w:rsidR="00A256AB" w:rsidRPr="00A85D78" w:rsidTr="00A256AB">
        <w:tc>
          <w:tcPr>
            <w:tcW w:w="1747"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PH</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$701.00</w:t>
            </w:r>
          </w:p>
        </w:tc>
        <w:tc>
          <w:tcPr>
            <w:tcW w:w="199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65"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c>
          <w:tcPr>
            <w:tcW w:w="1737" w:type="dxa"/>
          </w:tcPr>
          <w:p w:rsidR="00A256AB" w:rsidRPr="00A85D78" w:rsidRDefault="00A256AB" w:rsidP="00A256AB">
            <w:pPr>
              <w:jc w:val="right"/>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A256AB">
        <w:tc>
          <w:tcPr>
            <w:tcW w:w="1747" w:type="dxa"/>
            <w:vMerge w:val="restart"/>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TOTAL</w:t>
            </w:r>
          </w:p>
        </w:tc>
        <w:tc>
          <w:tcPr>
            <w:tcW w:w="1737" w:type="dxa"/>
          </w:tcPr>
          <w:p w:rsidR="00A256AB" w:rsidRPr="00A85D78" w:rsidRDefault="00A256AB" w:rsidP="00A256AB">
            <w:pPr>
              <w:jc w:val="right"/>
              <w:rPr>
                <w:rFonts w:ascii="Arial" w:hAnsi="Arial" w:cs="Arial"/>
                <w:b/>
                <w:lang w:val="es-ES_tradnl"/>
              </w:rPr>
            </w:pPr>
            <w:r w:rsidRPr="00A85D78">
              <w:rPr>
                <w:rFonts w:ascii="Arial" w:hAnsi="Arial" w:cs="Arial"/>
                <w:b/>
                <w:sz w:val="20"/>
                <w:szCs w:val="20"/>
                <w:lang w:val="es-ES_tradnl"/>
              </w:rPr>
              <w:t>$0</w:t>
            </w:r>
          </w:p>
        </w:tc>
        <w:tc>
          <w:tcPr>
            <w:tcW w:w="1765"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45,360.00</w:t>
            </w:r>
          </w:p>
        </w:tc>
        <w:tc>
          <w:tcPr>
            <w:tcW w:w="1737"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$17,724.00</w:t>
            </w:r>
          </w:p>
        </w:tc>
        <w:tc>
          <w:tcPr>
            <w:tcW w:w="1737"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$18,697,801.47</w:t>
            </w:r>
          </w:p>
        </w:tc>
        <w:tc>
          <w:tcPr>
            <w:tcW w:w="1995"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$66,612.48</w:t>
            </w:r>
          </w:p>
        </w:tc>
        <w:tc>
          <w:tcPr>
            <w:tcW w:w="1765"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$17,571,067.16</w:t>
            </w:r>
          </w:p>
        </w:tc>
        <w:tc>
          <w:tcPr>
            <w:tcW w:w="1737" w:type="dxa"/>
          </w:tcPr>
          <w:p w:rsidR="00A256AB" w:rsidRPr="00A85D78" w:rsidRDefault="00A256AB" w:rsidP="00A256AB">
            <w:pPr>
              <w:jc w:val="right"/>
              <w:rPr>
                <w:rFonts w:ascii="Arial" w:hAnsi="Arial" w:cs="Arial"/>
                <w:b/>
                <w:sz w:val="20"/>
                <w:szCs w:val="20"/>
                <w:lang w:val="es-ES_tradnl"/>
              </w:rPr>
            </w:pPr>
            <w:r w:rsidRPr="00A85D78">
              <w:rPr>
                <w:rFonts w:ascii="Arial" w:hAnsi="Arial" w:cs="Arial"/>
                <w:b/>
                <w:sz w:val="20"/>
                <w:szCs w:val="20"/>
                <w:lang w:val="es-ES_tradnl"/>
              </w:rPr>
              <w:t>$2,136,299.60</w:t>
            </w:r>
          </w:p>
        </w:tc>
      </w:tr>
      <w:tr w:rsidR="00A256AB" w:rsidRPr="00A85D78" w:rsidTr="00A256AB">
        <w:tc>
          <w:tcPr>
            <w:tcW w:w="1746" w:type="dxa"/>
            <w:vMerge/>
          </w:tcPr>
          <w:p w:rsidR="00A256AB" w:rsidRPr="00A85D78" w:rsidRDefault="00A256AB" w:rsidP="00A256AB">
            <w:pPr>
              <w:rPr>
                <w:rFonts w:ascii="Arial" w:hAnsi="Arial" w:cs="Arial"/>
                <w:b/>
                <w:sz w:val="20"/>
                <w:szCs w:val="20"/>
                <w:lang w:val="es-ES_tradnl"/>
              </w:rPr>
            </w:pPr>
          </w:p>
        </w:tc>
        <w:tc>
          <w:tcPr>
            <w:tcW w:w="5238" w:type="dxa"/>
            <w:gridSpan w:val="3"/>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$63,084.00</w:t>
            </w:r>
          </w:p>
        </w:tc>
        <w:tc>
          <w:tcPr>
            <w:tcW w:w="7234" w:type="dxa"/>
            <w:gridSpan w:val="4"/>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$38,471,780.71</w:t>
            </w:r>
          </w:p>
        </w:tc>
      </w:tr>
    </w:tbl>
    <w:p w:rsidR="00A256AB" w:rsidRPr="006B510F" w:rsidRDefault="00A256AB" w:rsidP="00A256AB">
      <w:pPr>
        <w:rPr>
          <w:rFonts w:ascii="Arial" w:hAnsi="Arial" w:cs="Arial"/>
          <w:i/>
          <w:iCs/>
          <w:sz w:val="16"/>
          <w:szCs w:val="16"/>
        </w:rPr>
      </w:pPr>
      <w:r w:rsidRPr="006B510F">
        <w:rPr>
          <w:rFonts w:ascii="Arial" w:hAnsi="Arial" w:cs="Arial"/>
          <w:b/>
          <w:bCs/>
          <w:i/>
          <w:iCs/>
          <w:sz w:val="16"/>
          <w:szCs w:val="16"/>
        </w:rPr>
        <w:t>Fuente:</w:t>
      </w:r>
      <w:r w:rsidRPr="006B510F">
        <w:rPr>
          <w:rFonts w:ascii="Arial" w:hAnsi="Arial" w:cs="Arial"/>
          <w:i/>
          <w:iCs/>
          <w:sz w:val="16"/>
          <w:szCs w:val="16"/>
        </w:rPr>
        <w:t xml:space="preserve"> Elaboración propia.</w:t>
      </w:r>
    </w:p>
    <w:p w:rsidR="002233E7" w:rsidRPr="00A85D78" w:rsidRDefault="002233E7" w:rsidP="00A256AB">
      <w:pPr>
        <w:rPr>
          <w:rFonts w:ascii="Arial" w:hAnsi="Arial" w:cs="Arial"/>
          <w:sz w:val="16"/>
          <w:szCs w:val="16"/>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lastRenderedPageBreak/>
        <w:t>En la coyuntura fiscalizada por el Instituto Electoral Local (IEEM), tenemos que en la precampaña de 2009, no existieron conductas infractoras que ameritaran sanciones pecuniarias a los institutos políticos participantes; esta situación cambi</w:t>
      </w:r>
      <w:r w:rsidR="00FF0AEA">
        <w:rPr>
          <w:rFonts w:ascii="Arial" w:hAnsi="Arial" w:cs="Arial"/>
          <w:sz w:val="24"/>
          <w:szCs w:val="24"/>
        </w:rPr>
        <w:t>ó</w:t>
      </w:r>
      <w:r w:rsidRPr="00A85D78">
        <w:rPr>
          <w:rFonts w:ascii="Arial" w:hAnsi="Arial" w:cs="Arial"/>
          <w:sz w:val="24"/>
          <w:szCs w:val="24"/>
        </w:rPr>
        <w:t xml:space="preserve"> para la precampaña de Gobernador 2011, donde las multas alcanzaron los 45 mil, 360 pesos; cifra que disminuyó un 60.92% para la precampaña del proceso electoral para renovar Ayuntamientos y Diputados Locales 2012, donde las multas alcanzaron los 17 mil, 724 pesos.</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Durante el primer año en el que la autoridad electoral del ámbito nacional ejerció su facultad de fiscalizar elecciones locales; fue durante el proceso electoral para renovar Ayuntamientos y Diputados Locales de 2015, donde se alcanzó una suma r</w:t>
      </w:r>
      <w:r w:rsidR="00FF0AEA">
        <w:rPr>
          <w:rFonts w:ascii="Arial" w:hAnsi="Arial" w:cs="Arial"/>
          <w:sz w:val="24"/>
          <w:szCs w:val="24"/>
        </w:rPr>
        <w:t>é</w:t>
      </w:r>
      <w:r w:rsidRPr="00A85D78">
        <w:rPr>
          <w:rFonts w:ascii="Arial" w:hAnsi="Arial" w:cs="Arial"/>
          <w:sz w:val="24"/>
          <w:szCs w:val="24"/>
        </w:rPr>
        <w:t xml:space="preserve">cord de medidas de apremio por concepto de infracciones a la legislación en precampaña con un monto de </w:t>
      </w:r>
      <w:r w:rsidR="00600C69" w:rsidRPr="00A85D78">
        <w:rPr>
          <w:rFonts w:ascii="Arial" w:hAnsi="Arial" w:cs="Arial"/>
          <w:sz w:val="24"/>
          <w:szCs w:val="24"/>
        </w:rPr>
        <w:t>18 millones</w:t>
      </w:r>
      <w:r w:rsidRPr="00A85D78">
        <w:rPr>
          <w:rFonts w:ascii="Arial" w:hAnsi="Arial" w:cs="Arial"/>
          <w:sz w:val="24"/>
          <w:szCs w:val="24"/>
        </w:rPr>
        <w:t xml:space="preserve"> 697 mil 801 pesos con 47 centavos.</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 xml:space="preserve">Para la precampaña 2016, la cifra total de multas sufrió un decremento considerable al detectarse únicamente $66,612.48 en multas;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cabe destacar que el proceso electoral de este año, se llevó a cabo en un Municipio dentro del marco de un proceso electoral extraordinario, en el que el universo a fiscalizar fue acotado.</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 xml:space="preserve">Para la precampaña del proceso electoral 2017, en el que se renovó al titular del ejecutivo de la </w:t>
      </w:r>
      <w:r w:rsidR="00FF0AEA">
        <w:rPr>
          <w:rFonts w:ascii="Arial" w:hAnsi="Arial" w:cs="Arial"/>
          <w:sz w:val="24"/>
          <w:szCs w:val="24"/>
        </w:rPr>
        <w:t>e</w:t>
      </w:r>
      <w:r w:rsidRPr="00A85D78">
        <w:rPr>
          <w:rFonts w:ascii="Arial" w:hAnsi="Arial" w:cs="Arial"/>
          <w:sz w:val="24"/>
          <w:szCs w:val="24"/>
        </w:rPr>
        <w:t>ntidad, las multas incrementaron a cifras millonarias de nueva cuenta, el saldo ascendió a $17,571,067.16; es decir $1,126,734.31 menos que en la precampaña de 2015.</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proofErr w:type="gramStart"/>
      <w:r w:rsidRPr="00A85D78">
        <w:rPr>
          <w:rFonts w:ascii="Arial" w:hAnsi="Arial" w:cs="Arial"/>
          <w:sz w:val="24"/>
          <w:szCs w:val="24"/>
        </w:rPr>
        <w:lastRenderedPageBreak/>
        <w:t>Finalmente</w:t>
      </w:r>
      <w:proofErr w:type="gramEnd"/>
      <w:r w:rsidRPr="00A85D78">
        <w:rPr>
          <w:rFonts w:ascii="Arial" w:hAnsi="Arial" w:cs="Arial"/>
          <w:sz w:val="24"/>
          <w:szCs w:val="24"/>
        </w:rPr>
        <w:t xml:space="preserve"> para la precampaña del último proceso electoral, celebrado en nuestro Estado, las sanciones económicas disminuyeron considerablemente al contabilizarse un total de $2,136,299.60 en multas a los partidos políticos; esto implica un decremento de 88.57% con respecto del monto más alto originado en la precampaña de 2015.</w:t>
      </w: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De esta manera podemos observar que el saldo final de las multas de precampaña durante el periodo de gestión como autoridad fiscalizadora del IEEM fue de</w:t>
      </w:r>
      <w:r w:rsidR="00FF0AEA">
        <w:rPr>
          <w:rFonts w:ascii="Arial" w:hAnsi="Arial" w:cs="Arial"/>
          <w:sz w:val="24"/>
          <w:szCs w:val="24"/>
        </w:rPr>
        <w:t xml:space="preserve"> </w:t>
      </w:r>
      <w:r w:rsidRPr="00A85D78">
        <w:rPr>
          <w:rFonts w:ascii="Arial" w:hAnsi="Arial" w:cs="Arial"/>
          <w:sz w:val="24"/>
          <w:szCs w:val="24"/>
        </w:rPr>
        <w:t>$63,084.00; mientras que el resultado arrojado por el INE en un lapso de tiempo igual es de $38,471,780.71, lo que implica en datos duros un incremento de multas de aproximadamente 609.85%</w:t>
      </w:r>
      <w:r w:rsidR="00FF0AEA">
        <w:rPr>
          <w:rFonts w:ascii="Arial" w:hAnsi="Arial" w:cs="Arial"/>
          <w:sz w:val="24"/>
          <w:szCs w:val="24"/>
        </w:rPr>
        <w:t>.</w:t>
      </w:r>
      <w:r w:rsidRPr="00A85D78">
        <w:rPr>
          <w:rFonts w:ascii="Arial" w:hAnsi="Arial" w:cs="Arial"/>
          <w:sz w:val="24"/>
          <w:szCs w:val="24"/>
        </w:rPr>
        <w:t xml:space="preserve"> </w:t>
      </w:r>
    </w:p>
    <w:p w:rsidR="006B510F" w:rsidRPr="00E04C13" w:rsidRDefault="006B510F" w:rsidP="006B510F">
      <w:pPr>
        <w:spacing w:line="360" w:lineRule="auto"/>
        <w:jc w:val="both"/>
        <w:rPr>
          <w:rFonts w:ascii="Arial" w:hAnsi="Arial" w:cs="Arial"/>
        </w:rPr>
      </w:pPr>
    </w:p>
    <w:p w:rsidR="00A256AB" w:rsidRPr="00A85D78" w:rsidRDefault="00A256AB" w:rsidP="006B510F">
      <w:pPr>
        <w:spacing w:line="360" w:lineRule="auto"/>
        <w:jc w:val="both"/>
        <w:rPr>
          <w:rFonts w:ascii="Arial" w:hAnsi="Arial" w:cs="Arial"/>
          <w:b/>
          <w:sz w:val="24"/>
          <w:szCs w:val="24"/>
        </w:rPr>
      </w:pPr>
      <w:r w:rsidRPr="00A85D78">
        <w:rPr>
          <w:rFonts w:ascii="Arial" w:hAnsi="Arial" w:cs="Arial"/>
          <w:b/>
          <w:sz w:val="24"/>
          <w:szCs w:val="24"/>
        </w:rPr>
        <w:t xml:space="preserve">4.2.5.2 Multas de Campaña 2009 </w:t>
      </w:r>
      <w:r w:rsidR="0099249B">
        <w:rPr>
          <w:rFonts w:ascii="Arial" w:hAnsi="Arial" w:cs="Arial"/>
          <w:b/>
          <w:sz w:val="24"/>
          <w:szCs w:val="24"/>
        </w:rPr>
        <w:t>–</w:t>
      </w:r>
      <w:r w:rsidRPr="00A85D78">
        <w:rPr>
          <w:rFonts w:ascii="Arial" w:hAnsi="Arial" w:cs="Arial"/>
          <w:b/>
          <w:sz w:val="24"/>
          <w:szCs w:val="24"/>
        </w:rPr>
        <w:t xml:space="preserve"> 2018</w:t>
      </w:r>
      <w:r w:rsidR="0099249B">
        <w:rPr>
          <w:rFonts w:ascii="Arial" w:hAnsi="Arial" w:cs="Arial"/>
          <w:b/>
          <w:sz w:val="24"/>
          <w:szCs w:val="24"/>
        </w:rPr>
        <w:t>.</w:t>
      </w: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Por lo que concierne a las campañas, el contraste entre la actuación de las autoridades electorales local y nacional, también resulta evidente; para mayor referencia se presentan los datos en la tabla 4.29</w:t>
      </w:r>
      <w:r w:rsidR="00FF0AEA">
        <w:rPr>
          <w:rFonts w:ascii="Arial" w:hAnsi="Arial" w:cs="Arial"/>
          <w:sz w:val="24"/>
          <w:szCs w:val="24"/>
        </w:rPr>
        <w:t>.</w:t>
      </w:r>
    </w:p>
    <w:p w:rsidR="006B510F" w:rsidRPr="00A85D78" w:rsidRDefault="006B510F" w:rsidP="00A256AB">
      <w:pPr>
        <w:jc w:val="both"/>
        <w:rPr>
          <w:rFonts w:ascii="Arial" w:hAnsi="Arial" w:cs="Arial"/>
          <w:sz w:val="24"/>
          <w:szCs w:val="24"/>
        </w:rPr>
      </w:pPr>
    </w:p>
    <w:p w:rsidR="00A256AB" w:rsidRPr="006B510F" w:rsidRDefault="00A256AB" w:rsidP="006B510F">
      <w:pPr>
        <w:tabs>
          <w:tab w:val="left" w:pos="5070"/>
        </w:tabs>
        <w:jc w:val="both"/>
        <w:rPr>
          <w:rStyle w:val="Ttulodellibro"/>
          <w:b/>
          <w:i/>
          <w:color w:val="auto"/>
          <w:sz w:val="20"/>
          <w:szCs w:val="20"/>
        </w:rPr>
      </w:pPr>
      <w:r w:rsidRPr="006B510F">
        <w:rPr>
          <w:rStyle w:val="Ttulodellibro"/>
          <w:rFonts w:ascii="Arial" w:hAnsi="Arial" w:cs="Arial"/>
          <w:b/>
          <w:i/>
          <w:color w:val="auto"/>
          <w:sz w:val="20"/>
          <w:szCs w:val="20"/>
        </w:rPr>
        <w:t>Tabla 4.28.2 Multas campaña por Partido 2009-2018</w:t>
      </w:r>
      <w:r w:rsidR="006B510F" w:rsidRPr="006B510F">
        <w:rPr>
          <w:rStyle w:val="Ttulodellibro"/>
          <w:rFonts w:ascii="Arial" w:hAnsi="Arial" w:cs="Arial"/>
          <w:b/>
          <w:i/>
          <w:color w:val="auto"/>
          <w:sz w:val="20"/>
          <w:szCs w:val="20"/>
        </w:rPr>
        <w:t>.</w:t>
      </w:r>
    </w:p>
    <w:p w:rsidR="006B510F" w:rsidRPr="00E04C13" w:rsidRDefault="006B510F" w:rsidP="00A256AB">
      <w:pPr>
        <w:rPr>
          <w:rFonts w:ascii="Arial" w:hAnsi="Arial" w:cs="Arial"/>
          <w:sz w:val="16"/>
          <w:szCs w:val="16"/>
        </w:rPr>
      </w:pPr>
    </w:p>
    <w:tbl>
      <w:tblPr>
        <w:tblStyle w:val="Tablaconcuadrcula"/>
        <w:tblW w:w="5000" w:type="pct"/>
        <w:tblLook w:val="04A0" w:firstRow="1" w:lastRow="0" w:firstColumn="1" w:lastColumn="0" w:noHBand="0" w:noVBand="1"/>
      </w:tblPr>
      <w:tblGrid>
        <w:gridCol w:w="1674"/>
        <w:gridCol w:w="1710"/>
        <w:gridCol w:w="1757"/>
        <w:gridCol w:w="1690"/>
        <w:gridCol w:w="1721"/>
        <w:gridCol w:w="1959"/>
        <w:gridCol w:w="1760"/>
        <w:gridCol w:w="1721"/>
      </w:tblGrid>
      <w:tr w:rsidR="00A256AB" w:rsidRPr="006B510F" w:rsidTr="006B510F">
        <w:tc>
          <w:tcPr>
            <w:tcW w:w="598" w:type="pct"/>
            <w:vMerge w:val="restar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PARTIDO</w:t>
            </w:r>
          </w:p>
        </w:tc>
        <w:tc>
          <w:tcPr>
            <w:tcW w:w="1843" w:type="pct"/>
            <w:gridSpan w:val="3"/>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IEEM</w:t>
            </w:r>
          </w:p>
        </w:tc>
        <w:tc>
          <w:tcPr>
            <w:tcW w:w="2559" w:type="pct"/>
            <w:gridSpan w:val="4"/>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INE</w:t>
            </w:r>
          </w:p>
        </w:tc>
      </w:tr>
      <w:tr w:rsidR="00A256AB" w:rsidRPr="006B510F" w:rsidTr="006B510F">
        <w:tc>
          <w:tcPr>
            <w:tcW w:w="598" w:type="pct"/>
            <w:vMerge/>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p>
        </w:tc>
        <w:tc>
          <w:tcPr>
            <w:tcW w:w="611"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PM/DL</w:t>
            </w:r>
          </w:p>
        </w:tc>
        <w:tc>
          <w:tcPr>
            <w:tcW w:w="628"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GOBERNADOR</w:t>
            </w:r>
          </w:p>
        </w:tc>
        <w:tc>
          <w:tcPr>
            <w:tcW w:w="604"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PM/DL</w:t>
            </w:r>
          </w:p>
        </w:tc>
        <w:tc>
          <w:tcPr>
            <w:tcW w:w="615"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PM/DL</w:t>
            </w:r>
          </w:p>
        </w:tc>
        <w:tc>
          <w:tcPr>
            <w:tcW w:w="700"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PM EXTRAORDINARIA</w:t>
            </w:r>
          </w:p>
        </w:tc>
        <w:tc>
          <w:tcPr>
            <w:tcW w:w="629"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GOBERNADOR</w:t>
            </w:r>
          </w:p>
        </w:tc>
        <w:tc>
          <w:tcPr>
            <w:tcW w:w="615"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PM/DL</w:t>
            </w:r>
          </w:p>
        </w:tc>
      </w:tr>
      <w:tr w:rsidR="00A256AB" w:rsidRPr="006B510F" w:rsidTr="006B510F">
        <w:tc>
          <w:tcPr>
            <w:tcW w:w="598" w:type="pct"/>
            <w:vMerge/>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p>
        </w:tc>
        <w:tc>
          <w:tcPr>
            <w:tcW w:w="611"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2009</w:t>
            </w:r>
          </w:p>
        </w:tc>
        <w:tc>
          <w:tcPr>
            <w:tcW w:w="628"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2011</w:t>
            </w:r>
          </w:p>
        </w:tc>
        <w:tc>
          <w:tcPr>
            <w:tcW w:w="604"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2012</w:t>
            </w:r>
          </w:p>
        </w:tc>
        <w:tc>
          <w:tcPr>
            <w:tcW w:w="615"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2015</w:t>
            </w:r>
          </w:p>
        </w:tc>
        <w:tc>
          <w:tcPr>
            <w:tcW w:w="700"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2016</w:t>
            </w:r>
          </w:p>
        </w:tc>
        <w:tc>
          <w:tcPr>
            <w:tcW w:w="629"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2017</w:t>
            </w:r>
          </w:p>
        </w:tc>
        <w:tc>
          <w:tcPr>
            <w:tcW w:w="615" w:type="pct"/>
            <w:shd w:val="clear" w:color="auto" w:fill="FBE4D5" w:themeFill="accent2" w:themeFillTint="33"/>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2018</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PAN</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$27,014.00</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$11,616,946.28</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$108,114,048.87</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$936,974.60</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PRI</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$55,846.25</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$2,699,477.97</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$1,387.76</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$50,720,766.36</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$670,473.42</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PRD</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$272,627.92</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$4,444.20</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$88,089.41</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$4,446,051.33</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$24,322.32</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$78,744,426.02</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$776,740.54</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PT</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$360,869.05</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$10,536.17</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$244,045.41</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$2,395,769.67</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$8,034.40</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$20,664,105.34</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$2,047,866.70</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PVEM</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$1,320,644.17</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$1,495,933.90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$584.32</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$12,534,029.05</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$1,004,682.42</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M.C.</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$103,356.70</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$10,534.63</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$230,281.19</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$1,874,474.00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$1,460.80</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$378,220.73</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NUAL</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$65,976.50</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$0</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$621,436.50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$657.36</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$14,824,839.28</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$233,007.53</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PSD</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$65,560.90</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PFD</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$520,467.44</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$20,188.80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$5,843.20</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MORENA</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$2,020,343.70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$29,069.92</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$96,583,695.68</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$3,796,943.85</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PES</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$1,485,552.60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$219.12</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$12,501,836.44</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$2,036,849.21</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VÍA RADICAL</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$3,994,049.53</w:t>
            </w:r>
          </w:p>
        </w:tc>
      </w:tr>
      <w:tr w:rsidR="00A256AB" w:rsidRPr="006B510F" w:rsidTr="006B510F">
        <w:tc>
          <w:tcPr>
            <w:tcW w:w="598" w:type="pct"/>
          </w:tcPr>
          <w:p w:rsidR="00A256AB" w:rsidRPr="006B510F" w:rsidRDefault="00A256AB" w:rsidP="00A256AB">
            <w:pPr>
              <w:rPr>
                <w:rFonts w:ascii="Arial" w:hAnsi="Arial" w:cs="Arial"/>
                <w:sz w:val="16"/>
                <w:szCs w:val="16"/>
                <w:lang w:val="es-ES_tradnl"/>
              </w:rPr>
            </w:pPr>
            <w:r w:rsidRPr="006B510F">
              <w:rPr>
                <w:rFonts w:ascii="Arial" w:hAnsi="Arial" w:cs="Arial"/>
                <w:sz w:val="16"/>
                <w:szCs w:val="16"/>
                <w:lang w:val="es-ES_tradnl"/>
              </w:rPr>
              <w:t>PH</w:t>
            </w:r>
          </w:p>
        </w:tc>
        <w:tc>
          <w:tcPr>
            <w:tcW w:w="611"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8"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04"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$1,456,849.60</w:t>
            </w:r>
          </w:p>
        </w:tc>
        <w:tc>
          <w:tcPr>
            <w:tcW w:w="700"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29"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c>
          <w:tcPr>
            <w:tcW w:w="615" w:type="pct"/>
          </w:tcPr>
          <w:p w:rsidR="00A256AB" w:rsidRPr="006B510F" w:rsidRDefault="00A256AB" w:rsidP="00A256AB">
            <w:pPr>
              <w:jc w:val="right"/>
              <w:rPr>
                <w:rFonts w:ascii="Arial" w:hAnsi="Arial" w:cs="Arial"/>
                <w:sz w:val="16"/>
                <w:szCs w:val="16"/>
                <w:lang w:val="es-ES_tradnl"/>
              </w:rPr>
            </w:pPr>
            <w:r w:rsidRPr="006B510F">
              <w:rPr>
                <w:rFonts w:ascii="Arial" w:hAnsi="Arial" w:cs="Arial"/>
                <w:sz w:val="16"/>
                <w:szCs w:val="16"/>
                <w:lang w:val="es-ES_tradnl"/>
              </w:rPr>
              <w:t>--</w:t>
            </w:r>
          </w:p>
        </w:tc>
      </w:tr>
      <w:tr w:rsidR="00A256AB" w:rsidRPr="006B510F" w:rsidTr="006B510F">
        <w:tc>
          <w:tcPr>
            <w:tcW w:w="598" w:type="pct"/>
            <w:vMerge w:val="restart"/>
            <w:vAlign w:val="center"/>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TOTAL</w:t>
            </w:r>
          </w:p>
        </w:tc>
        <w:tc>
          <w:tcPr>
            <w:tcW w:w="611"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$2,792,362.93</w:t>
            </w:r>
          </w:p>
        </w:tc>
        <w:tc>
          <w:tcPr>
            <w:tcW w:w="628"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$25,515.00</w:t>
            </w:r>
          </w:p>
        </w:tc>
        <w:tc>
          <w:tcPr>
            <w:tcW w:w="604"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$562,416.01</w:t>
            </w:r>
          </w:p>
        </w:tc>
        <w:tc>
          <w:tcPr>
            <w:tcW w:w="615"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$30,133,024.35</w:t>
            </w:r>
          </w:p>
        </w:tc>
        <w:tc>
          <w:tcPr>
            <w:tcW w:w="700"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$71,579.20</w:t>
            </w:r>
          </w:p>
        </w:tc>
        <w:tc>
          <w:tcPr>
            <w:tcW w:w="629"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$394,687,747.04</w:t>
            </w:r>
          </w:p>
        </w:tc>
        <w:tc>
          <w:tcPr>
            <w:tcW w:w="615" w:type="pct"/>
          </w:tcPr>
          <w:p w:rsidR="00A256AB" w:rsidRPr="006B510F" w:rsidRDefault="00A256AB" w:rsidP="00A256AB">
            <w:pPr>
              <w:jc w:val="right"/>
              <w:rPr>
                <w:rFonts w:ascii="Arial" w:hAnsi="Arial" w:cs="Arial"/>
                <w:b/>
                <w:sz w:val="16"/>
                <w:szCs w:val="16"/>
                <w:lang w:val="es-ES_tradnl"/>
              </w:rPr>
            </w:pPr>
            <w:r w:rsidRPr="006B510F">
              <w:rPr>
                <w:rFonts w:ascii="Arial" w:hAnsi="Arial" w:cs="Arial"/>
                <w:b/>
                <w:sz w:val="16"/>
                <w:szCs w:val="16"/>
                <w:lang w:val="es-ES_tradnl"/>
              </w:rPr>
              <w:t>$15,875,808.53</w:t>
            </w:r>
          </w:p>
        </w:tc>
      </w:tr>
      <w:tr w:rsidR="00A256AB" w:rsidRPr="006B510F" w:rsidTr="006B510F">
        <w:trPr>
          <w:trHeight w:val="77"/>
        </w:trPr>
        <w:tc>
          <w:tcPr>
            <w:tcW w:w="598" w:type="pct"/>
            <w:vMerge/>
          </w:tcPr>
          <w:p w:rsidR="00A256AB" w:rsidRPr="006B510F" w:rsidRDefault="00A256AB" w:rsidP="00A256AB">
            <w:pPr>
              <w:rPr>
                <w:rFonts w:ascii="Arial" w:hAnsi="Arial" w:cs="Arial"/>
                <w:b/>
                <w:sz w:val="16"/>
                <w:szCs w:val="16"/>
                <w:lang w:val="es-ES_tradnl"/>
              </w:rPr>
            </w:pPr>
          </w:p>
        </w:tc>
        <w:tc>
          <w:tcPr>
            <w:tcW w:w="1843" w:type="pct"/>
            <w:gridSpan w:val="3"/>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$3,380,293.01</w:t>
            </w:r>
          </w:p>
        </w:tc>
        <w:tc>
          <w:tcPr>
            <w:tcW w:w="2559" w:type="pct"/>
            <w:gridSpan w:val="4"/>
          </w:tcPr>
          <w:p w:rsidR="00A256AB" w:rsidRPr="006B510F" w:rsidRDefault="00A256AB" w:rsidP="00A256AB">
            <w:pPr>
              <w:jc w:val="center"/>
              <w:rPr>
                <w:rFonts w:ascii="Arial" w:hAnsi="Arial" w:cs="Arial"/>
                <w:b/>
                <w:sz w:val="16"/>
                <w:szCs w:val="16"/>
                <w:lang w:val="es-ES_tradnl"/>
              </w:rPr>
            </w:pPr>
            <w:r w:rsidRPr="006B510F">
              <w:rPr>
                <w:rFonts w:ascii="Arial" w:hAnsi="Arial" w:cs="Arial"/>
                <w:b/>
                <w:sz w:val="16"/>
                <w:szCs w:val="16"/>
                <w:lang w:val="es-ES_tradnl"/>
              </w:rPr>
              <w:t>$440,768,159.12</w:t>
            </w:r>
          </w:p>
        </w:tc>
      </w:tr>
    </w:tbl>
    <w:p w:rsidR="00A256AB" w:rsidRPr="006B510F" w:rsidRDefault="006B510F" w:rsidP="00A256AB">
      <w:pPr>
        <w:jc w:val="both"/>
        <w:rPr>
          <w:rFonts w:ascii="Arial" w:hAnsi="Arial" w:cs="Arial"/>
          <w:i/>
          <w:iCs/>
          <w:sz w:val="16"/>
          <w:szCs w:val="16"/>
        </w:rPr>
      </w:pPr>
      <w:r>
        <w:rPr>
          <w:rFonts w:ascii="Arial" w:hAnsi="Arial" w:cs="Arial"/>
          <w:b/>
          <w:bCs/>
          <w:i/>
          <w:iCs/>
          <w:sz w:val="16"/>
          <w:szCs w:val="16"/>
        </w:rPr>
        <w:t xml:space="preserve">Fuente: </w:t>
      </w:r>
      <w:r w:rsidR="00A256AB" w:rsidRPr="006B510F">
        <w:rPr>
          <w:rFonts w:ascii="Arial" w:hAnsi="Arial" w:cs="Arial"/>
          <w:i/>
          <w:iCs/>
          <w:sz w:val="16"/>
          <w:szCs w:val="16"/>
        </w:rPr>
        <w:t>Elaboración propia con base en dictámenes y resoluciones del IEEM e INE.</w:t>
      </w:r>
    </w:p>
    <w:p w:rsidR="006B510F" w:rsidRDefault="006B510F" w:rsidP="00A256AB">
      <w:pPr>
        <w:jc w:val="both"/>
        <w:rPr>
          <w:rFonts w:ascii="Arial" w:hAnsi="Arial" w:cs="Arial"/>
          <w:sz w:val="16"/>
          <w:szCs w:val="16"/>
        </w:rPr>
      </w:pPr>
    </w:p>
    <w:p w:rsidR="006B510F" w:rsidRPr="00A85D78" w:rsidRDefault="006B510F" w:rsidP="00A256AB">
      <w:pPr>
        <w:jc w:val="both"/>
        <w:rPr>
          <w:rFonts w:ascii="Arial" w:hAnsi="Arial" w:cs="Arial"/>
          <w:sz w:val="16"/>
          <w:szCs w:val="16"/>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En relación con la actuación del Órgano Técnico de Fiscalización del IEEM, durante la campaña de 2009, impuso multas por un monto de $2,792,362.93 a todos los partidos participantes de la elección; esta cifra disminuyó para el proceso electoral local inmediato siguiente donde se eligió al Gobernador Constitucional para el periodo 2011-2017, en el que la multa presentada es la más baja en la coyuntura en análisis con un monto de $25,515.00; esto implica un decremento de 99.08% con respecto a la sanción total del proceso electoral 2009.</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Para la última elección en la que el IEEM llev</w:t>
      </w:r>
      <w:r w:rsidR="00FF0AEA">
        <w:rPr>
          <w:rFonts w:ascii="Arial" w:hAnsi="Arial" w:cs="Arial"/>
          <w:sz w:val="24"/>
          <w:szCs w:val="24"/>
        </w:rPr>
        <w:t>ó</w:t>
      </w:r>
      <w:r w:rsidRPr="00A85D78">
        <w:rPr>
          <w:rFonts w:ascii="Arial" w:hAnsi="Arial" w:cs="Arial"/>
          <w:sz w:val="24"/>
          <w:szCs w:val="24"/>
        </w:rPr>
        <w:t xml:space="preserve"> a cabo la revisión de los gastos de campaña de los partidos políticos, las multas en su conjunto alcanzaron una cifra de $562,416.01, </w:t>
      </w:r>
      <w:r w:rsidR="006B510F">
        <w:rPr>
          <w:rFonts w:ascii="Arial" w:hAnsi="Arial" w:cs="Arial"/>
          <w:sz w:val="24"/>
          <w:szCs w:val="24"/>
        </w:rPr>
        <w:t xml:space="preserve">sin </w:t>
      </w:r>
      <w:proofErr w:type="gramStart"/>
      <w:r w:rsidR="006B510F">
        <w:rPr>
          <w:rFonts w:ascii="Arial" w:hAnsi="Arial" w:cs="Arial"/>
          <w:sz w:val="24"/>
          <w:szCs w:val="24"/>
        </w:rPr>
        <w:t>embargo</w:t>
      </w:r>
      <w:proofErr w:type="gramEnd"/>
      <w:r w:rsidRPr="00A85D78">
        <w:rPr>
          <w:rFonts w:ascii="Arial" w:hAnsi="Arial" w:cs="Arial"/>
          <w:sz w:val="24"/>
          <w:szCs w:val="24"/>
        </w:rPr>
        <w:t xml:space="preserve"> en comparación con las multas aprobadas con respecto al proceso electoral 2009, el monto representa únicamente el 20.14% del total de la suma de las multas más altas impuestas por el IEEM. </w:t>
      </w:r>
    </w:p>
    <w:p w:rsidR="006B510F" w:rsidRPr="00A85D78" w:rsidRDefault="006B510F" w:rsidP="006B510F">
      <w:pPr>
        <w:spacing w:line="360" w:lineRule="auto"/>
        <w:jc w:val="both"/>
        <w:rPr>
          <w:rFonts w:ascii="Arial" w:hAnsi="Arial" w:cs="Arial"/>
          <w:sz w:val="24"/>
          <w:szCs w:val="24"/>
        </w:rPr>
      </w:pP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t xml:space="preserve">La actuación del INE en la fiscalización de los gastos de campaña de los partidos políticos, en el Estado de México, dio inicio con la aprobación de multas </w:t>
      </w:r>
      <w:r w:rsidR="00600C69" w:rsidRPr="00A85D78">
        <w:rPr>
          <w:rFonts w:ascii="Arial" w:hAnsi="Arial" w:cs="Arial"/>
          <w:sz w:val="24"/>
          <w:szCs w:val="24"/>
        </w:rPr>
        <w:t>por $</w:t>
      </w:r>
      <w:r w:rsidRPr="00A85D78">
        <w:rPr>
          <w:rFonts w:ascii="Arial" w:hAnsi="Arial" w:cs="Arial"/>
          <w:sz w:val="24"/>
          <w:szCs w:val="24"/>
        </w:rPr>
        <w:t xml:space="preserve">30,133,024.35 en el 2015; para el proceso electoral extraordinario de Chiautla las multas alcanzaron $71,579.20,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ya fue señalado con anticipación la particularidad de este proceso. </w:t>
      </w:r>
    </w:p>
    <w:p w:rsidR="006B510F" w:rsidRPr="00A85D78" w:rsidRDefault="006B510F" w:rsidP="006B510F">
      <w:pPr>
        <w:spacing w:line="360" w:lineRule="auto"/>
        <w:jc w:val="both"/>
        <w:rPr>
          <w:rFonts w:ascii="Arial" w:hAnsi="Arial" w:cs="Arial"/>
          <w:sz w:val="24"/>
          <w:szCs w:val="24"/>
        </w:rPr>
      </w:pPr>
    </w:p>
    <w:p w:rsidR="00A256AB" w:rsidRPr="00A85D78" w:rsidRDefault="00A256AB" w:rsidP="006B510F">
      <w:pPr>
        <w:spacing w:line="360" w:lineRule="auto"/>
        <w:jc w:val="both"/>
        <w:rPr>
          <w:rFonts w:ascii="Arial" w:hAnsi="Arial" w:cs="Arial"/>
          <w:sz w:val="24"/>
          <w:szCs w:val="24"/>
        </w:rPr>
      </w:pPr>
      <w:r w:rsidRPr="00A85D78">
        <w:rPr>
          <w:rFonts w:ascii="Arial" w:hAnsi="Arial" w:cs="Arial"/>
          <w:sz w:val="24"/>
          <w:szCs w:val="24"/>
        </w:rPr>
        <w:t>Al año siguiente la campaña para renovar la gubernatura en la entidad, dej</w:t>
      </w:r>
      <w:r w:rsidR="0099249B">
        <w:rPr>
          <w:rFonts w:ascii="Arial" w:hAnsi="Arial" w:cs="Arial"/>
          <w:sz w:val="24"/>
          <w:szCs w:val="24"/>
        </w:rPr>
        <w:t>ó</w:t>
      </w:r>
      <w:r w:rsidRPr="00A85D78">
        <w:rPr>
          <w:rFonts w:ascii="Arial" w:hAnsi="Arial" w:cs="Arial"/>
          <w:sz w:val="24"/>
          <w:szCs w:val="24"/>
        </w:rPr>
        <w:t xml:space="preserve"> las multas más altas del periodo objeto de estudio, una cifra r</w:t>
      </w:r>
      <w:r w:rsidR="0099249B">
        <w:rPr>
          <w:rFonts w:ascii="Arial" w:hAnsi="Arial" w:cs="Arial"/>
          <w:sz w:val="24"/>
          <w:szCs w:val="24"/>
        </w:rPr>
        <w:t>é</w:t>
      </w:r>
      <w:r w:rsidRPr="00A85D78">
        <w:rPr>
          <w:rFonts w:ascii="Arial" w:hAnsi="Arial" w:cs="Arial"/>
          <w:sz w:val="24"/>
          <w:szCs w:val="24"/>
        </w:rPr>
        <w:t xml:space="preserve">cord de $394,687,747.04; el monto de las multas aprobadas en 2015, representan únicamente el 7.64% de las multas aprobadas en 2017. </w:t>
      </w:r>
    </w:p>
    <w:p w:rsidR="00A256AB" w:rsidRDefault="00A256AB" w:rsidP="006B510F">
      <w:pPr>
        <w:spacing w:line="360" w:lineRule="auto"/>
        <w:jc w:val="both"/>
        <w:rPr>
          <w:rFonts w:ascii="Arial" w:hAnsi="Arial" w:cs="Arial"/>
          <w:sz w:val="24"/>
          <w:szCs w:val="24"/>
        </w:rPr>
      </w:pPr>
      <w:r w:rsidRPr="00A85D78">
        <w:rPr>
          <w:rFonts w:ascii="Arial" w:hAnsi="Arial" w:cs="Arial"/>
          <w:sz w:val="24"/>
          <w:szCs w:val="24"/>
        </w:rPr>
        <w:lastRenderedPageBreak/>
        <w:t>Para el último proceso electoral local, el INE aprobó multas por $15,875,808.53, en relación con las multas aprobadas para el año inmediato anterior, la severidad con la que la autoridad fiscalizadora calific</w:t>
      </w:r>
      <w:r w:rsidR="0099249B">
        <w:rPr>
          <w:rFonts w:ascii="Arial" w:hAnsi="Arial" w:cs="Arial"/>
          <w:sz w:val="24"/>
          <w:szCs w:val="24"/>
        </w:rPr>
        <w:t>ó</w:t>
      </w:r>
      <w:r w:rsidRPr="00A85D78">
        <w:rPr>
          <w:rFonts w:ascii="Arial" w:hAnsi="Arial" w:cs="Arial"/>
          <w:sz w:val="24"/>
          <w:szCs w:val="24"/>
        </w:rPr>
        <w:t xml:space="preserve"> las infracciones de los partidos fue mucho menor siendo la diferencia de multas entre un año con respecto al otro de $378,811,938.51.</w:t>
      </w:r>
    </w:p>
    <w:p w:rsidR="004E6179" w:rsidRPr="00A85D78" w:rsidRDefault="004E6179" w:rsidP="006B510F">
      <w:pPr>
        <w:spacing w:line="360" w:lineRule="auto"/>
        <w:jc w:val="both"/>
        <w:rPr>
          <w:rFonts w:ascii="Arial" w:hAnsi="Arial" w:cs="Arial"/>
          <w:sz w:val="24"/>
          <w:szCs w:val="24"/>
        </w:rPr>
      </w:pPr>
    </w:p>
    <w:p w:rsidR="00A256AB" w:rsidRDefault="00A256AB" w:rsidP="004E6179">
      <w:pPr>
        <w:spacing w:line="360" w:lineRule="auto"/>
        <w:jc w:val="both"/>
        <w:rPr>
          <w:rFonts w:ascii="Arial" w:hAnsi="Arial" w:cs="Arial"/>
          <w:sz w:val="24"/>
          <w:szCs w:val="24"/>
        </w:rPr>
      </w:pPr>
      <w:r w:rsidRPr="00A85D78">
        <w:rPr>
          <w:rFonts w:ascii="Arial" w:hAnsi="Arial" w:cs="Arial"/>
          <w:sz w:val="24"/>
          <w:szCs w:val="24"/>
        </w:rPr>
        <w:t>En total durante el periodo 2009 – 2012 y después de fiscalizar 3 proceso electorales, 2 correspondientes a renovación de ayuntamientos y diputados locales, así como uno para gobernador, el IEEM aprobó multas por un total de $3,380,293.01; por otra parte el INE en el lapso de tiempo comprendido entre 2015 y 2018, fiscalizó 4 procesos electorales: 2 de renovación de ayuntamientos y diputados locales, un proceso extraordinario y uno para gobernador, con un monto de $440,768,159.12 en multas aprobadas. Las multas aprobadas por el IEEM, representan tan solo el 0.76% de las multas sancionadas por el INE.</w:t>
      </w:r>
    </w:p>
    <w:p w:rsidR="004E6179" w:rsidRPr="00A85D78" w:rsidRDefault="004E6179" w:rsidP="004E6179">
      <w:pPr>
        <w:spacing w:line="360" w:lineRule="auto"/>
        <w:jc w:val="both"/>
        <w:rPr>
          <w:rFonts w:ascii="Arial" w:hAnsi="Arial" w:cs="Arial"/>
          <w:sz w:val="24"/>
          <w:szCs w:val="24"/>
        </w:rPr>
      </w:pPr>
    </w:p>
    <w:p w:rsidR="00A256AB" w:rsidRPr="00A85D78" w:rsidRDefault="00A256AB" w:rsidP="004E6179">
      <w:pPr>
        <w:spacing w:line="360" w:lineRule="auto"/>
        <w:jc w:val="both"/>
        <w:rPr>
          <w:rFonts w:ascii="Arial" w:hAnsi="Arial" w:cs="Arial"/>
          <w:b/>
          <w:sz w:val="24"/>
          <w:szCs w:val="24"/>
        </w:rPr>
      </w:pPr>
      <w:r w:rsidRPr="00A85D78">
        <w:rPr>
          <w:rFonts w:ascii="Arial" w:hAnsi="Arial" w:cs="Arial"/>
          <w:b/>
          <w:sz w:val="24"/>
          <w:szCs w:val="24"/>
        </w:rPr>
        <w:t xml:space="preserve">4.2.6. Resumen de </w:t>
      </w:r>
      <w:r w:rsidR="00E04C13">
        <w:rPr>
          <w:rFonts w:ascii="Arial" w:hAnsi="Arial" w:cs="Arial"/>
          <w:b/>
          <w:sz w:val="24"/>
          <w:szCs w:val="24"/>
        </w:rPr>
        <w:t>c</w:t>
      </w:r>
      <w:r w:rsidRPr="00A85D78">
        <w:rPr>
          <w:rFonts w:ascii="Arial" w:hAnsi="Arial" w:cs="Arial"/>
          <w:b/>
          <w:sz w:val="24"/>
          <w:szCs w:val="24"/>
        </w:rPr>
        <w:t xml:space="preserve">onductas </w:t>
      </w:r>
      <w:r w:rsidR="00E04C13">
        <w:rPr>
          <w:rFonts w:ascii="Arial" w:hAnsi="Arial" w:cs="Arial"/>
          <w:b/>
          <w:sz w:val="24"/>
          <w:szCs w:val="24"/>
        </w:rPr>
        <w:t>i</w:t>
      </w:r>
      <w:r w:rsidRPr="00A85D78">
        <w:rPr>
          <w:rFonts w:ascii="Arial" w:hAnsi="Arial" w:cs="Arial"/>
          <w:b/>
          <w:sz w:val="24"/>
          <w:szCs w:val="24"/>
        </w:rPr>
        <w:t>nfractoras por partido</w:t>
      </w:r>
      <w:r w:rsidR="0099249B">
        <w:rPr>
          <w:rFonts w:ascii="Arial" w:hAnsi="Arial" w:cs="Arial"/>
          <w:b/>
          <w:sz w:val="24"/>
          <w:szCs w:val="24"/>
        </w:rPr>
        <w:t>.</w:t>
      </w:r>
    </w:p>
    <w:p w:rsidR="00A256AB" w:rsidRDefault="00A256AB" w:rsidP="004E6179">
      <w:pPr>
        <w:spacing w:line="360" w:lineRule="auto"/>
        <w:jc w:val="both"/>
        <w:rPr>
          <w:rFonts w:ascii="Arial" w:hAnsi="Arial" w:cs="Arial"/>
          <w:sz w:val="24"/>
          <w:szCs w:val="24"/>
        </w:rPr>
      </w:pPr>
      <w:r w:rsidRPr="00A85D78">
        <w:rPr>
          <w:rFonts w:ascii="Arial" w:hAnsi="Arial" w:cs="Arial"/>
          <w:sz w:val="24"/>
          <w:szCs w:val="24"/>
        </w:rPr>
        <w:t xml:space="preserve">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gran diferencia en el monto de las multas impuestas por las autoridades electorales local y nacional en dos coyunturas distintas; el número de conductas infractoras detectadas y sancionadas, también se convierte en un indicador para entender la disparidad entre los montos de las sanciones aprobadas por cada una de las autoridades local y nacional.</w:t>
      </w:r>
    </w:p>
    <w:p w:rsidR="004E6179" w:rsidRPr="00A85D78" w:rsidRDefault="004E6179" w:rsidP="004E6179">
      <w:pPr>
        <w:spacing w:line="360" w:lineRule="auto"/>
        <w:jc w:val="both"/>
        <w:rPr>
          <w:rFonts w:ascii="Arial" w:hAnsi="Arial" w:cs="Arial"/>
          <w:sz w:val="24"/>
          <w:szCs w:val="24"/>
        </w:rPr>
      </w:pPr>
    </w:p>
    <w:p w:rsidR="00A256AB" w:rsidRPr="00A85D78" w:rsidRDefault="00A256AB" w:rsidP="004E6179">
      <w:pPr>
        <w:spacing w:line="360" w:lineRule="auto"/>
        <w:jc w:val="both"/>
        <w:rPr>
          <w:rFonts w:ascii="Arial" w:hAnsi="Arial" w:cs="Arial"/>
          <w:b/>
          <w:sz w:val="24"/>
          <w:szCs w:val="24"/>
        </w:rPr>
      </w:pPr>
      <w:r w:rsidRPr="00A85D78">
        <w:rPr>
          <w:rFonts w:ascii="Arial" w:hAnsi="Arial" w:cs="Arial"/>
          <w:b/>
          <w:sz w:val="24"/>
          <w:szCs w:val="24"/>
        </w:rPr>
        <w:t xml:space="preserve">4.2.6.1. Resumen de </w:t>
      </w:r>
      <w:r w:rsidR="00E04C13">
        <w:rPr>
          <w:rFonts w:ascii="Arial" w:hAnsi="Arial" w:cs="Arial"/>
          <w:b/>
          <w:sz w:val="24"/>
          <w:szCs w:val="24"/>
        </w:rPr>
        <w:t>c</w:t>
      </w:r>
      <w:r w:rsidRPr="00A85D78">
        <w:rPr>
          <w:rFonts w:ascii="Arial" w:hAnsi="Arial" w:cs="Arial"/>
          <w:b/>
          <w:sz w:val="24"/>
          <w:szCs w:val="24"/>
        </w:rPr>
        <w:t xml:space="preserve">onductas </w:t>
      </w:r>
      <w:r w:rsidR="00E04C13">
        <w:rPr>
          <w:rFonts w:ascii="Arial" w:hAnsi="Arial" w:cs="Arial"/>
          <w:b/>
          <w:sz w:val="24"/>
          <w:szCs w:val="24"/>
        </w:rPr>
        <w:t>i</w:t>
      </w:r>
      <w:r w:rsidRPr="00A85D78">
        <w:rPr>
          <w:rFonts w:ascii="Arial" w:hAnsi="Arial" w:cs="Arial"/>
          <w:b/>
          <w:sz w:val="24"/>
          <w:szCs w:val="24"/>
        </w:rPr>
        <w:t>nfractoras de precampaña</w:t>
      </w:r>
      <w:r w:rsidR="0099249B">
        <w:rPr>
          <w:rFonts w:ascii="Arial" w:hAnsi="Arial" w:cs="Arial"/>
          <w:b/>
          <w:sz w:val="24"/>
          <w:szCs w:val="24"/>
        </w:rPr>
        <w:t>.</w:t>
      </w:r>
    </w:p>
    <w:p w:rsidR="00A256AB" w:rsidRPr="00A85D78" w:rsidRDefault="00A256AB" w:rsidP="004E6179">
      <w:pPr>
        <w:spacing w:line="360" w:lineRule="auto"/>
        <w:jc w:val="both"/>
        <w:rPr>
          <w:rFonts w:ascii="Arial" w:hAnsi="Arial" w:cs="Arial"/>
          <w:sz w:val="24"/>
          <w:szCs w:val="24"/>
        </w:rPr>
      </w:pPr>
      <w:r w:rsidRPr="00A85D78">
        <w:rPr>
          <w:rFonts w:ascii="Arial" w:hAnsi="Arial" w:cs="Arial"/>
          <w:sz w:val="24"/>
          <w:szCs w:val="24"/>
        </w:rPr>
        <w:t>En la tabla 4.29.1 podemos contrastar la cifra de conductas sancionadas por IEEM e INE en el periodo 2009 – 2012, relativas a las precampañas en el mismo periodo de tiempo</w:t>
      </w:r>
      <w:r w:rsidR="004E6179">
        <w:rPr>
          <w:rFonts w:ascii="Arial" w:hAnsi="Arial" w:cs="Arial"/>
          <w:sz w:val="24"/>
          <w:szCs w:val="24"/>
        </w:rPr>
        <w:t>.</w:t>
      </w:r>
    </w:p>
    <w:p w:rsidR="00A256AB" w:rsidRPr="00A85D78" w:rsidRDefault="00A256AB" w:rsidP="00A256AB">
      <w:pPr>
        <w:jc w:val="both"/>
        <w:rPr>
          <w:rFonts w:ascii="Arial" w:hAnsi="Arial" w:cs="Arial"/>
          <w:sz w:val="24"/>
          <w:szCs w:val="24"/>
        </w:rPr>
      </w:pPr>
    </w:p>
    <w:p w:rsidR="00E04C13" w:rsidRDefault="00E04C13">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Pr="004E6179" w:rsidRDefault="00A256AB" w:rsidP="004E6179">
      <w:pPr>
        <w:tabs>
          <w:tab w:val="left" w:pos="5070"/>
        </w:tabs>
        <w:jc w:val="both"/>
        <w:rPr>
          <w:rStyle w:val="Ttulodellibro"/>
          <w:rFonts w:ascii="Arial" w:hAnsi="Arial" w:cs="Arial"/>
          <w:b/>
          <w:i/>
          <w:color w:val="auto"/>
          <w:sz w:val="20"/>
          <w:szCs w:val="20"/>
        </w:rPr>
      </w:pPr>
      <w:r w:rsidRPr="004E6179">
        <w:rPr>
          <w:rStyle w:val="Ttulodellibro"/>
          <w:rFonts w:ascii="Arial" w:hAnsi="Arial" w:cs="Arial"/>
          <w:b/>
          <w:i/>
          <w:color w:val="auto"/>
          <w:sz w:val="20"/>
          <w:szCs w:val="20"/>
        </w:rPr>
        <w:lastRenderedPageBreak/>
        <w:t>Tabla 4.29 Conductas precampaña Infractoras por Partido 2009-2018</w:t>
      </w:r>
      <w:r w:rsidR="004E6179" w:rsidRPr="004E6179">
        <w:rPr>
          <w:rStyle w:val="Ttulodellibro"/>
          <w:rFonts w:ascii="Arial" w:hAnsi="Arial" w:cs="Arial"/>
          <w:b/>
          <w:i/>
          <w:color w:val="auto"/>
          <w:sz w:val="20"/>
          <w:szCs w:val="20"/>
        </w:rPr>
        <w:t>.</w:t>
      </w:r>
    </w:p>
    <w:p w:rsidR="004E6179" w:rsidRPr="00A85D78" w:rsidRDefault="004E6179" w:rsidP="00A256AB">
      <w:pPr>
        <w:rPr>
          <w:rFonts w:ascii="Arial" w:hAnsi="Arial" w:cs="Arial"/>
          <w:sz w:val="24"/>
          <w:szCs w:val="24"/>
        </w:rPr>
      </w:pPr>
    </w:p>
    <w:tbl>
      <w:tblPr>
        <w:tblStyle w:val="Tablaconcuadrcula"/>
        <w:tblW w:w="0" w:type="auto"/>
        <w:tblLook w:val="04A0" w:firstRow="1" w:lastRow="0" w:firstColumn="1" w:lastColumn="0" w:noHBand="0" w:noVBand="1"/>
      </w:tblPr>
      <w:tblGrid>
        <w:gridCol w:w="1716"/>
        <w:gridCol w:w="1693"/>
        <w:gridCol w:w="1761"/>
        <w:gridCol w:w="1694"/>
        <w:gridCol w:w="1694"/>
        <w:gridCol w:w="1979"/>
        <w:gridCol w:w="1761"/>
        <w:gridCol w:w="1694"/>
      </w:tblGrid>
      <w:tr w:rsidR="00A256AB" w:rsidRPr="00A85D78" w:rsidTr="0099249B">
        <w:tc>
          <w:tcPr>
            <w:tcW w:w="1716" w:type="dxa"/>
            <w:vMerge w:val="restart"/>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PARTIDO</w:t>
            </w:r>
          </w:p>
        </w:tc>
        <w:tc>
          <w:tcPr>
            <w:tcW w:w="5148" w:type="dxa"/>
            <w:gridSpan w:val="3"/>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IEEM</w:t>
            </w:r>
          </w:p>
        </w:tc>
        <w:tc>
          <w:tcPr>
            <w:tcW w:w="7128" w:type="dxa"/>
            <w:gridSpan w:val="4"/>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INE</w:t>
            </w:r>
          </w:p>
        </w:tc>
      </w:tr>
      <w:tr w:rsidR="00A256AB" w:rsidRPr="00A85D78" w:rsidTr="0099249B">
        <w:tc>
          <w:tcPr>
            <w:tcW w:w="1716" w:type="dxa"/>
            <w:vMerge/>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p>
        </w:tc>
        <w:tc>
          <w:tcPr>
            <w:tcW w:w="1693"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761"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GOBERNADOR</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c>
          <w:tcPr>
            <w:tcW w:w="1979"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PM EXTRAORDINARIA</w:t>
            </w:r>
          </w:p>
        </w:tc>
        <w:tc>
          <w:tcPr>
            <w:tcW w:w="1761"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GOBERNADOR</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PM/DL</w:t>
            </w:r>
          </w:p>
        </w:tc>
      </w:tr>
      <w:tr w:rsidR="00A256AB" w:rsidRPr="00A85D78" w:rsidTr="0099249B">
        <w:tc>
          <w:tcPr>
            <w:tcW w:w="1716" w:type="dxa"/>
            <w:vMerge/>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p>
        </w:tc>
        <w:tc>
          <w:tcPr>
            <w:tcW w:w="1693"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2009</w:t>
            </w:r>
          </w:p>
        </w:tc>
        <w:tc>
          <w:tcPr>
            <w:tcW w:w="1761"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2011</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2012</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2015</w:t>
            </w:r>
          </w:p>
        </w:tc>
        <w:tc>
          <w:tcPr>
            <w:tcW w:w="1979"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2016</w:t>
            </w:r>
          </w:p>
        </w:tc>
        <w:tc>
          <w:tcPr>
            <w:tcW w:w="1761"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2017</w:t>
            </w:r>
          </w:p>
        </w:tc>
        <w:tc>
          <w:tcPr>
            <w:tcW w:w="1694" w:type="dxa"/>
            <w:shd w:val="clear" w:color="auto" w:fill="FBE4D5" w:themeFill="accent2" w:themeFillTint="33"/>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2018</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PAN</w:t>
            </w:r>
          </w:p>
        </w:tc>
        <w:tc>
          <w:tcPr>
            <w:tcW w:w="1693"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12</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4</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PRI</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8</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PRD</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19</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17</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4</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PT</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21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PVEM</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M.C.</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12</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2</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NUAL</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PSD</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PFD</w:t>
            </w:r>
          </w:p>
        </w:tc>
        <w:tc>
          <w:tcPr>
            <w:tcW w:w="1693" w:type="dxa"/>
          </w:tcPr>
          <w:p w:rsidR="00A256AB" w:rsidRPr="00A85D78" w:rsidRDefault="00A256AB" w:rsidP="00A256A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0</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99249B" w:rsidRPr="00A85D78" w:rsidTr="0099249B">
        <w:tc>
          <w:tcPr>
            <w:tcW w:w="1716" w:type="dxa"/>
          </w:tcPr>
          <w:p w:rsidR="0099249B" w:rsidRPr="00A85D78" w:rsidRDefault="0099249B" w:rsidP="0099249B">
            <w:pPr>
              <w:rPr>
                <w:rFonts w:ascii="Arial" w:hAnsi="Arial" w:cs="Arial"/>
                <w:sz w:val="20"/>
                <w:szCs w:val="20"/>
                <w:lang w:val="es-ES_tradnl"/>
              </w:rPr>
            </w:pPr>
            <w:r w:rsidRPr="00A85D78">
              <w:rPr>
                <w:rFonts w:ascii="Arial" w:hAnsi="Arial" w:cs="Arial"/>
                <w:sz w:val="20"/>
                <w:szCs w:val="20"/>
                <w:lang w:val="es-ES_tradnl"/>
              </w:rPr>
              <w:t>MORENA</w:t>
            </w:r>
          </w:p>
        </w:tc>
        <w:tc>
          <w:tcPr>
            <w:tcW w:w="1693" w:type="dxa"/>
          </w:tcPr>
          <w:p w:rsidR="0099249B" w:rsidRPr="00A85D78" w:rsidRDefault="0099249B" w:rsidP="0099249B">
            <w:pPr>
              <w:jc w:val="center"/>
              <w:rPr>
                <w:rFonts w:ascii="Arial" w:hAnsi="Arial" w:cs="Arial"/>
                <w:lang w:val="es-ES_tradnl"/>
              </w:rPr>
            </w:pPr>
            <w:r w:rsidRPr="00A85D78">
              <w:rPr>
                <w:rFonts w:ascii="Arial" w:hAnsi="Arial" w:cs="Arial"/>
                <w:sz w:val="20"/>
                <w:szCs w:val="20"/>
                <w:lang w:val="es-ES_tradnl"/>
              </w:rPr>
              <w:t>0</w:t>
            </w:r>
          </w:p>
        </w:tc>
        <w:tc>
          <w:tcPr>
            <w:tcW w:w="1761" w:type="dxa"/>
          </w:tcPr>
          <w:p w:rsidR="0099249B" w:rsidRDefault="0099249B" w:rsidP="0099249B">
            <w:pPr>
              <w:jc w:val="center"/>
            </w:pPr>
            <w:r w:rsidRPr="00AC56A1">
              <w:rPr>
                <w:rFonts w:ascii="Arial" w:hAnsi="Arial" w:cs="Arial"/>
                <w:sz w:val="20"/>
                <w:szCs w:val="20"/>
                <w:lang w:val="es-ES_tradnl"/>
              </w:rPr>
              <w:t>--</w:t>
            </w:r>
          </w:p>
        </w:tc>
        <w:tc>
          <w:tcPr>
            <w:tcW w:w="1694" w:type="dxa"/>
          </w:tcPr>
          <w:p w:rsidR="0099249B" w:rsidRDefault="0099249B" w:rsidP="0099249B">
            <w:pPr>
              <w:jc w:val="center"/>
            </w:pPr>
            <w:r w:rsidRPr="00AC56A1">
              <w:rPr>
                <w:rFonts w:ascii="Arial" w:hAnsi="Arial" w:cs="Arial"/>
                <w:sz w:val="20"/>
                <w:szCs w:val="20"/>
                <w:lang w:val="es-ES_tradnl"/>
              </w:rPr>
              <w:t>--</w:t>
            </w:r>
          </w:p>
        </w:tc>
        <w:tc>
          <w:tcPr>
            <w:tcW w:w="1694" w:type="dxa"/>
          </w:tcPr>
          <w:p w:rsidR="0099249B" w:rsidRPr="00A85D78" w:rsidRDefault="0099249B" w:rsidP="0099249B">
            <w:pPr>
              <w:jc w:val="center"/>
              <w:rPr>
                <w:rFonts w:ascii="Arial" w:hAnsi="Arial" w:cs="Arial"/>
                <w:sz w:val="20"/>
                <w:szCs w:val="20"/>
                <w:lang w:val="es-ES_tradnl"/>
              </w:rPr>
            </w:pPr>
            <w:r w:rsidRPr="00A85D78">
              <w:rPr>
                <w:rFonts w:ascii="Arial" w:hAnsi="Arial" w:cs="Arial"/>
                <w:sz w:val="20"/>
                <w:szCs w:val="20"/>
                <w:lang w:val="es-ES_tradnl"/>
              </w:rPr>
              <w:t>1</w:t>
            </w:r>
          </w:p>
        </w:tc>
        <w:tc>
          <w:tcPr>
            <w:tcW w:w="1979" w:type="dxa"/>
          </w:tcPr>
          <w:p w:rsidR="0099249B" w:rsidRPr="00A85D78" w:rsidRDefault="0099249B" w:rsidP="0099249B">
            <w:pPr>
              <w:jc w:val="center"/>
              <w:rPr>
                <w:rFonts w:ascii="Arial" w:hAnsi="Arial" w:cs="Arial"/>
                <w:sz w:val="20"/>
                <w:szCs w:val="20"/>
                <w:lang w:val="es-ES_tradnl"/>
              </w:rPr>
            </w:pPr>
            <w:r w:rsidRPr="00A85D78">
              <w:rPr>
                <w:rFonts w:ascii="Arial" w:hAnsi="Arial" w:cs="Arial"/>
                <w:sz w:val="20"/>
                <w:szCs w:val="20"/>
                <w:lang w:val="es-ES_tradnl"/>
              </w:rPr>
              <w:t>7</w:t>
            </w:r>
          </w:p>
        </w:tc>
        <w:tc>
          <w:tcPr>
            <w:tcW w:w="1761" w:type="dxa"/>
          </w:tcPr>
          <w:p w:rsidR="0099249B" w:rsidRPr="00A85D78" w:rsidRDefault="0099249B" w:rsidP="0099249B">
            <w:pPr>
              <w:jc w:val="center"/>
              <w:rPr>
                <w:rFonts w:ascii="Arial" w:hAnsi="Arial" w:cs="Arial"/>
                <w:sz w:val="20"/>
                <w:szCs w:val="20"/>
                <w:lang w:val="es-ES_tradnl"/>
              </w:rPr>
            </w:pPr>
            <w:r w:rsidRPr="00A85D78">
              <w:rPr>
                <w:rFonts w:ascii="Arial" w:hAnsi="Arial" w:cs="Arial"/>
                <w:sz w:val="20"/>
                <w:szCs w:val="20"/>
                <w:lang w:val="es-ES_tradnl"/>
              </w:rPr>
              <w:t>18</w:t>
            </w:r>
          </w:p>
        </w:tc>
        <w:tc>
          <w:tcPr>
            <w:tcW w:w="1694" w:type="dxa"/>
          </w:tcPr>
          <w:p w:rsidR="0099249B" w:rsidRPr="00A85D78" w:rsidRDefault="0099249B" w:rsidP="0099249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PES</w:t>
            </w:r>
          </w:p>
        </w:tc>
        <w:tc>
          <w:tcPr>
            <w:tcW w:w="1693"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2</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VÍA RADICAL</w:t>
            </w:r>
          </w:p>
        </w:tc>
        <w:tc>
          <w:tcPr>
            <w:tcW w:w="1693"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8</w:t>
            </w:r>
          </w:p>
        </w:tc>
      </w:tr>
      <w:tr w:rsidR="00A256AB" w:rsidRPr="00A85D78" w:rsidTr="0099249B">
        <w:tc>
          <w:tcPr>
            <w:tcW w:w="1716" w:type="dxa"/>
          </w:tcPr>
          <w:p w:rsidR="00A256AB" w:rsidRPr="00A85D78" w:rsidRDefault="00A256AB" w:rsidP="00A256AB">
            <w:pPr>
              <w:rPr>
                <w:rFonts w:ascii="Arial" w:hAnsi="Arial" w:cs="Arial"/>
                <w:sz w:val="20"/>
                <w:szCs w:val="20"/>
                <w:lang w:val="es-ES_tradnl"/>
              </w:rPr>
            </w:pPr>
            <w:r w:rsidRPr="00A85D78">
              <w:rPr>
                <w:rFonts w:ascii="Arial" w:hAnsi="Arial" w:cs="Arial"/>
                <w:sz w:val="20"/>
                <w:szCs w:val="20"/>
                <w:lang w:val="es-ES_tradnl"/>
              </w:rPr>
              <w:t>PH</w:t>
            </w:r>
          </w:p>
        </w:tc>
        <w:tc>
          <w:tcPr>
            <w:tcW w:w="1693"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1</w:t>
            </w:r>
          </w:p>
        </w:tc>
        <w:tc>
          <w:tcPr>
            <w:tcW w:w="1979"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761"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c>
          <w:tcPr>
            <w:tcW w:w="1694" w:type="dxa"/>
          </w:tcPr>
          <w:p w:rsidR="00A256AB" w:rsidRPr="00A85D78" w:rsidRDefault="00A256AB" w:rsidP="00A256AB">
            <w:pPr>
              <w:jc w:val="center"/>
              <w:rPr>
                <w:rFonts w:ascii="Arial" w:hAnsi="Arial" w:cs="Arial"/>
                <w:sz w:val="20"/>
                <w:szCs w:val="20"/>
                <w:lang w:val="es-ES_tradnl"/>
              </w:rPr>
            </w:pPr>
            <w:r w:rsidRPr="00A85D78">
              <w:rPr>
                <w:rFonts w:ascii="Arial" w:hAnsi="Arial" w:cs="Arial"/>
                <w:sz w:val="20"/>
                <w:szCs w:val="20"/>
                <w:lang w:val="es-ES_tradnl"/>
              </w:rPr>
              <w:t>--</w:t>
            </w:r>
          </w:p>
        </w:tc>
      </w:tr>
      <w:tr w:rsidR="00A256AB" w:rsidRPr="00A85D78" w:rsidTr="0099249B">
        <w:tc>
          <w:tcPr>
            <w:tcW w:w="1716" w:type="dxa"/>
            <w:vMerge w:val="restart"/>
            <w:vAlign w:val="center"/>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TOTAL</w:t>
            </w:r>
          </w:p>
        </w:tc>
        <w:tc>
          <w:tcPr>
            <w:tcW w:w="1693" w:type="dxa"/>
          </w:tcPr>
          <w:p w:rsidR="00A256AB" w:rsidRPr="00A85D78" w:rsidRDefault="00A256AB" w:rsidP="00A256AB">
            <w:pPr>
              <w:jc w:val="center"/>
              <w:rPr>
                <w:rFonts w:ascii="Arial" w:hAnsi="Arial" w:cs="Arial"/>
                <w:b/>
                <w:lang w:val="es-ES_tradnl"/>
              </w:rPr>
            </w:pPr>
            <w:r w:rsidRPr="00A85D78">
              <w:rPr>
                <w:rFonts w:ascii="Arial" w:hAnsi="Arial" w:cs="Arial"/>
                <w:b/>
                <w:sz w:val="20"/>
                <w:szCs w:val="20"/>
                <w:lang w:val="es-ES_tradnl"/>
              </w:rPr>
              <w:t>0</w:t>
            </w:r>
          </w:p>
        </w:tc>
        <w:tc>
          <w:tcPr>
            <w:tcW w:w="1761"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3</w:t>
            </w:r>
          </w:p>
        </w:tc>
        <w:tc>
          <w:tcPr>
            <w:tcW w:w="1694"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2</w:t>
            </w:r>
          </w:p>
        </w:tc>
        <w:tc>
          <w:tcPr>
            <w:tcW w:w="1694"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36</w:t>
            </w:r>
          </w:p>
        </w:tc>
        <w:tc>
          <w:tcPr>
            <w:tcW w:w="1979"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10</w:t>
            </w:r>
          </w:p>
        </w:tc>
        <w:tc>
          <w:tcPr>
            <w:tcW w:w="1761"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76</w:t>
            </w:r>
          </w:p>
        </w:tc>
        <w:tc>
          <w:tcPr>
            <w:tcW w:w="1694" w:type="dxa"/>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17</w:t>
            </w:r>
          </w:p>
        </w:tc>
      </w:tr>
      <w:tr w:rsidR="00A256AB" w:rsidRPr="00A85D78" w:rsidTr="0099249B">
        <w:tc>
          <w:tcPr>
            <w:tcW w:w="1716" w:type="dxa"/>
            <w:vMerge/>
          </w:tcPr>
          <w:p w:rsidR="00A256AB" w:rsidRPr="00A85D78" w:rsidRDefault="00A256AB" w:rsidP="00A256AB">
            <w:pPr>
              <w:rPr>
                <w:rFonts w:ascii="Arial" w:hAnsi="Arial" w:cs="Arial"/>
                <w:b/>
                <w:sz w:val="20"/>
                <w:szCs w:val="20"/>
                <w:lang w:val="es-ES_tradnl"/>
              </w:rPr>
            </w:pPr>
          </w:p>
        </w:tc>
        <w:tc>
          <w:tcPr>
            <w:tcW w:w="5148" w:type="dxa"/>
            <w:gridSpan w:val="3"/>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5</w:t>
            </w:r>
          </w:p>
        </w:tc>
        <w:tc>
          <w:tcPr>
            <w:tcW w:w="7128" w:type="dxa"/>
            <w:gridSpan w:val="4"/>
          </w:tcPr>
          <w:p w:rsidR="00A256AB" w:rsidRPr="00A85D78" w:rsidRDefault="00A256AB" w:rsidP="00A256AB">
            <w:pPr>
              <w:jc w:val="center"/>
              <w:rPr>
                <w:rFonts w:ascii="Arial" w:hAnsi="Arial" w:cs="Arial"/>
                <w:b/>
                <w:sz w:val="20"/>
                <w:szCs w:val="20"/>
                <w:lang w:val="es-ES_tradnl"/>
              </w:rPr>
            </w:pPr>
            <w:r w:rsidRPr="00A85D78">
              <w:rPr>
                <w:rFonts w:ascii="Arial" w:hAnsi="Arial" w:cs="Arial"/>
                <w:b/>
                <w:sz w:val="20"/>
                <w:szCs w:val="20"/>
                <w:lang w:val="es-ES_tradnl"/>
              </w:rPr>
              <w:t>139</w:t>
            </w:r>
          </w:p>
        </w:tc>
      </w:tr>
    </w:tbl>
    <w:p w:rsidR="00A256AB" w:rsidRPr="004E6179" w:rsidRDefault="00A256AB" w:rsidP="00A256AB">
      <w:pPr>
        <w:rPr>
          <w:rFonts w:ascii="Arial" w:hAnsi="Arial" w:cs="Arial"/>
          <w:i/>
          <w:iCs/>
          <w:sz w:val="16"/>
          <w:szCs w:val="16"/>
        </w:rPr>
      </w:pPr>
      <w:r w:rsidRPr="004E6179">
        <w:rPr>
          <w:rFonts w:ascii="Arial" w:hAnsi="Arial" w:cs="Arial"/>
          <w:b/>
          <w:bCs/>
          <w:i/>
          <w:iCs/>
          <w:sz w:val="16"/>
          <w:szCs w:val="16"/>
        </w:rPr>
        <w:t>Fuente:</w:t>
      </w:r>
      <w:r w:rsidRPr="004E6179">
        <w:rPr>
          <w:rFonts w:ascii="Arial" w:hAnsi="Arial" w:cs="Arial"/>
          <w:i/>
          <w:iCs/>
          <w:sz w:val="16"/>
          <w:szCs w:val="16"/>
        </w:rPr>
        <w:t xml:space="preserve"> Elaboración propia con base en dictámenes y resoluciones del IEEM e INE.</w:t>
      </w:r>
    </w:p>
    <w:p w:rsidR="004E6179" w:rsidRPr="00A85D78" w:rsidRDefault="004E6179" w:rsidP="00A256AB">
      <w:pPr>
        <w:rPr>
          <w:rFonts w:ascii="Arial" w:hAnsi="Arial" w:cs="Arial"/>
          <w:sz w:val="16"/>
          <w:szCs w:val="16"/>
        </w:rPr>
      </w:pPr>
    </w:p>
    <w:p w:rsidR="004E6179" w:rsidRDefault="004E6179" w:rsidP="004E6179">
      <w:pPr>
        <w:spacing w:line="360" w:lineRule="auto"/>
        <w:jc w:val="both"/>
        <w:rPr>
          <w:rFonts w:ascii="Arial" w:hAnsi="Arial" w:cs="Arial"/>
          <w:sz w:val="24"/>
          <w:szCs w:val="24"/>
        </w:rPr>
      </w:pPr>
    </w:p>
    <w:p w:rsidR="00A256AB" w:rsidRPr="00A85D78" w:rsidRDefault="00A256AB" w:rsidP="004E6179">
      <w:pPr>
        <w:spacing w:line="360" w:lineRule="auto"/>
        <w:jc w:val="both"/>
        <w:rPr>
          <w:rFonts w:ascii="Arial" w:hAnsi="Arial" w:cs="Arial"/>
          <w:sz w:val="24"/>
          <w:szCs w:val="24"/>
        </w:rPr>
      </w:pPr>
      <w:r w:rsidRPr="00A85D78">
        <w:rPr>
          <w:rFonts w:ascii="Arial" w:hAnsi="Arial" w:cs="Arial"/>
          <w:sz w:val="24"/>
          <w:szCs w:val="24"/>
        </w:rPr>
        <w:t>En la Tabla anterior podemos observar que la actuación del IEEM como órgano fiscalizador de precampañas se limitó a la detección de 5 conductas infractoras en el periodo 2009 – 2012; mientras que la Unidad Técnica de Fiscalización del INE, en el periodo 2015 – 2018, logr</w:t>
      </w:r>
      <w:r w:rsidR="0099249B">
        <w:rPr>
          <w:rFonts w:ascii="Arial" w:hAnsi="Arial" w:cs="Arial"/>
          <w:sz w:val="24"/>
          <w:szCs w:val="24"/>
        </w:rPr>
        <w:t>ó</w:t>
      </w:r>
      <w:r w:rsidRPr="00A85D78">
        <w:rPr>
          <w:rFonts w:ascii="Arial" w:hAnsi="Arial" w:cs="Arial"/>
          <w:sz w:val="24"/>
          <w:szCs w:val="24"/>
        </w:rPr>
        <w:t xml:space="preserve"> identificar un total de 139 conductas infractoras de los partidos participantes en las elecciones en estudio. </w:t>
      </w:r>
    </w:p>
    <w:p w:rsidR="00A256AB" w:rsidRDefault="00A256AB" w:rsidP="004E6179">
      <w:pPr>
        <w:spacing w:line="360" w:lineRule="auto"/>
        <w:jc w:val="both"/>
        <w:rPr>
          <w:rFonts w:ascii="Arial" w:hAnsi="Arial" w:cs="Arial"/>
          <w:sz w:val="24"/>
          <w:szCs w:val="24"/>
        </w:rPr>
      </w:pPr>
      <w:r w:rsidRPr="00A85D78">
        <w:rPr>
          <w:rFonts w:ascii="Arial" w:hAnsi="Arial" w:cs="Arial"/>
          <w:sz w:val="24"/>
          <w:szCs w:val="24"/>
        </w:rPr>
        <w:t>El proceso electoral en el que más exhaustividad en la revisión de los informes de precampaña se presentó por parte de la autoridad fiscalizadora, fue el de Gobernador 2017, donde se identificaron 76 conductas infractoras a la normatividad. Los resultados del IEEM representan el 3.59% del trabajo realizado por el INE, en cuanto a identificación de conductas a sancionar.</w:t>
      </w:r>
    </w:p>
    <w:p w:rsidR="004E6179" w:rsidRPr="00A85D78" w:rsidRDefault="004E6179" w:rsidP="00A256AB">
      <w:pPr>
        <w:jc w:val="both"/>
        <w:rPr>
          <w:rFonts w:ascii="Arial" w:hAnsi="Arial" w:cs="Arial"/>
          <w:sz w:val="24"/>
          <w:szCs w:val="24"/>
        </w:rPr>
      </w:pPr>
    </w:p>
    <w:p w:rsidR="00A256AB" w:rsidRPr="00A85D78" w:rsidRDefault="00A256AB" w:rsidP="00A256AB">
      <w:pPr>
        <w:jc w:val="both"/>
        <w:rPr>
          <w:rFonts w:ascii="Arial" w:hAnsi="Arial" w:cs="Arial"/>
          <w:b/>
          <w:sz w:val="24"/>
          <w:szCs w:val="24"/>
        </w:rPr>
      </w:pPr>
      <w:r w:rsidRPr="00A85D78">
        <w:rPr>
          <w:rFonts w:ascii="Arial" w:hAnsi="Arial" w:cs="Arial"/>
          <w:b/>
          <w:sz w:val="24"/>
          <w:szCs w:val="24"/>
        </w:rPr>
        <w:lastRenderedPageBreak/>
        <w:t xml:space="preserve">4.2.6.2. Resumen de </w:t>
      </w:r>
      <w:r w:rsidR="00E04C13">
        <w:rPr>
          <w:rFonts w:ascii="Arial" w:hAnsi="Arial" w:cs="Arial"/>
          <w:b/>
          <w:sz w:val="24"/>
          <w:szCs w:val="24"/>
        </w:rPr>
        <w:t>c</w:t>
      </w:r>
      <w:r w:rsidRPr="00A85D78">
        <w:rPr>
          <w:rFonts w:ascii="Arial" w:hAnsi="Arial" w:cs="Arial"/>
          <w:b/>
          <w:sz w:val="24"/>
          <w:szCs w:val="24"/>
        </w:rPr>
        <w:t xml:space="preserve">onductas </w:t>
      </w:r>
      <w:r w:rsidR="00E04C13">
        <w:rPr>
          <w:rFonts w:ascii="Arial" w:hAnsi="Arial" w:cs="Arial"/>
          <w:b/>
          <w:sz w:val="24"/>
          <w:szCs w:val="24"/>
        </w:rPr>
        <w:t>i</w:t>
      </w:r>
      <w:r w:rsidRPr="00A85D78">
        <w:rPr>
          <w:rFonts w:ascii="Arial" w:hAnsi="Arial" w:cs="Arial"/>
          <w:b/>
          <w:sz w:val="24"/>
          <w:szCs w:val="24"/>
        </w:rPr>
        <w:t>nfractoras de campaña</w:t>
      </w:r>
      <w:r w:rsidR="0099249B">
        <w:rPr>
          <w:rFonts w:ascii="Arial" w:hAnsi="Arial" w:cs="Arial"/>
          <w:b/>
          <w:sz w:val="24"/>
          <w:szCs w:val="24"/>
        </w:rPr>
        <w:t>.</w:t>
      </w:r>
    </w:p>
    <w:p w:rsidR="00A256AB" w:rsidRDefault="00A256AB" w:rsidP="004E6179">
      <w:pPr>
        <w:spacing w:line="360" w:lineRule="auto"/>
        <w:jc w:val="both"/>
        <w:rPr>
          <w:rFonts w:ascii="Arial" w:hAnsi="Arial" w:cs="Arial"/>
          <w:sz w:val="24"/>
          <w:szCs w:val="24"/>
        </w:rPr>
      </w:pPr>
      <w:r w:rsidRPr="00A85D78">
        <w:rPr>
          <w:rFonts w:ascii="Arial" w:hAnsi="Arial" w:cs="Arial"/>
          <w:sz w:val="24"/>
          <w:szCs w:val="24"/>
        </w:rPr>
        <w:t xml:space="preserve">En el caso de las conductas infractoras detectadas en los periodos de campañas políticas en el periodo 2009 – 2018, se evidencia una diferencia importante entre lo hecho por el INE en comparación con el trabajo del IEEM; a </w:t>
      </w:r>
      <w:proofErr w:type="gramStart"/>
      <w:r w:rsidRPr="00A85D78">
        <w:rPr>
          <w:rFonts w:ascii="Arial" w:hAnsi="Arial" w:cs="Arial"/>
          <w:sz w:val="24"/>
          <w:szCs w:val="24"/>
        </w:rPr>
        <w:t>continuación</w:t>
      </w:r>
      <w:proofErr w:type="gramEnd"/>
      <w:r w:rsidRPr="00A85D78">
        <w:rPr>
          <w:rFonts w:ascii="Arial" w:hAnsi="Arial" w:cs="Arial"/>
          <w:sz w:val="24"/>
          <w:szCs w:val="24"/>
        </w:rPr>
        <w:t xml:space="preserve"> en la Tabla 4.29.2, se presentan datos al respecto:</w:t>
      </w:r>
    </w:p>
    <w:p w:rsidR="004E6179" w:rsidRPr="00A85D78" w:rsidRDefault="004E6179" w:rsidP="00A256AB">
      <w:pPr>
        <w:jc w:val="both"/>
        <w:rPr>
          <w:rFonts w:ascii="Arial" w:hAnsi="Arial" w:cs="Arial"/>
          <w:sz w:val="24"/>
          <w:szCs w:val="24"/>
        </w:rPr>
      </w:pPr>
    </w:p>
    <w:p w:rsidR="00A256AB" w:rsidRPr="004E6179" w:rsidRDefault="00A256AB" w:rsidP="004E6179">
      <w:pPr>
        <w:tabs>
          <w:tab w:val="left" w:pos="5070"/>
        </w:tabs>
        <w:jc w:val="both"/>
        <w:rPr>
          <w:rStyle w:val="Ttulodellibro"/>
          <w:rFonts w:ascii="Arial" w:hAnsi="Arial" w:cs="Arial"/>
          <w:b/>
          <w:i/>
          <w:color w:val="auto"/>
          <w:sz w:val="20"/>
          <w:szCs w:val="20"/>
        </w:rPr>
      </w:pPr>
      <w:r w:rsidRPr="004E6179">
        <w:rPr>
          <w:rStyle w:val="Ttulodellibro"/>
          <w:rFonts w:ascii="Arial" w:hAnsi="Arial" w:cs="Arial"/>
          <w:b/>
          <w:i/>
          <w:color w:val="auto"/>
          <w:sz w:val="20"/>
          <w:szCs w:val="20"/>
        </w:rPr>
        <w:t>Tabla 4.29.2 Conductas Infractoras de campaña por Partido 2009-2018</w:t>
      </w:r>
      <w:r w:rsidR="004E6179" w:rsidRPr="004E6179">
        <w:rPr>
          <w:rStyle w:val="Ttulodellibro"/>
          <w:rFonts w:ascii="Arial" w:hAnsi="Arial" w:cs="Arial"/>
          <w:b/>
          <w:i/>
          <w:color w:val="auto"/>
          <w:sz w:val="20"/>
          <w:szCs w:val="20"/>
        </w:rPr>
        <w:t>.</w:t>
      </w:r>
    </w:p>
    <w:p w:rsidR="004E6179" w:rsidRPr="00E04C13" w:rsidRDefault="004E6179" w:rsidP="00A256AB">
      <w:pPr>
        <w:rPr>
          <w:rFonts w:ascii="Arial" w:hAnsi="Arial" w:cs="Arial"/>
          <w:sz w:val="18"/>
          <w:szCs w:val="18"/>
        </w:rPr>
      </w:pPr>
    </w:p>
    <w:tbl>
      <w:tblPr>
        <w:tblStyle w:val="Tablaconcuadrcula"/>
        <w:tblW w:w="0" w:type="auto"/>
        <w:tblLook w:val="04A0" w:firstRow="1" w:lastRow="0" w:firstColumn="1" w:lastColumn="0" w:noHBand="0" w:noVBand="1"/>
      </w:tblPr>
      <w:tblGrid>
        <w:gridCol w:w="2589"/>
        <w:gridCol w:w="1389"/>
        <w:gridCol w:w="1830"/>
        <w:gridCol w:w="1390"/>
        <w:gridCol w:w="1524"/>
        <w:gridCol w:w="2249"/>
        <w:gridCol w:w="1694"/>
        <w:gridCol w:w="1327"/>
      </w:tblGrid>
      <w:tr w:rsidR="00A256AB" w:rsidRPr="00A85D78" w:rsidTr="00A256AB">
        <w:tc>
          <w:tcPr>
            <w:tcW w:w="2660" w:type="dxa"/>
            <w:vMerge w:val="restart"/>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PARTIDO</w:t>
            </w:r>
          </w:p>
        </w:tc>
        <w:tc>
          <w:tcPr>
            <w:tcW w:w="4678" w:type="dxa"/>
            <w:gridSpan w:val="3"/>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IEEM</w:t>
            </w:r>
          </w:p>
        </w:tc>
        <w:tc>
          <w:tcPr>
            <w:tcW w:w="6880" w:type="dxa"/>
            <w:gridSpan w:val="4"/>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INE</w:t>
            </w:r>
          </w:p>
        </w:tc>
      </w:tr>
      <w:tr w:rsidR="00A256AB" w:rsidRPr="00A85D78" w:rsidTr="00A256AB">
        <w:tc>
          <w:tcPr>
            <w:tcW w:w="2660" w:type="dxa"/>
            <w:vMerge/>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p>
        </w:tc>
        <w:tc>
          <w:tcPr>
            <w:tcW w:w="1417"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PM/DL</w:t>
            </w:r>
          </w:p>
        </w:tc>
        <w:tc>
          <w:tcPr>
            <w:tcW w:w="1843"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GOBERNADOR</w:t>
            </w:r>
          </w:p>
        </w:tc>
        <w:tc>
          <w:tcPr>
            <w:tcW w:w="1418"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PM/DL</w:t>
            </w:r>
          </w:p>
        </w:tc>
        <w:tc>
          <w:tcPr>
            <w:tcW w:w="1559"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PM/DL</w:t>
            </w:r>
          </w:p>
        </w:tc>
        <w:tc>
          <w:tcPr>
            <w:tcW w:w="2268"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PM EXTRAORDINARIA</w:t>
            </w:r>
          </w:p>
        </w:tc>
        <w:tc>
          <w:tcPr>
            <w:tcW w:w="1701"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GOBERNADOR</w:t>
            </w:r>
          </w:p>
        </w:tc>
        <w:tc>
          <w:tcPr>
            <w:tcW w:w="1352"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PM/DL</w:t>
            </w:r>
          </w:p>
        </w:tc>
      </w:tr>
      <w:tr w:rsidR="00A256AB" w:rsidRPr="00A85D78" w:rsidTr="00A256AB">
        <w:tc>
          <w:tcPr>
            <w:tcW w:w="2660" w:type="dxa"/>
            <w:vMerge/>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p>
        </w:tc>
        <w:tc>
          <w:tcPr>
            <w:tcW w:w="1417"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2009</w:t>
            </w:r>
          </w:p>
        </w:tc>
        <w:tc>
          <w:tcPr>
            <w:tcW w:w="1843"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2011</w:t>
            </w:r>
          </w:p>
        </w:tc>
        <w:tc>
          <w:tcPr>
            <w:tcW w:w="1418"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2012</w:t>
            </w:r>
          </w:p>
        </w:tc>
        <w:tc>
          <w:tcPr>
            <w:tcW w:w="1559"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2015</w:t>
            </w:r>
          </w:p>
        </w:tc>
        <w:tc>
          <w:tcPr>
            <w:tcW w:w="2268"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2016</w:t>
            </w:r>
          </w:p>
        </w:tc>
        <w:tc>
          <w:tcPr>
            <w:tcW w:w="1701"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2017</w:t>
            </w:r>
          </w:p>
        </w:tc>
        <w:tc>
          <w:tcPr>
            <w:tcW w:w="1352" w:type="dxa"/>
            <w:shd w:val="clear" w:color="auto" w:fill="FBE4D5" w:themeFill="accent2" w:themeFillTint="33"/>
            <w:vAlign w:val="center"/>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2018</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PAN</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14</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35</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9</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PRI</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9</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PRD</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6</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15</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37</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11</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PT</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17</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8</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23</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10</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PVEM</w:t>
            </w:r>
          </w:p>
        </w:tc>
        <w:tc>
          <w:tcPr>
            <w:tcW w:w="1417" w:type="dxa"/>
          </w:tcPr>
          <w:p w:rsidR="00A256AB" w:rsidRPr="00A85D78" w:rsidRDefault="00A256AB" w:rsidP="00A256AB">
            <w:pPr>
              <w:tabs>
                <w:tab w:val="left" w:pos="1306"/>
              </w:tabs>
              <w:jc w:val="center"/>
              <w:rPr>
                <w:rFonts w:ascii="Arial" w:hAnsi="Arial" w:cs="Arial"/>
                <w:sz w:val="18"/>
                <w:szCs w:val="18"/>
                <w:lang w:val="es-ES_tradnl"/>
              </w:rPr>
            </w:pPr>
            <w:r w:rsidRPr="00A85D78">
              <w:rPr>
                <w:rFonts w:ascii="Arial" w:hAnsi="Arial" w:cs="Arial"/>
                <w:sz w:val="18"/>
                <w:szCs w:val="18"/>
                <w:lang w:val="es-ES_tradnl"/>
              </w:rPr>
              <w:t>3</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13</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M.C.</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8</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9</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10</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NUAL</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6</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8</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PSD</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10</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PFD</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MORENA</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7</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12</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38</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12</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PES</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0</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15</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VÍA RADICAL</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15</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PH</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PAN-PT</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5</w:t>
            </w:r>
          </w:p>
        </w:tc>
        <w:tc>
          <w:tcPr>
            <w:tcW w:w="2268" w:type="dxa"/>
          </w:tcPr>
          <w:p w:rsidR="00A256AB" w:rsidRPr="00A85D78" w:rsidRDefault="00A256AB" w:rsidP="00A256AB">
            <w:pPr>
              <w:jc w:val="center"/>
              <w:rPr>
                <w:rFonts w:ascii="Arial" w:hAnsi="Arial" w:cs="Arial"/>
                <w:sz w:val="18"/>
                <w:szCs w:val="18"/>
                <w:lang w:val="es-ES_tradnl"/>
              </w:rPr>
            </w:pP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PRI-PVEM</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2268" w:type="dxa"/>
          </w:tcPr>
          <w:p w:rsidR="00A256AB" w:rsidRPr="00A85D78" w:rsidRDefault="00A256AB" w:rsidP="00A256AB">
            <w:pPr>
              <w:jc w:val="center"/>
              <w:rPr>
                <w:rFonts w:ascii="Arial" w:hAnsi="Arial" w:cs="Arial"/>
                <w:sz w:val="18"/>
                <w:szCs w:val="18"/>
                <w:lang w:val="es-ES_tradnl"/>
              </w:rPr>
            </w:pP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PRI-PVEM-NUAL</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PRD-PT</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PRI-PVEM-NUAL-PES</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44</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PAN-PRD-MC</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15</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MORENA-PT-PES</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559"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23</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PT-MC</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COA PRD-PT-MC</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2</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r>
      <w:tr w:rsidR="00A256AB" w:rsidRPr="00A85D78" w:rsidTr="00A256AB">
        <w:tc>
          <w:tcPr>
            <w:tcW w:w="2660" w:type="dxa"/>
          </w:tcPr>
          <w:p w:rsidR="00A256AB" w:rsidRPr="00A85D78" w:rsidRDefault="00600C69" w:rsidP="00A256AB">
            <w:pPr>
              <w:rPr>
                <w:rFonts w:ascii="Arial" w:hAnsi="Arial" w:cs="Arial"/>
                <w:sz w:val="18"/>
                <w:szCs w:val="18"/>
                <w:lang w:val="es-ES_tradnl"/>
              </w:rPr>
            </w:pPr>
            <w:r w:rsidRPr="00A85D78">
              <w:rPr>
                <w:rFonts w:ascii="Arial" w:hAnsi="Arial" w:cs="Arial"/>
                <w:sz w:val="18"/>
                <w:szCs w:val="18"/>
                <w:lang w:val="es-ES_tradnl"/>
              </w:rPr>
              <w:t>COA PRD</w:t>
            </w:r>
            <w:r w:rsidR="00A256AB" w:rsidRPr="00A85D78">
              <w:rPr>
                <w:rFonts w:ascii="Arial" w:hAnsi="Arial" w:cs="Arial"/>
                <w:sz w:val="18"/>
                <w:szCs w:val="18"/>
                <w:lang w:val="es-ES_tradnl"/>
              </w:rPr>
              <w:t>-MC</w:t>
            </w:r>
          </w:p>
        </w:tc>
        <w:tc>
          <w:tcPr>
            <w:tcW w:w="1417"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843"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w:t>
            </w:r>
          </w:p>
        </w:tc>
        <w:tc>
          <w:tcPr>
            <w:tcW w:w="1418" w:type="dxa"/>
          </w:tcPr>
          <w:p w:rsidR="00A256AB" w:rsidRPr="00A85D78" w:rsidRDefault="00A256AB" w:rsidP="00A256AB">
            <w:pPr>
              <w:jc w:val="center"/>
              <w:rPr>
                <w:rFonts w:ascii="Arial" w:hAnsi="Arial" w:cs="Arial"/>
                <w:sz w:val="18"/>
                <w:szCs w:val="18"/>
                <w:lang w:val="es-ES_tradnl"/>
              </w:rPr>
            </w:pPr>
            <w:r w:rsidRPr="00A85D78">
              <w:rPr>
                <w:rFonts w:ascii="Arial" w:hAnsi="Arial" w:cs="Arial"/>
                <w:sz w:val="18"/>
                <w:szCs w:val="18"/>
                <w:lang w:val="es-ES_tradnl"/>
              </w:rPr>
              <w:t>3</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2268"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701"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c>
          <w:tcPr>
            <w:tcW w:w="1352" w:type="dxa"/>
          </w:tcPr>
          <w:p w:rsidR="00A256AB" w:rsidRPr="00A85D78" w:rsidRDefault="00A256AB" w:rsidP="00A256AB">
            <w:pPr>
              <w:jc w:val="center"/>
              <w:rPr>
                <w:rFonts w:ascii="Arial" w:hAnsi="Arial" w:cs="Arial"/>
                <w:lang w:val="es-ES_tradnl"/>
              </w:rPr>
            </w:pPr>
            <w:r w:rsidRPr="00A85D78">
              <w:rPr>
                <w:rFonts w:ascii="Arial" w:hAnsi="Arial" w:cs="Arial"/>
                <w:sz w:val="18"/>
                <w:szCs w:val="18"/>
                <w:lang w:val="es-ES_tradnl"/>
              </w:rPr>
              <w:t>--</w:t>
            </w:r>
          </w:p>
        </w:tc>
      </w:tr>
      <w:tr w:rsidR="00A256AB" w:rsidRPr="00A85D78" w:rsidTr="00A256AB">
        <w:tc>
          <w:tcPr>
            <w:tcW w:w="2660" w:type="dxa"/>
            <w:vMerge w:val="restart"/>
          </w:tcPr>
          <w:p w:rsidR="00A256AB" w:rsidRPr="00A85D78" w:rsidRDefault="00A256AB" w:rsidP="00A256AB">
            <w:pPr>
              <w:rPr>
                <w:rFonts w:ascii="Arial" w:hAnsi="Arial" w:cs="Arial"/>
                <w:sz w:val="18"/>
                <w:szCs w:val="18"/>
                <w:lang w:val="es-ES_tradnl"/>
              </w:rPr>
            </w:pPr>
            <w:r w:rsidRPr="00A85D78">
              <w:rPr>
                <w:rFonts w:ascii="Arial" w:hAnsi="Arial" w:cs="Arial"/>
                <w:sz w:val="18"/>
                <w:szCs w:val="18"/>
                <w:lang w:val="es-ES_tradnl"/>
              </w:rPr>
              <w:t>TOTAL</w:t>
            </w:r>
          </w:p>
          <w:p w:rsidR="00A256AB" w:rsidRPr="00A85D78" w:rsidRDefault="00A256AB" w:rsidP="00A256AB">
            <w:pPr>
              <w:rPr>
                <w:rFonts w:ascii="Arial" w:hAnsi="Arial" w:cs="Arial"/>
                <w:sz w:val="18"/>
                <w:szCs w:val="18"/>
                <w:lang w:val="es-ES_tradnl"/>
              </w:rPr>
            </w:pPr>
          </w:p>
        </w:tc>
        <w:tc>
          <w:tcPr>
            <w:tcW w:w="1417"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56</w:t>
            </w:r>
          </w:p>
        </w:tc>
        <w:tc>
          <w:tcPr>
            <w:tcW w:w="1843"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6</w:t>
            </w:r>
          </w:p>
        </w:tc>
        <w:tc>
          <w:tcPr>
            <w:tcW w:w="1418"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15</w:t>
            </w:r>
          </w:p>
        </w:tc>
        <w:tc>
          <w:tcPr>
            <w:tcW w:w="1559"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75</w:t>
            </w:r>
          </w:p>
        </w:tc>
        <w:tc>
          <w:tcPr>
            <w:tcW w:w="2268"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21</w:t>
            </w:r>
          </w:p>
        </w:tc>
        <w:tc>
          <w:tcPr>
            <w:tcW w:w="1701"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177</w:t>
            </w:r>
          </w:p>
        </w:tc>
        <w:tc>
          <w:tcPr>
            <w:tcW w:w="1352" w:type="dxa"/>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150</w:t>
            </w:r>
          </w:p>
        </w:tc>
      </w:tr>
      <w:tr w:rsidR="00A256AB" w:rsidRPr="00A85D78" w:rsidTr="00A256AB">
        <w:trPr>
          <w:trHeight w:val="77"/>
        </w:trPr>
        <w:tc>
          <w:tcPr>
            <w:tcW w:w="2660" w:type="dxa"/>
            <w:vMerge/>
          </w:tcPr>
          <w:p w:rsidR="00A256AB" w:rsidRPr="00A85D78" w:rsidRDefault="00A256AB" w:rsidP="00A256AB">
            <w:pPr>
              <w:rPr>
                <w:rFonts w:ascii="Arial" w:hAnsi="Arial" w:cs="Arial"/>
                <w:b/>
                <w:sz w:val="18"/>
                <w:szCs w:val="18"/>
                <w:lang w:val="es-ES_tradnl"/>
              </w:rPr>
            </w:pPr>
          </w:p>
        </w:tc>
        <w:tc>
          <w:tcPr>
            <w:tcW w:w="4678" w:type="dxa"/>
            <w:gridSpan w:val="3"/>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77</w:t>
            </w:r>
          </w:p>
        </w:tc>
        <w:tc>
          <w:tcPr>
            <w:tcW w:w="6880" w:type="dxa"/>
            <w:gridSpan w:val="4"/>
          </w:tcPr>
          <w:p w:rsidR="00A256AB" w:rsidRPr="00A85D78" w:rsidRDefault="00A256AB" w:rsidP="00A256AB">
            <w:pPr>
              <w:jc w:val="center"/>
              <w:rPr>
                <w:rFonts w:ascii="Arial" w:hAnsi="Arial" w:cs="Arial"/>
                <w:b/>
                <w:sz w:val="18"/>
                <w:szCs w:val="18"/>
                <w:lang w:val="es-ES_tradnl"/>
              </w:rPr>
            </w:pPr>
            <w:r w:rsidRPr="00A85D78">
              <w:rPr>
                <w:rFonts w:ascii="Arial" w:hAnsi="Arial" w:cs="Arial"/>
                <w:b/>
                <w:sz w:val="18"/>
                <w:szCs w:val="18"/>
                <w:lang w:val="es-ES_tradnl"/>
              </w:rPr>
              <w:t>423</w:t>
            </w:r>
          </w:p>
        </w:tc>
      </w:tr>
    </w:tbl>
    <w:p w:rsidR="00A256AB" w:rsidRPr="004E6179" w:rsidRDefault="00A256AB" w:rsidP="00A256AB">
      <w:pPr>
        <w:jc w:val="both"/>
        <w:rPr>
          <w:rFonts w:ascii="Arial" w:hAnsi="Arial" w:cs="Arial"/>
          <w:i/>
          <w:iCs/>
          <w:sz w:val="16"/>
          <w:szCs w:val="16"/>
        </w:rPr>
        <w:sectPr w:rsidR="00A256AB" w:rsidRPr="004E6179" w:rsidSect="00A256AB">
          <w:pgSz w:w="16838" w:h="11906" w:orient="landscape"/>
          <w:pgMar w:top="1701" w:right="1418" w:bottom="1701" w:left="1418" w:header="709" w:footer="709" w:gutter="0"/>
          <w:cols w:space="708"/>
          <w:docGrid w:linePitch="360"/>
        </w:sectPr>
      </w:pPr>
      <w:r w:rsidRPr="004E6179">
        <w:rPr>
          <w:rFonts w:ascii="Arial" w:hAnsi="Arial" w:cs="Arial"/>
          <w:b/>
          <w:bCs/>
          <w:i/>
          <w:iCs/>
          <w:sz w:val="16"/>
          <w:szCs w:val="16"/>
        </w:rPr>
        <w:t>Fuente:</w:t>
      </w:r>
      <w:r w:rsidRPr="004E6179">
        <w:rPr>
          <w:rFonts w:ascii="Arial" w:hAnsi="Arial" w:cs="Arial"/>
          <w:i/>
          <w:iCs/>
          <w:sz w:val="16"/>
          <w:szCs w:val="16"/>
        </w:rPr>
        <w:t xml:space="preserve"> Elaboración propia</w:t>
      </w:r>
      <w:r w:rsidR="004E6179">
        <w:rPr>
          <w:rFonts w:ascii="Arial" w:hAnsi="Arial" w:cs="Arial"/>
          <w:i/>
          <w:iCs/>
          <w:sz w:val="16"/>
          <w:szCs w:val="16"/>
        </w:rPr>
        <w:t>.</w:t>
      </w:r>
    </w:p>
    <w:p w:rsidR="00D84D20" w:rsidRDefault="00A256AB" w:rsidP="00D84D20">
      <w:pPr>
        <w:spacing w:line="360" w:lineRule="auto"/>
        <w:jc w:val="both"/>
        <w:rPr>
          <w:rFonts w:ascii="Arial" w:hAnsi="Arial" w:cs="Arial"/>
          <w:sz w:val="24"/>
          <w:szCs w:val="24"/>
        </w:rPr>
      </w:pPr>
      <w:r w:rsidRPr="00A85D78">
        <w:rPr>
          <w:rFonts w:ascii="Arial" w:hAnsi="Arial" w:cs="Arial"/>
          <w:sz w:val="24"/>
          <w:szCs w:val="24"/>
        </w:rPr>
        <w:lastRenderedPageBreak/>
        <w:t>El Instituto Electoral del Estado de México, detect</w:t>
      </w:r>
      <w:r w:rsidR="0099249B">
        <w:rPr>
          <w:rFonts w:ascii="Arial" w:hAnsi="Arial" w:cs="Arial"/>
          <w:sz w:val="24"/>
          <w:szCs w:val="24"/>
        </w:rPr>
        <w:t>ó</w:t>
      </w:r>
      <w:r w:rsidRPr="00A85D78">
        <w:rPr>
          <w:rFonts w:ascii="Arial" w:hAnsi="Arial" w:cs="Arial"/>
          <w:sz w:val="24"/>
          <w:szCs w:val="24"/>
        </w:rPr>
        <w:t xml:space="preserve"> 77 conductas acreedoras de sanción en los 3 procesos electorales en los que tuvo bajo su responsabilidad, la revisión de los gastos de campaña de los partidos en la Entidad, siendo los procesos en los que mayor cantidad de inconsistencias encontró los referentes a la renovación de ayuntamientos y diputados locales, mientras que en el proceso electoral de gobernador únicamente sancionó 6 irregularidades.</w:t>
      </w:r>
    </w:p>
    <w:p w:rsidR="00D84D20" w:rsidRPr="00A85D78" w:rsidRDefault="00D84D20" w:rsidP="00D84D20">
      <w:pPr>
        <w:spacing w:line="360" w:lineRule="auto"/>
        <w:jc w:val="both"/>
        <w:rPr>
          <w:rFonts w:ascii="Arial" w:hAnsi="Arial" w:cs="Arial"/>
          <w:sz w:val="24"/>
          <w:szCs w:val="24"/>
        </w:rPr>
      </w:pPr>
    </w:p>
    <w:p w:rsidR="00A256AB" w:rsidRPr="00A85D78" w:rsidRDefault="00A256AB" w:rsidP="00D84D20">
      <w:pPr>
        <w:spacing w:line="360" w:lineRule="auto"/>
        <w:jc w:val="both"/>
        <w:rPr>
          <w:rFonts w:ascii="Arial" w:hAnsi="Arial" w:cs="Arial"/>
          <w:sz w:val="24"/>
          <w:szCs w:val="24"/>
        </w:rPr>
      </w:pPr>
      <w:r w:rsidRPr="00A85D78">
        <w:rPr>
          <w:rFonts w:ascii="Arial" w:hAnsi="Arial" w:cs="Arial"/>
          <w:sz w:val="24"/>
          <w:szCs w:val="24"/>
        </w:rPr>
        <w:t>Por parte de la actuación del INE; el número de conductas infractoras detectadas se incrementó paulatinamente, en el año 2015 identifico 75, alcanzando poco más del doble para el 2017 con 177 infracciones a la legislación y 150 en el último proceso electoral del 2018.</w:t>
      </w:r>
    </w:p>
    <w:p w:rsidR="00A256AB" w:rsidRDefault="00A256AB" w:rsidP="00D84D20">
      <w:pPr>
        <w:spacing w:line="360" w:lineRule="auto"/>
        <w:jc w:val="both"/>
        <w:rPr>
          <w:rFonts w:ascii="Arial" w:hAnsi="Arial" w:cs="Arial"/>
          <w:sz w:val="24"/>
          <w:szCs w:val="24"/>
        </w:rPr>
      </w:pPr>
      <w:r w:rsidRPr="00A85D78">
        <w:rPr>
          <w:rFonts w:ascii="Arial" w:hAnsi="Arial" w:cs="Arial"/>
          <w:sz w:val="24"/>
          <w:szCs w:val="24"/>
        </w:rPr>
        <w:t>El saldo final de la actuación de ambas autoridades durante los periodos de campaña en cuanto a la identificación de conductas infractoras nos revela que el IEEM multo 77 irregularidades, y el INE 423; en términos porcentuales el trabajo realizado por el Instituto Local equivale al 18.20% del trabajo realizado por el Instituto Nacional.</w:t>
      </w:r>
    </w:p>
    <w:p w:rsidR="00D84D20" w:rsidRDefault="00D84D20" w:rsidP="00D84D20">
      <w:pPr>
        <w:spacing w:line="360" w:lineRule="auto"/>
        <w:jc w:val="both"/>
        <w:rPr>
          <w:rFonts w:ascii="Arial" w:hAnsi="Arial" w:cs="Arial"/>
          <w:sz w:val="24"/>
          <w:szCs w:val="24"/>
        </w:rPr>
      </w:pPr>
    </w:p>
    <w:p w:rsidR="00D84D20" w:rsidRPr="00A85D78" w:rsidRDefault="00D84D20" w:rsidP="00D84D20">
      <w:pPr>
        <w:spacing w:line="360" w:lineRule="auto"/>
        <w:jc w:val="both"/>
        <w:rPr>
          <w:rFonts w:ascii="Arial" w:hAnsi="Arial" w:cs="Arial"/>
          <w:sz w:val="24"/>
          <w:szCs w:val="24"/>
        </w:rPr>
      </w:pPr>
    </w:p>
    <w:p w:rsidR="00A256AB" w:rsidRPr="00A85D78" w:rsidRDefault="00A256AB" w:rsidP="00D84D20">
      <w:pPr>
        <w:spacing w:line="360" w:lineRule="auto"/>
        <w:jc w:val="both"/>
        <w:rPr>
          <w:rFonts w:ascii="Arial" w:hAnsi="Arial" w:cs="Arial"/>
          <w:b/>
          <w:sz w:val="24"/>
          <w:szCs w:val="24"/>
        </w:rPr>
      </w:pPr>
      <w:r w:rsidRPr="00A85D78">
        <w:rPr>
          <w:rFonts w:ascii="Arial" w:hAnsi="Arial" w:cs="Arial"/>
          <w:b/>
          <w:sz w:val="24"/>
          <w:szCs w:val="24"/>
        </w:rPr>
        <w:t>4.3 Impugnaciones presentadas por partidos políticos durante el periodo de fiscalización a cargo del IEEM</w:t>
      </w:r>
      <w:r w:rsidR="00716A64">
        <w:rPr>
          <w:rFonts w:ascii="Arial" w:hAnsi="Arial" w:cs="Arial"/>
          <w:b/>
          <w:sz w:val="24"/>
          <w:szCs w:val="24"/>
        </w:rPr>
        <w:t>.</w:t>
      </w:r>
    </w:p>
    <w:p w:rsidR="00A256AB" w:rsidRDefault="00A256AB" w:rsidP="00D84D20">
      <w:pPr>
        <w:spacing w:line="360" w:lineRule="auto"/>
        <w:jc w:val="both"/>
        <w:rPr>
          <w:rFonts w:ascii="Arial" w:hAnsi="Arial" w:cs="Arial"/>
          <w:sz w:val="24"/>
          <w:szCs w:val="24"/>
        </w:rPr>
      </w:pPr>
      <w:r w:rsidRPr="00A85D78">
        <w:rPr>
          <w:rFonts w:ascii="Arial" w:hAnsi="Arial" w:cs="Arial"/>
          <w:sz w:val="24"/>
          <w:szCs w:val="24"/>
        </w:rPr>
        <w:t>Durante el periodo comprendido entre 2009 – 2012, las multas derivadas de los procesos locales para renovación de Ayuntamientos y Diputados Locales, 2009 y 2012; así como el proceso electoral para renovar al Gobernador del Estado de México en 2011; fueron impugnadas mediante recursos de apelación interpuestos ante el Tribunal Electoral del Estado de México (TEEM).</w:t>
      </w:r>
    </w:p>
    <w:p w:rsidR="00D84D20" w:rsidRDefault="00D84D20" w:rsidP="00D84D20">
      <w:pPr>
        <w:spacing w:line="360" w:lineRule="auto"/>
        <w:jc w:val="both"/>
        <w:rPr>
          <w:rFonts w:ascii="Arial" w:hAnsi="Arial" w:cs="Arial"/>
          <w:sz w:val="24"/>
          <w:szCs w:val="24"/>
        </w:rPr>
      </w:pPr>
    </w:p>
    <w:p w:rsidR="00D84D20" w:rsidRPr="00A85D78" w:rsidRDefault="00D84D20" w:rsidP="00D84D20">
      <w:pPr>
        <w:spacing w:line="360" w:lineRule="auto"/>
        <w:jc w:val="both"/>
        <w:rPr>
          <w:rFonts w:ascii="Arial" w:hAnsi="Arial" w:cs="Arial"/>
          <w:sz w:val="24"/>
          <w:szCs w:val="24"/>
        </w:rPr>
      </w:pPr>
    </w:p>
    <w:p w:rsidR="00A256AB" w:rsidRPr="00D84D20" w:rsidRDefault="00A256AB" w:rsidP="00D84D20">
      <w:pPr>
        <w:spacing w:line="360" w:lineRule="auto"/>
        <w:jc w:val="both"/>
        <w:rPr>
          <w:rFonts w:ascii="Arial" w:hAnsi="Arial" w:cs="Arial"/>
          <w:b/>
          <w:sz w:val="24"/>
          <w:szCs w:val="24"/>
        </w:rPr>
      </w:pPr>
      <w:r w:rsidRPr="00D84D20">
        <w:rPr>
          <w:rFonts w:ascii="Arial" w:hAnsi="Arial" w:cs="Arial"/>
          <w:b/>
          <w:sz w:val="24"/>
          <w:szCs w:val="24"/>
        </w:rPr>
        <w:t xml:space="preserve">4.3.1 Recursos de </w:t>
      </w:r>
      <w:r w:rsidR="00927E74">
        <w:rPr>
          <w:rFonts w:ascii="Arial" w:hAnsi="Arial" w:cs="Arial"/>
          <w:b/>
          <w:sz w:val="24"/>
          <w:szCs w:val="24"/>
        </w:rPr>
        <w:t>a</w:t>
      </w:r>
      <w:r w:rsidRPr="00D84D20">
        <w:rPr>
          <w:rFonts w:ascii="Arial" w:hAnsi="Arial" w:cs="Arial"/>
          <w:b/>
          <w:sz w:val="24"/>
          <w:szCs w:val="24"/>
        </w:rPr>
        <w:t xml:space="preserve">pelación </w:t>
      </w:r>
      <w:r w:rsidR="00927E74">
        <w:rPr>
          <w:rFonts w:ascii="Arial" w:hAnsi="Arial" w:cs="Arial"/>
          <w:b/>
          <w:sz w:val="24"/>
          <w:szCs w:val="24"/>
        </w:rPr>
        <w:t>p</w:t>
      </w:r>
      <w:r w:rsidRPr="00D84D20">
        <w:rPr>
          <w:rFonts w:ascii="Arial" w:hAnsi="Arial" w:cs="Arial"/>
          <w:b/>
          <w:sz w:val="24"/>
          <w:szCs w:val="24"/>
        </w:rPr>
        <w:t xml:space="preserve">roceso </w:t>
      </w:r>
      <w:r w:rsidR="00927E74">
        <w:rPr>
          <w:rFonts w:ascii="Arial" w:hAnsi="Arial" w:cs="Arial"/>
          <w:b/>
          <w:sz w:val="24"/>
          <w:szCs w:val="24"/>
        </w:rPr>
        <w:t>e</w:t>
      </w:r>
      <w:r w:rsidRPr="00D84D20">
        <w:rPr>
          <w:rFonts w:ascii="Arial" w:hAnsi="Arial" w:cs="Arial"/>
          <w:b/>
          <w:sz w:val="24"/>
          <w:szCs w:val="24"/>
        </w:rPr>
        <w:t>lectoral 2009.</w:t>
      </w:r>
    </w:p>
    <w:p w:rsidR="00A256AB" w:rsidRPr="00A85D78" w:rsidRDefault="00A256AB" w:rsidP="00D84D20">
      <w:pPr>
        <w:spacing w:line="360" w:lineRule="auto"/>
        <w:jc w:val="both"/>
        <w:rPr>
          <w:rFonts w:ascii="Arial" w:hAnsi="Arial" w:cs="Arial"/>
          <w:sz w:val="24"/>
          <w:szCs w:val="24"/>
        </w:rPr>
      </w:pPr>
      <w:r w:rsidRPr="00A85D78">
        <w:rPr>
          <w:rFonts w:ascii="Arial" w:hAnsi="Arial" w:cs="Arial"/>
          <w:sz w:val="24"/>
          <w:szCs w:val="24"/>
        </w:rPr>
        <w:t xml:space="preserve">Después de que el Consejo General del Instituto Electoral del Estado de México aprobó el acuerdo IEEM/CG/18/2010, relativo al dictamen y multas correspondientes a los partidos políticos por concepto de la fiscalización de las </w:t>
      </w:r>
      <w:r w:rsidRPr="00A85D78">
        <w:rPr>
          <w:rFonts w:ascii="Arial" w:hAnsi="Arial" w:cs="Arial"/>
          <w:sz w:val="24"/>
          <w:szCs w:val="24"/>
        </w:rPr>
        <w:lastRenderedPageBreak/>
        <w:t>campañas políticas 2009; un grupo de partidos políticos, a través de sus representantes ante el Consejo General del IEEM, interpusieron recursos de apelación en contra de las sanciones económicas que la autoridad electoral local considero como medida de apremio; de esta manera seis institutos políticos: Partido del Trabajo (PT), Partido Verde Ecologista de México (PVEM), Partido de la Revolución Democrática (PRD), Partido Revolucionario Institucional (PRI), Nueva Alianza (NA) y Partido Futuro Democrático (PFD); impugnaron las multas.</w:t>
      </w:r>
    </w:p>
    <w:p w:rsidR="00A256AB" w:rsidRPr="00A85D78" w:rsidRDefault="00A256AB" w:rsidP="00D84D20">
      <w:pPr>
        <w:spacing w:line="360" w:lineRule="auto"/>
        <w:jc w:val="both"/>
        <w:rPr>
          <w:rFonts w:ascii="Arial" w:hAnsi="Arial" w:cs="Arial"/>
          <w:sz w:val="24"/>
          <w:szCs w:val="24"/>
        </w:rPr>
      </w:pPr>
      <w:r w:rsidRPr="00A85D78">
        <w:rPr>
          <w:rFonts w:ascii="Arial" w:hAnsi="Arial" w:cs="Arial"/>
          <w:sz w:val="24"/>
          <w:szCs w:val="24"/>
        </w:rPr>
        <w:t xml:space="preserve">Una vez sustanciados los medios de impugnación identificados con claves RA/09/2010 (PRI), RA/10/2010 (PT), RA/11/2010 (PVEM), RA/12/2010 (PRD), RA/13/2010 (NA) </w:t>
      </w:r>
      <w:r w:rsidR="00600C69" w:rsidRPr="00A85D78">
        <w:rPr>
          <w:rFonts w:ascii="Arial" w:hAnsi="Arial" w:cs="Arial"/>
          <w:sz w:val="24"/>
          <w:szCs w:val="24"/>
        </w:rPr>
        <w:t>y RA</w:t>
      </w:r>
      <w:r w:rsidRPr="00A85D78">
        <w:rPr>
          <w:rFonts w:ascii="Arial" w:hAnsi="Arial" w:cs="Arial"/>
          <w:sz w:val="24"/>
          <w:szCs w:val="24"/>
        </w:rPr>
        <w:t>/14/2010 (PFD</w:t>
      </w:r>
      <w:r w:rsidR="00600C69" w:rsidRPr="00A85D78">
        <w:rPr>
          <w:rFonts w:ascii="Arial" w:hAnsi="Arial" w:cs="Arial"/>
          <w:sz w:val="24"/>
          <w:szCs w:val="24"/>
        </w:rPr>
        <w:t>), por</w:t>
      </w:r>
      <w:r w:rsidRPr="00A85D78">
        <w:rPr>
          <w:rFonts w:ascii="Arial" w:hAnsi="Arial" w:cs="Arial"/>
          <w:sz w:val="24"/>
          <w:szCs w:val="24"/>
        </w:rPr>
        <w:t xml:space="preserve"> parte del Tribunal Electoral Local; esté último confirmo las sanciones determinadas por el Instituto Electoral local. </w:t>
      </w:r>
    </w:p>
    <w:p w:rsidR="00A256AB" w:rsidRDefault="00A256AB" w:rsidP="00D84D20">
      <w:pPr>
        <w:spacing w:line="360" w:lineRule="auto"/>
        <w:jc w:val="both"/>
        <w:rPr>
          <w:rFonts w:ascii="Arial" w:hAnsi="Arial" w:cs="Arial"/>
          <w:sz w:val="24"/>
          <w:szCs w:val="24"/>
        </w:rPr>
      </w:pPr>
      <w:r w:rsidRPr="00A85D78">
        <w:rPr>
          <w:rFonts w:ascii="Arial" w:hAnsi="Arial" w:cs="Arial"/>
          <w:sz w:val="24"/>
          <w:szCs w:val="24"/>
        </w:rPr>
        <w:t>No obstante, los partidos PVEM, PRD, PFD y PRI; tomaron la decisión de llevar a una segunda instancia, su inconformidad, presentando ante la Sala Regional Toluca del Tribunal Electoral del Poder Judicial de la Federación, Juicios de Revisión Constitucional (JRC</w:t>
      </w:r>
      <w:r w:rsidR="00600C69" w:rsidRPr="00A85D78">
        <w:rPr>
          <w:rFonts w:ascii="Arial" w:hAnsi="Arial" w:cs="Arial"/>
          <w:sz w:val="24"/>
          <w:szCs w:val="24"/>
        </w:rPr>
        <w:t>), en</w:t>
      </w:r>
      <w:r w:rsidRPr="00A85D78">
        <w:rPr>
          <w:rFonts w:ascii="Arial" w:hAnsi="Arial" w:cs="Arial"/>
          <w:sz w:val="24"/>
          <w:szCs w:val="24"/>
        </w:rPr>
        <w:t xml:space="preserve"> los que únicamente el PRI, logr</w:t>
      </w:r>
      <w:r w:rsidR="0099249B">
        <w:rPr>
          <w:rFonts w:ascii="Arial" w:hAnsi="Arial" w:cs="Arial"/>
          <w:sz w:val="24"/>
          <w:szCs w:val="24"/>
        </w:rPr>
        <w:t>ó</w:t>
      </w:r>
      <w:r w:rsidRPr="00A85D78">
        <w:rPr>
          <w:rFonts w:ascii="Arial" w:hAnsi="Arial" w:cs="Arial"/>
          <w:sz w:val="24"/>
          <w:szCs w:val="24"/>
        </w:rPr>
        <w:t xml:space="preserve"> revertir la sanción impuesta. En la Tabla 4.30, podremos apreciar con mayor </w:t>
      </w:r>
      <w:r w:rsidR="00600C69" w:rsidRPr="00A85D78">
        <w:rPr>
          <w:rFonts w:ascii="Arial" w:hAnsi="Arial" w:cs="Arial"/>
          <w:sz w:val="24"/>
          <w:szCs w:val="24"/>
        </w:rPr>
        <w:t>claridad los</w:t>
      </w:r>
      <w:r w:rsidRPr="00A85D78">
        <w:rPr>
          <w:rFonts w:ascii="Arial" w:hAnsi="Arial" w:cs="Arial"/>
          <w:sz w:val="24"/>
          <w:szCs w:val="24"/>
        </w:rPr>
        <w:t xml:space="preserve"> medios de impugnación presentados, así como su resultado.</w:t>
      </w:r>
    </w:p>
    <w:p w:rsidR="00D84D20" w:rsidRPr="00A85D78" w:rsidRDefault="00D84D20" w:rsidP="00D84D20">
      <w:pPr>
        <w:spacing w:line="360" w:lineRule="auto"/>
        <w:jc w:val="both"/>
        <w:rPr>
          <w:rFonts w:ascii="Arial" w:hAnsi="Arial" w:cs="Arial"/>
          <w:sz w:val="24"/>
          <w:szCs w:val="24"/>
        </w:rPr>
      </w:pPr>
    </w:p>
    <w:p w:rsidR="00A256AB" w:rsidRDefault="00A256AB" w:rsidP="00D84D20">
      <w:pPr>
        <w:tabs>
          <w:tab w:val="left" w:pos="5070"/>
        </w:tabs>
        <w:jc w:val="both"/>
        <w:rPr>
          <w:rStyle w:val="Ttulodellibro"/>
          <w:rFonts w:ascii="Arial" w:hAnsi="Arial" w:cs="Arial"/>
          <w:b/>
          <w:i/>
          <w:color w:val="auto"/>
          <w:sz w:val="20"/>
          <w:szCs w:val="20"/>
        </w:rPr>
      </w:pPr>
      <w:r w:rsidRPr="00D84D20">
        <w:rPr>
          <w:rStyle w:val="Ttulodellibro"/>
          <w:rFonts w:ascii="Arial" w:hAnsi="Arial" w:cs="Arial"/>
          <w:b/>
          <w:i/>
          <w:color w:val="auto"/>
          <w:sz w:val="20"/>
          <w:szCs w:val="20"/>
        </w:rPr>
        <w:t>Tabla 4.30 Medios de Impugnación interpuestos por partidos políticos revisión precautoria y campaña 2009.</w:t>
      </w:r>
    </w:p>
    <w:p w:rsidR="00D84D20" w:rsidRPr="00D84D20" w:rsidRDefault="00D84D20" w:rsidP="00D84D20">
      <w:pPr>
        <w:tabs>
          <w:tab w:val="left" w:pos="5070"/>
        </w:tabs>
        <w:jc w:val="both"/>
        <w:rPr>
          <w:rStyle w:val="Ttulodellibro"/>
          <w:rFonts w:ascii="Arial" w:hAnsi="Arial" w:cs="Arial"/>
          <w:b/>
          <w:i/>
          <w:color w:val="auto"/>
          <w:sz w:val="20"/>
          <w:szCs w:val="20"/>
        </w:rPr>
      </w:pPr>
    </w:p>
    <w:tbl>
      <w:tblPr>
        <w:tblStyle w:val="Tablaconcuadrcula"/>
        <w:tblW w:w="0" w:type="auto"/>
        <w:tblLook w:val="04A0" w:firstRow="1" w:lastRow="0" w:firstColumn="1" w:lastColumn="0" w:noHBand="0" w:noVBand="1"/>
      </w:tblPr>
      <w:tblGrid>
        <w:gridCol w:w="1101"/>
        <w:gridCol w:w="1275"/>
        <w:gridCol w:w="1560"/>
        <w:gridCol w:w="1559"/>
        <w:gridCol w:w="1751"/>
        <w:gridCol w:w="1441"/>
      </w:tblGrid>
      <w:tr w:rsidR="00A256AB" w:rsidRPr="00A85D78" w:rsidTr="00A256AB">
        <w:tc>
          <w:tcPr>
            <w:tcW w:w="1101"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275"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MULTA</w:t>
            </w:r>
          </w:p>
        </w:tc>
        <w:tc>
          <w:tcPr>
            <w:tcW w:w="1560"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IMPUGNACI</w:t>
            </w:r>
            <w:r w:rsidR="0099249B">
              <w:rPr>
                <w:rFonts w:ascii="Arial" w:hAnsi="Arial" w:cs="Arial"/>
                <w:b/>
                <w:sz w:val="16"/>
                <w:szCs w:val="16"/>
                <w:lang w:val="es-ES_tradnl"/>
              </w:rPr>
              <w:t>Ó</w:t>
            </w:r>
            <w:r w:rsidRPr="00A85D78">
              <w:rPr>
                <w:rFonts w:ascii="Arial" w:hAnsi="Arial" w:cs="Arial"/>
                <w:b/>
                <w:sz w:val="16"/>
                <w:szCs w:val="16"/>
                <w:lang w:val="es-ES_tradnl"/>
              </w:rPr>
              <w:t>N</w:t>
            </w:r>
          </w:p>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TEEM</w:t>
            </w:r>
          </w:p>
        </w:tc>
        <w:tc>
          <w:tcPr>
            <w:tcW w:w="1559"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RESOLUCI</w:t>
            </w:r>
            <w:r w:rsidR="0099249B">
              <w:rPr>
                <w:rFonts w:ascii="Arial" w:hAnsi="Arial" w:cs="Arial"/>
                <w:b/>
                <w:sz w:val="16"/>
                <w:szCs w:val="16"/>
                <w:lang w:val="es-ES_tradnl"/>
              </w:rPr>
              <w:t>Ó</w:t>
            </w:r>
            <w:r w:rsidRPr="00A85D78">
              <w:rPr>
                <w:rFonts w:ascii="Arial" w:hAnsi="Arial" w:cs="Arial"/>
                <w:b/>
                <w:sz w:val="16"/>
                <w:szCs w:val="16"/>
                <w:lang w:val="es-ES_tradnl"/>
              </w:rPr>
              <w:t>N</w:t>
            </w:r>
          </w:p>
        </w:tc>
        <w:tc>
          <w:tcPr>
            <w:tcW w:w="1751"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IMPUGNACIÓN</w:t>
            </w:r>
          </w:p>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TEPJF</w:t>
            </w:r>
          </w:p>
        </w:tc>
        <w:tc>
          <w:tcPr>
            <w:tcW w:w="1441"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RESOLUCIÓN</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PRI*</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$31,170.00</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RA/43/2009</w:t>
            </w:r>
          </w:p>
        </w:tc>
        <w:tc>
          <w:tcPr>
            <w:tcW w:w="1559"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44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PRI</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$55,846.25</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RA/09/2010</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ST-JRC-0016/2010</w:t>
            </w:r>
          </w:p>
        </w:tc>
        <w:tc>
          <w:tcPr>
            <w:tcW w:w="144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REVOCADA</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PT</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$360,869.05</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RA/10/2010</w:t>
            </w:r>
          </w:p>
        </w:tc>
        <w:tc>
          <w:tcPr>
            <w:tcW w:w="1559"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44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PVEM</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$1,320,644.17</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RA/11/2010</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ST-JRC-0013/2010</w:t>
            </w:r>
          </w:p>
        </w:tc>
        <w:tc>
          <w:tcPr>
            <w:tcW w:w="1441"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PRD</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$272,627.92</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RA/12/2010</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ST-JRC-0014/2010</w:t>
            </w:r>
          </w:p>
        </w:tc>
        <w:tc>
          <w:tcPr>
            <w:tcW w:w="1441"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NA</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$65,976.50</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RA/13/2010</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c>
          <w:tcPr>
            <w:tcW w:w="144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w:t>
            </w:r>
          </w:p>
        </w:tc>
      </w:tr>
      <w:tr w:rsidR="00A256AB" w:rsidRPr="00A85D78" w:rsidTr="00A256AB">
        <w:tc>
          <w:tcPr>
            <w:tcW w:w="1101"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PFD</w:t>
            </w:r>
          </w:p>
        </w:tc>
        <w:tc>
          <w:tcPr>
            <w:tcW w:w="1275"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$520,467.44</w:t>
            </w:r>
          </w:p>
        </w:tc>
        <w:tc>
          <w:tcPr>
            <w:tcW w:w="1560"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RA/14/2010</w:t>
            </w:r>
          </w:p>
        </w:tc>
        <w:tc>
          <w:tcPr>
            <w:tcW w:w="155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CONFIRMADA</w:t>
            </w:r>
          </w:p>
        </w:tc>
        <w:tc>
          <w:tcPr>
            <w:tcW w:w="175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ST-JRC-0015/2010</w:t>
            </w:r>
          </w:p>
        </w:tc>
        <w:tc>
          <w:tcPr>
            <w:tcW w:w="144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CONFIRMADA</w:t>
            </w:r>
          </w:p>
        </w:tc>
      </w:tr>
    </w:tbl>
    <w:p w:rsidR="00A256AB" w:rsidRPr="00D84D20" w:rsidRDefault="00A256AB" w:rsidP="00A256AB">
      <w:pPr>
        <w:jc w:val="both"/>
        <w:rPr>
          <w:rFonts w:ascii="Arial" w:hAnsi="Arial" w:cs="Arial"/>
          <w:i/>
          <w:iCs/>
          <w:sz w:val="16"/>
          <w:szCs w:val="16"/>
        </w:rPr>
      </w:pPr>
      <w:r w:rsidRPr="00D84D20">
        <w:rPr>
          <w:rFonts w:ascii="Arial" w:hAnsi="Arial" w:cs="Arial"/>
          <w:b/>
          <w:bCs/>
          <w:i/>
          <w:iCs/>
          <w:sz w:val="16"/>
          <w:szCs w:val="16"/>
        </w:rPr>
        <w:t>Fuente:</w:t>
      </w:r>
      <w:r w:rsidRPr="00D84D20">
        <w:rPr>
          <w:rFonts w:ascii="Arial" w:hAnsi="Arial" w:cs="Arial"/>
          <w:i/>
          <w:iCs/>
          <w:sz w:val="16"/>
          <w:szCs w:val="16"/>
        </w:rPr>
        <w:t xml:space="preserve"> Elaboración propia con base en acuerdo IEEM/CG18/2010 y Sentencias del TEEM y TEPJF.                                              *Impugnación de Revisión precautoria.</w:t>
      </w:r>
    </w:p>
    <w:p w:rsidR="00D84D20" w:rsidRDefault="00D84D20" w:rsidP="00A256AB">
      <w:pPr>
        <w:jc w:val="both"/>
        <w:rPr>
          <w:rFonts w:ascii="Arial" w:hAnsi="Arial" w:cs="Arial"/>
          <w:sz w:val="24"/>
          <w:szCs w:val="24"/>
        </w:rPr>
      </w:pPr>
    </w:p>
    <w:p w:rsidR="00D84D20" w:rsidRDefault="00D84D20" w:rsidP="00A256AB">
      <w:pPr>
        <w:jc w:val="both"/>
        <w:rPr>
          <w:rFonts w:ascii="Arial" w:hAnsi="Arial" w:cs="Arial"/>
          <w:sz w:val="24"/>
          <w:szCs w:val="24"/>
        </w:rPr>
      </w:pPr>
    </w:p>
    <w:p w:rsidR="00A256AB" w:rsidRDefault="00A256AB" w:rsidP="00D84D20">
      <w:pPr>
        <w:spacing w:line="360" w:lineRule="auto"/>
        <w:jc w:val="both"/>
        <w:rPr>
          <w:rFonts w:ascii="Arial" w:hAnsi="Arial" w:cs="Arial"/>
          <w:sz w:val="24"/>
          <w:szCs w:val="24"/>
        </w:rPr>
      </w:pPr>
      <w:r w:rsidRPr="00A85D78">
        <w:rPr>
          <w:rFonts w:ascii="Arial" w:hAnsi="Arial" w:cs="Arial"/>
          <w:sz w:val="24"/>
          <w:szCs w:val="24"/>
        </w:rPr>
        <w:t xml:space="preserve">Una vez finalizada la fiscalización del proceso electoral local 2009, el Consejo General impuso sanciones a 9 partidos políticos por un monto total de $2,792,362.93 de los cuales, seis partidos presentaron 10 medios de impugnación ante el TEEM (6) y el TEPJF (4); derivado de estos recursos, únicamente un partido </w:t>
      </w:r>
      <w:r w:rsidRPr="00A85D78">
        <w:rPr>
          <w:rFonts w:ascii="Arial" w:hAnsi="Arial" w:cs="Arial"/>
          <w:sz w:val="24"/>
          <w:szCs w:val="24"/>
        </w:rPr>
        <w:lastRenderedPageBreak/>
        <w:t>consiguió revocar la multa económica determinada por el IEEM, el PRI mediante el JRC-0016/2010, logr</w:t>
      </w:r>
      <w:r w:rsidR="00D60873">
        <w:rPr>
          <w:rFonts w:ascii="Arial" w:hAnsi="Arial" w:cs="Arial"/>
          <w:sz w:val="24"/>
          <w:szCs w:val="24"/>
        </w:rPr>
        <w:t>ó</w:t>
      </w:r>
      <w:r w:rsidRPr="00A85D78">
        <w:rPr>
          <w:rFonts w:ascii="Arial" w:hAnsi="Arial" w:cs="Arial"/>
          <w:sz w:val="24"/>
          <w:szCs w:val="24"/>
        </w:rPr>
        <w:t xml:space="preserve"> revertir una sanción de $55,846.25.</w:t>
      </w:r>
      <w:r w:rsidRPr="00D84D20">
        <w:footnoteReference w:id="27"/>
      </w:r>
    </w:p>
    <w:p w:rsidR="00D84D20" w:rsidRDefault="00D84D20" w:rsidP="00D84D20">
      <w:pPr>
        <w:spacing w:line="360" w:lineRule="auto"/>
        <w:jc w:val="both"/>
        <w:rPr>
          <w:rFonts w:ascii="Arial" w:hAnsi="Arial" w:cs="Arial"/>
          <w:sz w:val="24"/>
          <w:szCs w:val="24"/>
        </w:rPr>
      </w:pPr>
    </w:p>
    <w:p w:rsidR="00E04C13" w:rsidRPr="00A85D78" w:rsidRDefault="00E04C13" w:rsidP="00D84D20">
      <w:pPr>
        <w:spacing w:line="360" w:lineRule="auto"/>
        <w:jc w:val="both"/>
        <w:rPr>
          <w:rFonts w:ascii="Arial" w:hAnsi="Arial" w:cs="Arial"/>
          <w:sz w:val="24"/>
          <w:szCs w:val="24"/>
        </w:rPr>
      </w:pPr>
    </w:p>
    <w:p w:rsidR="00A256AB" w:rsidRDefault="00A256AB" w:rsidP="00A256AB">
      <w:pPr>
        <w:jc w:val="both"/>
        <w:rPr>
          <w:rFonts w:ascii="Arial" w:hAnsi="Arial" w:cs="Arial"/>
          <w:b/>
          <w:sz w:val="24"/>
          <w:szCs w:val="24"/>
        </w:rPr>
      </w:pPr>
      <w:r w:rsidRPr="00A85D78">
        <w:rPr>
          <w:rFonts w:ascii="Arial" w:hAnsi="Arial" w:cs="Arial"/>
          <w:b/>
          <w:sz w:val="24"/>
          <w:szCs w:val="24"/>
        </w:rPr>
        <w:t xml:space="preserve">4.3.2 Recursos de </w:t>
      </w:r>
      <w:r w:rsidR="00927E74">
        <w:rPr>
          <w:rFonts w:ascii="Arial" w:hAnsi="Arial" w:cs="Arial"/>
          <w:b/>
          <w:sz w:val="24"/>
          <w:szCs w:val="24"/>
        </w:rPr>
        <w:t>a</w:t>
      </w:r>
      <w:r w:rsidRPr="00A85D78">
        <w:rPr>
          <w:rFonts w:ascii="Arial" w:hAnsi="Arial" w:cs="Arial"/>
          <w:b/>
          <w:sz w:val="24"/>
          <w:szCs w:val="24"/>
        </w:rPr>
        <w:t xml:space="preserve">pelación </w:t>
      </w:r>
      <w:r w:rsidR="00927E74">
        <w:rPr>
          <w:rFonts w:ascii="Arial" w:hAnsi="Arial" w:cs="Arial"/>
          <w:b/>
          <w:sz w:val="24"/>
          <w:szCs w:val="24"/>
        </w:rPr>
        <w:t>p</w:t>
      </w:r>
      <w:r w:rsidRPr="00A85D78">
        <w:rPr>
          <w:rFonts w:ascii="Arial" w:hAnsi="Arial" w:cs="Arial"/>
          <w:b/>
          <w:sz w:val="24"/>
          <w:szCs w:val="24"/>
        </w:rPr>
        <w:t xml:space="preserve">roceso </w:t>
      </w:r>
      <w:r w:rsidR="00927E74">
        <w:rPr>
          <w:rFonts w:ascii="Arial" w:hAnsi="Arial" w:cs="Arial"/>
          <w:b/>
          <w:sz w:val="24"/>
          <w:szCs w:val="24"/>
        </w:rPr>
        <w:t>e</w:t>
      </w:r>
      <w:r w:rsidRPr="00A85D78">
        <w:rPr>
          <w:rFonts w:ascii="Arial" w:hAnsi="Arial" w:cs="Arial"/>
          <w:b/>
          <w:sz w:val="24"/>
          <w:szCs w:val="24"/>
        </w:rPr>
        <w:t>lectoral 2011.</w:t>
      </w:r>
    </w:p>
    <w:p w:rsidR="00A256AB" w:rsidRPr="00A85D78" w:rsidRDefault="00A256AB" w:rsidP="00D84D20">
      <w:pPr>
        <w:spacing w:line="360" w:lineRule="auto"/>
        <w:jc w:val="both"/>
        <w:rPr>
          <w:rFonts w:ascii="Arial" w:hAnsi="Arial" w:cs="Arial"/>
          <w:sz w:val="24"/>
          <w:szCs w:val="24"/>
        </w:rPr>
      </w:pPr>
      <w:r w:rsidRPr="00A85D78">
        <w:rPr>
          <w:rFonts w:ascii="Arial" w:hAnsi="Arial" w:cs="Arial"/>
          <w:sz w:val="24"/>
          <w:szCs w:val="24"/>
        </w:rPr>
        <w:t xml:space="preserve">El proceso electoral para renovar Gobernador en el año 2011, fue la elección en la que se presentaron las multas más bajas del periodo objeto de estudio de la presente investigación;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se presentaron medios de impugnación correspondientes a las etapas de precampaña y campaña como se muestra en la tabla 4.31. </w:t>
      </w:r>
    </w:p>
    <w:p w:rsidR="00D84D20" w:rsidRDefault="00D84D20" w:rsidP="00A256AB">
      <w:pPr>
        <w:jc w:val="both"/>
        <w:rPr>
          <w:rFonts w:ascii="Arial" w:hAnsi="Arial" w:cs="Arial"/>
          <w:sz w:val="24"/>
          <w:szCs w:val="24"/>
        </w:rPr>
      </w:pPr>
    </w:p>
    <w:p w:rsidR="00A256AB" w:rsidRPr="00875A9E" w:rsidRDefault="00A256AB" w:rsidP="00875A9E">
      <w:pPr>
        <w:tabs>
          <w:tab w:val="left" w:pos="5070"/>
        </w:tabs>
        <w:jc w:val="both"/>
        <w:rPr>
          <w:rStyle w:val="Ttulodellibro"/>
          <w:rFonts w:ascii="Arial" w:hAnsi="Arial" w:cs="Arial"/>
          <w:b/>
          <w:i/>
          <w:color w:val="auto"/>
          <w:sz w:val="20"/>
          <w:szCs w:val="20"/>
        </w:rPr>
      </w:pPr>
      <w:r w:rsidRPr="00875A9E">
        <w:rPr>
          <w:rStyle w:val="Ttulodellibro"/>
          <w:rFonts w:ascii="Arial" w:hAnsi="Arial" w:cs="Arial"/>
          <w:b/>
          <w:i/>
          <w:color w:val="auto"/>
          <w:sz w:val="20"/>
          <w:szCs w:val="20"/>
        </w:rPr>
        <w:t>Tabla 4.31 Medios de Impugnación interpuestos por partidos políticos precampaña y campaña 2011.</w:t>
      </w:r>
    </w:p>
    <w:p w:rsidR="00D84D20" w:rsidRPr="00A85D78" w:rsidRDefault="00D84D20"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436"/>
        <w:gridCol w:w="1663"/>
        <w:gridCol w:w="1663"/>
        <w:gridCol w:w="2034"/>
        <w:gridCol w:w="2032"/>
      </w:tblGrid>
      <w:tr w:rsidR="00A256AB" w:rsidRPr="00875A9E" w:rsidTr="00875A9E">
        <w:trPr>
          <w:jc w:val="center"/>
        </w:trPr>
        <w:tc>
          <w:tcPr>
            <w:tcW w:w="813"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PARTIDO</w:t>
            </w:r>
          </w:p>
        </w:tc>
        <w:tc>
          <w:tcPr>
            <w:tcW w:w="942"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ETAPA</w:t>
            </w:r>
          </w:p>
        </w:tc>
        <w:tc>
          <w:tcPr>
            <w:tcW w:w="942"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MULTA</w:t>
            </w:r>
          </w:p>
        </w:tc>
        <w:tc>
          <w:tcPr>
            <w:tcW w:w="1152"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IMPUGNACION</w:t>
            </w:r>
          </w:p>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TEEM</w:t>
            </w:r>
          </w:p>
        </w:tc>
        <w:tc>
          <w:tcPr>
            <w:tcW w:w="1151"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RESOLUCION</w:t>
            </w:r>
          </w:p>
        </w:tc>
      </w:tr>
      <w:tr w:rsidR="00A256AB" w:rsidRPr="00875A9E" w:rsidTr="00875A9E">
        <w:trPr>
          <w:jc w:val="center"/>
        </w:trPr>
        <w:tc>
          <w:tcPr>
            <w:tcW w:w="813"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NUAL</w:t>
            </w:r>
          </w:p>
        </w:tc>
        <w:tc>
          <w:tcPr>
            <w:tcW w:w="942" w:type="pct"/>
          </w:tcPr>
          <w:p w:rsidR="00A256AB" w:rsidRPr="00875A9E" w:rsidRDefault="00A256AB" w:rsidP="00D60873">
            <w:pPr>
              <w:rPr>
                <w:rFonts w:ascii="Arial" w:hAnsi="Arial" w:cs="Arial"/>
                <w:sz w:val="18"/>
                <w:szCs w:val="18"/>
                <w:lang w:val="es-ES_tradnl"/>
              </w:rPr>
            </w:pPr>
            <w:r w:rsidRPr="00875A9E">
              <w:rPr>
                <w:rFonts w:ascii="Arial" w:hAnsi="Arial" w:cs="Arial"/>
                <w:sz w:val="18"/>
                <w:szCs w:val="18"/>
                <w:lang w:val="es-ES_tradnl"/>
              </w:rPr>
              <w:t>Precampaña</w:t>
            </w:r>
          </w:p>
        </w:tc>
        <w:tc>
          <w:tcPr>
            <w:tcW w:w="942"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$11,340.00</w:t>
            </w:r>
          </w:p>
        </w:tc>
        <w:tc>
          <w:tcPr>
            <w:tcW w:w="1152"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RA/28/2011</w:t>
            </w:r>
          </w:p>
        </w:tc>
        <w:tc>
          <w:tcPr>
            <w:tcW w:w="1151"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CONFIRMADA</w:t>
            </w:r>
          </w:p>
        </w:tc>
      </w:tr>
      <w:tr w:rsidR="00A256AB" w:rsidRPr="00875A9E" w:rsidTr="00875A9E">
        <w:trPr>
          <w:jc w:val="center"/>
        </w:trPr>
        <w:tc>
          <w:tcPr>
            <w:tcW w:w="813"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PAN</w:t>
            </w:r>
          </w:p>
        </w:tc>
        <w:tc>
          <w:tcPr>
            <w:tcW w:w="942" w:type="pct"/>
          </w:tcPr>
          <w:p w:rsidR="00A256AB" w:rsidRPr="00875A9E" w:rsidRDefault="00A256AB" w:rsidP="00D60873">
            <w:pPr>
              <w:rPr>
                <w:rFonts w:ascii="Arial" w:hAnsi="Arial" w:cs="Arial"/>
                <w:sz w:val="18"/>
                <w:szCs w:val="18"/>
                <w:lang w:val="es-ES_tradnl"/>
              </w:rPr>
            </w:pPr>
            <w:r w:rsidRPr="00875A9E">
              <w:rPr>
                <w:rFonts w:ascii="Arial" w:hAnsi="Arial" w:cs="Arial"/>
                <w:sz w:val="18"/>
                <w:szCs w:val="18"/>
                <w:lang w:val="es-ES_tradnl"/>
              </w:rPr>
              <w:t>Precampaña</w:t>
            </w:r>
          </w:p>
        </w:tc>
        <w:tc>
          <w:tcPr>
            <w:tcW w:w="942"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$17,010.00</w:t>
            </w:r>
          </w:p>
        </w:tc>
        <w:tc>
          <w:tcPr>
            <w:tcW w:w="1152"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RA/30/2011</w:t>
            </w:r>
          </w:p>
        </w:tc>
        <w:tc>
          <w:tcPr>
            <w:tcW w:w="1151"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SE MODIFICA</w:t>
            </w:r>
          </w:p>
        </w:tc>
      </w:tr>
      <w:tr w:rsidR="00A256AB" w:rsidRPr="00875A9E" w:rsidTr="00875A9E">
        <w:trPr>
          <w:jc w:val="center"/>
        </w:trPr>
        <w:tc>
          <w:tcPr>
            <w:tcW w:w="813"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PRD</w:t>
            </w:r>
          </w:p>
        </w:tc>
        <w:tc>
          <w:tcPr>
            <w:tcW w:w="942" w:type="pct"/>
          </w:tcPr>
          <w:p w:rsidR="00A256AB" w:rsidRPr="00875A9E" w:rsidRDefault="00A256AB" w:rsidP="00A256AB">
            <w:pPr>
              <w:rPr>
                <w:rFonts w:ascii="Arial" w:hAnsi="Arial" w:cs="Arial"/>
                <w:sz w:val="18"/>
                <w:szCs w:val="18"/>
                <w:lang w:val="es-ES_tradnl"/>
              </w:rPr>
            </w:pPr>
            <w:r w:rsidRPr="00875A9E">
              <w:rPr>
                <w:rFonts w:ascii="Arial" w:hAnsi="Arial" w:cs="Arial"/>
                <w:sz w:val="18"/>
                <w:szCs w:val="18"/>
                <w:lang w:val="es-ES_tradnl"/>
              </w:rPr>
              <w:t>Campaña</w:t>
            </w:r>
          </w:p>
        </w:tc>
        <w:tc>
          <w:tcPr>
            <w:tcW w:w="942"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$4,444.20</w:t>
            </w:r>
          </w:p>
        </w:tc>
        <w:tc>
          <w:tcPr>
            <w:tcW w:w="1152"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RA/20/2012</w:t>
            </w:r>
          </w:p>
        </w:tc>
        <w:tc>
          <w:tcPr>
            <w:tcW w:w="1151"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CONFIRMADA</w:t>
            </w:r>
          </w:p>
        </w:tc>
      </w:tr>
    </w:tbl>
    <w:p w:rsidR="00A256AB" w:rsidRPr="00875A9E" w:rsidRDefault="00A256AB" w:rsidP="00A256AB">
      <w:pPr>
        <w:jc w:val="both"/>
        <w:rPr>
          <w:rFonts w:ascii="Arial" w:hAnsi="Arial" w:cs="Arial"/>
          <w:i/>
          <w:iCs/>
          <w:sz w:val="16"/>
          <w:szCs w:val="16"/>
        </w:rPr>
      </w:pPr>
      <w:r w:rsidRPr="00875A9E">
        <w:rPr>
          <w:rFonts w:ascii="Arial" w:hAnsi="Arial" w:cs="Arial"/>
          <w:b/>
          <w:bCs/>
          <w:i/>
          <w:iCs/>
          <w:sz w:val="16"/>
          <w:szCs w:val="16"/>
        </w:rPr>
        <w:t>Fuente:</w:t>
      </w:r>
      <w:r w:rsidRPr="00875A9E">
        <w:rPr>
          <w:rFonts w:ascii="Arial" w:hAnsi="Arial" w:cs="Arial"/>
          <w:i/>
          <w:iCs/>
          <w:sz w:val="16"/>
          <w:szCs w:val="16"/>
        </w:rPr>
        <w:t xml:space="preserve"> Elaboración propia, con base en RA/28/2011, RA/30/2011 y RA/20/2012, obtenidos mediante solicitud de transparencia.</w:t>
      </w:r>
    </w:p>
    <w:p w:rsidR="00D84D20" w:rsidRDefault="00D84D20" w:rsidP="00A256AB">
      <w:pPr>
        <w:jc w:val="both"/>
        <w:rPr>
          <w:rFonts w:ascii="Arial" w:hAnsi="Arial" w:cs="Arial"/>
          <w:sz w:val="16"/>
          <w:szCs w:val="16"/>
        </w:rPr>
      </w:pPr>
    </w:p>
    <w:p w:rsidR="00D84D20" w:rsidRPr="00A85D78" w:rsidRDefault="00D84D20" w:rsidP="00A256AB">
      <w:pPr>
        <w:jc w:val="both"/>
        <w:rPr>
          <w:rFonts w:ascii="Arial" w:hAnsi="Arial" w:cs="Arial"/>
          <w:sz w:val="16"/>
          <w:szCs w:val="16"/>
        </w:rPr>
      </w:pPr>
    </w:p>
    <w:p w:rsidR="00A256AB" w:rsidRPr="00D84D20" w:rsidRDefault="00A256AB" w:rsidP="00D84D20">
      <w:pPr>
        <w:spacing w:line="360" w:lineRule="auto"/>
        <w:jc w:val="both"/>
        <w:rPr>
          <w:rFonts w:ascii="Arial" w:hAnsi="Arial" w:cs="Arial"/>
          <w:sz w:val="24"/>
          <w:szCs w:val="24"/>
        </w:rPr>
      </w:pPr>
      <w:r w:rsidRPr="00A85D78">
        <w:rPr>
          <w:rFonts w:ascii="Arial" w:hAnsi="Arial" w:cs="Arial"/>
          <w:sz w:val="24"/>
          <w:szCs w:val="24"/>
        </w:rPr>
        <w:t xml:space="preserve">Cabe destacar que el Partido Acción Nacional tuvo éxito en su impugnación,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la multa no fue eliminada, sino que únicamente se recalcul</w:t>
      </w:r>
      <w:r w:rsidR="00D60873">
        <w:rPr>
          <w:rFonts w:ascii="Arial" w:hAnsi="Arial" w:cs="Arial"/>
          <w:sz w:val="24"/>
          <w:szCs w:val="24"/>
        </w:rPr>
        <w:t>ó</w:t>
      </w:r>
      <w:r w:rsidRPr="00A85D78">
        <w:rPr>
          <w:rFonts w:ascii="Arial" w:hAnsi="Arial" w:cs="Arial"/>
          <w:sz w:val="24"/>
          <w:szCs w:val="24"/>
        </w:rPr>
        <w:t xml:space="preserve"> por lo que el IEEM, mediante </w:t>
      </w:r>
      <w:r w:rsidR="00D60873">
        <w:rPr>
          <w:rFonts w:ascii="Arial" w:hAnsi="Arial" w:cs="Arial"/>
          <w:sz w:val="24"/>
          <w:szCs w:val="24"/>
        </w:rPr>
        <w:t>A</w:t>
      </w:r>
      <w:r w:rsidRPr="00A85D78">
        <w:rPr>
          <w:rFonts w:ascii="Arial" w:hAnsi="Arial" w:cs="Arial"/>
          <w:sz w:val="24"/>
          <w:szCs w:val="24"/>
        </w:rPr>
        <w:t xml:space="preserve">cuerdo CG/118/2011, dio cumplimiento a la sentencia emitida por el Tribunal Electoral del Estado de México y </w:t>
      </w:r>
      <w:r w:rsidR="00D60873">
        <w:rPr>
          <w:rFonts w:ascii="Arial" w:hAnsi="Arial" w:cs="Arial"/>
          <w:sz w:val="24"/>
          <w:szCs w:val="24"/>
        </w:rPr>
        <w:t>determinó</w:t>
      </w:r>
      <w:r w:rsidRPr="00A85D78">
        <w:rPr>
          <w:rFonts w:ascii="Arial" w:hAnsi="Arial" w:cs="Arial"/>
          <w:sz w:val="24"/>
          <w:szCs w:val="24"/>
        </w:rPr>
        <w:t xml:space="preserve"> la multa impuesta al PAN; una vez hecho el nuevo procedimiento para su determinación la multa ascendió a $8,505.00</w:t>
      </w:r>
      <w:r w:rsidR="00600C69" w:rsidRPr="00A85D78">
        <w:rPr>
          <w:rFonts w:ascii="Arial" w:hAnsi="Arial" w:cs="Arial"/>
          <w:sz w:val="24"/>
          <w:szCs w:val="24"/>
        </w:rPr>
        <w:t>.</w:t>
      </w:r>
    </w:p>
    <w:p w:rsidR="00D84D20" w:rsidRDefault="00D84D20" w:rsidP="00A256AB">
      <w:pPr>
        <w:jc w:val="both"/>
        <w:rPr>
          <w:rFonts w:ascii="Arial" w:hAnsi="Arial" w:cs="Arial"/>
          <w:b/>
          <w:sz w:val="24"/>
          <w:szCs w:val="24"/>
        </w:rPr>
      </w:pPr>
    </w:p>
    <w:p w:rsidR="00D84D20" w:rsidRDefault="00D84D20" w:rsidP="00A256AB">
      <w:pPr>
        <w:jc w:val="both"/>
        <w:rPr>
          <w:rFonts w:ascii="Arial" w:hAnsi="Arial" w:cs="Arial"/>
          <w:b/>
          <w:sz w:val="24"/>
          <w:szCs w:val="24"/>
        </w:rPr>
      </w:pPr>
    </w:p>
    <w:p w:rsidR="00A256AB" w:rsidRDefault="00A256AB" w:rsidP="00A256AB">
      <w:pPr>
        <w:jc w:val="both"/>
        <w:rPr>
          <w:rFonts w:ascii="Arial" w:hAnsi="Arial" w:cs="Arial"/>
          <w:b/>
          <w:sz w:val="24"/>
          <w:szCs w:val="24"/>
        </w:rPr>
      </w:pPr>
      <w:r w:rsidRPr="00A85D78">
        <w:rPr>
          <w:rFonts w:ascii="Arial" w:hAnsi="Arial" w:cs="Arial"/>
          <w:b/>
          <w:sz w:val="24"/>
          <w:szCs w:val="24"/>
        </w:rPr>
        <w:t xml:space="preserve">4.3.3 Recursos de </w:t>
      </w:r>
      <w:r w:rsidR="00927E74">
        <w:rPr>
          <w:rFonts w:ascii="Arial" w:hAnsi="Arial" w:cs="Arial"/>
          <w:b/>
          <w:sz w:val="24"/>
          <w:szCs w:val="24"/>
        </w:rPr>
        <w:t>a</w:t>
      </w:r>
      <w:r w:rsidRPr="00A85D78">
        <w:rPr>
          <w:rFonts w:ascii="Arial" w:hAnsi="Arial" w:cs="Arial"/>
          <w:b/>
          <w:sz w:val="24"/>
          <w:szCs w:val="24"/>
        </w:rPr>
        <w:t xml:space="preserve">pelación </w:t>
      </w:r>
      <w:r w:rsidR="00927E74">
        <w:rPr>
          <w:rFonts w:ascii="Arial" w:hAnsi="Arial" w:cs="Arial"/>
          <w:b/>
          <w:sz w:val="24"/>
          <w:szCs w:val="24"/>
        </w:rPr>
        <w:t>p</w:t>
      </w:r>
      <w:r w:rsidRPr="00A85D78">
        <w:rPr>
          <w:rFonts w:ascii="Arial" w:hAnsi="Arial" w:cs="Arial"/>
          <w:b/>
          <w:sz w:val="24"/>
          <w:szCs w:val="24"/>
        </w:rPr>
        <w:t xml:space="preserve">roceso </w:t>
      </w:r>
      <w:r w:rsidR="00927E74">
        <w:rPr>
          <w:rFonts w:ascii="Arial" w:hAnsi="Arial" w:cs="Arial"/>
          <w:b/>
          <w:sz w:val="24"/>
          <w:szCs w:val="24"/>
        </w:rPr>
        <w:t>e</w:t>
      </w:r>
      <w:r w:rsidRPr="00A85D78">
        <w:rPr>
          <w:rFonts w:ascii="Arial" w:hAnsi="Arial" w:cs="Arial"/>
          <w:b/>
          <w:sz w:val="24"/>
          <w:szCs w:val="24"/>
        </w:rPr>
        <w:t>lectoral 2012.</w:t>
      </w:r>
    </w:p>
    <w:p w:rsidR="00A256AB" w:rsidRPr="00A85D78" w:rsidRDefault="00A256AB" w:rsidP="00D84D20">
      <w:pPr>
        <w:spacing w:line="360" w:lineRule="auto"/>
        <w:jc w:val="both"/>
        <w:rPr>
          <w:rFonts w:ascii="Arial" w:hAnsi="Arial" w:cs="Arial"/>
          <w:sz w:val="24"/>
          <w:szCs w:val="24"/>
        </w:rPr>
      </w:pPr>
      <w:r w:rsidRPr="00A85D78">
        <w:rPr>
          <w:rFonts w:ascii="Arial" w:hAnsi="Arial" w:cs="Arial"/>
          <w:sz w:val="24"/>
          <w:szCs w:val="24"/>
        </w:rPr>
        <w:t>El proceso electoral para renovar Ayuntamientos y Diputados Locales, únicamente dej</w:t>
      </w:r>
      <w:r w:rsidR="00D60873">
        <w:rPr>
          <w:rFonts w:ascii="Arial" w:hAnsi="Arial" w:cs="Arial"/>
          <w:sz w:val="24"/>
          <w:szCs w:val="24"/>
        </w:rPr>
        <w:t>ó</w:t>
      </w:r>
      <w:r w:rsidRPr="00A85D78">
        <w:rPr>
          <w:rFonts w:ascii="Arial" w:hAnsi="Arial" w:cs="Arial"/>
          <w:sz w:val="24"/>
          <w:szCs w:val="24"/>
        </w:rPr>
        <w:t xml:space="preserve"> 3 medios de impugnación interpuestos, en contra de las multas económicas impuestas por el IEEM, después de la revisión de sus informes de campaña, en la Tabla 4.32, se detallan.</w:t>
      </w:r>
    </w:p>
    <w:p w:rsidR="00A256AB" w:rsidRPr="00875A9E" w:rsidRDefault="00A256AB" w:rsidP="00875A9E">
      <w:pPr>
        <w:tabs>
          <w:tab w:val="left" w:pos="5070"/>
        </w:tabs>
        <w:jc w:val="both"/>
        <w:rPr>
          <w:rStyle w:val="Ttulodellibro"/>
          <w:rFonts w:ascii="Arial" w:hAnsi="Arial" w:cs="Arial"/>
          <w:b/>
          <w:i/>
          <w:color w:val="auto"/>
          <w:sz w:val="20"/>
          <w:szCs w:val="20"/>
        </w:rPr>
      </w:pPr>
      <w:r w:rsidRPr="00875A9E">
        <w:rPr>
          <w:rStyle w:val="Ttulodellibro"/>
          <w:rFonts w:ascii="Arial" w:hAnsi="Arial" w:cs="Arial"/>
          <w:b/>
          <w:i/>
          <w:color w:val="auto"/>
          <w:sz w:val="20"/>
          <w:szCs w:val="20"/>
        </w:rPr>
        <w:lastRenderedPageBreak/>
        <w:t>Tabla 4.32 Medios de Impugnación interpuestos por partidos políticos campaña 2012.</w:t>
      </w:r>
    </w:p>
    <w:p w:rsidR="00875A9E" w:rsidRPr="00875A9E" w:rsidRDefault="00875A9E" w:rsidP="00875A9E">
      <w:pPr>
        <w:tabs>
          <w:tab w:val="left" w:pos="5070"/>
        </w:tabs>
        <w:jc w:val="both"/>
        <w:rPr>
          <w:rStyle w:val="Ttulodellibro"/>
          <w:b/>
          <w:i/>
          <w:color w:val="auto"/>
          <w:sz w:val="20"/>
          <w:szCs w:val="20"/>
        </w:rPr>
      </w:pPr>
    </w:p>
    <w:tbl>
      <w:tblPr>
        <w:tblStyle w:val="Tablaconcuadrcula"/>
        <w:tblW w:w="5000" w:type="pct"/>
        <w:jc w:val="center"/>
        <w:tblLook w:val="04A0" w:firstRow="1" w:lastRow="0" w:firstColumn="1" w:lastColumn="0" w:noHBand="0" w:noVBand="1"/>
      </w:tblPr>
      <w:tblGrid>
        <w:gridCol w:w="1770"/>
        <w:gridCol w:w="2048"/>
        <w:gridCol w:w="2505"/>
        <w:gridCol w:w="2505"/>
      </w:tblGrid>
      <w:tr w:rsidR="00A256AB" w:rsidRPr="00875A9E" w:rsidTr="00875A9E">
        <w:trPr>
          <w:jc w:val="center"/>
        </w:trPr>
        <w:tc>
          <w:tcPr>
            <w:tcW w:w="1002"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PARTIDO</w:t>
            </w:r>
          </w:p>
        </w:tc>
        <w:tc>
          <w:tcPr>
            <w:tcW w:w="1160"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MULTA</w:t>
            </w:r>
          </w:p>
        </w:tc>
        <w:tc>
          <w:tcPr>
            <w:tcW w:w="1419"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IMPUGNACI</w:t>
            </w:r>
            <w:r w:rsidR="00D60873" w:rsidRPr="00875A9E">
              <w:rPr>
                <w:rFonts w:ascii="Arial" w:hAnsi="Arial" w:cs="Arial"/>
                <w:b/>
                <w:sz w:val="18"/>
                <w:szCs w:val="18"/>
                <w:lang w:val="es-ES_tradnl"/>
              </w:rPr>
              <w:t>Ó</w:t>
            </w:r>
            <w:r w:rsidRPr="00875A9E">
              <w:rPr>
                <w:rFonts w:ascii="Arial" w:hAnsi="Arial" w:cs="Arial"/>
                <w:b/>
                <w:sz w:val="18"/>
                <w:szCs w:val="18"/>
                <w:lang w:val="es-ES_tradnl"/>
              </w:rPr>
              <w:t>N</w:t>
            </w:r>
          </w:p>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TEEM</w:t>
            </w:r>
          </w:p>
        </w:tc>
        <w:tc>
          <w:tcPr>
            <w:tcW w:w="1419" w:type="pct"/>
            <w:shd w:val="clear" w:color="auto" w:fill="FBE4D5" w:themeFill="accent2" w:themeFillTint="33"/>
            <w:vAlign w:val="center"/>
          </w:tcPr>
          <w:p w:rsidR="00A256AB" w:rsidRPr="00875A9E" w:rsidRDefault="00A256AB" w:rsidP="00A256AB">
            <w:pPr>
              <w:jc w:val="center"/>
              <w:rPr>
                <w:rFonts w:ascii="Arial" w:hAnsi="Arial" w:cs="Arial"/>
                <w:b/>
                <w:sz w:val="18"/>
                <w:szCs w:val="18"/>
                <w:lang w:val="es-ES_tradnl"/>
              </w:rPr>
            </w:pPr>
            <w:r w:rsidRPr="00875A9E">
              <w:rPr>
                <w:rFonts w:ascii="Arial" w:hAnsi="Arial" w:cs="Arial"/>
                <w:b/>
                <w:sz w:val="18"/>
                <w:szCs w:val="18"/>
                <w:lang w:val="es-ES_tradnl"/>
              </w:rPr>
              <w:t>RESOLUCI</w:t>
            </w:r>
            <w:r w:rsidR="00D60873" w:rsidRPr="00875A9E">
              <w:rPr>
                <w:rFonts w:ascii="Arial" w:hAnsi="Arial" w:cs="Arial"/>
                <w:b/>
                <w:sz w:val="18"/>
                <w:szCs w:val="18"/>
                <w:lang w:val="es-ES_tradnl"/>
              </w:rPr>
              <w:t>Ó</w:t>
            </w:r>
            <w:r w:rsidRPr="00875A9E">
              <w:rPr>
                <w:rFonts w:ascii="Arial" w:hAnsi="Arial" w:cs="Arial"/>
                <w:b/>
                <w:sz w:val="18"/>
                <w:szCs w:val="18"/>
                <w:lang w:val="es-ES_tradnl"/>
              </w:rPr>
              <w:t>N</w:t>
            </w:r>
          </w:p>
        </w:tc>
      </w:tr>
      <w:tr w:rsidR="00A256AB" w:rsidRPr="00875A9E" w:rsidTr="00875A9E">
        <w:trPr>
          <w:jc w:val="center"/>
        </w:trPr>
        <w:tc>
          <w:tcPr>
            <w:tcW w:w="1002"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PT</w:t>
            </w:r>
          </w:p>
        </w:tc>
        <w:tc>
          <w:tcPr>
            <w:tcW w:w="1160"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$244,045.41</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RA/10/2013</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CONFIRMADA</w:t>
            </w:r>
          </w:p>
        </w:tc>
      </w:tr>
      <w:tr w:rsidR="00A256AB" w:rsidRPr="00875A9E" w:rsidTr="00875A9E">
        <w:trPr>
          <w:jc w:val="center"/>
        </w:trPr>
        <w:tc>
          <w:tcPr>
            <w:tcW w:w="1002"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PRD</w:t>
            </w:r>
          </w:p>
        </w:tc>
        <w:tc>
          <w:tcPr>
            <w:tcW w:w="1160"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$88,089.41</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RA/11/2013</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CONFIRMADA</w:t>
            </w:r>
          </w:p>
        </w:tc>
      </w:tr>
      <w:tr w:rsidR="00A256AB" w:rsidRPr="00875A9E" w:rsidTr="00875A9E">
        <w:trPr>
          <w:jc w:val="center"/>
        </w:trPr>
        <w:tc>
          <w:tcPr>
            <w:tcW w:w="1002" w:type="pct"/>
          </w:tcPr>
          <w:p w:rsidR="00A256AB" w:rsidRPr="00875A9E" w:rsidRDefault="00A256AB" w:rsidP="00A256AB">
            <w:pPr>
              <w:jc w:val="both"/>
              <w:rPr>
                <w:rFonts w:ascii="Arial" w:hAnsi="Arial" w:cs="Arial"/>
                <w:sz w:val="18"/>
                <w:szCs w:val="18"/>
                <w:lang w:val="es-ES_tradnl"/>
              </w:rPr>
            </w:pPr>
            <w:r w:rsidRPr="00875A9E">
              <w:rPr>
                <w:rFonts w:ascii="Arial" w:hAnsi="Arial" w:cs="Arial"/>
                <w:sz w:val="18"/>
                <w:szCs w:val="18"/>
                <w:lang w:val="es-ES_tradnl"/>
              </w:rPr>
              <w:t>MC</w:t>
            </w:r>
          </w:p>
        </w:tc>
        <w:tc>
          <w:tcPr>
            <w:tcW w:w="1160" w:type="pct"/>
          </w:tcPr>
          <w:p w:rsidR="00A256AB" w:rsidRPr="00875A9E" w:rsidRDefault="00A256AB" w:rsidP="00A256AB">
            <w:pPr>
              <w:jc w:val="right"/>
              <w:rPr>
                <w:rFonts w:ascii="Arial" w:hAnsi="Arial" w:cs="Arial"/>
                <w:sz w:val="18"/>
                <w:szCs w:val="18"/>
                <w:lang w:val="es-ES_tradnl"/>
              </w:rPr>
            </w:pPr>
            <w:r w:rsidRPr="00875A9E">
              <w:rPr>
                <w:rFonts w:ascii="Arial" w:hAnsi="Arial" w:cs="Arial"/>
                <w:sz w:val="18"/>
                <w:szCs w:val="18"/>
                <w:lang w:val="es-ES_tradnl"/>
              </w:rPr>
              <w:t>$230,281.19</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RA/12/2013</w:t>
            </w:r>
          </w:p>
        </w:tc>
        <w:tc>
          <w:tcPr>
            <w:tcW w:w="1419" w:type="pct"/>
          </w:tcPr>
          <w:p w:rsidR="00A256AB" w:rsidRPr="00875A9E" w:rsidRDefault="00A256AB" w:rsidP="00A256AB">
            <w:pPr>
              <w:jc w:val="center"/>
              <w:rPr>
                <w:rFonts w:ascii="Arial" w:hAnsi="Arial" w:cs="Arial"/>
                <w:sz w:val="18"/>
                <w:szCs w:val="18"/>
                <w:lang w:val="es-ES_tradnl"/>
              </w:rPr>
            </w:pPr>
            <w:r w:rsidRPr="00875A9E">
              <w:rPr>
                <w:rFonts w:ascii="Arial" w:hAnsi="Arial" w:cs="Arial"/>
                <w:sz w:val="18"/>
                <w:szCs w:val="18"/>
                <w:lang w:val="es-ES_tradnl"/>
              </w:rPr>
              <w:t>SE MODIFICA</w:t>
            </w:r>
          </w:p>
        </w:tc>
      </w:tr>
    </w:tbl>
    <w:p w:rsidR="00A256AB" w:rsidRPr="00875A9E" w:rsidRDefault="00A256AB" w:rsidP="00A256AB">
      <w:pPr>
        <w:jc w:val="both"/>
        <w:rPr>
          <w:rFonts w:ascii="Arial" w:hAnsi="Arial" w:cs="Arial"/>
          <w:i/>
          <w:iCs/>
          <w:sz w:val="16"/>
          <w:szCs w:val="16"/>
        </w:rPr>
      </w:pPr>
      <w:r w:rsidRPr="00875A9E">
        <w:rPr>
          <w:rFonts w:ascii="Arial" w:hAnsi="Arial" w:cs="Arial"/>
          <w:b/>
          <w:bCs/>
          <w:i/>
          <w:iCs/>
          <w:sz w:val="16"/>
          <w:szCs w:val="16"/>
        </w:rPr>
        <w:t>Fuente:</w:t>
      </w:r>
      <w:r w:rsidRPr="00875A9E">
        <w:rPr>
          <w:rFonts w:ascii="Arial" w:hAnsi="Arial" w:cs="Arial"/>
          <w:i/>
          <w:iCs/>
          <w:sz w:val="16"/>
          <w:szCs w:val="16"/>
        </w:rPr>
        <w:t xml:space="preserve"> Elaboración propia, con base en RA/28/2011, RA/30/2011 y RA/20/2012, obtenidos mediante solicitud de transparencia.</w:t>
      </w:r>
    </w:p>
    <w:p w:rsidR="00D84D20" w:rsidRDefault="00D84D20" w:rsidP="00D84D20">
      <w:pPr>
        <w:spacing w:line="360" w:lineRule="auto"/>
        <w:jc w:val="both"/>
        <w:rPr>
          <w:rFonts w:ascii="Arial" w:hAnsi="Arial" w:cs="Arial"/>
          <w:sz w:val="24"/>
          <w:szCs w:val="24"/>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Si bien el partido Movimiento Ciudadano, tuvo éxito en su impugnación, la modificación obtenida modifico el monto de las sanciones económicas a las que se hizo acreedor, la medida de apremio final acorde a lo ordenado por el TEEM fue por $134,280.33</w:t>
      </w:r>
      <w:r w:rsidR="00D60873">
        <w:rPr>
          <w:rFonts w:ascii="Arial" w:hAnsi="Arial" w:cs="Arial"/>
          <w:sz w:val="24"/>
          <w:szCs w:val="24"/>
        </w:rPr>
        <w:t>.</w:t>
      </w:r>
    </w:p>
    <w:p w:rsidR="00D84D20" w:rsidRDefault="00D84D20" w:rsidP="00E5019C">
      <w:pPr>
        <w:spacing w:line="360" w:lineRule="auto"/>
        <w:jc w:val="both"/>
        <w:rPr>
          <w:rFonts w:ascii="Arial" w:hAnsi="Arial" w:cs="Arial"/>
          <w:sz w:val="24"/>
          <w:szCs w:val="24"/>
        </w:rPr>
      </w:pPr>
    </w:p>
    <w:p w:rsidR="00D84D20" w:rsidRPr="00A85D78" w:rsidRDefault="00D84D20" w:rsidP="00E5019C">
      <w:pPr>
        <w:spacing w:line="360" w:lineRule="auto"/>
        <w:jc w:val="both"/>
        <w:rPr>
          <w:rFonts w:ascii="Arial" w:hAnsi="Arial" w:cs="Arial"/>
          <w:sz w:val="24"/>
          <w:szCs w:val="24"/>
        </w:rPr>
      </w:pPr>
    </w:p>
    <w:p w:rsidR="00A256AB" w:rsidRPr="00A85D78" w:rsidRDefault="00A256AB" w:rsidP="00E5019C">
      <w:pPr>
        <w:spacing w:line="360" w:lineRule="auto"/>
        <w:jc w:val="both"/>
        <w:rPr>
          <w:rFonts w:ascii="Arial" w:hAnsi="Arial" w:cs="Arial"/>
          <w:b/>
          <w:sz w:val="24"/>
          <w:szCs w:val="24"/>
        </w:rPr>
      </w:pPr>
      <w:r w:rsidRPr="00A85D78">
        <w:rPr>
          <w:rFonts w:ascii="Arial" w:hAnsi="Arial" w:cs="Arial"/>
          <w:b/>
          <w:sz w:val="24"/>
          <w:szCs w:val="24"/>
        </w:rPr>
        <w:t>4.4. Impugnaciones presentadas por partidos políticos durante el periodo de fiscalización a cargo del INE.</w:t>
      </w:r>
    </w:p>
    <w:p w:rsidR="00A256AB" w:rsidRDefault="00A256AB" w:rsidP="00E5019C">
      <w:pPr>
        <w:spacing w:line="360" w:lineRule="auto"/>
        <w:jc w:val="both"/>
        <w:rPr>
          <w:rFonts w:ascii="Arial" w:hAnsi="Arial" w:cs="Arial"/>
          <w:b/>
          <w:sz w:val="24"/>
          <w:szCs w:val="24"/>
        </w:rPr>
      </w:pPr>
      <w:r w:rsidRPr="00A85D78">
        <w:rPr>
          <w:rFonts w:ascii="Arial" w:hAnsi="Arial" w:cs="Arial"/>
          <w:b/>
          <w:sz w:val="24"/>
          <w:szCs w:val="24"/>
        </w:rPr>
        <w:t xml:space="preserve">4.4.1. Impugnaciones al </w:t>
      </w:r>
      <w:r w:rsidR="00D46323">
        <w:rPr>
          <w:rFonts w:ascii="Arial" w:hAnsi="Arial" w:cs="Arial"/>
          <w:b/>
          <w:sz w:val="24"/>
          <w:szCs w:val="24"/>
        </w:rPr>
        <w:t>p</w:t>
      </w:r>
      <w:r w:rsidRPr="00A85D78">
        <w:rPr>
          <w:rFonts w:ascii="Arial" w:hAnsi="Arial" w:cs="Arial"/>
          <w:b/>
          <w:sz w:val="24"/>
          <w:szCs w:val="24"/>
        </w:rPr>
        <w:t xml:space="preserve">roceso </w:t>
      </w:r>
      <w:r w:rsidR="00D46323">
        <w:rPr>
          <w:rFonts w:ascii="Arial" w:hAnsi="Arial" w:cs="Arial"/>
          <w:b/>
          <w:sz w:val="24"/>
          <w:szCs w:val="24"/>
        </w:rPr>
        <w:t>e</w:t>
      </w:r>
      <w:r w:rsidRPr="00A85D78">
        <w:rPr>
          <w:rFonts w:ascii="Arial" w:hAnsi="Arial" w:cs="Arial"/>
          <w:b/>
          <w:sz w:val="24"/>
          <w:szCs w:val="24"/>
        </w:rPr>
        <w:t xml:space="preserve">lectoral </w:t>
      </w:r>
      <w:r w:rsidR="00D46323">
        <w:rPr>
          <w:rFonts w:ascii="Arial" w:hAnsi="Arial" w:cs="Arial"/>
          <w:b/>
          <w:sz w:val="24"/>
          <w:szCs w:val="24"/>
        </w:rPr>
        <w:t>l</w:t>
      </w:r>
      <w:r w:rsidRPr="00A85D78">
        <w:rPr>
          <w:rFonts w:ascii="Arial" w:hAnsi="Arial" w:cs="Arial"/>
          <w:b/>
          <w:sz w:val="24"/>
          <w:szCs w:val="24"/>
        </w:rPr>
        <w:t>ocal 2015</w:t>
      </w:r>
    </w:p>
    <w:p w:rsidR="00A256AB" w:rsidRPr="00A85D78" w:rsidRDefault="00A256AB" w:rsidP="00E5019C">
      <w:pPr>
        <w:spacing w:line="360" w:lineRule="auto"/>
        <w:jc w:val="both"/>
        <w:rPr>
          <w:rFonts w:ascii="Arial" w:hAnsi="Arial" w:cs="Arial"/>
          <w:sz w:val="24"/>
          <w:szCs w:val="24"/>
        </w:rPr>
      </w:pPr>
      <w:r w:rsidRPr="00A85D78">
        <w:rPr>
          <w:rFonts w:ascii="Arial" w:hAnsi="Arial" w:cs="Arial"/>
          <w:sz w:val="24"/>
          <w:szCs w:val="24"/>
        </w:rPr>
        <w:t>A raíz del incremento en los montos involucrados en las medidas de apremio implementadas por el Consejo General del INE; a las conductas infractoras cometidas por los partidos políticos a partir del 2015; el número de medios de impugnación presentados por los partidos políticos creció considerablemente, con la finalidad de disminuir el impacto de dichas sanciones en las finanzas partidistas.</w:t>
      </w: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En el periodo 2009-2012, se presentaron un total de 13 impugnaciones; correspondientes a 3 procesos electorales; mientras que para el año 2015 el número de impugnaciones ascendió a 17 el número de recursos de apelación presentados: dos correspondientes a precampaña y quince para campaña. En la tabla 4.33, se detallan las impugnaciones presentadas, los montos involucrados, así como la resolución correspondiente del Tribunal Electoral del Poder Judicial de la Federación (TEPJF).</w:t>
      </w:r>
    </w:p>
    <w:p w:rsidR="00D84D20" w:rsidRPr="00A85D78" w:rsidRDefault="00D84D20" w:rsidP="00D84D20">
      <w:pPr>
        <w:spacing w:line="360" w:lineRule="auto"/>
        <w:jc w:val="both"/>
        <w:rPr>
          <w:rFonts w:ascii="Arial" w:hAnsi="Arial" w:cs="Arial"/>
          <w:sz w:val="24"/>
          <w:szCs w:val="24"/>
        </w:rPr>
      </w:pPr>
    </w:p>
    <w:p w:rsidR="00E04C13" w:rsidRDefault="00E04C13">
      <w:pPr>
        <w:rPr>
          <w:rStyle w:val="Ttulodellibro"/>
          <w:rFonts w:ascii="Arial" w:hAnsi="Arial" w:cs="Arial"/>
          <w:b/>
          <w:i/>
          <w:color w:val="auto"/>
          <w:sz w:val="20"/>
          <w:szCs w:val="20"/>
        </w:rPr>
      </w:pPr>
      <w:r>
        <w:rPr>
          <w:rStyle w:val="Ttulodellibro"/>
          <w:rFonts w:ascii="Arial" w:hAnsi="Arial" w:cs="Arial"/>
          <w:b/>
          <w:i/>
          <w:color w:val="auto"/>
          <w:sz w:val="20"/>
          <w:szCs w:val="20"/>
        </w:rPr>
        <w:br w:type="page"/>
      </w:r>
    </w:p>
    <w:p w:rsidR="00A256AB" w:rsidRPr="00E5019C" w:rsidRDefault="00A256AB" w:rsidP="00E5019C">
      <w:pPr>
        <w:tabs>
          <w:tab w:val="left" w:pos="5070"/>
        </w:tabs>
        <w:jc w:val="both"/>
        <w:rPr>
          <w:rStyle w:val="Ttulodellibro"/>
          <w:rFonts w:ascii="Arial" w:hAnsi="Arial" w:cs="Arial"/>
          <w:b/>
          <w:i/>
          <w:color w:val="auto"/>
          <w:sz w:val="20"/>
          <w:szCs w:val="20"/>
        </w:rPr>
      </w:pPr>
      <w:r w:rsidRPr="00E5019C">
        <w:rPr>
          <w:rStyle w:val="Ttulodellibro"/>
          <w:rFonts w:ascii="Arial" w:hAnsi="Arial" w:cs="Arial"/>
          <w:b/>
          <w:i/>
          <w:color w:val="auto"/>
          <w:sz w:val="20"/>
          <w:szCs w:val="20"/>
        </w:rPr>
        <w:lastRenderedPageBreak/>
        <w:t>Tabla 4.33 Impugnaciones presentadas por partidos políticos en el Proceso Electoral 2015.</w:t>
      </w:r>
    </w:p>
    <w:p w:rsidR="00875A9E" w:rsidRPr="00A85D78" w:rsidRDefault="00875A9E"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2025"/>
        <w:gridCol w:w="1405"/>
        <w:gridCol w:w="1522"/>
        <w:gridCol w:w="2087"/>
        <w:gridCol w:w="1789"/>
      </w:tblGrid>
      <w:tr w:rsidR="00A256AB" w:rsidRPr="00A85D78" w:rsidTr="00875A9E">
        <w:trPr>
          <w:jc w:val="center"/>
        </w:trPr>
        <w:tc>
          <w:tcPr>
            <w:tcW w:w="1147"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796"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ETAPA</w:t>
            </w:r>
          </w:p>
        </w:tc>
        <w:tc>
          <w:tcPr>
            <w:tcW w:w="86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MULTA</w:t>
            </w:r>
          </w:p>
        </w:tc>
        <w:tc>
          <w:tcPr>
            <w:tcW w:w="1182"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IMPUGNACI</w:t>
            </w:r>
            <w:r w:rsidR="00D60873">
              <w:rPr>
                <w:rFonts w:ascii="Arial" w:hAnsi="Arial" w:cs="Arial"/>
                <w:b/>
                <w:sz w:val="16"/>
                <w:szCs w:val="16"/>
                <w:lang w:val="es-ES_tradnl"/>
              </w:rPr>
              <w:t>Ó</w:t>
            </w:r>
            <w:r w:rsidRPr="00A85D78">
              <w:rPr>
                <w:rFonts w:ascii="Arial" w:hAnsi="Arial" w:cs="Arial"/>
                <w:b/>
                <w:sz w:val="16"/>
                <w:szCs w:val="16"/>
                <w:lang w:val="es-ES_tradnl"/>
              </w:rPr>
              <w:t>N</w:t>
            </w:r>
          </w:p>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TEPJF</w:t>
            </w:r>
          </w:p>
        </w:tc>
        <w:tc>
          <w:tcPr>
            <w:tcW w:w="1013" w:type="pct"/>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RESOLUCI</w:t>
            </w:r>
            <w:r w:rsidR="00D60873">
              <w:rPr>
                <w:rFonts w:ascii="Arial" w:hAnsi="Arial" w:cs="Arial"/>
                <w:b/>
                <w:sz w:val="16"/>
                <w:szCs w:val="16"/>
                <w:lang w:val="es-ES_tradnl"/>
              </w:rPr>
              <w:t>Ó</w:t>
            </w:r>
            <w:r w:rsidRPr="00A85D78">
              <w:rPr>
                <w:rFonts w:ascii="Arial" w:hAnsi="Arial" w:cs="Arial"/>
                <w:b/>
                <w:sz w:val="16"/>
                <w:szCs w:val="16"/>
                <w:lang w:val="es-ES_tradnl"/>
              </w:rPr>
              <w:t>N</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M.C.</w:t>
            </w:r>
          </w:p>
        </w:tc>
        <w:tc>
          <w:tcPr>
            <w:tcW w:w="796"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PRECAMPAÑA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$1,703,594.38</w:t>
            </w:r>
          </w:p>
        </w:tc>
        <w:tc>
          <w:tcPr>
            <w:tcW w:w="1182"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SUP-RAP-222/2015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PRD</w:t>
            </w:r>
          </w:p>
        </w:tc>
        <w:tc>
          <w:tcPr>
            <w:tcW w:w="796"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PRECAMPAÑA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$16,984,042.59</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SUP-RAP-229/2015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 PARCIALMENTE</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PRI-PVEM-NUAL</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$2,406,609.97</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SUP-RAP-344/2015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DESECHA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PRI-PVEM</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$1,098,667.40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SUP-RAP-345/2015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DESECHA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PAN</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$8,160,821.01</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SUP-RAP-417/2015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DESECHA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M.C.</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$1,874,474.00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SUP-RAP-443/2015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 PARCIALMENTE</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PRI-PVEM</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$1,098,667.40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SUP-RAP-453/2015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PRI-PVEM-NUAL</w:t>
            </w:r>
          </w:p>
        </w:tc>
        <w:tc>
          <w:tcPr>
            <w:tcW w:w="796"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$2,406,609.97</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SUP-RAP-454/2015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PRI</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 xml:space="preserve">$672,609.50 </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SUP-RAP-457/2015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PVEM</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 xml:space="preserve">$629,988.70 </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SUP-RAP-465/2015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PRD</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$4,446,051.33</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SUP-RAP-480/2015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PAN</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$8,160,821.01</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SUP-RAP-516/2015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SE REVOCA </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MORENA</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2,020,343.70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SUP-RAP-549/2015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SE MODIFICA </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PARTIDO ENCUENTRO SOCIAL</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1,485,552.60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SUP-RAP-573/2015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PAN-PT</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$4,376,585.64</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SUP-RAP-626/2015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COA PRI-PVEM</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$779,371.80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SUP-RAP-737/2015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875A9E">
        <w:trPr>
          <w:jc w:val="center"/>
        </w:trPr>
        <w:tc>
          <w:tcPr>
            <w:tcW w:w="1147" w:type="pct"/>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PRI</w:t>
            </w:r>
          </w:p>
        </w:tc>
        <w:tc>
          <w:tcPr>
            <w:tcW w:w="796"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CAMPAÑA</w:t>
            </w:r>
          </w:p>
        </w:tc>
        <w:tc>
          <w:tcPr>
            <w:tcW w:w="862" w:type="pct"/>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$629,988.70</w:t>
            </w:r>
          </w:p>
        </w:tc>
        <w:tc>
          <w:tcPr>
            <w:tcW w:w="1182" w:type="pct"/>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SUP-RAP-739/2015</w:t>
            </w:r>
          </w:p>
        </w:tc>
        <w:tc>
          <w:tcPr>
            <w:tcW w:w="1013" w:type="pct"/>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bl>
    <w:p w:rsidR="00A256AB" w:rsidRPr="00875A9E" w:rsidRDefault="00A256AB" w:rsidP="00875A9E">
      <w:pPr>
        <w:jc w:val="both"/>
        <w:rPr>
          <w:rFonts w:ascii="Arial" w:hAnsi="Arial" w:cs="Arial"/>
          <w:i/>
          <w:iCs/>
          <w:sz w:val="16"/>
          <w:szCs w:val="16"/>
        </w:rPr>
      </w:pPr>
      <w:r w:rsidRPr="00875A9E">
        <w:rPr>
          <w:rFonts w:ascii="Arial" w:hAnsi="Arial" w:cs="Arial"/>
          <w:b/>
          <w:bCs/>
          <w:i/>
          <w:iCs/>
          <w:sz w:val="16"/>
          <w:szCs w:val="16"/>
        </w:rPr>
        <w:t>Fuente:</w:t>
      </w:r>
      <w:r w:rsidRPr="00875A9E">
        <w:rPr>
          <w:rFonts w:ascii="Arial" w:hAnsi="Arial" w:cs="Arial"/>
          <w:i/>
          <w:iCs/>
          <w:sz w:val="16"/>
          <w:szCs w:val="16"/>
        </w:rPr>
        <w:t xml:space="preserve"> elaboración propia con base en los Recursos de Apelación citados, obtenidos en el buscador de sentencias de la página del Tribunal Electoral del Poder Judicial de la Federación. Recuperado de </w:t>
      </w:r>
      <w:hyperlink r:id="rId19" w:history="1">
        <w:r w:rsidR="00D84D20" w:rsidRPr="00875A9E">
          <w:rPr>
            <w:rFonts w:ascii="Arial" w:hAnsi="Arial" w:cs="Arial"/>
            <w:i/>
            <w:iCs/>
            <w:sz w:val="16"/>
            <w:szCs w:val="16"/>
          </w:rPr>
          <w:t>https://www.te.gob.mx/buscador/</w:t>
        </w:r>
      </w:hyperlink>
    </w:p>
    <w:p w:rsidR="00D84D20" w:rsidRDefault="00D84D20" w:rsidP="00A256AB">
      <w:pPr>
        <w:jc w:val="both"/>
        <w:rPr>
          <w:rFonts w:ascii="Arial" w:hAnsi="Arial" w:cs="Arial"/>
          <w:sz w:val="16"/>
          <w:szCs w:val="16"/>
        </w:rPr>
      </w:pPr>
    </w:p>
    <w:p w:rsidR="00D84D20" w:rsidRPr="00A85D78" w:rsidRDefault="00D84D20" w:rsidP="00A256AB">
      <w:pPr>
        <w:jc w:val="both"/>
        <w:rPr>
          <w:rFonts w:ascii="Arial" w:hAnsi="Arial" w:cs="Arial"/>
          <w:sz w:val="16"/>
          <w:szCs w:val="16"/>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 xml:space="preserve">De las 17 impugnaciones presentadas en 2015, procedieron 8 de forma parcial, es decir, modificaron el dictamen y/o la resolución emitida por el Consejo General del INE; de alguna forma; por </w:t>
      </w:r>
      <w:proofErr w:type="gramStart"/>
      <w:r w:rsidRPr="00A85D78">
        <w:rPr>
          <w:rFonts w:ascii="Arial" w:hAnsi="Arial" w:cs="Arial"/>
          <w:sz w:val="24"/>
          <w:szCs w:val="24"/>
        </w:rPr>
        <w:t>ejemplo</w:t>
      </w:r>
      <w:proofErr w:type="gramEnd"/>
      <w:r w:rsidRPr="00A85D78">
        <w:rPr>
          <w:rFonts w:ascii="Arial" w:hAnsi="Arial" w:cs="Arial"/>
          <w:sz w:val="24"/>
          <w:szCs w:val="24"/>
        </w:rPr>
        <w:t xml:space="preserve"> el caso más común es en el que el Tribunal Electoral del Poder Judicial de la Federación, le solicita al INE, que vuelva a calcular las multas impuestas en base a los razonamientos expuestos por el partido.</w:t>
      </w:r>
    </w:p>
    <w:p w:rsidR="00E5019C" w:rsidRPr="00A85D78" w:rsidRDefault="00E5019C" w:rsidP="00E5019C">
      <w:pPr>
        <w:spacing w:line="360" w:lineRule="auto"/>
        <w:jc w:val="both"/>
        <w:rPr>
          <w:rFonts w:ascii="Arial" w:hAnsi="Arial" w:cs="Arial"/>
          <w:sz w:val="24"/>
          <w:szCs w:val="24"/>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De esta manera podemos mencionar que mediante acuerdo INE/CG887/2015, el Consejo General del INE; acat</w:t>
      </w:r>
      <w:r w:rsidR="00D60873">
        <w:rPr>
          <w:rFonts w:ascii="Arial" w:hAnsi="Arial" w:cs="Arial"/>
          <w:sz w:val="24"/>
          <w:szCs w:val="24"/>
        </w:rPr>
        <w:t>ó</w:t>
      </w:r>
      <w:r w:rsidRPr="00A85D78">
        <w:rPr>
          <w:rFonts w:ascii="Arial" w:hAnsi="Arial" w:cs="Arial"/>
          <w:sz w:val="24"/>
          <w:szCs w:val="24"/>
        </w:rPr>
        <w:t xml:space="preserve"> la resolución del TEPJF, relativa a los recursos de apelación identificados con claves SUP-RAP-453/2015, SUP-RAP-457/2015 y SUP-RAP-626/2015; tenemos que la multa de la Coalición PRI-PVEM con la revocación baj</w:t>
      </w:r>
      <w:r w:rsidR="00511A3B">
        <w:rPr>
          <w:rFonts w:ascii="Arial" w:hAnsi="Arial" w:cs="Arial"/>
          <w:sz w:val="24"/>
          <w:szCs w:val="24"/>
        </w:rPr>
        <w:t>ó</w:t>
      </w:r>
      <w:r w:rsidRPr="00A85D78">
        <w:rPr>
          <w:rFonts w:ascii="Arial" w:hAnsi="Arial" w:cs="Arial"/>
          <w:sz w:val="24"/>
          <w:szCs w:val="24"/>
        </w:rPr>
        <w:t xml:space="preserve"> de $1,098,667.40 a $779,371.80; la multa del PRI de igual forma pas</w:t>
      </w:r>
      <w:r w:rsidR="00511A3B">
        <w:rPr>
          <w:rFonts w:ascii="Arial" w:hAnsi="Arial" w:cs="Arial"/>
          <w:sz w:val="24"/>
          <w:szCs w:val="24"/>
        </w:rPr>
        <w:t>ó</w:t>
      </w:r>
      <w:r w:rsidRPr="00A85D78">
        <w:rPr>
          <w:rFonts w:ascii="Arial" w:hAnsi="Arial" w:cs="Arial"/>
          <w:sz w:val="24"/>
          <w:szCs w:val="24"/>
        </w:rPr>
        <w:t xml:space="preserve"> de $672,609.50 a $629,988.70; a pesar de estas disminuciones el PRI impugn</w:t>
      </w:r>
      <w:r w:rsidR="00511A3B">
        <w:rPr>
          <w:rFonts w:ascii="Arial" w:hAnsi="Arial" w:cs="Arial"/>
          <w:sz w:val="24"/>
          <w:szCs w:val="24"/>
        </w:rPr>
        <w:t>ó</w:t>
      </w:r>
      <w:r w:rsidRPr="00A85D78">
        <w:rPr>
          <w:rFonts w:ascii="Arial" w:hAnsi="Arial" w:cs="Arial"/>
          <w:sz w:val="24"/>
          <w:szCs w:val="24"/>
        </w:rPr>
        <w:t xml:space="preserve"> nuevamente la determinación del Consejo General, sin obtener éxito.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la multa de la Coalición PAN-PT sufrió una importante disminución al pasar de $4,376,585.64 a $210,790.70; por citar algunos ejemplos.</w:t>
      </w:r>
    </w:p>
    <w:p w:rsidR="00E5019C" w:rsidRPr="00A85D78" w:rsidRDefault="00E5019C" w:rsidP="00E5019C">
      <w:pPr>
        <w:spacing w:line="360" w:lineRule="auto"/>
        <w:jc w:val="both"/>
        <w:rPr>
          <w:rFonts w:ascii="Arial" w:hAnsi="Arial" w:cs="Arial"/>
          <w:sz w:val="24"/>
          <w:szCs w:val="24"/>
        </w:rPr>
      </w:pPr>
    </w:p>
    <w:p w:rsidR="00A256AB" w:rsidRPr="00A85D78" w:rsidRDefault="00A256AB" w:rsidP="00E5019C">
      <w:pPr>
        <w:spacing w:line="360" w:lineRule="auto"/>
        <w:jc w:val="both"/>
        <w:rPr>
          <w:rFonts w:ascii="Arial" w:hAnsi="Arial" w:cs="Arial"/>
          <w:sz w:val="24"/>
          <w:szCs w:val="24"/>
        </w:rPr>
      </w:pPr>
      <w:r w:rsidRPr="00A85D78">
        <w:rPr>
          <w:rFonts w:ascii="Arial" w:hAnsi="Arial" w:cs="Arial"/>
          <w:sz w:val="24"/>
          <w:szCs w:val="24"/>
        </w:rPr>
        <w:lastRenderedPageBreak/>
        <w:t xml:space="preserve">Cabe destacar que el objetivo central del presente proyecto de investigación, no es analizar de forma exhaustiva el resultado de las impugnaciones y su impacto en la disminución de las multas, por lo que únicamente se utilizan como referente, no </w:t>
      </w:r>
      <w:proofErr w:type="gramStart"/>
      <w:r w:rsidRPr="00A85D78">
        <w:rPr>
          <w:rFonts w:ascii="Arial" w:hAnsi="Arial" w:cs="Arial"/>
          <w:sz w:val="24"/>
          <w:szCs w:val="24"/>
        </w:rPr>
        <w:t>obstante</w:t>
      </w:r>
      <w:proofErr w:type="gramEnd"/>
      <w:r w:rsidRPr="00A85D78">
        <w:rPr>
          <w:rFonts w:ascii="Arial" w:hAnsi="Arial" w:cs="Arial"/>
          <w:sz w:val="24"/>
          <w:szCs w:val="24"/>
        </w:rPr>
        <w:t xml:space="preserve"> el tema puede ser aprovechado como una oportunidad para desarrollar una nueva agenda de investigación. </w:t>
      </w:r>
    </w:p>
    <w:p w:rsidR="00A256AB" w:rsidRPr="00A85D78" w:rsidRDefault="00A256AB" w:rsidP="00E5019C">
      <w:pPr>
        <w:spacing w:line="360" w:lineRule="auto"/>
        <w:jc w:val="both"/>
        <w:rPr>
          <w:rFonts w:ascii="Arial" w:hAnsi="Arial" w:cs="Arial"/>
          <w:sz w:val="24"/>
          <w:szCs w:val="24"/>
        </w:rPr>
      </w:pPr>
    </w:p>
    <w:p w:rsidR="00A256AB" w:rsidRPr="00A85D78" w:rsidRDefault="00A256AB" w:rsidP="00E5019C">
      <w:pPr>
        <w:spacing w:line="360" w:lineRule="auto"/>
        <w:jc w:val="both"/>
        <w:rPr>
          <w:rFonts w:ascii="Arial" w:hAnsi="Arial" w:cs="Arial"/>
          <w:sz w:val="24"/>
          <w:szCs w:val="24"/>
        </w:rPr>
      </w:pPr>
    </w:p>
    <w:p w:rsidR="00A256AB" w:rsidRPr="00A85D78" w:rsidRDefault="00A256AB" w:rsidP="00E5019C">
      <w:pPr>
        <w:spacing w:line="360" w:lineRule="auto"/>
        <w:rPr>
          <w:rFonts w:ascii="Arial" w:hAnsi="Arial" w:cs="Arial"/>
          <w:b/>
          <w:sz w:val="24"/>
          <w:szCs w:val="24"/>
        </w:rPr>
      </w:pPr>
      <w:r w:rsidRPr="00A85D78">
        <w:rPr>
          <w:rFonts w:ascii="Arial" w:hAnsi="Arial" w:cs="Arial"/>
          <w:b/>
          <w:sz w:val="24"/>
          <w:szCs w:val="24"/>
        </w:rPr>
        <w:t xml:space="preserve">4.4.2 Impugnaciones al </w:t>
      </w:r>
      <w:r w:rsidR="00D46323">
        <w:rPr>
          <w:rFonts w:ascii="Arial" w:hAnsi="Arial" w:cs="Arial"/>
          <w:b/>
          <w:sz w:val="24"/>
          <w:szCs w:val="24"/>
        </w:rPr>
        <w:t>p</w:t>
      </w:r>
      <w:r w:rsidRPr="00A85D78">
        <w:rPr>
          <w:rFonts w:ascii="Arial" w:hAnsi="Arial" w:cs="Arial"/>
          <w:b/>
          <w:sz w:val="24"/>
          <w:szCs w:val="24"/>
        </w:rPr>
        <w:t xml:space="preserve">roceso </w:t>
      </w:r>
      <w:r w:rsidR="00D46323">
        <w:rPr>
          <w:rFonts w:ascii="Arial" w:hAnsi="Arial" w:cs="Arial"/>
          <w:b/>
          <w:sz w:val="24"/>
          <w:szCs w:val="24"/>
        </w:rPr>
        <w:t>e</w:t>
      </w:r>
      <w:r w:rsidRPr="00A85D78">
        <w:rPr>
          <w:rFonts w:ascii="Arial" w:hAnsi="Arial" w:cs="Arial"/>
          <w:b/>
          <w:sz w:val="24"/>
          <w:szCs w:val="24"/>
        </w:rPr>
        <w:t xml:space="preserve">lectoral </w:t>
      </w:r>
      <w:r w:rsidR="00D46323">
        <w:rPr>
          <w:rFonts w:ascii="Arial" w:hAnsi="Arial" w:cs="Arial"/>
          <w:b/>
          <w:sz w:val="24"/>
          <w:szCs w:val="24"/>
        </w:rPr>
        <w:t>l</w:t>
      </w:r>
      <w:r w:rsidRPr="00A85D78">
        <w:rPr>
          <w:rFonts w:ascii="Arial" w:hAnsi="Arial" w:cs="Arial"/>
          <w:b/>
          <w:sz w:val="24"/>
          <w:szCs w:val="24"/>
        </w:rPr>
        <w:t xml:space="preserve">ocal </w:t>
      </w:r>
      <w:r w:rsidR="00D46323">
        <w:rPr>
          <w:rFonts w:ascii="Arial" w:hAnsi="Arial" w:cs="Arial"/>
          <w:b/>
          <w:sz w:val="24"/>
          <w:szCs w:val="24"/>
        </w:rPr>
        <w:t>e</w:t>
      </w:r>
      <w:r w:rsidRPr="00A85D78">
        <w:rPr>
          <w:rFonts w:ascii="Arial" w:hAnsi="Arial" w:cs="Arial"/>
          <w:b/>
          <w:sz w:val="24"/>
          <w:szCs w:val="24"/>
        </w:rPr>
        <w:t>xtraordinario 2016.</w:t>
      </w: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El proceso electoral extraordinario involucr</w:t>
      </w:r>
      <w:r w:rsidR="00511A3B">
        <w:rPr>
          <w:rFonts w:ascii="Arial" w:hAnsi="Arial" w:cs="Arial"/>
          <w:sz w:val="24"/>
          <w:szCs w:val="24"/>
        </w:rPr>
        <w:t>ó</w:t>
      </w:r>
      <w:r w:rsidRPr="00A85D78">
        <w:rPr>
          <w:rFonts w:ascii="Arial" w:hAnsi="Arial" w:cs="Arial"/>
          <w:sz w:val="24"/>
          <w:szCs w:val="24"/>
        </w:rPr>
        <w:t xml:space="preserve"> únicamente a un Municipio, por lo que la actividad de fiscalización disminuyó considerablemente; a pesar de esto los comicios dejaron un saldo de 3 medios de impugnación, uno correspondiente a precampaña y dos a campaña, como se describe en la tabla 4.34.</w:t>
      </w:r>
    </w:p>
    <w:p w:rsidR="00E5019C" w:rsidRDefault="00E5019C" w:rsidP="00E5019C">
      <w:pPr>
        <w:spacing w:line="360" w:lineRule="auto"/>
        <w:jc w:val="both"/>
        <w:rPr>
          <w:rFonts w:ascii="Arial" w:hAnsi="Arial" w:cs="Arial"/>
          <w:sz w:val="24"/>
          <w:szCs w:val="24"/>
        </w:rPr>
      </w:pPr>
    </w:p>
    <w:p w:rsidR="00E5019C" w:rsidRPr="00A85D78" w:rsidRDefault="00E5019C" w:rsidP="00E5019C">
      <w:pPr>
        <w:spacing w:line="360" w:lineRule="auto"/>
        <w:jc w:val="both"/>
        <w:rPr>
          <w:rFonts w:ascii="Arial" w:hAnsi="Arial" w:cs="Arial"/>
          <w:sz w:val="24"/>
          <w:szCs w:val="24"/>
        </w:rPr>
      </w:pPr>
    </w:p>
    <w:p w:rsidR="00A256AB" w:rsidRPr="00E5019C" w:rsidRDefault="00A256AB" w:rsidP="00E5019C">
      <w:pPr>
        <w:tabs>
          <w:tab w:val="left" w:pos="5070"/>
        </w:tabs>
        <w:jc w:val="both"/>
        <w:rPr>
          <w:rStyle w:val="Ttulodellibro"/>
          <w:rFonts w:ascii="Arial" w:hAnsi="Arial" w:cs="Arial"/>
          <w:b/>
          <w:i/>
          <w:color w:val="auto"/>
          <w:sz w:val="20"/>
          <w:szCs w:val="20"/>
        </w:rPr>
      </w:pPr>
      <w:r w:rsidRPr="00E5019C">
        <w:rPr>
          <w:rStyle w:val="Ttulodellibro"/>
          <w:rFonts w:ascii="Arial" w:hAnsi="Arial" w:cs="Arial"/>
          <w:b/>
          <w:i/>
          <w:color w:val="auto"/>
          <w:sz w:val="20"/>
          <w:szCs w:val="20"/>
        </w:rPr>
        <w:t>Tabla 4.34. Impugnaciones presentadas por partidos políticos en el Proceso Electoral Extraordinario Chiautla 2016.</w:t>
      </w:r>
    </w:p>
    <w:p w:rsidR="00E5019C" w:rsidRPr="00A85D78" w:rsidRDefault="00E5019C" w:rsidP="00A256AB">
      <w:pPr>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1917"/>
        <w:gridCol w:w="1337"/>
        <w:gridCol w:w="1634"/>
        <w:gridCol w:w="2241"/>
        <w:gridCol w:w="1699"/>
      </w:tblGrid>
      <w:tr w:rsidR="00A256AB" w:rsidRPr="00A85D78" w:rsidTr="00A256AB">
        <w:trPr>
          <w:jc w:val="center"/>
        </w:trPr>
        <w:tc>
          <w:tcPr>
            <w:tcW w:w="1927"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337"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ETAPA</w:t>
            </w:r>
          </w:p>
        </w:tc>
        <w:tc>
          <w:tcPr>
            <w:tcW w:w="1640"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MULTA</w:t>
            </w:r>
          </w:p>
        </w:tc>
        <w:tc>
          <w:tcPr>
            <w:tcW w:w="2249"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IMPUGNACI</w:t>
            </w:r>
            <w:r w:rsidR="00511A3B">
              <w:rPr>
                <w:rFonts w:ascii="Arial" w:hAnsi="Arial" w:cs="Arial"/>
                <w:b/>
                <w:sz w:val="16"/>
                <w:szCs w:val="16"/>
                <w:lang w:val="es-ES_tradnl"/>
              </w:rPr>
              <w:t>Ó</w:t>
            </w:r>
            <w:r w:rsidRPr="00A85D78">
              <w:rPr>
                <w:rFonts w:ascii="Arial" w:hAnsi="Arial" w:cs="Arial"/>
                <w:b/>
                <w:sz w:val="16"/>
                <w:szCs w:val="16"/>
                <w:lang w:val="es-ES_tradnl"/>
              </w:rPr>
              <w:t>N</w:t>
            </w:r>
          </w:p>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TEPJF</w:t>
            </w:r>
          </w:p>
        </w:tc>
        <w:tc>
          <w:tcPr>
            <w:tcW w:w="1701"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RESOLUCI</w:t>
            </w:r>
            <w:r w:rsidR="00511A3B">
              <w:rPr>
                <w:rFonts w:ascii="Arial" w:hAnsi="Arial" w:cs="Arial"/>
                <w:b/>
                <w:sz w:val="16"/>
                <w:szCs w:val="16"/>
                <w:lang w:val="es-ES_tradnl"/>
              </w:rPr>
              <w:t>Ó</w:t>
            </w:r>
            <w:r w:rsidRPr="00A85D78">
              <w:rPr>
                <w:rFonts w:ascii="Arial" w:hAnsi="Arial" w:cs="Arial"/>
                <w:b/>
                <w:sz w:val="16"/>
                <w:szCs w:val="16"/>
                <w:lang w:val="es-ES_tradnl"/>
              </w:rPr>
              <w:t>N</w:t>
            </w:r>
          </w:p>
        </w:tc>
      </w:tr>
      <w:tr w:rsidR="00A256AB" w:rsidRPr="00A85D78" w:rsidTr="00A256AB">
        <w:trPr>
          <w:jc w:val="center"/>
        </w:trPr>
        <w:tc>
          <w:tcPr>
            <w:tcW w:w="192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PRECAMPAÑA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$64,421.28</w:t>
            </w:r>
          </w:p>
        </w:tc>
        <w:tc>
          <w:tcPr>
            <w:tcW w:w="2249"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ST-RAP-003/2016</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SE REVOCA PARCIALMENTE </w:t>
            </w:r>
          </w:p>
        </w:tc>
      </w:tr>
      <w:tr w:rsidR="00A256AB" w:rsidRPr="00A85D78" w:rsidTr="00A256AB">
        <w:trPr>
          <w:jc w:val="center"/>
        </w:trPr>
        <w:tc>
          <w:tcPr>
            <w:tcW w:w="192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COA PRD-PT</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$32,356.32</w:t>
            </w:r>
          </w:p>
        </w:tc>
        <w:tc>
          <w:tcPr>
            <w:tcW w:w="2249" w:type="dxa"/>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ST-RAP-005/2016</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MORENA</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$29,069.92</w:t>
            </w:r>
          </w:p>
        </w:tc>
        <w:tc>
          <w:tcPr>
            <w:tcW w:w="2249" w:type="dxa"/>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ST-RAP-006/2016</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 xml:space="preserve">SE REVOCA PARCIALMENTE </w:t>
            </w:r>
          </w:p>
        </w:tc>
      </w:tr>
    </w:tbl>
    <w:p w:rsidR="00A256AB" w:rsidRPr="00875A9E" w:rsidRDefault="00A256AB" w:rsidP="00875A9E">
      <w:pPr>
        <w:jc w:val="both"/>
        <w:rPr>
          <w:rFonts w:ascii="Arial" w:hAnsi="Arial" w:cs="Arial"/>
          <w:i/>
          <w:iCs/>
          <w:sz w:val="16"/>
          <w:szCs w:val="16"/>
        </w:rPr>
      </w:pPr>
      <w:r w:rsidRPr="00875A9E">
        <w:rPr>
          <w:rFonts w:ascii="Arial" w:hAnsi="Arial" w:cs="Arial"/>
          <w:b/>
          <w:bCs/>
          <w:i/>
          <w:iCs/>
          <w:sz w:val="16"/>
          <w:szCs w:val="16"/>
        </w:rPr>
        <w:t>Fuente:</w:t>
      </w:r>
      <w:r w:rsidRPr="00875A9E">
        <w:rPr>
          <w:rFonts w:ascii="Arial" w:hAnsi="Arial" w:cs="Arial"/>
          <w:i/>
          <w:iCs/>
          <w:sz w:val="16"/>
          <w:szCs w:val="16"/>
        </w:rPr>
        <w:t xml:space="preserve"> elaboración propia con base en los Recursos de Apelación citados, obtenidos en el buscador de sentencias de la página del Tribunal Electoral del Poder Judicial de la Federación. Recuperado de https://www.te.gob.mx/buscador</w:t>
      </w:r>
    </w:p>
    <w:p w:rsidR="00875A9E" w:rsidRDefault="00875A9E" w:rsidP="00A256AB">
      <w:pPr>
        <w:jc w:val="both"/>
        <w:rPr>
          <w:rFonts w:ascii="Arial" w:hAnsi="Arial" w:cs="Arial"/>
          <w:sz w:val="24"/>
          <w:szCs w:val="24"/>
        </w:rPr>
      </w:pPr>
    </w:p>
    <w:p w:rsidR="00875A9E" w:rsidRDefault="00875A9E" w:rsidP="00A256AB">
      <w:pPr>
        <w:jc w:val="both"/>
        <w:rPr>
          <w:rFonts w:ascii="Arial" w:hAnsi="Arial" w:cs="Arial"/>
          <w:sz w:val="24"/>
          <w:szCs w:val="24"/>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 xml:space="preserve">La tabla previa nos muestra la eficiencia de MORENA para interponer medios de impugnación, al obtener éxito de forma parcial en las dos impugnaciones presentadas; ante esta determinación del TEPJF, la Unidad Técnica de Fiscalización se vio obligada a elaborar una nueva resolución tomando en consideración los argumentos jurídicos y contables del partido antes de someterlo a consideración del Consejo General del INE. Por otra </w:t>
      </w:r>
      <w:proofErr w:type="gramStart"/>
      <w:r w:rsidRPr="00A85D78">
        <w:rPr>
          <w:rFonts w:ascii="Arial" w:hAnsi="Arial" w:cs="Arial"/>
          <w:sz w:val="24"/>
          <w:szCs w:val="24"/>
        </w:rPr>
        <w:t>parte</w:t>
      </w:r>
      <w:proofErr w:type="gramEnd"/>
      <w:r w:rsidRPr="00A85D78">
        <w:rPr>
          <w:rFonts w:ascii="Arial" w:hAnsi="Arial" w:cs="Arial"/>
          <w:sz w:val="24"/>
          <w:szCs w:val="24"/>
        </w:rPr>
        <w:t xml:space="preserve"> los argumentos presentados por la Coalición PRD-PT carecieron de efectividad por lo que la medida de apremio </w:t>
      </w:r>
      <w:r w:rsidR="00600C69" w:rsidRPr="00A85D78">
        <w:rPr>
          <w:rFonts w:ascii="Arial" w:hAnsi="Arial" w:cs="Arial"/>
          <w:sz w:val="24"/>
          <w:szCs w:val="24"/>
        </w:rPr>
        <w:t>impuesta por</w:t>
      </w:r>
      <w:r w:rsidRPr="00A85D78">
        <w:rPr>
          <w:rFonts w:ascii="Arial" w:hAnsi="Arial" w:cs="Arial"/>
          <w:sz w:val="24"/>
          <w:szCs w:val="24"/>
        </w:rPr>
        <w:t xml:space="preserve"> el INE, fue ratificada por el TEPJF.</w:t>
      </w:r>
    </w:p>
    <w:p w:rsidR="00875A9E" w:rsidRDefault="00875A9E" w:rsidP="00E5019C">
      <w:pPr>
        <w:spacing w:line="360" w:lineRule="auto"/>
        <w:jc w:val="both"/>
        <w:rPr>
          <w:rFonts w:ascii="Arial" w:hAnsi="Arial" w:cs="Arial"/>
          <w:sz w:val="24"/>
          <w:szCs w:val="24"/>
        </w:rPr>
      </w:pPr>
    </w:p>
    <w:p w:rsidR="00875A9E" w:rsidRPr="00A85D78" w:rsidRDefault="00875A9E" w:rsidP="00E5019C">
      <w:pPr>
        <w:spacing w:line="360" w:lineRule="auto"/>
        <w:jc w:val="both"/>
        <w:rPr>
          <w:rFonts w:ascii="Arial" w:hAnsi="Arial" w:cs="Arial"/>
          <w:sz w:val="24"/>
          <w:szCs w:val="24"/>
        </w:rPr>
      </w:pPr>
    </w:p>
    <w:p w:rsidR="00A256AB" w:rsidRPr="00A85D78" w:rsidRDefault="00A256AB" w:rsidP="00E5019C">
      <w:pPr>
        <w:spacing w:line="360" w:lineRule="auto"/>
        <w:jc w:val="both"/>
        <w:rPr>
          <w:rFonts w:ascii="Arial" w:hAnsi="Arial" w:cs="Arial"/>
          <w:b/>
          <w:sz w:val="24"/>
          <w:szCs w:val="24"/>
        </w:rPr>
      </w:pPr>
      <w:r w:rsidRPr="00A85D78">
        <w:rPr>
          <w:rFonts w:ascii="Arial" w:hAnsi="Arial" w:cs="Arial"/>
          <w:b/>
          <w:sz w:val="24"/>
          <w:szCs w:val="24"/>
        </w:rPr>
        <w:lastRenderedPageBreak/>
        <w:t xml:space="preserve">4.4.3. Medios de </w:t>
      </w:r>
      <w:r w:rsidR="00716A64">
        <w:rPr>
          <w:rFonts w:ascii="Arial" w:hAnsi="Arial" w:cs="Arial"/>
          <w:b/>
          <w:sz w:val="24"/>
          <w:szCs w:val="24"/>
        </w:rPr>
        <w:t>i</w:t>
      </w:r>
      <w:r w:rsidRPr="00A85D78">
        <w:rPr>
          <w:rFonts w:ascii="Arial" w:hAnsi="Arial" w:cs="Arial"/>
          <w:b/>
          <w:sz w:val="24"/>
          <w:szCs w:val="24"/>
        </w:rPr>
        <w:t xml:space="preserve">mpugnación presentados en la </w:t>
      </w:r>
      <w:r w:rsidR="00D46323">
        <w:rPr>
          <w:rFonts w:ascii="Arial" w:hAnsi="Arial" w:cs="Arial"/>
          <w:b/>
          <w:sz w:val="24"/>
          <w:szCs w:val="24"/>
        </w:rPr>
        <w:t>e</w:t>
      </w:r>
      <w:r w:rsidRPr="00A85D78">
        <w:rPr>
          <w:rFonts w:ascii="Arial" w:hAnsi="Arial" w:cs="Arial"/>
          <w:b/>
          <w:sz w:val="24"/>
          <w:szCs w:val="24"/>
        </w:rPr>
        <w:t>lección de Gobernador 2017.</w:t>
      </w:r>
    </w:p>
    <w:p w:rsidR="00A256AB" w:rsidRPr="00A85D78" w:rsidRDefault="00A256AB" w:rsidP="00E5019C">
      <w:pPr>
        <w:spacing w:line="360" w:lineRule="auto"/>
        <w:jc w:val="both"/>
        <w:rPr>
          <w:rFonts w:ascii="Arial" w:hAnsi="Arial" w:cs="Arial"/>
          <w:sz w:val="24"/>
          <w:szCs w:val="24"/>
        </w:rPr>
      </w:pPr>
      <w:r w:rsidRPr="00A85D78">
        <w:rPr>
          <w:rFonts w:ascii="Arial" w:hAnsi="Arial" w:cs="Arial"/>
          <w:sz w:val="24"/>
          <w:szCs w:val="24"/>
        </w:rPr>
        <w:t xml:space="preserve">Como se refirió con antelación, la elección más sancionada en términos económicos por concepto de fiscalización, en la historia del Estado de México, es el proceso electoral del 2017, donde se impusieron multas por cientos de millones de pesos a los partidos participantes. Evidentemente este hecho repercutió en el número de impugnaciones que los partidos elaboraron con motivo de su inconformidad con los resultados de la fiscalización llevada a cabo por el INE. En la tabla 4.35 se plasman los 13 recursos de apelación, 4 derivados de la precampaña y 9 correspondientes a la fiscalización de la campaña electoral. </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E5019C" w:rsidRDefault="00A256AB" w:rsidP="00E5019C">
      <w:pPr>
        <w:tabs>
          <w:tab w:val="left" w:pos="5070"/>
        </w:tabs>
        <w:jc w:val="both"/>
        <w:rPr>
          <w:rStyle w:val="Ttulodellibro"/>
          <w:rFonts w:ascii="Arial" w:hAnsi="Arial" w:cs="Arial"/>
          <w:b/>
          <w:i/>
          <w:color w:val="auto"/>
          <w:sz w:val="20"/>
          <w:szCs w:val="20"/>
        </w:rPr>
      </w:pPr>
      <w:r w:rsidRPr="00E5019C">
        <w:rPr>
          <w:rStyle w:val="Ttulodellibro"/>
          <w:rFonts w:ascii="Arial" w:hAnsi="Arial" w:cs="Arial"/>
          <w:b/>
          <w:i/>
          <w:color w:val="auto"/>
          <w:sz w:val="20"/>
          <w:szCs w:val="20"/>
        </w:rPr>
        <w:t>Tabla 4.35 Impugnaciones presentadas por partidos políticos en el Proceso Electoral para renovar Gobernador 2017.</w:t>
      </w:r>
    </w:p>
    <w:p w:rsidR="00E5019C" w:rsidRPr="00A85D78" w:rsidRDefault="00E5019C" w:rsidP="00A256AB">
      <w:pPr>
        <w:jc w:val="both"/>
        <w:rPr>
          <w:rFonts w:ascii="Arial" w:hAnsi="Arial" w:cs="Arial"/>
          <w:sz w:val="24"/>
          <w:szCs w:val="24"/>
        </w:rPr>
      </w:pPr>
    </w:p>
    <w:tbl>
      <w:tblPr>
        <w:tblStyle w:val="Tablaconcuadrcula"/>
        <w:tblW w:w="5000" w:type="pct"/>
        <w:jc w:val="center"/>
        <w:tblLook w:val="04A0" w:firstRow="1" w:lastRow="0" w:firstColumn="1" w:lastColumn="0" w:noHBand="0" w:noVBand="1"/>
      </w:tblPr>
      <w:tblGrid>
        <w:gridCol w:w="1881"/>
        <w:gridCol w:w="1477"/>
        <w:gridCol w:w="1602"/>
        <w:gridCol w:w="2204"/>
        <w:gridCol w:w="1664"/>
      </w:tblGrid>
      <w:tr w:rsidR="00A256AB" w:rsidRPr="00E5019C" w:rsidTr="00E5019C">
        <w:trPr>
          <w:jc w:val="center"/>
        </w:trPr>
        <w:tc>
          <w:tcPr>
            <w:tcW w:w="1086" w:type="pct"/>
            <w:shd w:val="clear" w:color="auto" w:fill="FBE4D5" w:themeFill="accent2" w:themeFillTint="33"/>
            <w:vAlign w:val="center"/>
          </w:tcPr>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PARTIDO</w:t>
            </w:r>
          </w:p>
        </w:tc>
        <w:tc>
          <w:tcPr>
            <w:tcW w:w="757" w:type="pct"/>
            <w:shd w:val="clear" w:color="auto" w:fill="FBE4D5" w:themeFill="accent2" w:themeFillTint="33"/>
            <w:vAlign w:val="center"/>
          </w:tcPr>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ETAPA</w:t>
            </w:r>
          </w:p>
        </w:tc>
        <w:tc>
          <w:tcPr>
            <w:tcW w:w="927" w:type="pct"/>
            <w:shd w:val="clear" w:color="auto" w:fill="FBE4D5" w:themeFill="accent2" w:themeFillTint="33"/>
            <w:vAlign w:val="center"/>
          </w:tcPr>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MULTA</w:t>
            </w:r>
          </w:p>
        </w:tc>
        <w:tc>
          <w:tcPr>
            <w:tcW w:w="1268" w:type="pct"/>
            <w:shd w:val="clear" w:color="auto" w:fill="FBE4D5" w:themeFill="accent2" w:themeFillTint="33"/>
            <w:vAlign w:val="center"/>
          </w:tcPr>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IMPUGNACI</w:t>
            </w:r>
            <w:r w:rsidR="00511A3B" w:rsidRPr="00E5019C">
              <w:rPr>
                <w:rFonts w:ascii="Arial" w:hAnsi="Arial" w:cs="Arial"/>
                <w:b/>
                <w:sz w:val="18"/>
                <w:szCs w:val="18"/>
                <w:lang w:val="es-ES_tradnl"/>
              </w:rPr>
              <w:t>Ó</w:t>
            </w:r>
            <w:r w:rsidRPr="00E5019C">
              <w:rPr>
                <w:rFonts w:ascii="Arial" w:hAnsi="Arial" w:cs="Arial"/>
                <w:b/>
                <w:sz w:val="18"/>
                <w:szCs w:val="18"/>
                <w:lang w:val="es-ES_tradnl"/>
              </w:rPr>
              <w:t>N</w:t>
            </w:r>
          </w:p>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TEPJF</w:t>
            </w:r>
          </w:p>
        </w:tc>
        <w:tc>
          <w:tcPr>
            <w:tcW w:w="962" w:type="pct"/>
            <w:shd w:val="clear" w:color="auto" w:fill="FBE4D5" w:themeFill="accent2" w:themeFillTint="33"/>
            <w:vAlign w:val="center"/>
          </w:tcPr>
          <w:p w:rsidR="00A256AB" w:rsidRPr="00E5019C" w:rsidRDefault="00A256AB" w:rsidP="00A256AB">
            <w:pPr>
              <w:jc w:val="center"/>
              <w:rPr>
                <w:rFonts w:ascii="Arial" w:hAnsi="Arial" w:cs="Arial"/>
                <w:b/>
                <w:sz w:val="18"/>
                <w:szCs w:val="18"/>
                <w:lang w:val="es-ES_tradnl"/>
              </w:rPr>
            </w:pPr>
            <w:r w:rsidRPr="00E5019C">
              <w:rPr>
                <w:rFonts w:ascii="Arial" w:hAnsi="Arial" w:cs="Arial"/>
                <w:b/>
                <w:sz w:val="18"/>
                <w:szCs w:val="18"/>
                <w:lang w:val="es-ES_tradnl"/>
              </w:rPr>
              <w:t>RESOLUCI</w:t>
            </w:r>
            <w:r w:rsidR="00511A3B" w:rsidRPr="00E5019C">
              <w:rPr>
                <w:rFonts w:ascii="Arial" w:hAnsi="Arial" w:cs="Arial"/>
                <w:b/>
                <w:sz w:val="18"/>
                <w:szCs w:val="18"/>
                <w:lang w:val="es-ES_tradnl"/>
              </w:rPr>
              <w:t>Ó</w:t>
            </w:r>
            <w:r w:rsidRPr="00E5019C">
              <w:rPr>
                <w:rFonts w:ascii="Arial" w:hAnsi="Arial" w:cs="Arial"/>
                <w:b/>
                <w:sz w:val="18"/>
                <w:szCs w:val="18"/>
                <w:lang w:val="es-ES_tradnl"/>
              </w:rPr>
              <w:t>N</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PRD</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PRECAMPAÑA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$2,540,508.50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SUP-RAP-0143/2017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PT</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PRECAMPAÑA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$6,838,052.72</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SUP-RAP-0145/2017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PRI</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PRECAMPAÑA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$1,146,982.97</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SUP-RAP-0147/2017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MORENA</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PRECAMPAÑA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$1,098,667.40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SUP-RAP-0152/2017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NUEVA ALIANZA</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$14,824,839.28</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SUP-RAP-0190/2017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CONFIRMA</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PARTIDO ENCUENTRO SOCIAL</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$12,501,836.44</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SUP-RAP-0192/2017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CONFIRMA</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PT</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$20,664,105.34</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SUP-RAP-0198/2017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PRD</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$2,406,609.97</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SUP-RAP-0199/2017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PAN</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$108,114,048.87</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SUP-RAP-0210/2017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PRD</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$1,724,175.00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SUP-RAP-693/2017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REVOCA PARCIALMENTE</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PVEM</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$1,968,825.00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SUP-RAP-695/2017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CONFIRMA</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PT</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$2,274,300.00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SUP-RAP-0701/2017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CONFIRMA</w:t>
            </w:r>
          </w:p>
        </w:tc>
      </w:tr>
      <w:tr w:rsidR="00A256AB" w:rsidRPr="00E5019C" w:rsidTr="00E5019C">
        <w:trPr>
          <w:jc w:val="center"/>
        </w:trPr>
        <w:tc>
          <w:tcPr>
            <w:tcW w:w="1086"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NUAL</w:t>
            </w:r>
          </w:p>
        </w:tc>
        <w:tc>
          <w:tcPr>
            <w:tcW w:w="75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CAMPAÑA*</w:t>
            </w:r>
          </w:p>
        </w:tc>
        <w:tc>
          <w:tcPr>
            <w:tcW w:w="927"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$3,990,075.00</w:t>
            </w:r>
          </w:p>
        </w:tc>
        <w:tc>
          <w:tcPr>
            <w:tcW w:w="1268"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SUP-RAP-0702/2017</w:t>
            </w:r>
          </w:p>
        </w:tc>
        <w:tc>
          <w:tcPr>
            <w:tcW w:w="962" w:type="pct"/>
            <w:vAlign w:val="center"/>
          </w:tcPr>
          <w:p w:rsidR="00A256AB" w:rsidRPr="00E5019C" w:rsidRDefault="00A256AB" w:rsidP="00A256AB">
            <w:pPr>
              <w:jc w:val="center"/>
              <w:rPr>
                <w:rFonts w:ascii="Arial" w:hAnsi="Arial" w:cs="Arial"/>
                <w:sz w:val="18"/>
                <w:szCs w:val="18"/>
                <w:lang w:val="es-ES_tradnl"/>
              </w:rPr>
            </w:pPr>
            <w:r w:rsidRPr="00E5019C">
              <w:rPr>
                <w:rFonts w:ascii="Arial" w:hAnsi="Arial" w:cs="Arial"/>
                <w:sz w:val="18"/>
                <w:szCs w:val="18"/>
                <w:lang w:val="es-ES_tradnl"/>
              </w:rPr>
              <w:t>SE CONFIRMA</w:t>
            </w:r>
          </w:p>
        </w:tc>
      </w:tr>
    </w:tbl>
    <w:p w:rsidR="00E5019C" w:rsidRPr="00E5019C" w:rsidRDefault="00A256AB" w:rsidP="00A256AB">
      <w:pPr>
        <w:jc w:val="both"/>
        <w:rPr>
          <w:rFonts w:ascii="Arial" w:hAnsi="Arial" w:cs="Arial"/>
          <w:i/>
          <w:iCs/>
          <w:sz w:val="16"/>
          <w:szCs w:val="16"/>
        </w:rPr>
      </w:pPr>
      <w:r w:rsidRPr="00E5019C">
        <w:rPr>
          <w:rFonts w:ascii="Arial" w:hAnsi="Arial" w:cs="Arial"/>
          <w:b/>
          <w:bCs/>
          <w:i/>
          <w:iCs/>
          <w:sz w:val="16"/>
          <w:szCs w:val="16"/>
        </w:rPr>
        <w:t>Fuente:</w:t>
      </w:r>
      <w:r w:rsidRPr="00E5019C">
        <w:rPr>
          <w:rFonts w:ascii="Arial" w:hAnsi="Arial" w:cs="Arial"/>
          <w:i/>
          <w:iCs/>
          <w:sz w:val="16"/>
          <w:szCs w:val="16"/>
        </w:rPr>
        <w:t xml:space="preserve"> elaboración propia con base en los Recursos de Apelación citados, obtenidos en el buscador de sentencias de la página del Tribunal Electoral del Poder Judicial de la Federación. Recuperado de https://www.te.gob.mx/buscador/.  </w:t>
      </w:r>
    </w:p>
    <w:p w:rsidR="00A256AB" w:rsidRPr="00A85D78" w:rsidRDefault="00A256AB" w:rsidP="00A256AB">
      <w:pPr>
        <w:jc w:val="both"/>
        <w:rPr>
          <w:rFonts w:ascii="Arial" w:hAnsi="Arial" w:cs="Arial"/>
          <w:sz w:val="16"/>
          <w:szCs w:val="16"/>
        </w:rPr>
      </w:pPr>
      <w:r w:rsidRPr="00A85D78">
        <w:rPr>
          <w:rFonts w:ascii="Arial" w:hAnsi="Arial" w:cs="Arial"/>
          <w:sz w:val="16"/>
          <w:szCs w:val="16"/>
        </w:rPr>
        <w:t>* Impugnación de procedimiento oficioso expedito en materia de fiscalización aprobado mediante acuerdo INE/CG445/2017.</w:t>
      </w:r>
    </w:p>
    <w:p w:rsidR="00E5019C" w:rsidRDefault="00E5019C" w:rsidP="00A256AB">
      <w:pPr>
        <w:jc w:val="both"/>
        <w:rPr>
          <w:rFonts w:ascii="Arial" w:hAnsi="Arial" w:cs="Arial"/>
          <w:sz w:val="24"/>
          <w:szCs w:val="24"/>
        </w:rPr>
      </w:pPr>
    </w:p>
    <w:p w:rsidR="00E5019C" w:rsidRDefault="00E5019C" w:rsidP="00A256AB">
      <w:pPr>
        <w:jc w:val="both"/>
        <w:rPr>
          <w:rFonts w:ascii="Arial" w:hAnsi="Arial" w:cs="Arial"/>
          <w:sz w:val="24"/>
          <w:szCs w:val="24"/>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 xml:space="preserve">Las impugnaciones presentadas durante el proceso electoral 2017, tienen la particularidad de ser también las más efectivas, </w:t>
      </w:r>
      <w:proofErr w:type="gramStart"/>
      <w:r w:rsidRPr="00A85D78">
        <w:rPr>
          <w:rFonts w:ascii="Arial" w:hAnsi="Arial" w:cs="Arial"/>
          <w:sz w:val="24"/>
          <w:szCs w:val="24"/>
        </w:rPr>
        <w:t>puesto que</w:t>
      </w:r>
      <w:proofErr w:type="gramEnd"/>
      <w:r w:rsidRPr="00A85D78">
        <w:rPr>
          <w:rFonts w:ascii="Arial" w:hAnsi="Arial" w:cs="Arial"/>
          <w:sz w:val="24"/>
          <w:szCs w:val="24"/>
        </w:rPr>
        <w:t xml:space="preserve"> de los 13 recursos de apelación presentados, 8 lograron revocar parcialmente las medidas de apremio impuestas por el INE; es decir el 61.53%. De las 4 impugnaciones de precampaña, </w:t>
      </w:r>
      <w:r w:rsidRPr="00A85D78">
        <w:rPr>
          <w:rFonts w:ascii="Arial" w:hAnsi="Arial" w:cs="Arial"/>
          <w:sz w:val="24"/>
          <w:szCs w:val="24"/>
        </w:rPr>
        <w:lastRenderedPageBreak/>
        <w:t>las 4 fueron revocadas parcialmente, por lo que los dictámenes y resoluciones fueron devueltos a la autoridad electoral para su reelaboración, misma cantidad que en el periodo de campaña.</w:t>
      </w:r>
    </w:p>
    <w:p w:rsidR="00E5019C" w:rsidRPr="00A85D78" w:rsidRDefault="00E5019C" w:rsidP="00E5019C">
      <w:pPr>
        <w:spacing w:line="360" w:lineRule="auto"/>
        <w:jc w:val="both"/>
        <w:rPr>
          <w:rFonts w:ascii="Arial" w:hAnsi="Arial" w:cs="Arial"/>
          <w:sz w:val="24"/>
          <w:szCs w:val="24"/>
        </w:rPr>
      </w:pP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Por otra parte cabe destacar que en este proceso electoral se presentó una situación muy particular, ya que las multas correspondientes al día de la jornada electoral, fueron analizadas por separado de la resolución del resto de rubros fiscalizados, esto a causa de que en sesión extraordinaria celebrada el diecisiete de julio, el Consejo General del Instituto Nacional Electoral  aprobó el Dictamen Consolidado y Resolución INE/CG310/2017 e INE/CG311/2017, respecto de las irregularidades encontradas en la revisión de los Informes de Campaña de los ingresos y gastos de los candidatos al cargo de Gobernador, correspondiente al Proceso Electoral Local Ordinario 2016-2017, en el Estado de México, determinando en su punto resolutivo Décimo Tercero, la instauración de un procedimiento oficioso expedito en materia de fiscalización, con la finalidad de tener certeza respecto de los gastos realizados por los sujetos obligados el día de la jornada electoral, por tal motivo las multas por este concepto fueron aprobadas con posterioridad y por ende las impugnaciones para el caso específico de estas multas se presentaron por separado; de los 4 partidos que impugnaron las multas de esta etapa, solamente el PRD, revoc</w:t>
      </w:r>
      <w:r w:rsidR="00511A3B">
        <w:rPr>
          <w:rFonts w:ascii="Arial" w:hAnsi="Arial" w:cs="Arial"/>
          <w:sz w:val="24"/>
          <w:szCs w:val="24"/>
        </w:rPr>
        <w:t>ó</w:t>
      </w:r>
      <w:r w:rsidRPr="00A85D78">
        <w:rPr>
          <w:rFonts w:ascii="Arial" w:hAnsi="Arial" w:cs="Arial"/>
          <w:sz w:val="24"/>
          <w:szCs w:val="24"/>
        </w:rPr>
        <w:t xml:space="preserve"> parcialmente la medida de apremio.</w:t>
      </w:r>
    </w:p>
    <w:p w:rsidR="00E5019C" w:rsidRDefault="00E5019C" w:rsidP="00E5019C">
      <w:pPr>
        <w:spacing w:line="360" w:lineRule="auto"/>
        <w:jc w:val="both"/>
        <w:rPr>
          <w:rFonts w:ascii="Arial" w:hAnsi="Arial" w:cs="Arial"/>
          <w:sz w:val="24"/>
          <w:szCs w:val="24"/>
        </w:rPr>
      </w:pPr>
    </w:p>
    <w:p w:rsidR="00E5019C" w:rsidRPr="00A85D78" w:rsidRDefault="00E5019C" w:rsidP="00E5019C">
      <w:pPr>
        <w:spacing w:line="360" w:lineRule="auto"/>
        <w:jc w:val="both"/>
        <w:rPr>
          <w:rFonts w:ascii="Arial" w:hAnsi="Arial" w:cs="Arial"/>
          <w:sz w:val="24"/>
          <w:szCs w:val="24"/>
        </w:rPr>
      </w:pPr>
    </w:p>
    <w:p w:rsidR="00A256AB" w:rsidRPr="00A85D78" w:rsidRDefault="00A256AB" w:rsidP="00E5019C">
      <w:pPr>
        <w:spacing w:line="360" w:lineRule="auto"/>
        <w:jc w:val="both"/>
        <w:rPr>
          <w:rFonts w:ascii="Arial" w:hAnsi="Arial" w:cs="Arial"/>
          <w:b/>
          <w:sz w:val="24"/>
          <w:szCs w:val="24"/>
        </w:rPr>
      </w:pPr>
      <w:r w:rsidRPr="00A85D78">
        <w:rPr>
          <w:rFonts w:ascii="Arial" w:hAnsi="Arial" w:cs="Arial"/>
          <w:b/>
          <w:sz w:val="24"/>
          <w:szCs w:val="24"/>
        </w:rPr>
        <w:t xml:space="preserve">4.4.4. Medios de </w:t>
      </w:r>
      <w:r w:rsidR="00716A64">
        <w:rPr>
          <w:rFonts w:ascii="Arial" w:hAnsi="Arial" w:cs="Arial"/>
          <w:b/>
          <w:sz w:val="24"/>
          <w:szCs w:val="24"/>
        </w:rPr>
        <w:t>i</w:t>
      </w:r>
      <w:r w:rsidRPr="00A85D78">
        <w:rPr>
          <w:rFonts w:ascii="Arial" w:hAnsi="Arial" w:cs="Arial"/>
          <w:b/>
          <w:sz w:val="24"/>
          <w:szCs w:val="24"/>
        </w:rPr>
        <w:t xml:space="preserve">mpugnación presentados en la </w:t>
      </w:r>
      <w:r w:rsidR="00D46323">
        <w:rPr>
          <w:rFonts w:ascii="Arial" w:hAnsi="Arial" w:cs="Arial"/>
          <w:b/>
          <w:sz w:val="24"/>
          <w:szCs w:val="24"/>
        </w:rPr>
        <w:t>e</w:t>
      </w:r>
      <w:r w:rsidRPr="00A85D78">
        <w:rPr>
          <w:rFonts w:ascii="Arial" w:hAnsi="Arial" w:cs="Arial"/>
          <w:b/>
          <w:sz w:val="24"/>
          <w:szCs w:val="24"/>
        </w:rPr>
        <w:t xml:space="preserve">lección </w:t>
      </w:r>
      <w:r w:rsidR="00D46323">
        <w:rPr>
          <w:rFonts w:ascii="Arial" w:hAnsi="Arial" w:cs="Arial"/>
          <w:b/>
          <w:sz w:val="24"/>
          <w:szCs w:val="24"/>
        </w:rPr>
        <w:t>l</w:t>
      </w:r>
      <w:r w:rsidRPr="00A85D78">
        <w:rPr>
          <w:rFonts w:ascii="Arial" w:hAnsi="Arial" w:cs="Arial"/>
          <w:b/>
          <w:sz w:val="24"/>
          <w:szCs w:val="24"/>
        </w:rPr>
        <w:t>ocal 2018.</w:t>
      </w:r>
    </w:p>
    <w:p w:rsidR="00A256AB" w:rsidRDefault="00A256AB" w:rsidP="00E5019C">
      <w:pPr>
        <w:spacing w:line="360" w:lineRule="auto"/>
        <w:jc w:val="both"/>
        <w:rPr>
          <w:rFonts w:ascii="Arial" w:hAnsi="Arial" w:cs="Arial"/>
          <w:sz w:val="24"/>
          <w:szCs w:val="24"/>
        </w:rPr>
      </w:pPr>
      <w:r w:rsidRPr="00A85D78">
        <w:rPr>
          <w:rFonts w:ascii="Arial" w:hAnsi="Arial" w:cs="Arial"/>
          <w:sz w:val="24"/>
          <w:szCs w:val="24"/>
        </w:rPr>
        <w:t>Finalmente se presentan los pormenores a los medios de impugnación de la última elección llevada a cabo en la Entidad, si bien en esta elección los criterios tomados por la Unidad Técnica de Fiscalización para sancionar las conductas infractoras de los partidos fueron más flexibles, disminuyendo los montos de las multas en relación con los procesos electorales previos, la situación tuvo también un impacto directamente proporcional a los medios de impugnación presentados. En la tabla 4.36 se detallan los recursos de apelación presentados durante la precampaña y campaña 2018.</w:t>
      </w:r>
    </w:p>
    <w:p w:rsidR="00E5019C" w:rsidRPr="00A85D78" w:rsidRDefault="00E5019C" w:rsidP="00E5019C">
      <w:pPr>
        <w:spacing w:line="360" w:lineRule="auto"/>
        <w:jc w:val="both"/>
        <w:rPr>
          <w:rFonts w:ascii="Arial" w:hAnsi="Arial" w:cs="Arial"/>
          <w:sz w:val="24"/>
          <w:szCs w:val="24"/>
        </w:rPr>
      </w:pPr>
    </w:p>
    <w:p w:rsidR="00A256AB" w:rsidRDefault="00A256AB" w:rsidP="00E5019C">
      <w:pPr>
        <w:tabs>
          <w:tab w:val="left" w:pos="5070"/>
        </w:tabs>
        <w:jc w:val="both"/>
        <w:rPr>
          <w:rStyle w:val="Ttulodellibro"/>
          <w:b/>
          <w:i/>
          <w:color w:val="auto"/>
          <w:sz w:val="20"/>
          <w:szCs w:val="20"/>
        </w:rPr>
      </w:pPr>
      <w:r w:rsidRPr="00E5019C">
        <w:rPr>
          <w:rStyle w:val="Ttulodellibro"/>
          <w:b/>
          <w:i/>
          <w:color w:val="auto"/>
          <w:sz w:val="20"/>
          <w:szCs w:val="20"/>
        </w:rPr>
        <w:t>Tabla 4.36 Impugnaciones presentadas por partidos políticos en el Proceso Local 2018.</w:t>
      </w:r>
    </w:p>
    <w:p w:rsidR="00E5019C" w:rsidRPr="00E5019C" w:rsidRDefault="00E5019C" w:rsidP="00E5019C">
      <w:pPr>
        <w:tabs>
          <w:tab w:val="left" w:pos="5070"/>
        </w:tabs>
        <w:jc w:val="both"/>
        <w:rPr>
          <w:rStyle w:val="Ttulodellibro"/>
          <w:b/>
          <w:i/>
          <w:color w:val="auto"/>
          <w:sz w:val="20"/>
          <w:szCs w:val="20"/>
        </w:rPr>
      </w:pPr>
    </w:p>
    <w:tbl>
      <w:tblPr>
        <w:tblStyle w:val="Tablaconcuadrcula"/>
        <w:tblW w:w="0" w:type="auto"/>
        <w:jc w:val="center"/>
        <w:tblLook w:val="04A0" w:firstRow="1" w:lastRow="0" w:firstColumn="1" w:lastColumn="0" w:noHBand="0" w:noVBand="1"/>
      </w:tblPr>
      <w:tblGrid>
        <w:gridCol w:w="1919"/>
        <w:gridCol w:w="1337"/>
        <w:gridCol w:w="1635"/>
        <w:gridCol w:w="2239"/>
        <w:gridCol w:w="1698"/>
      </w:tblGrid>
      <w:tr w:rsidR="00A256AB" w:rsidRPr="00A85D78" w:rsidTr="00A256AB">
        <w:trPr>
          <w:jc w:val="center"/>
        </w:trPr>
        <w:tc>
          <w:tcPr>
            <w:tcW w:w="1927"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PARTIDO</w:t>
            </w:r>
          </w:p>
        </w:tc>
        <w:tc>
          <w:tcPr>
            <w:tcW w:w="1337"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ETAPA</w:t>
            </w:r>
          </w:p>
        </w:tc>
        <w:tc>
          <w:tcPr>
            <w:tcW w:w="1640"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MULTA</w:t>
            </w:r>
          </w:p>
        </w:tc>
        <w:tc>
          <w:tcPr>
            <w:tcW w:w="2249"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IMPUGNACI</w:t>
            </w:r>
            <w:r w:rsidR="00511A3B">
              <w:rPr>
                <w:rFonts w:ascii="Arial" w:hAnsi="Arial" w:cs="Arial"/>
                <w:b/>
                <w:sz w:val="16"/>
                <w:szCs w:val="16"/>
                <w:lang w:val="es-ES_tradnl"/>
              </w:rPr>
              <w:t>Ó</w:t>
            </w:r>
            <w:r w:rsidRPr="00A85D78">
              <w:rPr>
                <w:rFonts w:ascii="Arial" w:hAnsi="Arial" w:cs="Arial"/>
                <w:b/>
                <w:sz w:val="16"/>
                <w:szCs w:val="16"/>
                <w:lang w:val="es-ES_tradnl"/>
              </w:rPr>
              <w:t>N</w:t>
            </w:r>
          </w:p>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TEPJF</w:t>
            </w:r>
          </w:p>
        </w:tc>
        <w:tc>
          <w:tcPr>
            <w:tcW w:w="1701" w:type="dxa"/>
            <w:shd w:val="clear" w:color="auto" w:fill="FBE4D5" w:themeFill="accent2" w:themeFillTint="33"/>
            <w:vAlign w:val="center"/>
          </w:tcPr>
          <w:p w:rsidR="00A256AB" w:rsidRPr="00A85D78" w:rsidRDefault="00A256AB" w:rsidP="00A256AB">
            <w:pPr>
              <w:jc w:val="center"/>
              <w:rPr>
                <w:rFonts w:ascii="Arial" w:hAnsi="Arial" w:cs="Arial"/>
                <w:b/>
                <w:sz w:val="16"/>
                <w:szCs w:val="16"/>
                <w:lang w:val="es-ES_tradnl"/>
              </w:rPr>
            </w:pPr>
            <w:r w:rsidRPr="00A85D78">
              <w:rPr>
                <w:rFonts w:ascii="Arial" w:hAnsi="Arial" w:cs="Arial"/>
                <w:b/>
                <w:sz w:val="16"/>
                <w:szCs w:val="16"/>
                <w:lang w:val="es-ES_tradnl"/>
              </w:rPr>
              <w:t>RESOLUCI</w:t>
            </w:r>
            <w:r w:rsidR="00511A3B">
              <w:rPr>
                <w:rFonts w:ascii="Arial" w:hAnsi="Arial" w:cs="Arial"/>
                <w:b/>
                <w:sz w:val="16"/>
                <w:szCs w:val="16"/>
                <w:lang w:val="es-ES_tradnl"/>
              </w:rPr>
              <w:t>Ó</w:t>
            </w:r>
            <w:r w:rsidRPr="00A85D78">
              <w:rPr>
                <w:rFonts w:ascii="Arial" w:hAnsi="Arial" w:cs="Arial"/>
                <w:b/>
                <w:sz w:val="16"/>
                <w:szCs w:val="16"/>
                <w:lang w:val="es-ES_tradnl"/>
              </w:rPr>
              <w:t>N</w:t>
            </w:r>
          </w:p>
        </w:tc>
      </w:tr>
      <w:tr w:rsidR="00A256AB" w:rsidRPr="00A85D78" w:rsidTr="00A256AB">
        <w:trPr>
          <w:jc w:val="center"/>
        </w:trPr>
        <w:tc>
          <w:tcPr>
            <w:tcW w:w="1927"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PRI</w:t>
            </w:r>
          </w:p>
        </w:tc>
        <w:tc>
          <w:tcPr>
            <w:tcW w:w="1337"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PRECAMPAÑA</w:t>
            </w:r>
          </w:p>
        </w:tc>
        <w:tc>
          <w:tcPr>
            <w:tcW w:w="1640"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$2,900.72</w:t>
            </w:r>
          </w:p>
        </w:tc>
        <w:tc>
          <w:tcPr>
            <w:tcW w:w="2249"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ST-RAP-25/2018</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PRD</w:t>
            </w:r>
          </w:p>
        </w:tc>
        <w:tc>
          <w:tcPr>
            <w:tcW w:w="1337"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PRECAMPAÑA</w:t>
            </w:r>
          </w:p>
        </w:tc>
        <w:tc>
          <w:tcPr>
            <w:tcW w:w="1640"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$776,736.75</w:t>
            </w:r>
          </w:p>
        </w:tc>
        <w:tc>
          <w:tcPr>
            <w:tcW w:w="224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ST-RAP-28/2018</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vAlign w:val="center"/>
          </w:tcPr>
          <w:p w:rsidR="00A256AB" w:rsidRPr="00A85D78" w:rsidRDefault="00A256AB" w:rsidP="00A256AB">
            <w:pPr>
              <w:rPr>
                <w:rFonts w:ascii="Arial" w:hAnsi="Arial" w:cs="Arial"/>
                <w:sz w:val="16"/>
                <w:szCs w:val="16"/>
                <w:lang w:val="es-ES_tradnl"/>
              </w:rPr>
            </w:pPr>
            <w:r w:rsidRPr="00A85D78">
              <w:rPr>
                <w:rFonts w:ascii="Arial" w:hAnsi="Arial" w:cs="Arial"/>
                <w:sz w:val="16"/>
                <w:szCs w:val="16"/>
                <w:lang w:val="es-ES_tradnl"/>
              </w:rPr>
              <w:t>VÍA RADICAL</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PRECAMPAÑA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$1,146,982.97</w:t>
            </w:r>
          </w:p>
        </w:tc>
        <w:tc>
          <w:tcPr>
            <w:tcW w:w="2249" w:type="dxa"/>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ST-RAP-30/2018</w:t>
            </w:r>
          </w:p>
        </w:tc>
        <w:tc>
          <w:tcPr>
            <w:tcW w:w="1701"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REVOCA PARCIALMENTE</w:t>
            </w:r>
          </w:p>
        </w:tc>
      </w:tr>
      <w:tr w:rsidR="00A256AB" w:rsidRPr="00A85D78" w:rsidTr="00A256AB">
        <w:trPr>
          <w:jc w:val="center"/>
        </w:trPr>
        <w:tc>
          <w:tcPr>
            <w:tcW w:w="1927" w:type="dxa"/>
            <w:vAlign w:val="center"/>
          </w:tcPr>
          <w:p w:rsidR="00A256AB" w:rsidRPr="00A85D78" w:rsidRDefault="00A256AB" w:rsidP="00A256AB">
            <w:pPr>
              <w:rPr>
                <w:rFonts w:ascii="Arial" w:hAnsi="Arial" w:cs="Arial"/>
                <w:sz w:val="16"/>
                <w:szCs w:val="16"/>
                <w:lang w:val="es-ES_tradnl"/>
              </w:rPr>
            </w:pPr>
            <w:r w:rsidRPr="00A85D78">
              <w:rPr>
                <w:rFonts w:ascii="Arial" w:hAnsi="Arial" w:cs="Arial"/>
                <w:sz w:val="16"/>
                <w:szCs w:val="16"/>
                <w:lang w:val="es-ES_tradnl"/>
              </w:rPr>
              <w:t>PRI</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$670,473.42</w:t>
            </w:r>
          </w:p>
        </w:tc>
        <w:tc>
          <w:tcPr>
            <w:tcW w:w="2249" w:type="dxa"/>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ST-RAP-37/2018</w:t>
            </w:r>
          </w:p>
        </w:tc>
        <w:tc>
          <w:tcPr>
            <w:tcW w:w="1701"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vAlign w:val="center"/>
          </w:tcPr>
          <w:p w:rsidR="00A256AB" w:rsidRPr="00A85D78" w:rsidRDefault="00A256AB" w:rsidP="00A256AB">
            <w:pPr>
              <w:rPr>
                <w:rFonts w:ascii="Arial" w:hAnsi="Arial" w:cs="Arial"/>
                <w:sz w:val="16"/>
                <w:szCs w:val="16"/>
                <w:lang w:val="es-ES_tradnl"/>
              </w:rPr>
            </w:pPr>
            <w:r w:rsidRPr="00A85D78">
              <w:rPr>
                <w:rFonts w:ascii="Arial" w:hAnsi="Arial" w:cs="Arial"/>
                <w:sz w:val="16"/>
                <w:szCs w:val="16"/>
                <w:lang w:val="es-ES_tradnl"/>
              </w:rPr>
              <w:t>PARTIDO ENCUENTRO SOCIAL*</w:t>
            </w:r>
          </w:p>
        </w:tc>
        <w:tc>
          <w:tcPr>
            <w:tcW w:w="1337"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$1,874,466.58</w:t>
            </w:r>
          </w:p>
        </w:tc>
        <w:tc>
          <w:tcPr>
            <w:tcW w:w="2249" w:type="dxa"/>
            <w:vAlign w:val="center"/>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ST-RAP-45/2018</w:t>
            </w:r>
          </w:p>
        </w:tc>
        <w:tc>
          <w:tcPr>
            <w:tcW w:w="1701" w:type="dxa"/>
            <w:vAlign w:val="center"/>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MORENA</w:t>
            </w:r>
          </w:p>
        </w:tc>
        <w:tc>
          <w:tcPr>
            <w:tcW w:w="1337"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$3,796,943.85</w:t>
            </w:r>
          </w:p>
        </w:tc>
        <w:tc>
          <w:tcPr>
            <w:tcW w:w="224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ST-RAP-63/2018</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CONFIRMA</w:t>
            </w:r>
          </w:p>
        </w:tc>
      </w:tr>
      <w:tr w:rsidR="00A256AB" w:rsidRPr="00A85D78" w:rsidTr="00A256AB">
        <w:trPr>
          <w:jc w:val="center"/>
        </w:trPr>
        <w:tc>
          <w:tcPr>
            <w:tcW w:w="1927"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NUAL</w:t>
            </w:r>
          </w:p>
        </w:tc>
        <w:tc>
          <w:tcPr>
            <w:tcW w:w="1337"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$233,007.53</w:t>
            </w:r>
          </w:p>
        </w:tc>
        <w:tc>
          <w:tcPr>
            <w:tcW w:w="224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ST-RAP-64/2018</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DESECHA</w:t>
            </w:r>
          </w:p>
        </w:tc>
      </w:tr>
      <w:tr w:rsidR="00A256AB" w:rsidRPr="00A85D78" w:rsidTr="00A256AB">
        <w:trPr>
          <w:jc w:val="center"/>
        </w:trPr>
        <w:tc>
          <w:tcPr>
            <w:tcW w:w="1927" w:type="dxa"/>
          </w:tcPr>
          <w:p w:rsidR="00A256AB" w:rsidRPr="00A85D78" w:rsidRDefault="00A256AB" w:rsidP="00A256AB">
            <w:pPr>
              <w:jc w:val="both"/>
              <w:rPr>
                <w:rFonts w:ascii="Arial" w:hAnsi="Arial" w:cs="Arial"/>
                <w:sz w:val="16"/>
                <w:szCs w:val="16"/>
                <w:lang w:val="es-ES_tradnl"/>
              </w:rPr>
            </w:pPr>
            <w:r w:rsidRPr="00A85D78">
              <w:rPr>
                <w:rFonts w:ascii="Arial" w:hAnsi="Arial" w:cs="Arial"/>
                <w:sz w:val="16"/>
                <w:szCs w:val="16"/>
                <w:lang w:val="es-ES_tradnl"/>
              </w:rPr>
              <w:t>VÍA RADICAL</w:t>
            </w:r>
          </w:p>
        </w:tc>
        <w:tc>
          <w:tcPr>
            <w:tcW w:w="1337"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CAMPAÑA</w:t>
            </w:r>
          </w:p>
        </w:tc>
        <w:tc>
          <w:tcPr>
            <w:tcW w:w="1640" w:type="dxa"/>
          </w:tcPr>
          <w:p w:rsidR="00A256AB" w:rsidRPr="00A85D78" w:rsidRDefault="00A256AB" w:rsidP="00A256AB">
            <w:pPr>
              <w:jc w:val="right"/>
              <w:rPr>
                <w:rFonts w:ascii="Arial" w:hAnsi="Arial" w:cs="Arial"/>
                <w:sz w:val="16"/>
                <w:szCs w:val="16"/>
                <w:lang w:val="es-ES_tradnl"/>
              </w:rPr>
            </w:pPr>
            <w:r w:rsidRPr="00A85D78">
              <w:rPr>
                <w:rFonts w:ascii="Arial" w:hAnsi="Arial" w:cs="Arial"/>
                <w:sz w:val="16"/>
                <w:szCs w:val="16"/>
                <w:lang w:val="es-ES_tradnl"/>
              </w:rPr>
              <w:t>$3,994,049.53</w:t>
            </w:r>
          </w:p>
        </w:tc>
        <w:tc>
          <w:tcPr>
            <w:tcW w:w="2249" w:type="dxa"/>
          </w:tcPr>
          <w:p w:rsidR="00A256AB" w:rsidRPr="00A85D78" w:rsidRDefault="00A256AB" w:rsidP="00A256AB">
            <w:pPr>
              <w:jc w:val="center"/>
              <w:rPr>
                <w:rFonts w:ascii="Arial" w:hAnsi="Arial" w:cs="Arial"/>
                <w:lang w:val="es-ES_tradnl"/>
              </w:rPr>
            </w:pPr>
            <w:r w:rsidRPr="00A85D78">
              <w:rPr>
                <w:rFonts w:ascii="Arial" w:hAnsi="Arial" w:cs="Arial"/>
                <w:sz w:val="16"/>
                <w:szCs w:val="16"/>
                <w:lang w:val="es-ES_tradnl"/>
              </w:rPr>
              <w:t>ST-RAP-70/2018</w:t>
            </w:r>
          </w:p>
        </w:tc>
        <w:tc>
          <w:tcPr>
            <w:tcW w:w="1701" w:type="dxa"/>
          </w:tcPr>
          <w:p w:rsidR="00A256AB" w:rsidRPr="00A85D78" w:rsidRDefault="00A256AB" w:rsidP="00A256AB">
            <w:pPr>
              <w:jc w:val="center"/>
              <w:rPr>
                <w:rFonts w:ascii="Arial" w:hAnsi="Arial" w:cs="Arial"/>
                <w:sz w:val="16"/>
                <w:szCs w:val="16"/>
                <w:lang w:val="es-ES_tradnl"/>
              </w:rPr>
            </w:pPr>
            <w:r w:rsidRPr="00A85D78">
              <w:rPr>
                <w:rFonts w:ascii="Arial" w:hAnsi="Arial" w:cs="Arial"/>
                <w:sz w:val="16"/>
                <w:szCs w:val="16"/>
                <w:lang w:val="es-ES_tradnl"/>
              </w:rPr>
              <w:t>SE DESECHA</w:t>
            </w:r>
          </w:p>
        </w:tc>
      </w:tr>
    </w:tbl>
    <w:p w:rsidR="00A256AB" w:rsidRPr="00A85D78" w:rsidRDefault="00A256AB" w:rsidP="00A256AB">
      <w:pPr>
        <w:jc w:val="both"/>
        <w:rPr>
          <w:rFonts w:ascii="Arial" w:hAnsi="Arial" w:cs="Arial"/>
          <w:sz w:val="24"/>
          <w:szCs w:val="24"/>
        </w:rPr>
      </w:pPr>
      <w:r w:rsidRPr="00A85D78">
        <w:rPr>
          <w:rFonts w:ascii="Arial" w:hAnsi="Arial" w:cs="Arial"/>
          <w:sz w:val="16"/>
          <w:szCs w:val="16"/>
        </w:rPr>
        <w:t>Fuente: elaboración propia con base en los Recursos de Apelación citados, obtenidos en el buscador de sentencias de la página del Tribunal Electoral del Poder Judicial de la Federación. Recuperado de https://www.te.gob.mx/buscador/</w:t>
      </w:r>
    </w:p>
    <w:p w:rsidR="00544588" w:rsidRDefault="00544588"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r w:rsidRPr="00A85D78">
        <w:rPr>
          <w:rFonts w:ascii="Arial" w:hAnsi="Arial" w:cs="Arial"/>
          <w:sz w:val="24"/>
          <w:szCs w:val="24"/>
        </w:rPr>
        <w:t>Durante el proceso electoral 2018, se presentaron un total de 8 recursos de apelación, de los cuales solamente uno, revoc</w:t>
      </w:r>
      <w:r w:rsidR="00753D86">
        <w:rPr>
          <w:rFonts w:ascii="Arial" w:hAnsi="Arial" w:cs="Arial"/>
          <w:sz w:val="24"/>
          <w:szCs w:val="24"/>
        </w:rPr>
        <w:t>ó</w:t>
      </w:r>
      <w:r w:rsidRPr="00A85D78">
        <w:rPr>
          <w:rFonts w:ascii="Arial" w:hAnsi="Arial" w:cs="Arial"/>
          <w:sz w:val="24"/>
          <w:szCs w:val="24"/>
        </w:rPr>
        <w:t xml:space="preserve"> de forma parcial la sanción impuesta por el Consejo General del INE al partido Vía Radical por concepto de precampaña.</w:t>
      </w:r>
    </w:p>
    <w:p w:rsidR="00A256AB" w:rsidRPr="00A85D78" w:rsidRDefault="00A256AB" w:rsidP="00A256AB">
      <w:pPr>
        <w:jc w:val="both"/>
        <w:rPr>
          <w:rFonts w:ascii="Arial" w:hAnsi="Arial" w:cs="Arial"/>
          <w:sz w:val="24"/>
          <w:szCs w:val="24"/>
        </w:rPr>
      </w:pPr>
      <w:r w:rsidRPr="00A85D78">
        <w:rPr>
          <w:rFonts w:ascii="Arial" w:hAnsi="Arial" w:cs="Arial"/>
          <w:sz w:val="24"/>
          <w:szCs w:val="24"/>
        </w:rPr>
        <w:t>Por lo que respecta a las impugnaciones de campaña, destaca la impugnación del Partido Encuentro Social, que únicamente buscaba un ajuste a los porcentajes</w:t>
      </w:r>
      <w:r w:rsidRPr="00A85D78">
        <w:rPr>
          <w:rStyle w:val="Refdenotaalpie"/>
          <w:rFonts w:ascii="Arial" w:hAnsi="Arial" w:cs="Arial"/>
          <w:sz w:val="24"/>
          <w:szCs w:val="24"/>
        </w:rPr>
        <w:footnoteReference w:id="28"/>
      </w:r>
      <w:r w:rsidRPr="00A85D78">
        <w:rPr>
          <w:rFonts w:ascii="Arial" w:hAnsi="Arial" w:cs="Arial"/>
          <w:sz w:val="24"/>
          <w:szCs w:val="24"/>
        </w:rPr>
        <w:t xml:space="preserve"> de las multas derivadas de la Coalición “Juntos Haremos Historia” de la cual fue participe junto con MORENA y el Partido del Trabajo, sin </w:t>
      </w:r>
      <w:proofErr w:type="gramStart"/>
      <w:r w:rsidRPr="00A85D78">
        <w:rPr>
          <w:rFonts w:ascii="Arial" w:hAnsi="Arial" w:cs="Arial"/>
          <w:sz w:val="24"/>
          <w:szCs w:val="24"/>
        </w:rPr>
        <w:t>embargo</w:t>
      </w:r>
      <w:proofErr w:type="gramEnd"/>
      <w:r w:rsidRPr="00A85D78">
        <w:rPr>
          <w:rFonts w:ascii="Arial" w:hAnsi="Arial" w:cs="Arial"/>
          <w:sz w:val="24"/>
          <w:szCs w:val="24"/>
        </w:rPr>
        <w:t xml:space="preserve"> el ajuste fue negado por el TEPJF.</w:t>
      </w:r>
    </w:p>
    <w:p w:rsidR="00A256AB" w:rsidRPr="00A85D78" w:rsidRDefault="00A256AB" w:rsidP="00A256AB">
      <w:pPr>
        <w:jc w:val="both"/>
        <w:rPr>
          <w:rFonts w:ascii="Arial" w:hAnsi="Arial" w:cs="Arial"/>
          <w:sz w:val="24"/>
          <w:szCs w:val="24"/>
        </w:rPr>
      </w:pPr>
      <w:r w:rsidRPr="00A85D78">
        <w:rPr>
          <w:rFonts w:ascii="Arial" w:hAnsi="Arial" w:cs="Arial"/>
          <w:sz w:val="24"/>
          <w:szCs w:val="24"/>
        </w:rPr>
        <w:t xml:space="preserve">El saldo final de las impugnaciones presentadas durante el periodo de fiscalización a cargo del INE; es de 41 recursos de apelación presentados por concepto de multas impuestas por el Consejo General del </w:t>
      </w:r>
      <w:r w:rsidR="00600C69" w:rsidRPr="00A85D78">
        <w:rPr>
          <w:rFonts w:ascii="Arial" w:hAnsi="Arial" w:cs="Arial"/>
          <w:sz w:val="24"/>
          <w:szCs w:val="24"/>
        </w:rPr>
        <w:t>INE; de</w:t>
      </w:r>
      <w:r w:rsidRPr="00A85D78">
        <w:rPr>
          <w:rFonts w:ascii="Arial" w:hAnsi="Arial" w:cs="Arial"/>
          <w:sz w:val="24"/>
          <w:szCs w:val="24"/>
        </w:rPr>
        <w:t xml:space="preserve"> las cuales 19 se resolvieron en favor de los partidos quejosos mediante revocaciones parciales, mientras que 17 impugnaciones confirmaron las medidas de apremio determinadas con antelación y 5 recursos fueron desechados por el Tribunal Electoral del Poder Judicial de la Federación.</w:t>
      </w:r>
    </w:p>
    <w:p w:rsidR="00A256AB" w:rsidRPr="00A85D78" w:rsidRDefault="00A256AB" w:rsidP="00A256AB">
      <w:pPr>
        <w:jc w:val="both"/>
        <w:rPr>
          <w:rFonts w:ascii="Arial" w:hAnsi="Arial" w:cs="Arial"/>
          <w:sz w:val="24"/>
          <w:szCs w:val="24"/>
        </w:rPr>
      </w:pPr>
      <w:r w:rsidRPr="00A85D78">
        <w:rPr>
          <w:rFonts w:ascii="Arial" w:hAnsi="Arial" w:cs="Arial"/>
          <w:sz w:val="24"/>
          <w:szCs w:val="24"/>
        </w:rPr>
        <w:t xml:space="preserve">Durante el periodo en el que la fiscalización estuvo a cargo del IEEM (2009- 2012) únicamente se presentaron 13 impugnaciones, por lo que la cifra se incrementó en un 315.38%, en la era de fiscalización a cargo del INE (2015-2018). </w:t>
      </w: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A256AB" w:rsidRPr="00A85D78" w:rsidRDefault="00A256AB" w:rsidP="00A256AB">
      <w:pPr>
        <w:jc w:val="both"/>
        <w:rPr>
          <w:rFonts w:ascii="Arial" w:hAnsi="Arial" w:cs="Arial"/>
          <w:sz w:val="24"/>
          <w:szCs w:val="24"/>
        </w:rPr>
      </w:pPr>
    </w:p>
    <w:p w:rsidR="00E5019C" w:rsidRDefault="00E5019C">
      <w:pPr>
        <w:rPr>
          <w:rFonts w:ascii="Arial" w:hAnsi="Arial" w:cs="Arial"/>
          <w:b/>
          <w:sz w:val="24"/>
          <w:szCs w:val="24"/>
        </w:rPr>
      </w:pPr>
      <w:r>
        <w:rPr>
          <w:rFonts w:ascii="Arial" w:hAnsi="Arial" w:cs="Arial"/>
          <w:b/>
          <w:sz w:val="24"/>
          <w:szCs w:val="24"/>
        </w:rPr>
        <w:br w:type="page"/>
      </w:r>
    </w:p>
    <w:p w:rsidR="00A256AB" w:rsidRDefault="00A256AB" w:rsidP="00A256AB">
      <w:pPr>
        <w:jc w:val="center"/>
        <w:rPr>
          <w:rFonts w:ascii="Arial" w:hAnsi="Arial" w:cs="Arial"/>
          <w:b/>
          <w:sz w:val="24"/>
          <w:szCs w:val="24"/>
        </w:rPr>
      </w:pPr>
      <w:r w:rsidRPr="00A85D78">
        <w:rPr>
          <w:rFonts w:ascii="Arial" w:hAnsi="Arial" w:cs="Arial"/>
          <w:b/>
          <w:sz w:val="24"/>
          <w:szCs w:val="24"/>
        </w:rPr>
        <w:lastRenderedPageBreak/>
        <w:t>BIBLIOGRAFIA</w:t>
      </w:r>
    </w:p>
    <w:p w:rsidR="00E5019C" w:rsidRPr="00E5019C" w:rsidRDefault="00E5019C" w:rsidP="00E5019C">
      <w:pPr>
        <w:contextualSpacing/>
        <w:jc w:val="center"/>
        <w:rPr>
          <w:rFonts w:ascii="Arial" w:hAnsi="Arial" w:cs="Arial"/>
          <w:b/>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(2009). Acuerdo N° CG/151/2009. “Dictamen que presenta el Órgano Técnico de Fiscalización al Consejo General del Instituto Electoral del Estado de México, relativo a los resultados de la revisión precautoria sobre el cumplimiento a los topes de gastos de campaña, ordenada en el Acuerdo CG/111/2009 de dieciséis de junio de dos mil nueve”. Disponible en http://www.ieem.org.mx/consejo_general/cg/2009/a151_09.html.</w:t>
      </w:r>
    </w:p>
    <w:p w:rsidR="00A256AB" w:rsidRPr="00E5019C" w:rsidRDefault="00A256AB" w:rsidP="00E5019C">
      <w:pPr>
        <w:pStyle w:val="Prrafodelista"/>
        <w:jc w:val="both"/>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(2010). ACUERDO N°. IEEM/CG/18/2010. “Relativo al Dictamen sobre el origen, monto, aplicación y destino del financiamiento público y privado, que los partidos políticos, coaliciones parciales, candidaturas comunes y candidatos, ejercieron durante el proceso electoral de diputados y ayuntamientos, dos mil nueve”. Disponible en: http://www.ieem.org.mx/consejo_general/cg/2010/a018_10.pdf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(2011). ACUERDO N°. IEEM/CG/50/2011. “Relativo al Dictamen consolidado que emite el Órgano Técnico de Fiscalización al Consejo General del Instituto Electoral del Estado de México, sobre el origen, monto, aplicación y destino del financiamiento público y privado, que los partidos políticos ejercieron durante los procesos internos de selección de candidatos a Gobernador 2011</w:t>
      </w:r>
      <w:r w:rsidR="000C05DC" w:rsidRPr="00E5019C">
        <w:rPr>
          <w:rFonts w:ascii="Arial" w:hAnsi="Arial" w:cs="Arial"/>
          <w:sz w:val="20"/>
          <w:szCs w:val="20"/>
        </w:rPr>
        <w:t>”. Disponible</w:t>
      </w:r>
      <w:r w:rsidRPr="00E5019C">
        <w:rPr>
          <w:rFonts w:ascii="Arial" w:hAnsi="Arial" w:cs="Arial"/>
          <w:sz w:val="20"/>
          <w:szCs w:val="20"/>
        </w:rPr>
        <w:t xml:space="preserve"> en: http://www.ieem.org.mx/consejo_general/cg/2011/a_050_11.pdf.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(2012). ACUERDO N°. IEEM/CG/90/2012. “Relativo al Dictamen Consolidado que emite el Órgano Técnico de Fiscalización al Consejo General del Instituto Electoral del Estado de México, sobre el origen, monto, volumen, aplicación y destino del financiamiento público y privado, que se ejerció en la campaña del Proceso Electoral de Gobernador 2011”. Disponible en: http://www.ieem.org.mx/consejo_general/cg/2012/a090_12.pdf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(2012). ACUERDO N°. IEEM/CG/91/2012. “Relativo al dictamen por medio del cual se determinan e individualizan las sanciones que el Consejo General del Instituto Electoral del Estado de México impone a la coalición “Unidos Podemos Más” y a los partidos políticos del Trabajo y Convergencia (ahora Movimiento Ciudadano), con motivo de las irregularidades detectadas por el Órgano Técnico de Fiscalización del Instituto Electoral del Estado de México, contenidas en los informes correspondientes al resultado de la revisión y en el dictamen consolidado sobre el origen, monto, volumen, aplicación y destino del financiamiento público y privado, que los partidos políticos ejercieron en la campaña del proceso electoral de gobernador 2011, aprobados mediante el acuerdo IEEM/CG/90/2012”. Disponible en: http://www.ieem.org.mx/consejo_general/cg/2012/a091_12.pdf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(2011). ACUERDO N°. IEEM/CG/63/2011. “Relativo al dictamen por medio del cual se determinan e individualizan las sanciones que el Consejo General del Instituto Electoral del Estado de México impone a los partidos políticos Acción Nacional, Convergencia y Nueva Alianza, con motivo de las irregularidades detectadas por el Órgano Técnico de Fiscalización del Instituto Electoral del Estado de México, contenidas en los informes correspondientes al resultado de la revisión y en el dictamen consolidado sobre el origen, monto, aplicación y destino del financiamiento público y privado, que los partidos políticos ejercieron durante los procesos internos de selección de candidatos a gobernador 2011, aprobados mediante el acuerdo IEEM/CG/50/2011”.Disponible en: http://www.ieem.org.mx/consejo_general/cg/2011/a_063_11.pdf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 xml:space="preserve">Consejo General del Instituto Electoral del Estado de México. (2012). ACUERDO N°. IEEM/CG/146/2012. “Relativo al Dictamen consolidado que emite el Órgano Técnico de </w:t>
      </w:r>
      <w:r w:rsidRPr="00E5019C">
        <w:rPr>
          <w:rFonts w:ascii="Arial" w:hAnsi="Arial" w:cs="Arial"/>
          <w:sz w:val="20"/>
          <w:szCs w:val="20"/>
        </w:rPr>
        <w:lastRenderedPageBreak/>
        <w:t>Fiscalización al Consejo General del Instituto Electoral del Estado de México, sobre el origen, monto, volumen, aplicación y destino del financiamiento público y privado, que ejercieron los Partidos Políticos en las precampañas de los procesos internos de selección de candidatos a miembros de los Ayuntamientos en el Proceso Electoral 2012”. Disponible en: http://www.ieem.org.mx/consejo_general/cg/2012/a146_12.pdf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 xml:space="preserve">Consejo General del Instituto Electoral del Estado de México. (2012). ACUERDO N°. IEEM/CG/199/2012. “RELATIVO AL DICTAMEN POR MEDIO DEL CUAL SE DETERMINAN E INDIVIDUALIZAN LAS SANCIONES QUE EL CONSEJO GENERAL DEL INSTITUTO ELECTORAL DEL ESTADO DE MÉXICO IMPONE A LOS PARTIDOS ACCIÓN NACIONAL Y MOVIMIENTO CIUDADANO, CON MOTIVO DE LAS IRREGULARIDADES DETECTADAS POR EL ÓRGANO TÉCNICO DE FISCALIZACIÓN DEL INSTITUTO ELECTORAL DEL ESTADO DE MÉXICO, CONTENIDAS EN LOS INFORMES CORRESPONDIENTES AL RESULTADO DE LA REVISIÓN Y EN EL DICTAMEN CONSOLIDADO SOBRE EL ORIGEN, MONTO, VOLUMEN, APLICACIÓN Y DESTINO DEL FINANCIAMIENTO PÚBLICO Y PRIVADO, QUE LOS PARTIDOS POLÍTICOS EJERCIERON EN LAS PRECAMPAÑAS DE LOS PROCESOS INTERNOS DE SELECCIÓN DE CANDIDATOS A DIPUTADOS EN EL PROCESO ELECTORAL 2012, APROBADOS MEDIANTE EL ACUERDO IEEM/CG/198/2012. Disponible </w:t>
      </w:r>
      <w:r w:rsidR="000C05DC" w:rsidRPr="00E5019C">
        <w:rPr>
          <w:rFonts w:ascii="Arial" w:hAnsi="Arial" w:cs="Arial"/>
          <w:sz w:val="20"/>
          <w:szCs w:val="20"/>
        </w:rPr>
        <w:t>en:</w:t>
      </w:r>
      <w:r w:rsidRPr="00E5019C">
        <w:rPr>
          <w:rFonts w:ascii="Arial" w:hAnsi="Arial" w:cs="Arial"/>
          <w:sz w:val="20"/>
          <w:szCs w:val="20"/>
        </w:rPr>
        <w:t xml:space="preserve"> http://www.ieem.org.mx/consejo_general/cg/2012/a199_12.pdf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Unidad Técnica de Fiscalización del IEEM. (2010). “Impugnaciones” Disponible en: http://www.ieem.org.mx/OTF/pdf_s/nomatividad/impugnaciones.pdf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Electoral del Estado de México. (2016). ACUERDO N°. IEEM/CG/12/2016 “Por el que se determina el Financiamiento Público de los Partidos Políticos y Candidatos Independientes para la obtención del voto, en la Elección Extraordinaria del Ayuntamiento de Chiautla, Estado de México, para el periodo Constitucional 2016-2018”. Disponible en http://www.ieem.org.mx/consejo_general/cg/2016/a012_16.pdf.</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Nacional Electoral (2015). ACUERDO/INE/CG786/2015. “DICTAMEN CONSOLIDADO DEL CONSEJO GENERAL DEL INSTITUTO NACIONAL ELECTORAL RESPECTO DE LA REVISION DE LOS INFORMES DE CAMPAÑA DE LOS INGRESOS Y EGRESOS DE LOS CANDIDATOS A LOS CARGOS DE DIPUTADOS LOCALES Y AYUNTAMIENTOS, CORRESPONDIENTE AL PROCESO ELECTORAL LOCAL ORDINARIO 2014-2015 EN EL ESTADO DE MEXICO”. https://repositoriodocumental.ine.mx/xmlui/handle/123456789/81260</w:t>
      </w:r>
    </w:p>
    <w:p w:rsidR="00A256AB" w:rsidRPr="00E5019C" w:rsidRDefault="00A256AB" w:rsidP="00E5019C">
      <w:pPr>
        <w:pStyle w:val="Prrafodelista"/>
        <w:jc w:val="both"/>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Nacional Electoral (2015). ACUERDO/INE/CG787/2015. “RESOLUCIÓN DEL CONSEJO GENERAL DEL INSTITUTO NACIONAL ELECTORAL RESPECTO DE LAS IRREGULARIDADES ENCONTRADAS EN EL DICTAMEN CONSOLIDADO DE LA REVISIÓN DE LOS INFORMES DE CAMPAÑA DE LOS INGRESOS Y EGRESOS DE LOS CANDIDATOS A LOS CARGOS DE DIPUTADOS LOCALES Y AYUNTAMIENTOS, CORRESPONDIENTE AL PROCESO ELECTORAL LOCAL ORDINARIO 2014-2015 EN EL ESTADO DE MÉXICO”. https://www.ipomex.org.mx/recursos/ipo/files_ipo/2015/26/4/ea8a1c01c7df3665b12d004d4eee8b5a.pdf</w:t>
      </w:r>
    </w:p>
    <w:p w:rsidR="00A256AB" w:rsidRPr="00E5019C" w:rsidRDefault="00A256AB" w:rsidP="00E5019C">
      <w:pPr>
        <w:pStyle w:val="Default"/>
        <w:contextualSpacing/>
        <w:rPr>
          <w:sz w:val="20"/>
          <w:szCs w:val="20"/>
          <w:lang w:val="es-ES_tradnl"/>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Nacional Electoral (2016). ACUERDO/INE/CG235/2016. “RESOLUCIÓN DEL CONSEJO GENERAL DEL INSTITUTO NACIONAL ELECTORAL RESPECTO DE LAS IRREGULARIDADES ENCONTRADAS EN EL DICTAMEN CONSOLIDADO DE LA REVISIÓN DE LOS INFORMES DE PRECAMPAÑA DE LOS INGRESOS Y GASTOS AL CARGO DE AYUNTAMIENTO DEL PROCESO ELECTORAL LOCAL EXTRAORDINARIO 2016 DEL MUNICIPIO DE CHIAUTLA, ESTADO DE MÉXICO”. Disponible en: https://morena.si/wp-content/uploads/2017/10/INE_CG235_2016.pdf</w:t>
      </w:r>
    </w:p>
    <w:p w:rsidR="00A256AB" w:rsidRPr="00E5019C" w:rsidRDefault="00A256AB" w:rsidP="001436DF">
      <w:pPr>
        <w:pStyle w:val="Default"/>
        <w:numPr>
          <w:ilvl w:val="0"/>
          <w:numId w:val="19"/>
        </w:numPr>
        <w:contextualSpacing/>
        <w:jc w:val="both"/>
        <w:rPr>
          <w:sz w:val="20"/>
          <w:szCs w:val="20"/>
          <w:lang w:val="es-ES_tradnl"/>
        </w:rPr>
      </w:pPr>
      <w:r w:rsidRPr="00E5019C">
        <w:rPr>
          <w:sz w:val="20"/>
          <w:szCs w:val="20"/>
          <w:lang w:val="es-ES_tradnl"/>
        </w:rPr>
        <w:lastRenderedPageBreak/>
        <w:t>Consejo General del Instituto Nacional Electoral (2016). ACUERDOINE/CG234/2016. “DICTAMEN CONSOLIDADO QUE PRESENTA LA COMISIÓN DE FISCALIZACIÓN AL CONSEJO GENERAL DEL INSTITUTO NACIONAL ELECTORAL RESPECTO DE LA REVISIÓN DE LOS INFORMES DE PRECAMPAÑA DE LOS INGRESOS Y GASTOS AL CARGO DE AYUNTAMIENTO DEL PROCESO ELECTORAL LOCAL EXTRAORDINARIO 2016, DEL MUNICIPIO DE CHIAUTLA, ESTADO DE MÉXICO”. Disponible en: https://portalanterior.ine.mx/archivos3/portal/historico/recursos/IFE-v2/DS/DS-CG/DS-SesionesCG/CG-resoluciones/2016/04_Abril/CGex201604-17/CGex201604-17_dp_1.pdf</w:t>
      </w:r>
    </w:p>
    <w:p w:rsidR="00A256AB" w:rsidRPr="00E5019C" w:rsidRDefault="00A256AB" w:rsidP="00E5019C">
      <w:pPr>
        <w:pStyle w:val="Default"/>
        <w:contextualSpacing/>
        <w:rPr>
          <w:sz w:val="20"/>
          <w:szCs w:val="20"/>
          <w:lang w:val="es-ES_tradnl"/>
        </w:rPr>
      </w:pPr>
    </w:p>
    <w:p w:rsidR="00A256AB" w:rsidRPr="00E5019C" w:rsidRDefault="00A256AB" w:rsidP="001436DF">
      <w:pPr>
        <w:pStyle w:val="Default"/>
        <w:numPr>
          <w:ilvl w:val="0"/>
          <w:numId w:val="19"/>
        </w:numPr>
        <w:contextualSpacing/>
        <w:jc w:val="both"/>
        <w:rPr>
          <w:sz w:val="20"/>
          <w:szCs w:val="20"/>
          <w:lang w:val="es-ES_tradnl"/>
        </w:rPr>
      </w:pPr>
      <w:r w:rsidRPr="00E5019C">
        <w:rPr>
          <w:sz w:val="20"/>
          <w:szCs w:val="20"/>
          <w:lang w:val="es-ES_tradnl"/>
        </w:rPr>
        <w:t>Consejo General del Instituto Nacional Electoral (2016). ACUERDO INE/CG250/2016. “DICTAMEN CONSOLIDADO QUE PRESENTA LA COMISIÓN DE FISCALIZACIÓN AL CONSEJO GENERAL DEL INSTITUTO NACIONAL ELECTORAL RESPECTO DE LA REVISIÓN DE LOS INFORMES DE CAMPAÑA DE LOS INGRESOS Y GASTOS AL CARGO DE AYUNTAMIENTO DEL PROCESO ELECTORAL LOCAL EXTRAORDINARIO 2016, DEL MUNICIPIO DE CHIAUTLA, ESTADO DE MÉXICO”. Disponible en: https://portalanterior.ine.mx/archivos3/portal/historico/recursos/IFE-v2/DS/DS-CG/DS-SesionesCG/CG-resoluciones/2016/04_Abril/CGex201604-20_01/CG1ex201604-20_dp_3.pdf</w:t>
      </w:r>
    </w:p>
    <w:p w:rsidR="00A256AB" w:rsidRPr="00E5019C" w:rsidRDefault="00A256AB" w:rsidP="00E5019C">
      <w:pPr>
        <w:pStyle w:val="Default"/>
        <w:contextualSpacing/>
        <w:rPr>
          <w:sz w:val="20"/>
          <w:szCs w:val="20"/>
          <w:lang w:val="es-ES_tradnl"/>
        </w:rPr>
      </w:pPr>
    </w:p>
    <w:p w:rsidR="00A256AB" w:rsidRPr="00E5019C" w:rsidRDefault="00A256AB" w:rsidP="001436DF">
      <w:pPr>
        <w:pStyle w:val="Default"/>
        <w:numPr>
          <w:ilvl w:val="0"/>
          <w:numId w:val="19"/>
        </w:numPr>
        <w:contextualSpacing/>
        <w:jc w:val="both"/>
        <w:rPr>
          <w:sz w:val="20"/>
          <w:szCs w:val="20"/>
          <w:lang w:val="es-ES_tradnl"/>
        </w:rPr>
      </w:pPr>
      <w:r w:rsidRPr="00E5019C">
        <w:rPr>
          <w:sz w:val="20"/>
          <w:szCs w:val="20"/>
          <w:lang w:val="es-ES_tradnl"/>
        </w:rPr>
        <w:t xml:space="preserve">Consejo General del Instituto Nacional Electoral (2016). ACUERDO INE/CG251/2016. “RESOLUCIÓN DEL CONSEJO GENERAL DEL INSTITUTO NACIONAL ELECTORAL RESPECTO DE LAS IRREGULARIDADES ENCONTRADAS EN EL DICTAMEN CONSOLIDADO DE LA REVISIÓN DE LOS INFORMES DE CAMPAÑA DE LOS INGRESOS Y GASTOS AL CARGO DE AYUNTAMIENTO DEL PROCESO ELECTORAL LOCAL EXTRAORDINARIO 2016, DEL MUNICIPIO DE CHIAUTLA, ESTADO DE MÉXICO.” Disponible en </w:t>
      </w:r>
      <w:hyperlink r:id="rId20" w:history="1">
        <w:r w:rsidRPr="00E5019C">
          <w:rPr>
            <w:sz w:val="20"/>
            <w:szCs w:val="20"/>
            <w:lang w:val="es-ES_tradnl"/>
          </w:rPr>
          <w:t>https://portalanterior.ine.mx/archivos3/portal/historico/recursos/IFE-v2/DS/DS-CG/DS-SesionesCG/CG-resoluciones/2016/04_Abril/CGex201604-20_01/CG1ex201604-20_rp_3.pdf</w:t>
        </w:r>
      </w:hyperlink>
    </w:p>
    <w:p w:rsidR="00A256AB" w:rsidRPr="00E5019C" w:rsidRDefault="00A256AB" w:rsidP="00E5019C">
      <w:pPr>
        <w:pStyle w:val="Default"/>
        <w:contextualSpacing/>
        <w:jc w:val="both"/>
        <w:rPr>
          <w:sz w:val="20"/>
          <w:szCs w:val="20"/>
          <w:lang w:val="es-ES_tradnl"/>
        </w:rPr>
      </w:pPr>
    </w:p>
    <w:p w:rsidR="00A256AB" w:rsidRPr="00E5019C" w:rsidRDefault="00A256AB" w:rsidP="001436DF">
      <w:pPr>
        <w:pStyle w:val="Default"/>
        <w:numPr>
          <w:ilvl w:val="0"/>
          <w:numId w:val="19"/>
        </w:numPr>
        <w:contextualSpacing/>
        <w:jc w:val="both"/>
        <w:rPr>
          <w:sz w:val="20"/>
          <w:szCs w:val="20"/>
          <w:lang w:val="es-ES_tradnl"/>
        </w:rPr>
      </w:pPr>
      <w:r w:rsidRPr="00E5019C">
        <w:rPr>
          <w:sz w:val="20"/>
          <w:szCs w:val="20"/>
          <w:lang w:val="es-ES_tradnl"/>
        </w:rPr>
        <w:t>Consejo General del Instituto Nacional Electoral (2017). ACUERDO INE/CG129/2017 RESOLUCIÓN DEL CONSEJO GENERAL DEL INSTITUTO NACIONAL ELECTORAL RESPECTO DE LAS IRREGULARIDADES ENCONTRADAS EN EL DICTAMEN CONSOLIDADO DE LA REVISIÓN DE LOS INFORMES DE PRECAMPAÑA DE LOS INGRESOS Y GASTOS AL CARGO DE GOBERNADOR, CORRESPONDIENTE AL PROCESO ELECTORAL LOCAL ORDINARIO 2016-2017, EN EL ESTADO DE MÉXICO”. Disponible en: https://portalanterior.ine.mx/archivos2/portal/historico/contenido/recursos/IFE-v2/DS/DS-CG/DS-SesionesCG/CG-resoluciones/2017/04_Abril/CGex201704-26/CGex201704-26-rp-3-2.pdf</w:t>
      </w:r>
    </w:p>
    <w:p w:rsidR="00A256AB" w:rsidRPr="00E5019C" w:rsidRDefault="00A256AB" w:rsidP="00E5019C">
      <w:pPr>
        <w:pStyle w:val="Default"/>
        <w:contextualSpacing/>
        <w:jc w:val="both"/>
        <w:rPr>
          <w:sz w:val="20"/>
          <w:szCs w:val="20"/>
          <w:lang w:val="es-ES_tradnl"/>
        </w:rPr>
      </w:pPr>
    </w:p>
    <w:p w:rsidR="00A256AB" w:rsidRPr="00E5019C" w:rsidRDefault="00A256AB" w:rsidP="001436DF">
      <w:pPr>
        <w:pStyle w:val="Default"/>
        <w:numPr>
          <w:ilvl w:val="0"/>
          <w:numId w:val="19"/>
        </w:numPr>
        <w:contextualSpacing/>
        <w:jc w:val="both"/>
        <w:rPr>
          <w:sz w:val="20"/>
          <w:szCs w:val="20"/>
          <w:lang w:val="es-ES_tradnl"/>
        </w:rPr>
      </w:pPr>
      <w:r w:rsidRPr="00E5019C">
        <w:rPr>
          <w:sz w:val="20"/>
          <w:szCs w:val="20"/>
          <w:lang w:val="es-ES_tradnl"/>
        </w:rPr>
        <w:t>Consejo General del Instituto Nacional Electoral (2017). ACUERDO INE/CG128/2017. “DICTAMEN CONSOLIDADO QUE PRESENTA LA COMISIÓN DE FISCALIZACIÓN AL CONSEJO GENERAL DEL INSTITUTO NACIONAL ELECTORAL RESPECTO DE LA REVISIÓN DE LOS INFORMES DE PRECAMPAÑA DE LOS INGRESOS Y GASTOS AL CARGO DE GOBERNADOR, CORRESPONDIENTE AL PROCESO ELECTORAL LOCAL ORDINARIO 2016-2017, EN EL ESTADO DE MÉXICO”. Disponible en: https://repositoriodocumental.ine.mx/xmlui/bitstream/handle/123456789/92346/CGex201704-26-dp-3-2.pdf</w:t>
      </w:r>
    </w:p>
    <w:p w:rsidR="00A256AB" w:rsidRPr="00E5019C" w:rsidRDefault="00A256AB" w:rsidP="00E5019C">
      <w:pPr>
        <w:pStyle w:val="Default"/>
        <w:contextualSpacing/>
        <w:jc w:val="both"/>
        <w:rPr>
          <w:sz w:val="20"/>
          <w:szCs w:val="20"/>
          <w:lang w:val="es-ES_tradnl"/>
        </w:rPr>
      </w:pPr>
    </w:p>
    <w:p w:rsidR="00A256AB" w:rsidRPr="00E5019C" w:rsidRDefault="00A256AB" w:rsidP="001436DF">
      <w:pPr>
        <w:pStyle w:val="Prrafodelista"/>
        <w:numPr>
          <w:ilvl w:val="0"/>
          <w:numId w:val="19"/>
        </w:numPr>
        <w:jc w:val="both"/>
        <w:rPr>
          <w:rStyle w:val="Hipervnculo"/>
          <w:rFonts w:ascii="Arial" w:hAnsi="Arial" w:cs="Arial"/>
          <w:sz w:val="20"/>
          <w:szCs w:val="20"/>
        </w:rPr>
      </w:pPr>
      <w:r w:rsidRPr="00E5019C">
        <w:rPr>
          <w:rFonts w:ascii="Arial" w:hAnsi="Arial" w:cs="Arial"/>
          <w:sz w:val="20"/>
          <w:szCs w:val="20"/>
        </w:rPr>
        <w:t xml:space="preserve">Consejo General del Instituto Nacional Electoral (2017). ACUERDO INE/CG310/2017 “DICTAMEN CONSOLIDADO QUE PRESENTA LA COMISIÓN DE FISCALIZACIÓN AL CONSEJO GENERAL DEL INSTITUTO NACIONAL ELECTORAL RESPECTO DE LA REVISIÓN DE LOS INFORMES DE CAMPAÑA DE LOS INGRESOS Y GASTOS DE LOS CANDIDATOS AL CARGO DE GOBERNADOR, CORRESPONDIENTE AL PROCESO ELECTORAL LOCAL ORDINARIO 2016-2017, EN EL ESTADO DE MÉXICO”. Disponible </w:t>
      </w:r>
      <w:r w:rsidR="000C05DC" w:rsidRPr="00E5019C">
        <w:rPr>
          <w:rFonts w:ascii="Arial" w:hAnsi="Arial" w:cs="Arial"/>
          <w:sz w:val="20"/>
          <w:szCs w:val="20"/>
        </w:rPr>
        <w:t xml:space="preserve">en </w:t>
      </w:r>
      <w:r w:rsidR="000C05DC" w:rsidRPr="00E5019C">
        <w:rPr>
          <w:rFonts w:ascii="Arial" w:hAnsi="Arial" w:cs="Arial"/>
          <w:sz w:val="20"/>
          <w:szCs w:val="20"/>
        </w:rPr>
        <w:lastRenderedPageBreak/>
        <w:t>https://repositoriodocumental.ine.mx/xmlui/bitstream/handle/123456789/93459/CGex201707-14-dp-8.pdf?sequence=1&amp;isAllowed=y</w:t>
      </w:r>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Nacional Electoral (2017). ACUERDO INE/CG311/2017 “RESOLUCIÓN DEL CONSEJO GENERAL DEL INSTITUTO NACIONAL ELECTORAL RESPECTO DE LAS IRREGULARIDADES ENCONTRADAS EN EL DICTAMEN CONSOLIDADO DE LA REVISIÓN DE LOS INFORMES DE CAMPAÑA DE LOS INGRESOS Y GASTOS DE LOS CANDIDATOS AL CARGO DE GOBERNADOR, CORRESPONDIENTE AL PROCESO ELECTORAL LOCAL ORDINARIO 2016-2017, EN EL ESTADO DE MÉXICO”. Disponible en https://repositoriodocumental.ine.mx/xmlui/bitstream/handle/123456789/93451/CGex201707-14-rp-8.pdf?sequence=6&amp;isAllowed=y</w:t>
      </w:r>
    </w:p>
    <w:p w:rsidR="00A256AB" w:rsidRPr="00E5019C" w:rsidRDefault="00A256AB" w:rsidP="00E5019C">
      <w:pPr>
        <w:autoSpaceDE w:val="0"/>
        <w:autoSpaceDN w:val="0"/>
        <w:adjustRightInd w:val="0"/>
        <w:contextualSpacing/>
        <w:rPr>
          <w:rFonts w:ascii="Arial" w:hAnsi="Arial" w:cs="Arial"/>
          <w:color w:val="000000"/>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sz w:val="20"/>
          <w:szCs w:val="20"/>
        </w:rPr>
      </w:pPr>
      <w:r w:rsidRPr="00E5019C">
        <w:rPr>
          <w:rFonts w:ascii="Arial" w:hAnsi="Arial" w:cs="Arial"/>
          <w:sz w:val="20"/>
          <w:szCs w:val="20"/>
        </w:rPr>
        <w:t>Consejo General del Instituto Nacional Electoral (2017). ACUERDO</w:t>
      </w:r>
      <w:r w:rsidRPr="00E5019C">
        <w:rPr>
          <w:rFonts w:ascii="Arial" w:hAnsi="Arial" w:cs="Arial"/>
          <w:color w:val="000000"/>
          <w:sz w:val="20"/>
          <w:szCs w:val="20"/>
        </w:rPr>
        <w:t xml:space="preserve"> </w:t>
      </w:r>
      <w:r w:rsidRPr="00E5019C">
        <w:rPr>
          <w:rFonts w:ascii="Arial" w:hAnsi="Arial" w:cs="Arial"/>
          <w:sz w:val="20"/>
          <w:szCs w:val="20"/>
        </w:rPr>
        <w:t>INE/CG445/2017</w:t>
      </w:r>
      <w:proofErr w:type="gramStart"/>
      <w:r w:rsidRPr="00E5019C">
        <w:rPr>
          <w:rFonts w:ascii="Arial" w:hAnsi="Arial" w:cs="Arial"/>
          <w:sz w:val="20"/>
          <w:szCs w:val="20"/>
        </w:rPr>
        <w:t xml:space="preserve">. </w:t>
      </w:r>
      <w:r w:rsidR="000C05DC" w:rsidRPr="00E5019C">
        <w:rPr>
          <w:rFonts w:ascii="Arial" w:hAnsi="Arial" w:cs="Arial"/>
          <w:sz w:val="20"/>
          <w:szCs w:val="20"/>
        </w:rPr>
        <w:t>”</w:t>
      </w:r>
      <w:proofErr w:type="gramEnd"/>
      <w:r w:rsidR="000C05DC" w:rsidRPr="00E5019C">
        <w:rPr>
          <w:rFonts w:ascii="Arial" w:hAnsi="Arial" w:cs="Arial"/>
          <w:sz w:val="20"/>
          <w:szCs w:val="20"/>
        </w:rPr>
        <w:t xml:space="preserve"> RESOLUCIÓN</w:t>
      </w:r>
      <w:r w:rsidRPr="00E5019C">
        <w:rPr>
          <w:rFonts w:ascii="Arial" w:hAnsi="Arial" w:cs="Arial"/>
          <w:sz w:val="20"/>
          <w:szCs w:val="20"/>
        </w:rPr>
        <w:t xml:space="preserve"> DEL CONSEJO GENERAL DEL INSTITUTO NACIONAL ELECTORAL RESPECTO DEL PROCEDIMIENTO OFICIOSO EN MATERIA DE FISCALIZACIÓN, INSTAURADO EN CONTRA DE LOS PARTIDOS ACCIÓN NACIONAL, REVOLUCIONARIO INSTITUCIONAL, DE LA REVOLUCIÓN DEMOCRÁTICA, DEL TRABAJO, VERDE ECOLOGISTA DE MÉXICO, NUEVA ALIANZA, MORENA Y ENCUENTRO SOCIAL, EN EL ESTADO DE MÉXICO, IDENTIFICADO COMO INE/P-COF-UTF/152/2017/EDOMEX”. Disponible en: https://repositoriodocumental.ine.mx/xmlui/bitstream/handle/123456789/93732/CGex201710-05-rp-2-1.pdf?sequence=1&amp;isAllowed=y</w:t>
      </w:r>
    </w:p>
    <w:p w:rsidR="00A256AB" w:rsidRPr="00E5019C" w:rsidRDefault="00A256AB" w:rsidP="00E5019C">
      <w:pPr>
        <w:autoSpaceDE w:val="0"/>
        <w:autoSpaceDN w:val="0"/>
        <w:adjustRightInd w:val="0"/>
        <w:contextualSpacing/>
        <w:jc w:val="both"/>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 xml:space="preserve">Consejo General del Instituto Nacional Electoral (2018). ACUERDO INE/CG330/2018. “DICTAMEN CONSOLIDADO QUE PRESENTA LA COMISIÓN DE FISCALIZACIÓN AL CONSEJO GENERAL DEL INSTITUTO NACIONAL ELECTORAL RESPECTO DE LA REVISIÓN DE LOS INFORMES DE INGRESOS Y GASTOS DE PRECAMPAÑA A LOS CARGOS DE DIPUTADOS LOCALES Y AYUNTAMIENTOS, CORRESPONDIENTE AL PROCESO ELECTORAL LOCAL ORDINARIO 2017 - 2018, EN EL ESTADO DE MÉXICO”. Disponible en  </w:t>
      </w:r>
      <w:hyperlink r:id="rId21" w:history="1">
        <w:r w:rsidRPr="00E5019C">
          <w:rPr>
            <w:rFonts w:ascii="Arial" w:hAnsi="Arial" w:cs="Arial"/>
            <w:sz w:val="20"/>
            <w:szCs w:val="20"/>
          </w:rPr>
          <w:t>https://repositoriodocumental.ine.mx/xmlui/bitstream/handle/123456789/95693/CGex201804-04-dp-3-14.pdf</w:t>
        </w:r>
      </w:hyperlink>
    </w:p>
    <w:p w:rsidR="00A256AB" w:rsidRPr="00E5019C" w:rsidRDefault="00A256AB" w:rsidP="00E5019C">
      <w:pPr>
        <w:pStyle w:val="Prrafodelista"/>
        <w:rPr>
          <w:rFonts w:ascii="Arial" w:hAnsi="Arial" w:cs="Arial"/>
          <w:sz w:val="20"/>
          <w:szCs w:val="20"/>
        </w:rPr>
      </w:pPr>
    </w:p>
    <w:p w:rsidR="00A256AB" w:rsidRPr="00E5019C" w:rsidRDefault="00A256AB" w:rsidP="001436DF">
      <w:pPr>
        <w:pStyle w:val="Prrafodelista"/>
        <w:numPr>
          <w:ilvl w:val="0"/>
          <w:numId w:val="19"/>
        </w:numPr>
        <w:jc w:val="both"/>
        <w:rPr>
          <w:rFonts w:ascii="Arial" w:hAnsi="Arial" w:cs="Arial"/>
          <w:sz w:val="20"/>
          <w:szCs w:val="20"/>
        </w:rPr>
      </w:pPr>
      <w:r w:rsidRPr="00E5019C">
        <w:rPr>
          <w:rFonts w:ascii="Arial" w:hAnsi="Arial" w:cs="Arial"/>
          <w:sz w:val="20"/>
          <w:szCs w:val="20"/>
        </w:rPr>
        <w:t>Consejo General del Instituto Nacional Electoral (2018). ACUERDO INE/CG331/2018 RESOLUCIÓN DEL CONSEJO GENERAL DEL INSTITUTO NACIONAL ELECTORAL RESPECTO DE LAS IRREGULARIDADES ENCONTRADAS EN EL DICTAMEN CONSOLIDADO DE LA REVISIÓN DE LOS INFORMES DE INGRESOS Y GASTOS DE PRECAMPAÑA A LOS CARGOS DE DIPUTADOS LOCALES Y AYUNTAMIENTOS, CORRESPONDIENTE AL PROCESO ELECTORAL LOCAL ORDINARIO 2017-2018, EN EL ESTADO DE MÉXICO, disponible en https://repositoriodocumental.ine.mx/xmlui/bitstream/handle/123456789/95694/CGex201804-04-rp-3-14.pdf</w:t>
      </w:r>
    </w:p>
    <w:p w:rsidR="00A256AB" w:rsidRPr="00E5019C" w:rsidRDefault="00A256AB" w:rsidP="00E5019C">
      <w:pPr>
        <w:autoSpaceDE w:val="0"/>
        <w:autoSpaceDN w:val="0"/>
        <w:adjustRightInd w:val="0"/>
        <w:contextualSpacing/>
        <w:jc w:val="both"/>
        <w:rPr>
          <w:rFonts w:ascii="Arial" w:hAnsi="Arial" w:cs="Arial"/>
          <w:color w:val="000000"/>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color w:val="000000"/>
          <w:sz w:val="20"/>
          <w:szCs w:val="20"/>
        </w:rPr>
      </w:pPr>
      <w:r w:rsidRPr="00E5019C">
        <w:rPr>
          <w:rFonts w:ascii="Arial" w:hAnsi="Arial" w:cs="Arial"/>
          <w:sz w:val="20"/>
          <w:szCs w:val="20"/>
        </w:rPr>
        <w:t>Consejo General del Instituto Nacional Electoral (2018). ACUERDO</w:t>
      </w:r>
      <w:r w:rsidRPr="00E5019C">
        <w:rPr>
          <w:rFonts w:ascii="Arial" w:hAnsi="Arial" w:cs="Arial"/>
          <w:color w:val="000000"/>
          <w:sz w:val="20"/>
          <w:szCs w:val="20"/>
        </w:rPr>
        <w:t xml:space="preserve"> </w:t>
      </w:r>
      <w:r w:rsidRPr="00E5019C">
        <w:rPr>
          <w:rFonts w:ascii="Arial" w:hAnsi="Arial" w:cs="Arial"/>
          <w:bCs/>
          <w:color w:val="000000"/>
          <w:sz w:val="20"/>
          <w:szCs w:val="20"/>
        </w:rPr>
        <w:t>INE/CG1130/2018. “RESOLUCIÓN DEL CONSEJO GENERAL DEL INSTITUTO NACIONAL ELECTORAL RESPECTO DE LAS IRREGULARIDADES ENCONTRADAS EN EL DICTAMEN CONSOLIDADO DE LA REVISIÓN DE LOS INFORMES DE CAMPAÑA DE LOS INGRESOS Y GASTOS DE LOS CANDIDATOS A LOS CARGOS DE DIPUTADOS LOCALES Y AYUNTAMIENTOS, CORRESPONDIENTE AL PROCESO ELECTORAL LOCAL ORDINARIO 2017-2018, EN EL ESTADO DE MÉXICO (PARTIDOS POLÍTICOS Y COALICIONES)”. Disponible en: https://repositoriodocumental.ine.mx/xmlui/bitstream/handle/123456789/97884/CGex201808-6-rp-3-14-b.pdf</w:t>
      </w:r>
    </w:p>
    <w:p w:rsidR="00A256AB" w:rsidRPr="00E5019C" w:rsidRDefault="00A256AB" w:rsidP="00E5019C">
      <w:pPr>
        <w:autoSpaceDE w:val="0"/>
        <w:autoSpaceDN w:val="0"/>
        <w:adjustRightInd w:val="0"/>
        <w:contextualSpacing/>
        <w:jc w:val="both"/>
        <w:rPr>
          <w:rFonts w:ascii="Arial" w:hAnsi="Arial" w:cs="Arial"/>
          <w:color w:val="000000"/>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sz w:val="20"/>
          <w:szCs w:val="20"/>
        </w:rPr>
        <w:lastRenderedPageBreak/>
        <w:t>Consejo General del Instituto Nacional Electoral (2018). ACUERDO</w:t>
      </w:r>
      <w:r w:rsidRPr="00E5019C">
        <w:rPr>
          <w:rFonts w:ascii="Arial" w:hAnsi="Arial" w:cs="Arial"/>
          <w:color w:val="000000"/>
          <w:sz w:val="20"/>
          <w:szCs w:val="20"/>
        </w:rPr>
        <w:t xml:space="preserve"> </w:t>
      </w:r>
      <w:r w:rsidRPr="00E5019C">
        <w:rPr>
          <w:rFonts w:ascii="Arial" w:hAnsi="Arial" w:cs="Arial"/>
          <w:bCs/>
          <w:sz w:val="20"/>
          <w:szCs w:val="20"/>
        </w:rPr>
        <w:t>INE/CG1128/2018. “DICTAMEN CONSOLIDADO QUE PRESENTA LA COMISIÓN DE FISCALIZACIÓN AL CONSEJO GENERAL DEL INSTITUTO NACIONAL ELECTORAL RESPECTO DE LA REVISIÓN DE LOS INFORMES DE CAMPAÑA DE LOS INGRESOS Y GASTOS DE LOS CANDIDATOS Y CANDIDATOS INDEPENDIENTES A LOS CARGOS DE DIPUTADOS LOCALES Y AYUNTAMIENTOS CORRESPONDIENTE AL PROCESO ELECTORAL LOCAL ORDINARIO 2017 – 2018 EN EL ESTADO DE MÉXICO”. Disponible en: https://repositoriodocumental.ine.mx/xmlui/bitstream/handle/123456789/98063/CGex201808-6-dp-3-14.pdf</w:t>
      </w:r>
    </w:p>
    <w:p w:rsidR="00A256AB" w:rsidRPr="00E5019C" w:rsidRDefault="00A256AB" w:rsidP="00E5019C">
      <w:pPr>
        <w:contextualSpacing/>
        <w:jc w:val="both"/>
        <w:rPr>
          <w:rFonts w:ascii="Arial" w:hAnsi="Arial" w:cs="Arial"/>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SUP-RAP-222/2015.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SUP-RAP-229/2015.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SUP-RAP-344/2015.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SUP-RAP-345/2015.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autoSpaceDE w:val="0"/>
        <w:autoSpaceDN w:val="0"/>
        <w:adjustRightInd w:val="0"/>
        <w:jc w:val="both"/>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SUP-RAP-417/2015.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SUP-RAP-443/2015.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SUP-RAP-453/2015.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SUP-RAP-454/2015.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SUP-RAP-457/2015.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SUP-RAP-465/2015.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SUP-RAP-480/2015.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SUP-RAP-516/2015.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SUP-RAP-549/2015.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SUP-RAP-573/2015.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SUP-RAP-626/2015.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(2015) SUP-RAP-737/2015.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autoSpaceDE w:val="0"/>
        <w:autoSpaceDN w:val="0"/>
        <w:adjustRightInd w:val="0"/>
        <w:jc w:val="both"/>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lastRenderedPageBreak/>
        <w:t xml:space="preserve">Sala Superior del Tribunal Electoral del Poder Judicial de la Federación. (2015) SUP-RAP-739/2015.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(2016) ST-RAP-003/2016.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(2016) ST-RAP-005/2016.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(2016) ST-RAP-006/2016.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SUP-RAP-0143/2017.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SUP-RAP-0145/2017.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SUP-RAP-0147/2017.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SUP-RAP-0152/2017.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SUP-RAP-0190/2017.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SUP-RAP-0192/2017.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SUP-RAP-0198/2017.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SUP-RAP-0199/2017.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autoSpaceDE w:val="0"/>
        <w:autoSpaceDN w:val="0"/>
        <w:adjustRightInd w:val="0"/>
        <w:jc w:val="both"/>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SUP-RAP-0210/2017.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SUP-RAP-0693/2017.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SUP-RAP-0695/2017.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SUP-RAP-0701/2017.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Superior del Tribunal Electoral del Poder Judicial de la Federación. (2017) SUP-RAP-0702/2017.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ST-RAP-25/2018.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ST-RAP-28/2018.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lastRenderedPageBreak/>
        <w:t xml:space="preserve">Sala Regional Toluca del Tribunal Electoral del Poder Judicial de la Federación. (2018) ST-RAP-30/2018.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ST-RAP-37/2018.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ST-RAP-45/2018.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ST-RAP-63/2018.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ST-RAP-64/2018.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autoSpaceDE w:val="0"/>
        <w:autoSpaceDN w:val="0"/>
        <w:adjustRightInd w:val="0"/>
        <w:jc w:val="both"/>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(2018) ST-RAP-70/2018.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(2010) ST-JRC-0016/2010.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(2010) ST-JRC-0013/2010.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(2010) ST-JRC-0014/2010.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 xml:space="preserve">Sala Regional Toluca del Tribunal Electoral del Poder Judicial de la Federación. (2010) ST-JRC-0015/2010. Disponible </w:t>
      </w:r>
      <w:r w:rsidR="000C05DC" w:rsidRPr="00E5019C">
        <w:rPr>
          <w:rFonts w:ascii="Arial" w:hAnsi="Arial" w:cs="Arial"/>
          <w:bCs/>
          <w:sz w:val="20"/>
          <w:szCs w:val="20"/>
        </w:rPr>
        <w:t>en:</w:t>
      </w:r>
      <w:r w:rsidRPr="00E5019C">
        <w:rPr>
          <w:rFonts w:ascii="Arial" w:hAnsi="Arial" w:cs="Arial"/>
          <w:bCs/>
          <w:sz w:val="20"/>
          <w:szCs w:val="20"/>
        </w:rPr>
        <w:t xml:space="preserve"> https://www.te.gob.mx/buscador/</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(2009). RA/43/2009.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RA/09/2010.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RA/10/2010.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RA/11/2010.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RA/12/2010.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RA/13/2010. Obtenido mediante solicitud de Información de Transparencia a través del SAIMEX con número de folio 00002/TRIEEM/IP/2019</w:t>
      </w: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(2010). RA/14/2010. Obtenido mediante solicitud de Información de Transparencia a través del SAIMEX con número de folio 00002/TRIEEM/IP/2019</w:t>
      </w:r>
    </w:p>
    <w:p w:rsidR="00A256AB" w:rsidRPr="00E5019C" w:rsidRDefault="00A256AB" w:rsidP="00E5019C">
      <w:pPr>
        <w:pStyle w:val="Prrafodelista"/>
        <w:autoSpaceDE w:val="0"/>
        <w:autoSpaceDN w:val="0"/>
        <w:adjustRightInd w:val="0"/>
        <w:jc w:val="both"/>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lastRenderedPageBreak/>
        <w:t>Tribunal Electoral del Estado de México. (2011). RA/28/2011.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(2011). RA/30/2011.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(2012). RA/20/2012.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(2013). RA/10/2013.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(2013). RA/11/2013. Obtenido mediante solicitud de Información de Transparencia a través del SAIMEX con número de folio 00002/TRIEEM/IP/2019</w:t>
      </w:r>
    </w:p>
    <w:p w:rsidR="00A256AB" w:rsidRPr="00E5019C" w:rsidRDefault="00A256AB" w:rsidP="00E5019C">
      <w:pPr>
        <w:pStyle w:val="Prrafodelista"/>
        <w:rPr>
          <w:rFonts w:ascii="Arial" w:hAnsi="Arial" w:cs="Arial"/>
          <w:bCs/>
          <w:sz w:val="20"/>
          <w:szCs w:val="20"/>
        </w:rPr>
      </w:pPr>
    </w:p>
    <w:p w:rsidR="00A256AB" w:rsidRPr="00E5019C" w:rsidRDefault="00A256AB" w:rsidP="001436DF">
      <w:pPr>
        <w:pStyle w:val="Prrafodelista"/>
        <w:numPr>
          <w:ilvl w:val="0"/>
          <w:numId w:val="19"/>
        </w:numPr>
        <w:autoSpaceDE w:val="0"/>
        <w:autoSpaceDN w:val="0"/>
        <w:adjustRightInd w:val="0"/>
        <w:jc w:val="both"/>
        <w:rPr>
          <w:rFonts w:ascii="Arial" w:hAnsi="Arial" w:cs="Arial"/>
          <w:bCs/>
          <w:sz w:val="20"/>
          <w:szCs w:val="20"/>
        </w:rPr>
      </w:pPr>
      <w:r w:rsidRPr="00E5019C">
        <w:rPr>
          <w:rFonts w:ascii="Arial" w:hAnsi="Arial" w:cs="Arial"/>
          <w:bCs/>
          <w:sz w:val="20"/>
          <w:szCs w:val="20"/>
        </w:rPr>
        <w:t>Tribunal Electoral del Estado de México. (2013). RA/12/2013. Obtenido mediante solicitud de Información de Transparencia a través del SAIMEX con número de folio 00002/TRIEEM/IP/2019</w:t>
      </w:r>
    </w:p>
    <w:p w:rsidR="00A256AB" w:rsidRPr="00E5019C" w:rsidRDefault="00A256AB" w:rsidP="00E5019C">
      <w:pPr>
        <w:contextualSpacing/>
        <w:jc w:val="both"/>
        <w:rPr>
          <w:rFonts w:ascii="Arial" w:hAnsi="Arial" w:cs="Arial"/>
          <w:sz w:val="20"/>
          <w:szCs w:val="20"/>
        </w:rPr>
      </w:pPr>
    </w:p>
    <w:p w:rsidR="00A256AB" w:rsidRPr="00E5019C" w:rsidRDefault="00A256AB" w:rsidP="00E5019C">
      <w:pPr>
        <w:contextualSpacing/>
        <w:rPr>
          <w:rFonts w:ascii="Arial" w:hAnsi="Arial" w:cs="Arial"/>
          <w:sz w:val="20"/>
          <w:szCs w:val="20"/>
        </w:rPr>
      </w:pPr>
    </w:p>
    <w:p w:rsidR="00A256AB" w:rsidRPr="00A85D78" w:rsidRDefault="00A256AB">
      <w:pPr>
        <w:rPr>
          <w:rFonts w:ascii="Arial" w:hAnsi="Arial" w:cs="Arial"/>
        </w:rPr>
      </w:pPr>
    </w:p>
    <w:p w:rsidR="00A256AB" w:rsidRPr="00A85D78" w:rsidRDefault="00A256AB">
      <w:pPr>
        <w:rPr>
          <w:rFonts w:ascii="Arial" w:hAnsi="Arial" w:cs="Arial"/>
        </w:rPr>
      </w:pPr>
    </w:p>
    <w:p w:rsidR="00A256AB" w:rsidRPr="00A85D78" w:rsidRDefault="00A256AB">
      <w:pPr>
        <w:rPr>
          <w:rFonts w:ascii="Arial" w:hAnsi="Arial" w:cs="Arial"/>
        </w:rPr>
      </w:pPr>
    </w:p>
    <w:p w:rsidR="00A256AB" w:rsidRPr="00A85D78" w:rsidRDefault="00A256AB">
      <w:pPr>
        <w:rPr>
          <w:rFonts w:ascii="Arial" w:hAnsi="Arial" w:cs="Arial"/>
          <w:b/>
          <w:sz w:val="24"/>
          <w:szCs w:val="24"/>
        </w:rPr>
      </w:pPr>
      <w:r w:rsidRPr="00A85D78">
        <w:rPr>
          <w:rFonts w:ascii="Arial" w:hAnsi="Arial" w:cs="Arial"/>
          <w:b/>
          <w:sz w:val="24"/>
          <w:szCs w:val="24"/>
        </w:rPr>
        <w:br w:type="page"/>
      </w:r>
    </w:p>
    <w:p w:rsidR="00A256AB" w:rsidRDefault="00A256AB" w:rsidP="00E5019C">
      <w:pPr>
        <w:spacing w:line="360" w:lineRule="auto"/>
        <w:contextualSpacing/>
        <w:jc w:val="center"/>
        <w:rPr>
          <w:rFonts w:ascii="Arial" w:hAnsi="Arial" w:cs="Arial"/>
          <w:b/>
          <w:sz w:val="24"/>
          <w:szCs w:val="24"/>
        </w:rPr>
      </w:pPr>
      <w:r w:rsidRPr="00A85D78">
        <w:rPr>
          <w:rFonts w:ascii="Arial" w:hAnsi="Arial" w:cs="Arial"/>
          <w:b/>
          <w:sz w:val="24"/>
          <w:szCs w:val="24"/>
        </w:rPr>
        <w:lastRenderedPageBreak/>
        <w:t>CONCLUSIONES</w:t>
      </w:r>
    </w:p>
    <w:p w:rsidR="005809C1" w:rsidRPr="00A85D78" w:rsidRDefault="005809C1" w:rsidP="00E5019C">
      <w:pPr>
        <w:spacing w:line="360" w:lineRule="auto"/>
        <w:contextualSpacing/>
        <w:jc w:val="center"/>
        <w:rPr>
          <w:rFonts w:ascii="Arial" w:hAnsi="Arial" w:cs="Arial"/>
          <w:b/>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En el capítulo I, se concluye que </w:t>
      </w:r>
      <w:r w:rsidR="00E5019C" w:rsidRPr="00A85D78">
        <w:rPr>
          <w:rFonts w:ascii="Arial" w:hAnsi="Arial" w:cs="Arial"/>
          <w:sz w:val="24"/>
          <w:szCs w:val="24"/>
        </w:rPr>
        <w:t>los esquemas de financiamiento a partidos políticos en nuestro país se han</w:t>
      </w:r>
      <w:r w:rsidRPr="00A85D78">
        <w:rPr>
          <w:rFonts w:ascii="Arial" w:hAnsi="Arial" w:cs="Arial"/>
          <w:sz w:val="24"/>
          <w:szCs w:val="24"/>
        </w:rPr>
        <w:t xml:space="preserve"> transformado radicalmente desde sus inicios en la década de los sesenta; hoy en día contamos con un sistema de financiamiento mixto, mediante el cual los partidos tienen la posibilidad de recibir recursos públicos con mecanismos de cálculo bien definidos establecidos en la legislación electoral; así como ingresos provenientes de otras fuentes ya sea en efectivo o en especie.</w:t>
      </w:r>
    </w:p>
    <w:p w:rsidR="00A256AB" w:rsidRPr="00A85D78" w:rsidRDefault="00A256AB" w:rsidP="00E5019C">
      <w:pPr>
        <w:pStyle w:val="Prrafodelista"/>
        <w:spacing w:line="360" w:lineRule="auto"/>
        <w:jc w:val="both"/>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Otra conclusión fue que los modelos de financiamiento a los partidos han traído como consecuencia una excesiva utilización de recursos en las campañas políticas, generándose una necesidad de regulación sobre el origen y destino de dichos recursos.</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De acuerdo con nuestra investigación la fiscalización electoral es la respuesta institucional para vigilar el flujo de recursos que los partidos y candidatos, sean utilizados dentro de la legislación aplicable; es decir que provengan de un origen lícito, su uso sea transparente y en caso contrario se impongan sanciones tendientes a inhibir conductas contrarias al entramado jurídico-electoral.</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En el mismo contexto la autonomía del Instituto Federal Electoral, dio origen a procesos de fiscalización más detallados, acompañado de la creación de organismos especializados en la materia al interior del propio IFE; a la par las mismas condiciones se generaban en el ámbito local de nuestra entidad al interior del IEEM.</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La fiscalización fue implementada de manera similar tanto en la autoridad federal IFE como local IEEM; sin </w:t>
      </w:r>
      <w:r w:rsidR="000C05DC" w:rsidRPr="00A85D78">
        <w:rPr>
          <w:rFonts w:ascii="Arial" w:hAnsi="Arial" w:cs="Arial"/>
          <w:sz w:val="24"/>
          <w:szCs w:val="24"/>
        </w:rPr>
        <w:t>embargo,</w:t>
      </w:r>
      <w:r w:rsidRPr="00A85D78">
        <w:rPr>
          <w:rFonts w:ascii="Arial" w:hAnsi="Arial" w:cs="Arial"/>
          <w:sz w:val="24"/>
          <w:szCs w:val="24"/>
        </w:rPr>
        <w:t xml:space="preserve"> la actividad realizada por el órgano local y en general por todos los organismos locales, en materia de </w:t>
      </w:r>
      <w:r w:rsidRPr="00A85D78">
        <w:rPr>
          <w:rFonts w:ascii="Arial" w:hAnsi="Arial" w:cs="Arial"/>
          <w:sz w:val="24"/>
          <w:szCs w:val="24"/>
        </w:rPr>
        <w:lastRenderedPageBreak/>
        <w:t xml:space="preserve">sanciones se encontraba muy por debajo de la actividad realizada por el IFE; por lo </w:t>
      </w:r>
      <w:proofErr w:type="gramStart"/>
      <w:r w:rsidRPr="00A85D78">
        <w:rPr>
          <w:rFonts w:ascii="Arial" w:hAnsi="Arial" w:cs="Arial"/>
          <w:sz w:val="24"/>
          <w:szCs w:val="24"/>
        </w:rPr>
        <w:t>que</w:t>
      </w:r>
      <w:proofErr w:type="gramEnd"/>
      <w:r w:rsidRPr="00A85D78">
        <w:rPr>
          <w:rFonts w:ascii="Arial" w:hAnsi="Arial" w:cs="Arial"/>
          <w:sz w:val="24"/>
          <w:szCs w:val="24"/>
        </w:rPr>
        <w:t xml:space="preserve"> a raíz de la reforma electoral de 2014, se determina delegar esta facultad en la nueva autoridad electoral nacional, el INE. </w:t>
      </w:r>
    </w:p>
    <w:p w:rsidR="00A256AB" w:rsidRPr="005809C1" w:rsidRDefault="00A256AB" w:rsidP="00E5019C">
      <w:pPr>
        <w:spacing w:line="360" w:lineRule="auto"/>
        <w:contextualSpacing/>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Como resultado de nuestra investigación encontramos </w:t>
      </w:r>
      <w:proofErr w:type="gramStart"/>
      <w:r w:rsidRPr="00A85D78">
        <w:rPr>
          <w:rFonts w:ascii="Arial" w:hAnsi="Arial" w:cs="Arial"/>
          <w:sz w:val="24"/>
          <w:szCs w:val="24"/>
        </w:rPr>
        <w:t>que</w:t>
      </w:r>
      <w:proofErr w:type="gramEnd"/>
      <w:r w:rsidRPr="00A85D78">
        <w:rPr>
          <w:rFonts w:ascii="Arial" w:hAnsi="Arial" w:cs="Arial"/>
          <w:sz w:val="24"/>
          <w:szCs w:val="24"/>
        </w:rPr>
        <w:t xml:space="preserve"> en el año 2008, se crea el Órgano Técnico de Fiscalización del Instituto Electoral del Estado de México, quien se hizo cargo de la fiscalización de los procesos electorales locales de 2009 a 2012, los procesos de revisión de la Unidad Técnica de Fiscalización del IEEM se caracterizaron por ser llevados a cabo en largos periodos de tiempo y por imponer sanciones económicas que no afectaron las finanzas de los partidos políticos.</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A partir del 2015, la Unidad Técnica de Fiscalización del Instituto Nacional Electoral, se encarga de la fiscalización de los procesos electorales locales, el nuevo modelo de fiscalización se caracteriza entre otras cosas por la reducción de tiempos para auditar y por la imposición de sanciones más severas. </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Nuestra investigación demuestra que la diferencia de tiempos para desahogar el proceso de fiscalización es </w:t>
      </w:r>
      <w:proofErr w:type="gramStart"/>
      <w:r w:rsidRPr="00A85D78">
        <w:rPr>
          <w:rFonts w:ascii="Arial" w:hAnsi="Arial" w:cs="Arial"/>
          <w:sz w:val="24"/>
          <w:szCs w:val="24"/>
        </w:rPr>
        <w:t>notorio</w:t>
      </w:r>
      <w:proofErr w:type="gramEnd"/>
      <w:r w:rsidRPr="00A85D78">
        <w:rPr>
          <w:rFonts w:ascii="Arial" w:hAnsi="Arial" w:cs="Arial"/>
          <w:sz w:val="24"/>
          <w:szCs w:val="24"/>
        </w:rPr>
        <w:t>, el IEEM lo hacía en 37 días y el INE en 57 días; es decir es más tardado el realizado en la actualidad; por otra parte en cuanto a la fiscalización de campañas, la diferencia es evidente, mientras que el IEEM lleg</w:t>
      </w:r>
      <w:r w:rsidR="00753D86">
        <w:rPr>
          <w:rFonts w:ascii="Arial" w:hAnsi="Arial" w:cs="Arial"/>
          <w:sz w:val="24"/>
          <w:szCs w:val="24"/>
        </w:rPr>
        <w:t>ó</w:t>
      </w:r>
      <w:r w:rsidRPr="00A85D78">
        <w:rPr>
          <w:rFonts w:ascii="Arial" w:hAnsi="Arial" w:cs="Arial"/>
          <w:sz w:val="24"/>
          <w:szCs w:val="24"/>
        </w:rPr>
        <w:t xml:space="preserve"> a realizar la labor hasta en 295 días, el INE lo realiza en 51 días; es decir en el 17% del tiempo que el órgano local.</w:t>
      </w:r>
    </w:p>
    <w:p w:rsidR="00A256AB" w:rsidRPr="005809C1" w:rsidRDefault="00A256AB" w:rsidP="00E5019C">
      <w:pPr>
        <w:spacing w:line="360" w:lineRule="auto"/>
        <w:contextualSpacing/>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A partir de nuestros resultados podemos concluir que el campo de la fiscalización electoral, es un área de estudio cuyo desarrollo se encuentra limitado, la mayor parte de las investigaciones realizadas hasta el día de hoy, se encuentran basadas en modelos de índole jurídica; en el mismo sentido la fiscalización como agenda de investigación, es incipiente.</w:t>
      </w:r>
    </w:p>
    <w:p w:rsidR="00A256AB" w:rsidRPr="00A85D78" w:rsidRDefault="00A256AB" w:rsidP="00E5019C">
      <w:pPr>
        <w:pStyle w:val="Prrafodelista"/>
        <w:spacing w:line="360" w:lineRule="auto"/>
        <w:rPr>
          <w:rFonts w:ascii="Arial" w:hAnsi="Arial" w:cs="Arial"/>
          <w:sz w:val="24"/>
          <w:szCs w:val="24"/>
        </w:rPr>
      </w:pPr>
    </w:p>
    <w:p w:rsidR="00A256AB" w:rsidRPr="005809C1"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lastRenderedPageBreak/>
        <w:t xml:space="preserve"> De acuerdo con los datos recolectados y su análisis podemos concluir que la independencia del INE, y por ende de la Unidad Técnica de Fiscalización, le ha permitido ejercer un trabajo de fiscalización con mayor grado de autonomía, es bien sabido que en el periodo en el que la Unidad Técnica del IEEM, llev</w:t>
      </w:r>
      <w:r w:rsidR="00753D86">
        <w:rPr>
          <w:rFonts w:ascii="Arial" w:hAnsi="Arial" w:cs="Arial"/>
          <w:sz w:val="24"/>
          <w:szCs w:val="24"/>
        </w:rPr>
        <w:t>ó</w:t>
      </w:r>
      <w:r w:rsidRPr="00A85D78">
        <w:rPr>
          <w:rFonts w:ascii="Arial" w:hAnsi="Arial" w:cs="Arial"/>
          <w:sz w:val="24"/>
          <w:szCs w:val="24"/>
        </w:rPr>
        <w:t xml:space="preserve"> a cabo la fiscalización en el ámbito local, en el Consejo General del IEEM, fungían como Consejeros personajes ligados de alguna forma con los partidos políticos locales, pues antes de la reforma del 2014, eran las legislaturas locales, quienes contaban con la facultad de nombrar a los Consejeros del IEEM, con base en acuerdos políticos.</w:t>
      </w:r>
    </w:p>
    <w:p w:rsidR="00A256AB" w:rsidRPr="00A85D78" w:rsidRDefault="00A256AB" w:rsidP="00E5019C">
      <w:pPr>
        <w:pStyle w:val="Prrafodelista"/>
        <w:spacing w:line="360" w:lineRule="auto"/>
        <w:jc w:val="both"/>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La Unidad Técnica de Fiscalización del IEEM; realizó la fiscalización de tres procesos electorales Diputados Locales y Ayuntamientos 2009 y 2012; así como la elección de Gobernador en 201</w:t>
      </w:r>
      <w:r w:rsidR="003F25EA">
        <w:rPr>
          <w:rFonts w:ascii="Arial" w:hAnsi="Arial" w:cs="Arial"/>
          <w:sz w:val="24"/>
          <w:szCs w:val="24"/>
        </w:rPr>
        <w:t>1</w:t>
      </w:r>
      <w:r w:rsidRPr="00A85D78">
        <w:rPr>
          <w:rFonts w:ascii="Arial" w:hAnsi="Arial" w:cs="Arial"/>
          <w:sz w:val="24"/>
          <w:szCs w:val="24"/>
        </w:rPr>
        <w:t>; a pesar de llevar a cabo revisiones de gastos de campaña en un promedio de 3 meses, únicamente pudo detectar y sancionar 82 conductas infractoras en las precampañas y campañas correspondientes a dicho periodo,</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Hasta el momento la Unidad Técnica de Fiscalización del INE, ha llevado a cabo la fiscalización en 3 procesos electorales 2 para renovar Presidentes Municipales y Congreso Local 2015 y 2018; así como para elegir Gobernador del Estado en 2017 y un proceso electoral extraordinario en 2016; en estos 4 proceso electorales ha efectuado la revisión de los informes de campaña en un lapso de 10 días, en los que ha detectado irregularidades y sancionado 562 conductas infractoras de los partidos en precampaña y campaña; esto representa 685% más que su antecesor el INE.</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 Acorde al análisis de datos que hicimos durante el periodo 2009-2012, el IEEM, sancionó 82 conductas infractoras por un monto </w:t>
      </w:r>
      <w:r w:rsidR="003F25EA" w:rsidRPr="00A85D78">
        <w:rPr>
          <w:rFonts w:ascii="Arial" w:hAnsi="Arial" w:cs="Arial"/>
          <w:sz w:val="24"/>
          <w:szCs w:val="24"/>
        </w:rPr>
        <w:t>de $</w:t>
      </w:r>
      <w:r w:rsidRPr="00A85D78">
        <w:rPr>
          <w:rFonts w:ascii="Arial" w:hAnsi="Arial" w:cs="Arial"/>
          <w:sz w:val="24"/>
          <w:szCs w:val="24"/>
        </w:rPr>
        <w:t>3,443,377.01 (Tres millones cuatrocientos cuarenta y tres mil trescientos setenta y siete pesos 01/100 M.N.), lo que implica un promedio de $41,992.40 por multa impuesta.</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 Otra conclusión es </w:t>
      </w:r>
      <w:r w:rsidR="003F25EA" w:rsidRPr="00A85D78">
        <w:rPr>
          <w:rFonts w:ascii="Arial" w:hAnsi="Arial" w:cs="Arial"/>
          <w:sz w:val="24"/>
          <w:szCs w:val="24"/>
        </w:rPr>
        <w:t>que,</w:t>
      </w:r>
      <w:r w:rsidRPr="00A85D78">
        <w:rPr>
          <w:rFonts w:ascii="Arial" w:hAnsi="Arial" w:cs="Arial"/>
          <w:sz w:val="24"/>
          <w:szCs w:val="24"/>
        </w:rPr>
        <w:t xml:space="preserve"> en el mismo lapso de tiempo, el Consejo General del INE, ha sancionado en la Entidad 562 conductas infractoras por un monto de $479,239,939.83; (Cuatrocientos setenta y nueve millones, doscientos treinta y nueve mil novecientos treinta y nueve pesos 83/100 M.N.), es decir un promedio de $852,740.10 por multa.</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 Las multas impuestas por el Consejo General del INE</w:t>
      </w:r>
      <w:r w:rsidR="003F25EA">
        <w:rPr>
          <w:rFonts w:ascii="Arial" w:hAnsi="Arial" w:cs="Arial"/>
          <w:sz w:val="24"/>
          <w:szCs w:val="24"/>
        </w:rPr>
        <w:t>,</w:t>
      </w:r>
      <w:r w:rsidRPr="00A85D78">
        <w:rPr>
          <w:rFonts w:ascii="Arial" w:hAnsi="Arial" w:cs="Arial"/>
          <w:sz w:val="24"/>
          <w:szCs w:val="24"/>
        </w:rPr>
        <w:t xml:space="preserve"> representan 139 veces más el monto que las multas aprobadas por el IEEM, en el mismo periodo de tiempo.</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 </w:t>
      </w:r>
      <w:r w:rsidR="003F25EA">
        <w:rPr>
          <w:rFonts w:ascii="Arial" w:hAnsi="Arial" w:cs="Arial"/>
          <w:sz w:val="24"/>
          <w:szCs w:val="24"/>
        </w:rPr>
        <w:t>El</w:t>
      </w:r>
      <w:r w:rsidRPr="00A85D78">
        <w:rPr>
          <w:rFonts w:ascii="Arial" w:hAnsi="Arial" w:cs="Arial"/>
          <w:sz w:val="24"/>
          <w:szCs w:val="24"/>
        </w:rPr>
        <w:t xml:space="preserve"> principal motivo del incremento en las multas es el endurecimiento de las sanciones por parte del INE; quien ha calificado de forma más severa las conductas infractoras de los partidos con la finalidad de inhibir este tipo de conductas hacia el futuro.</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 A raíz del crecimiento de las multas y conductas infractoras, los medios de impugnación presentados por los partidos, también han incrementado considerablemente, en el periodo 2009-2012, únicamente se presentaron 17 impugnaciones, de las cuales 1 multa fue revocada y dos multas modificadas; en este tenor 17.64% de las impugnaciones fueron procedentes, lo que habla de una efectividad del 82.36% en el trabajo de la Unidad Técnica de Fiscalización del IEEM.</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 xml:space="preserve">A partir del 2015, los medios de impugnación se han disparado a más del doble que en el periodo anterior; al día de hoy se han presentado 41 medios de impugnación en contra de las multas impuestas por el INE; de las cuales 13 han sido revocadas parcialmente, 5 revocadas totalmente y una modificada; es decir el 46.34% de las impugnaciones han sido resueltas en favor de los partidos, lo que implica una efectividad del 53.64% por parte del </w:t>
      </w:r>
      <w:r w:rsidRPr="00A85D78">
        <w:rPr>
          <w:rFonts w:ascii="Arial" w:hAnsi="Arial" w:cs="Arial"/>
          <w:sz w:val="24"/>
          <w:szCs w:val="24"/>
        </w:rPr>
        <w:lastRenderedPageBreak/>
        <w:t>INE en su labor, por lo que respecta al trabajo realizado en las impugnaciones resueltas.</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El nuevo modelo de fiscalización definitivamente ha logrado lo que el anterior modelo no pudo: generar en los partidos la preocupación por gastar menos en campañas y hacerlo apegado al marco jurídico electoral; si bien el INE ha tenido un trabajo de menor calidad como puede mostrarlo el porcentaje de impugnaciones procedentes, debe entenderse que es algo natural al reducirse el periodo de tiempo para hacer dicha labor de 90 a 10 días; no obstante esta falta de tiempo ha sido bien compensada por el INE castigando con mucha más severidad las conductas infractoras de los partidos.</w:t>
      </w:r>
    </w:p>
    <w:p w:rsidR="00A256AB" w:rsidRPr="00A85D78" w:rsidRDefault="00A256AB" w:rsidP="00E5019C">
      <w:pPr>
        <w:pStyle w:val="Prrafodelista"/>
        <w:spacing w:line="360" w:lineRule="auto"/>
        <w:rPr>
          <w:rFonts w:ascii="Arial" w:hAnsi="Arial" w:cs="Arial"/>
          <w:sz w:val="24"/>
          <w:szCs w:val="24"/>
        </w:rPr>
      </w:pPr>
    </w:p>
    <w:p w:rsidR="00A256AB" w:rsidRPr="00A85D78" w:rsidRDefault="00A256AB" w:rsidP="001436DF">
      <w:pPr>
        <w:pStyle w:val="Prrafodelista"/>
        <w:numPr>
          <w:ilvl w:val="0"/>
          <w:numId w:val="20"/>
        </w:numPr>
        <w:spacing w:line="360" w:lineRule="auto"/>
        <w:jc w:val="both"/>
        <w:rPr>
          <w:rFonts w:ascii="Arial" w:hAnsi="Arial" w:cs="Arial"/>
          <w:sz w:val="24"/>
          <w:szCs w:val="24"/>
        </w:rPr>
      </w:pPr>
      <w:r w:rsidRPr="00A85D78">
        <w:rPr>
          <w:rFonts w:ascii="Arial" w:hAnsi="Arial" w:cs="Arial"/>
          <w:sz w:val="24"/>
          <w:szCs w:val="24"/>
        </w:rPr>
        <w:t>En suma esperamos que este análisis contribuya a mejorar los procesos de fiscalización implementados por la autoridad electoral, en el ejercicio de sus facultades atribuidas por la Ley; con la finalidad de mostrar oportunidades de mejora en el nuevo modelo de fiscalización implementado a partir de 2015; ampliar el periodo de revisión durante las campañas políticas, permitiría a la Unidad Técnica de Fiscalización la posibilidad de analizar con mayor exhaustividad los informes de campaña de los candidatos; en la revisión podrían prevenirse deficiencias en las conclusiones de los dictámenes consolidados, las sanciones impuestas y por ende en un menor número de impugnaciones exitosas para los partidos políticos.</w:t>
      </w:r>
    </w:p>
    <w:p w:rsidR="00D40C0D" w:rsidRDefault="00D40C0D" w:rsidP="00E5019C">
      <w:pPr>
        <w:spacing w:line="360" w:lineRule="auto"/>
        <w:contextualSpacing/>
        <w:rPr>
          <w:rFonts w:ascii="Arial" w:hAnsi="Arial" w:cs="Arial"/>
        </w:rPr>
      </w:pPr>
      <w:r>
        <w:rPr>
          <w:rFonts w:ascii="Arial" w:hAnsi="Arial" w:cs="Arial"/>
        </w:rPr>
        <w:br w:type="page"/>
      </w:r>
    </w:p>
    <w:p w:rsidR="007721C8" w:rsidRPr="007721C8" w:rsidRDefault="007721C8" w:rsidP="007721C8">
      <w:pPr>
        <w:pStyle w:val="Sinespaciado"/>
        <w:rPr>
          <w:rStyle w:val="Ttulodellibro"/>
          <w:rFonts w:ascii="Arial" w:hAnsi="Arial" w:cs="Arial"/>
          <w:b/>
          <w:i/>
          <w:color w:val="auto"/>
          <w:sz w:val="24"/>
          <w:szCs w:val="24"/>
        </w:rPr>
      </w:pPr>
      <w:r w:rsidRPr="007721C8">
        <w:rPr>
          <w:rStyle w:val="Ttulodellibro"/>
          <w:rFonts w:ascii="Arial" w:hAnsi="Arial" w:cs="Arial"/>
          <w:b/>
          <w:i/>
          <w:color w:val="auto"/>
          <w:sz w:val="24"/>
          <w:szCs w:val="24"/>
        </w:rPr>
        <w:lastRenderedPageBreak/>
        <w:t>INDICE DE TABLAS</w:t>
      </w:r>
    </w:p>
    <w:p w:rsidR="007721C8" w:rsidRPr="007721C8" w:rsidRDefault="007721C8" w:rsidP="007721C8">
      <w:pPr>
        <w:pStyle w:val="Sinespaciado"/>
        <w:rPr>
          <w:rStyle w:val="Ttulodellibro"/>
          <w:rFonts w:ascii="Arial" w:hAnsi="Arial" w:cs="Arial"/>
          <w:i/>
          <w:color w:val="auto"/>
          <w:sz w:val="20"/>
          <w:szCs w:val="20"/>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1.1.</w:t>
      </w:r>
      <w:r w:rsidRPr="00C53133">
        <w:rPr>
          <w:rStyle w:val="Ttulodellibro"/>
          <w:rFonts w:ascii="Arial" w:hAnsi="Arial" w:cs="Arial"/>
          <w:i/>
          <w:color w:val="auto"/>
          <w:sz w:val="18"/>
          <w:szCs w:val="18"/>
        </w:rPr>
        <w:tab/>
        <w:t>Ventajas y desventajas del financiamiento público y privado.</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1.2</w:t>
      </w:r>
      <w:r w:rsidRPr="00C53133">
        <w:rPr>
          <w:rStyle w:val="Ttulodellibro"/>
          <w:rFonts w:ascii="Arial" w:hAnsi="Arial" w:cs="Arial"/>
          <w:i/>
          <w:color w:val="auto"/>
          <w:sz w:val="18"/>
          <w:szCs w:val="18"/>
        </w:rPr>
        <w:tab/>
        <w:t>Esquemas de Financiamiento Público de Partidos Políticos en Reforma Electoral 2014.</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1.3</w:t>
      </w:r>
      <w:r w:rsidRPr="00C53133">
        <w:rPr>
          <w:rStyle w:val="Ttulodellibro"/>
          <w:rFonts w:ascii="Arial" w:hAnsi="Arial" w:cs="Arial"/>
          <w:i/>
          <w:color w:val="auto"/>
          <w:sz w:val="18"/>
          <w:szCs w:val="18"/>
        </w:rPr>
        <w:tab/>
        <w:t>Esquemas de Financiamiento Privado en Reforma de 2014</w:t>
      </w:r>
      <w:r w:rsidR="002449F4" w:rsidRPr="00C53133">
        <w:rPr>
          <w:rStyle w:val="Ttulodellibro"/>
          <w:rFonts w:ascii="Arial" w:hAnsi="Arial" w:cs="Arial"/>
          <w:i/>
          <w:color w:val="auto"/>
          <w:sz w:val="18"/>
          <w:szCs w:val="18"/>
        </w:rPr>
        <w:t>.</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1.4</w:t>
      </w:r>
      <w:r w:rsidRPr="00C53133">
        <w:rPr>
          <w:rStyle w:val="Ttulodellibro"/>
          <w:rFonts w:ascii="Arial" w:hAnsi="Arial" w:cs="Arial"/>
          <w:i/>
          <w:color w:val="auto"/>
          <w:sz w:val="18"/>
          <w:szCs w:val="18"/>
        </w:rPr>
        <w:tab/>
        <w:t>Órganos Fiscalizadores en América Latina y Países Europeos</w:t>
      </w:r>
      <w:r w:rsidR="002449F4" w:rsidRPr="00C53133">
        <w:rPr>
          <w:rStyle w:val="Ttulodellibro"/>
          <w:rFonts w:ascii="Arial" w:hAnsi="Arial" w:cs="Arial"/>
          <w:i/>
          <w:color w:val="auto"/>
          <w:sz w:val="18"/>
          <w:szCs w:val="18"/>
        </w:rPr>
        <w:t>.</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1.5</w:t>
      </w:r>
      <w:r w:rsidRPr="00C53133">
        <w:rPr>
          <w:rStyle w:val="Ttulodellibro"/>
          <w:rFonts w:ascii="Arial" w:hAnsi="Arial" w:cs="Arial"/>
          <w:i/>
          <w:color w:val="auto"/>
          <w:sz w:val="18"/>
          <w:szCs w:val="18"/>
        </w:rPr>
        <w:tab/>
        <w:t>Transformación del Financiamiento a Partidos Políticos y Fiscalización 1978 – 2014.</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1.6</w:t>
      </w:r>
      <w:r w:rsidRPr="00C53133">
        <w:rPr>
          <w:rStyle w:val="Ttulodellibro"/>
          <w:rFonts w:ascii="Arial" w:hAnsi="Arial" w:cs="Arial"/>
          <w:i/>
          <w:color w:val="auto"/>
          <w:sz w:val="18"/>
          <w:szCs w:val="18"/>
        </w:rPr>
        <w:tab/>
        <w:t>Integración del Consejo General del IEEM. Agosto 2008 – septiembre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1.7</w:t>
      </w:r>
      <w:r w:rsidRPr="00C53133">
        <w:rPr>
          <w:rStyle w:val="Ttulodellibro"/>
          <w:rFonts w:ascii="Arial" w:hAnsi="Arial" w:cs="Arial"/>
          <w:i/>
          <w:color w:val="auto"/>
          <w:sz w:val="18"/>
          <w:szCs w:val="18"/>
        </w:rPr>
        <w:tab/>
        <w:t>Integración del Consejo General del IEEM. Septiembre 2009 – septiembre 2013.</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2.1</w:t>
      </w:r>
      <w:r w:rsidRPr="00C53133">
        <w:rPr>
          <w:rStyle w:val="Ttulodellibro"/>
          <w:rFonts w:ascii="Arial" w:hAnsi="Arial" w:cs="Arial"/>
          <w:i/>
          <w:color w:val="auto"/>
          <w:sz w:val="18"/>
          <w:szCs w:val="18"/>
        </w:rPr>
        <w:tab/>
        <w:t>Cronograma de Fiscalización precampaña IEEM.</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2.2</w:t>
      </w:r>
      <w:r w:rsidRPr="00C53133">
        <w:rPr>
          <w:rStyle w:val="Ttulodellibro"/>
          <w:rFonts w:ascii="Arial" w:hAnsi="Arial" w:cs="Arial"/>
          <w:i/>
          <w:color w:val="auto"/>
          <w:sz w:val="18"/>
          <w:szCs w:val="18"/>
        </w:rPr>
        <w:tab/>
        <w:t>Cronograma de Fiscalización campaña IEEM.</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2.3</w:t>
      </w:r>
      <w:r w:rsidRPr="00C53133">
        <w:rPr>
          <w:rStyle w:val="Ttulodellibro"/>
          <w:rFonts w:ascii="Arial" w:hAnsi="Arial" w:cs="Arial"/>
          <w:i/>
          <w:color w:val="auto"/>
          <w:sz w:val="18"/>
          <w:szCs w:val="18"/>
        </w:rPr>
        <w:tab/>
        <w:t>Calendario del proceso de fiscalización de precampaña para Diputados Locales.</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2.4</w:t>
      </w:r>
      <w:r w:rsidRPr="00C53133">
        <w:rPr>
          <w:rStyle w:val="Ttulodellibro"/>
          <w:rFonts w:ascii="Arial" w:hAnsi="Arial" w:cs="Arial"/>
          <w:i/>
          <w:color w:val="auto"/>
          <w:sz w:val="18"/>
          <w:szCs w:val="18"/>
        </w:rPr>
        <w:tab/>
        <w:t>Calendario del proceso de fiscalización de campaña Ayuntamientos y Diputados Locales.</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2.5</w:t>
      </w:r>
      <w:r w:rsidRPr="00C53133">
        <w:rPr>
          <w:rStyle w:val="Ttulodellibro"/>
          <w:rFonts w:ascii="Arial" w:hAnsi="Arial" w:cs="Arial"/>
          <w:i/>
          <w:color w:val="auto"/>
          <w:sz w:val="18"/>
          <w:szCs w:val="18"/>
        </w:rPr>
        <w:tab/>
        <w:t>Comparativo de cronogramas para presentación de</w:t>
      </w:r>
      <w:r w:rsidR="002449F4" w:rsidRPr="00C53133">
        <w:rPr>
          <w:rStyle w:val="Ttulodellibro"/>
          <w:rFonts w:ascii="Arial" w:hAnsi="Arial" w:cs="Arial"/>
          <w:i/>
          <w:color w:val="auto"/>
          <w:sz w:val="18"/>
          <w:szCs w:val="18"/>
        </w:rPr>
        <w:t xml:space="preserve"> </w:t>
      </w:r>
      <w:r w:rsidRPr="00C53133">
        <w:rPr>
          <w:rStyle w:val="Ttulodellibro"/>
          <w:rFonts w:ascii="Arial" w:hAnsi="Arial" w:cs="Arial"/>
          <w:i/>
          <w:color w:val="auto"/>
          <w:sz w:val="18"/>
          <w:szCs w:val="18"/>
        </w:rPr>
        <w:t>informes de precampaña y campaña y revisión de la autoridad correspondiente.</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3.1</w:t>
      </w:r>
      <w:r w:rsidRPr="00C53133">
        <w:rPr>
          <w:rStyle w:val="Ttulodellibro"/>
          <w:rFonts w:ascii="Arial" w:hAnsi="Arial" w:cs="Arial"/>
          <w:i/>
          <w:color w:val="auto"/>
          <w:sz w:val="18"/>
          <w:szCs w:val="18"/>
        </w:rPr>
        <w:tab/>
        <w:t>Procesos Electorales y Partidos Participantes 2009 – 2018 en el Estado de México.</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3.2</w:t>
      </w:r>
      <w:r w:rsidRPr="00C53133">
        <w:rPr>
          <w:rStyle w:val="Ttulodellibro"/>
          <w:rFonts w:ascii="Arial" w:hAnsi="Arial" w:cs="Arial"/>
          <w:i/>
          <w:color w:val="auto"/>
          <w:sz w:val="18"/>
          <w:szCs w:val="18"/>
        </w:rPr>
        <w:tab/>
        <w:t>Conductas Infractoras por Partido. Campaña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3.3</w:t>
      </w:r>
      <w:r w:rsidRPr="00C53133">
        <w:rPr>
          <w:rStyle w:val="Ttulodellibro"/>
          <w:rFonts w:ascii="Arial" w:hAnsi="Arial" w:cs="Arial"/>
          <w:i/>
          <w:color w:val="auto"/>
          <w:sz w:val="18"/>
          <w:szCs w:val="18"/>
        </w:rPr>
        <w:tab/>
        <w:t>Multas de campaña por partido político. Proceso Electoral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3.4</w:t>
      </w:r>
      <w:r w:rsidRPr="00C53133">
        <w:rPr>
          <w:rStyle w:val="Ttulodellibro"/>
          <w:rFonts w:ascii="Arial" w:hAnsi="Arial" w:cs="Arial"/>
          <w:i/>
          <w:color w:val="auto"/>
          <w:sz w:val="18"/>
          <w:szCs w:val="18"/>
        </w:rPr>
        <w:tab/>
        <w:t>Medios de impugnación interpuestos por partidos a raíz del proceso de fiscalización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w:t>
      </w:r>
      <w:r w:rsidRPr="00C53133">
        <w:rPr>
          <w:rStyle w:val="Ttulodellibro"/>
          <w:rFonts w:ascii="Arial" w:hAnsi="Arial" w:cs="Arial"/>
          <w:i/>
          <w:color w:val="auto"/>
          <w:sz w:val="18"/>
          <w:szCs w:val="18"/>
        </w:rPr>
        <w:tab/>
        <w:t>Mu</w:t>
      </w:r>
      <w:r w:rsidR="002449F4" w:rsidRPr="00C53133">
        <w:rPr>
          <w:rStyle w:val="Ttulodellibro"/>
          <w:rFonts w:ascii="Arial" w:hAnsi="Arial" w:cs="Arial"/>
          <w:i/>
          <w:color w:val="auto"/>
          <w:sz w:val="18"/>
          <w:szCs w:val="18"/>
        </w:rPr>
        <w:t>L</w:t>
      </w:r>
      <w:r w:rsidRPr="00C53133">
        <w:rPr>
          <w:rStyle w:val="Ttulodellibro"/>
          <w:rFonts w:ascii="Arial" w:hAnsi="Arial" w:cs="Arial"/>
          <w:i/>
          <w:color w:val="auto"/>
          <w:sz w:val="18"/>
          <w:szCs w:val="18"/>
        </w:rPr>
        <w:t>tas derivadas de la Revisión Precautoria. Campaña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w:t>
      </w:r>
      <w:r w:rsidRPr="00C53133">
        <w:rPr>
          <w:rStyle w:val="Ttulodellibro"/>
          <w:rFonts w:ascii="Arial" w:hAnsi="Arial" w:cs="Arial"/>
          <w:i/>
          <w:color w:val="auto"/>
          <w:sz w:val="18"/>
          <w:szCs w:val="18"/>
        </w:rPr>
        <w:tab/>
        <w:t>Escala de gradación de faltas y su sanción correspondiente en días de salario mínimo.</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w:t>
      </w:r>
      <w:r w:rsidRPr="00C53133">
        <w:rPr>
          <w:rStyle w:val="Ttulodellibro"/>
          <w:rFonts w:ascii="Arial" w:hAnsi="Arial" w:cs="Arial"/>
          <w:i/>
          <w:color w:val="auto"/>
          <w:sz w:val="18"/>
          <w:szCs w:val="18"/>
        </w:rPr>
        <w:tab/>
        <w:t>Faltas sustanciales sancionadas por el OTF, en la campaña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4.4</w:t>
      </w:r>
      <w:r w:rsidRPr="00C53133">
        <w:rPr>
          <w:rStyle w:val="Ttulodellibro"/>
          <w:rFonts w:ascii="Arial" w:hAnsi="Arial" w:cs="Arial"/>
          <w:i/>
          <w:color w:val="auto"/>
          <w:sz w:val="18"/>
          <w:szCs w:val="18"/>
        </w:rPr>
        <w:tab/>
        <w:t>Faltas formales sancionadas por el OTF, en la campaña 2009.</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4.5</w:t>
      </w:r>
      <w:r w:rsidRPr="00C53133">
        <w:rPr>
          <w:rStyle w:val="Ttulodellibro"/>
          <w:rFonts w:ascii="Arial" w:hAnsi="Arial" w:cs="Arial"/>
          <w:i/>
          <w:color w:val="auto"/>
          <w:sz w:val="18"/>
          <w:szCs w:val="18"/>
        </w:rPr>
        <w:tab/>
        <w:t>Cronograma de Fiscalización precampaña Gobernador 2011.</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4.6</w:t>
      </w:r>
      <w:r w:rsidRPr="00C53133">
        <w:rPr>
          <w:rStyle w:val="Ttulodellibro"/>
          <w:rFonts w:ascii="Arial" w:hAnsi="Arial" w:cs="Arial"/>
          <w:i/>
          <w:color w:val="auto"/>
          <w:sz w:val="18"/>
          <w:szCs w:val="18"/>
        </w:rPr>
        <w:tab/>
        <w:t>Multas derivadas del Proceso de Fiscalización de Precampaña Gobernador 2011.</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4.7</w:t>
      </w:r>
      <w:r w:rsidRPr="00C53133">
        <w:rPr>
          <w:rStyle w:val="Ttulodellibro"/>
          <w:rFonts w:ascii="Arial" w:hAnsi="Arial" w:cs="Arial"/>
          <w:i/>
          <w:color w:val="auto"/>
          <w:sz w:val="18"/>
          <w:szCs w:val="18"/>
        </w:rPr>
        <w:tab/>
        <w:t>Cronograma de Fiscalización Campaña Gobernador 2011.</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4.8</w:t>
      </w:r>
      <w:r w:rsidRPr="00C53133">
        <w:rPr>
          <w:rStyle w:val="Ttulodellibro"/>
          <w:rFonts w:ascii="Arial" w:hAnsi="Arial" w:cs="Arial"/>
          <w:i/>
          <w:color w:val="auto"/>
          <w:sz w:val="18"/>
          <w:szCs w:val="18"/>
        </w:rPr>
        <w:tab/>
        <w:t>Multas económicas Campaña Gobernador 2011.</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4.9</w:t>
      </w:r>
      <w:r w:rsidRPr="00C53133">
        <w:rPr>
          <w:rStyle w:val="Ttulodellibro"/>
          <w:rFonts w:ascii="Arial" w:hAnsi="Arial" w:cs="Arial"/>
          <w:i/>
          <w:color w:val="auto"/>
          <w:sz w:val="18"/>
          <w:szCs w:val="18"/>
        </w:rPr>
        <w:tab/>
        <w:t>Calendario del proceso de fiscalización de precampaña 2012.</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4.10</w:t>
      </w:r>
      <w:r w:rsidRPr="00C53133">
        <w:rPr>
          <w:rStyle w:val="Ttulodellibro"/>
          <w:rFonts w:ascii="Arial" w:hAnsi="Arial" w:cs="Arial"/>
          <w:i/>
          <w:color w:val="auto"/>
          <w:sz w:val="18"/>
          <w:szCs w:val="18"/>
        </w:rPr>
        <w:tab/>
        <w:t>Calendario de Fiscalización campaña 2012.</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4.11</w:t>
      </w:r>
      <w:r w:rsidRPr="00C53133">
        <w:rPr>
          <w:rStyle w:val="Ttulodellibro"/>
          <w:rFonts w:ascii="Arial" w:hAnsi="Arial" w:cs="Arial"/>
          <w:i/>
          <w:color w:val="auto"/>
          <w:sz w:val="18"/>
          <w:szCs w:val="18"/>
        </w:rPr>
        <w:tab/>
        <w:t>Faltas Formales sancionadas en la campaña electoral 2012.</w:t>
      </w:r>
    </w:p>
    <w:p w:rsidR="002449F4" w:rsidRPr="00C53133" w:rsidRDefault="002449F4"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4.12</w:t>
      </w:r>
      <w:r w:rsidRPr="00C53133">
        <w:rPr>
          <w:rStyle w:val="Ttulodellibro"/>
          <w:rFonts w:ascii="Arial" w:hAnsi="Arial" w:cs="Arial"/>
          <w:i/>
          <w:color w:val="auto"/>
          <w:sz w:val="18"/>
          <w:szCs w:val="18"/>
        </w:rPr>
        <w:tab/>
        <w:t>Faltas Sustanciales sancionadas en la campaña electoral 2012.</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4.13</w:t>
      </w:r>
      <w:r w:rsidRPr="00C53133">
        <w:rPr>
          <w:rStyle w:val="Ttulodellibro"/>
          <w:rFonts w:ascii="Arial" w:hAnsi="Arial" w:cs="Arial"/>
          <w:i/>
          <w:color w:val="auto"/>
          <w:sz w:val="18"/>
          <w:szCs w:val="18"/>
        </w:rPr>
        <w:tab/>
        <w:t>Cronogramas del proceso de fiscalización de precampaña para Diputados Locales.</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4.14</w:t>
      </w:r>
      <w:r w:rsidRPr="00C53133">
        <w:rPr>
          <w:rStyle w:val="Ttulodellibro"/>
          <w:rFonts w:ascii="Arial" w:hAnsi="Arial" w:cs="Arial"/>
          <w:i/>
          <w:color w:val="auto"/>
          <w:sz w:val="18"/>
          <w:szCs w:val="18"/>
        </w:rPr>
        <w:tab/>
        <w:t>Cronograma del proceso de fiscalización de precampaña para Ayuntamientos.</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4.15</w:t>
      </w:r>
      <w:r w:rsidRPr="00C53133">
        <w:rPr>
          <w:rStyle w:val="Ttulodellibro"/>
          <w:rFonts w:ascii="Arial" w:hAnsi="Arial" w:cs="Arial"/>
          <w:i/>
          <w:color w:val="auto"/>
          <w:sz w:val="18"/>
          <w:szCs w:val="18"/>
        </w:rPr>
        <w:tab/>
        <w:t>Faltas Formales detectadas del proceso de fiscalización de precampaña 2015.</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4.16</w:t>
      </w:r>
      <w:r w:rsidRPr="00C53133">
        <w:rPr>
          <w:rStyle w:val="Ttulodellibro"/>
          <w:rFonts w:ascii="Arial" w:hAnsi="Arial" w:cs="Arial"/>
          <w:i/>
          <w:color w:val="auto"/>
          <w:sz w:val="18"/>
          <w:szCs w:val="18"/>
        </w:rPr>
        <w:tab/>
        <w:t>Faltas Sustanciales detectadas del proceso de fiscalización de precampaña 2015.</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4.17</w:t>
      </w:r>
      <w:r w:rsidRPr="00C53133">
        <w:rPr>
          <w:rStyle w:val="Ttulodellibro"/>
          <w:rFonts w:ascii="Arial" w:hAnsi="Arial" w:cs="Arial"/>
          <w:i/>
          <w:color w:val="auto"/>
          <w:sz w:val="18"/>
          <w:szCs w:val="18"/>
        </w:rPr>
        <w:tab/>
        <w:t>Calendario del proceso de fiscalización de campaña Ayuntamientos y Diputados Locales.</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4.18</w:t>
      </w:r>
      <w:r w:rsidRPr="00C53133">
        <w:rPr>
          <w:rStyle w:val="Ttulodellibro"/>
          <w:rFonts w:ascii="Arial" w:hAnsi="Arial" w:cs="Arial"/>
          <w:i/>
          <w:color w:val="auto"/>
          <w:sz w:val="18"/>
          <w:szCs w:val="18"/>
        </w:rPr>
        <w:tab/>
        <w:t>Faltas formales derivadas de la revisión de gastos de campaña 2015.</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4.19</w:t>
      </w:r>
      <w:r w:rsidRPr="00C53133">
        <w:rPr>
          <w:rStyle w:val="Ttulodellibro"/>
          <w:rFonts w:ascii="Arial" w:hAnsi="Arial" w:cs="Arial"/>
          <w:i/>
          <w:color w:val="auto"/>
          <w:sz w:val="18"/>
          <w:szCs w:val="18"/>
        </w:rPr>
        <w:tab/>
        <w:t>Faltas sustanciales derivadas de la revisión de gastos de campaña 2015.</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4.20</w:t>
      </w:r>
      <w:r w:rsidRPr="00C53133">
        <w:rPr>
          <w:rStyle w:val="Ttulodellibro"/>
          <w:rFonts w:ascii="Arial" w:hAnsi="Arial" w:cs="Arial"/>
          <w:i/>
          <w:color w:val="auto"/>
          <w:sz w:val="18"/>
          <w:szCs w:val="18"/>
        </w:rPr>
        <w:tab/>
        <w:t>Multas de precampaña elección extraordinaria 2016.</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4.21</w:t>
      </w:r>
      <w:r w:rsidRPr="00C53133">
        <w:rPr>
          <w:rStyle w:val="Ttulodellibro"/>
          <w:rFonts w:ascii="Arial" w:hAnsi="Arial" w:cs="Arial"/>
          <w:i/>
          <w:color w:val="auto"/>
          <w:sz w:val="18"/>
          <w:szCs w:val="18"/>
        </w:rPr>
        <w:tab/>
        <w:t>Multas proceso electoral extraordinario Chiautla 2016.</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4.22</w:t>
      </w:r>
      <w:r w:rsidRPr="00C53133">
        <w:rPr>
          <w:rStyle w:val="Ttulodellibro"/>
          <w:rFonts w:ascii="Arial" w:hAnsi="Arial" w:cs="Arial"/>
          <w:i/>
          <w:color w:val="auto"/>
          <w:sz w:val="18"/>
          <w:szCs w:val="18"/>
        </w:rPr>
        <w:tab/>
        <w:t>Infracciones de precampaña Elección de Gobernador 2017 por partido.</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4.23.1</w:t>
      </w:r>
      <w:r w:rsidRPr="00C53133">
        <w:rPr>
          <w:rStyle w:val="Ttulodellibro"/>
          <w:rFonts w:ascii="Arial" w:hAnsi="Arial" w:cs="Arial"/>
          <w:i/>
          <w:color w:val="auto"/>
          <w:sz w:val="18"/>
          <w:szCs w:val="18"/>
        </w:rPr>
        <w:tab/>
        <w:t>Conductas Infractoras PAN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4.23.2</w:t>
      </w:r>
      <w:r w:rsidRPr="00C53133">
        <w:rPr>
          <w:rStyle w:val="Ttulodellibro"/>
          <w:rFonts w:ascii="Arial" w:hAnsi="Arial" w:cs="Arial"/>
          <w:i/>
          <w:color w:val="auto"/>
          <w:sz w:val="18"/>
          <w:szCs w:val="18"/>
        </w:rPr>
        <w:tab/>
        <w:t>Conductas Infractoras PRD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4.23.3</w:t>
      </w:r>
      <w:r w:rsidRPr="00C53133">
        <w:rPr>
          <w:rStyle w:val="Ttulodellibro"/>
          <w:rFonts w:ascii="Arial" w:hAnsi="Arial" w:cs="Arial"/>
          <w:i/>
          <w:color w:val="auto"/>
          <w:sz w:val="18"/>
          <w:szCs w:val="18"/>
        </w:rPr>
        <w:tab/>
        <w:t>Conductas Infractoras PT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4.23.4</w:t>
      </w:r>
      <w:r w:rsidRPr="00C53133">
        <w:rPr>
          <w:rStyle w:val="Ttulodellibro"/>
          <w:rFonts w:ascii="Arial" w:hAnsi="Arial" w:cs="Arial"/>
          <w:i/>
          <w:color w:val="auto"/>
          <w:sz w:val="18"/>
          <w:szCs w:val="18"/>
        </w:rPr>
        <w:tab/>
        <w:t>Conductas Infractoras MORENA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4.23.5</w:t>
      </w:r>
      <w:r w:rsidRPr="00C53133">
        <w:rPr>
          <w:rStyle w:val="Ttulodellibro"/>
          <w:rFonts w:ascii="Arial" w:hAnsi="Arial" w:cs="Arial"/>
          <w:i/>
          <w:color w:val="auto"/>
          <w:sz w:val="18"/>
          <w:szCs w:val="18"/>
        </w:rPr>
        <w:tab/>
        <w:t>Conductas Infractoras Coalición PRI-PVEM-NUAL.PES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4.24</w:t>
      </w:r>
      <w:r w:rsidRPr="00C53133">
        <w:rPr>
          <w:rStyle w:val="Ttulodellibro"/>
          <w:rFonts w:ascii="Arial" w:hAnsi="Arial" w:cs="Arial"/>
          <w:i/>
          <w:color w:val="auto"/>
          <w:sz w:val="18"/>
          <w:szCs w:val="18"/>
        </w:rPr>
        <w:tab/>
        <w:t>Resumen de conductas infractoras y total de multas por partido.</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4.25</w:t>
      </w:r>
      <w:r w:rsidRPr="00C53133">
        <w:rPr>
          <w:rStyle w:val="Ttulodellibro"/>
          <w:rFonts w:ascii="Arial" w:hAnsi="Arial" w:cs="Arial"/>
          <w:i/>
          <w:color w:val="auto"/>
          <w:sz w:val="18"/>
          <w:szCs w:val="18"/>
        </w:rPr>
        <w:tab/>
        <w:t>Multas de precampaña elección ordinaria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4.26.1</w:t>
      </w:r>
      <w:r w:rsidRPr="00C53133">
        <w:rPr>
          <w:rStyle w:val="Ttulodellibro"/>
          <w:rFonts w:ascii="Arial" w:hAnsi="Arial" w:cs="Arial"/>
          <w:i/>
          <w:color w:val="auto"/>
          <w:sz w:val="18"/>
          <w:szCs w:val="18"/>
        </w:rPr>
        <w:tab/>
        <w:t>Conductas Infractoras PAN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4.26.2</w:t>
      </w:r>
      <w:r w:rsidRPr="00C53133">
        <w:rPr>
          <w:rStyle w:val="Ttulodellibro"/>
          <w:rFonts w:ascii="Arial" w:hAnsi="Arial" w:cs="Arial"/>
          <w:i/>
          <w:color w:val="auto"/>
          <w:sz w:val="18"/>
          <w:szCs w:val="18"/>
        </w:rPr>
        <w:tab/>
        <w:t>Conductas Infractoras PRI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4.26.3</w:t>
      </w:r>
      <w:r w:rsidRPr="00C53133">
        <w:rPr>
          <w:rStyle w:val="Ttulodellibro"/>
          <w:rFonts w:ascii="Arial" w:hAnsi="Arial" w:cs="Arial"/>
          <w:i/>
          <w:color w:val="auto"/>
          <w:sz w:val="18"/>
          <w:szCs w:val="18"/>
        </w:rPr>
        <w:tab/>
        <w:t>Conductas Infractoras PRD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4.26.4</w:t>
      </w:r>
      <w:r w:rsidRPr="00C53133">
        <w:rPr>
          <w:rStyle w:val="Ttulodellibro"/>
          <w:rFonts w:ascii="Arial" w:hAnsi="Arial" w:cs="Arial"/>
          <w:i/>
          <w:color w:val="auto"/>
          <w:sz w:val="18"/>
          <w:szCs w:val="18"/>
        </w:rPr>
        <w:tab/>
        <w:t>Conductas Infractoras PT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4.26.5</w:t>
      </w:r>
      <w:r w:rsidRPr="00C53133">
        <w:rPr>
          <w:rStyle w:val="Ttulodellibro"/>
          <w:rFonts w:ascii="Arial" w:hAnsi="Arial" w:cs="Arial"/>
          <w:i/>
          <w:color w:val="auto"/>
          <w:sz w:val="18"/>
          <w:szCs w:val="18"/>
        </w:rPr>
        <w:tab/>
        <w:t>Conductas Infractoras PVEM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4.26.6</w:t>
      </w:r>
      <w:r w:rsidRPr="00C53133">
        <w:rPr>
          <w:rStyle w:val="Ttulodellibro"/>
          <w:rFonts w:ascii="Arial" w:hAnsi="Arial" w:cs="Arial"/>
          <w:i/>
          <w:color w:val="auto"/>
          <w:sz w:val="18"/>
          <w:szCs w:val="18"/>
        </w:rPr>
        <w:tab/>
        <w:t>Conductas Infractoras MC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C53133"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4.26.7</w:t>
      </w:r>
      <w:r w:rsidRPr="00C53133">
        <w:rPr>
          <w:rStyle w:val="Ttulodellibro"/>
          <w:rFonts w:ascii="Arial" w:hAnsi="Arial" w:cs="Arial"/>
          <w:i/>
          <w:color w:val="auto"/>
          <w:sz w:val="18"/>
          <w:szCs w:val="18"/>
        </w:rPr>
        <w:tab/>
        <w:t>Conductas Infractoras NUAL 2018.</w:t>
      </w: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lastRenderedPageBreak/>
        <w:t>Tabla 4.26.8</w:t>
      </w:r>
      <w:r w:rsidRPr="00C53133">
        <w:rPr>
          <w:rStyle w:val="Ttulodellibro"/>
          <w:rFonts w:ascii="Arial" w:hAnsi="Arial" w:cs="Arial"/>
          <w:i/>
          <w:color w:val="auto"/>
          <w:sz w:val="18"/>
          <w:szCs w:val="18"/>
        </w:rPr>
        <w:tab/>
        <w:t>Conductas Infractoras MORENA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4.26.9</w:t>
      </w:r>
      <w:r w:rsidRPr="00C53133">
        <w:rPr>
          <w:rStyle w:val="Ttulodellibro"/>
          <w:rFonts w:ascii="Arial" w:hAnsi="Arial" w:cs="Arial"/>
          <w:i/>
          <w:color w:val="auto"/>
          <w:sz w:val="18"/>
          <w:szCs w:val="18"/>
        </w:rPr>
        <w:tab/>
        <w:t>Conductas Infractoras PES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4.26.10</w:t>
      </w:r>
      <w:r w:rsidR="00C53133" w:rsidRPr="00C53133">
        <w:rPr>
          <w:rStyle w:val="Ttulodellibro"/>
          <w:rFonts w:ascii="Arial" w:hAnsi="Arial" w:cs="Arial"/>
          <w:i/>
          <w:color w:val="auto"/>
          <w:sz w:val="18"/>
          <w:szCs w:val="18"/>
        </w:rPr>
        <w:t xml:space="preserve"> </w:t>
      </w:r>
      <w:r w:rsidRPr="00C53133">
        <w:rPr>
          <w:rStyle w:val="Ttulodellibro"/>
          <w:rFonts w:ascii="Arial" w:hAnsi="Arial" w:cs="Arial"/>
          <w:i/>
          <w:color w:val="auto"/>
          <w:sz w:val="18"/>
          <w:szCs w:val="18"/>
        </w:rPr>
        <w:t>Conductas Infractoras Vía Radical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4.26.11</w:t>
      </w:r>
      <w:r w:rsidR="00C53133" w:rsidRPr="00C53133">
        <w:rPr>
          <w:rStyle w:val="Ttulodellibro"/>
          <w:rFonts w:ascii="Arial" w:hAnsi="Arial" w:cs="Arial"/>
          <w:i/>
          <w:color w:val="auto"/>
          <w:sz w:val="18"/>
          <w:szCs w:val="18"/>
        </w:rPr>
        <w:t xml:space="preserve"> </w:t>
      </w:r>
      <w:r w:rsidRPr="00C53133">
        <w:rPr>
          <w:rStyle w:val="Ttulodellibro"/>
          <w:rFonts w:ascii="Arial" w:hAnsi="Arial" w:cs="Arial"/>
          <w:i/>
          <w:color w:val="auto"/>
          <w:sz w:val="18"/>
          <w:szCs w:val="18"/>
        </w:rPr>
        <w:t>Conductas Infractoras Coalición “Por el Estado de México al Frente”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4.26.12</w:t>
      </w:r>
      <w:r w:rsidR="00C53133" w:rsidRPr="00C53133">
        <w:rPr>
          <w:rStyle w:val="Ttulodellibro"/>
          <w:rFonts w:ascii="Arial" w:hAnsi="Arial" w:cs="Arial"/>
          <w:i/>
          <w:color w:val="auto"/>
          <w:sz w:val="18"/>
          <w:szCs w:val="18"/>
        </w:rPr>
        <w:t xml:space="preserve"> </w:t>
      </w:r>
      <w:r w:rsidRPr="00C53133">
        <w:rPr>
          <w:rStyle w:val="Ttulodellibro"/>
          <w:rFonts w:ascii="Arial" w:hAnsi="Arial" w:cs="Arial"/>
          <w:i/>
          <w:color w:val="auto"/>
          <w:sz w:val="18"/>
          <w:szCs w:val="18"/>
        </w:rPr>
        <w:t>Conductas Infractoras Coalición Juntos Haremos Historia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4.27</w:t>
      </w:r>
      <w:r w:rsidRPr="00C53133">
        <w:rPr>
          <w:rStyle w:val="Ttulodellibro"/>
          <w:rFonts w:ascii="Arial" w:hAnsi="Arial" w:cs="Arial"/>
          <w:i/>
          <w:color w:val="auto"/>
          <w:sz w:val="18"/>
          <w:szCs w:val="18"/>
        </w:rPr>
        <w:tab/>
        <w:t>Resumen de conductas infractoras y total de multas por partido.</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4.28.1</w:t>
      </w:r>
      <w:r w:rsidRPr="00C53133">
        <w:rPr>
          <w:rStyle w:val="Ttulodellibro"/>
          <w:rFonts w:ascii="Arial" w:hAnsi="Arial" w:cs="Arial"/>
          <w:i/>
          <w:color w:val="auto"/>
          <w:sz w:val="18"/>
          <w:szCs w:val="18"/>
        </w:rPr>
        <w:tab/>
        <w:t>Multas precampaña por partido 2009 –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4.28.2</w:t>
      </w:r>
      <w:r w:rsidRPr="00C53133">
        <w:rPr>
          <w:rStyle w:val="Ttulodellibro"/>
          <w:rFonts w:ascii="Arial" w:hAnsi="Arial" w:cs="Arial"/>
          <w:i/>
          <w:color w:val="auto"/>
          <w:sz w:val="18"/>
          <w:szCs w:val="18"/>
        </w:rPr>
        <w:tab/>
        <w:t>Multas campaña por partido 2009 –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4.29.1</w:t>
      </w:r>
      <w:r w:rsidRPr="00C53133">
        <w:rPr>
          <w:rStyle w:val="Ttulodellibro"/>
          <w:rFonts w:ascii="Arial" w:hAnsi="Arial" w:cs="Arial"/>
          <w:i/>
          <w:color w:val="auto"/>
          <w:sz w:val="18"/>
          <w:szCs w:val="18"/>
        </w:rPr>
        <w:tab/>
        <w:t>Resumen de Conductas Infractoras de precampaña.</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4.29.2</w:t>
      </w:r>
      <w:r w:rsidRPr="00C53133">
        <w:rPr>
          <w:rStyle w:val="Ttulodellibro"/>
          <w:rFonts w:ascii="Arial" w:hAnsi="Arial" w:cs="Arial"/>
          <w:i/>
          <w:color w:val="auto"/>
          <w:sz w:val="18"/>
          <w:szCs w:val="18"/>
        </w:rPr>
        <w:tab/>
        <w:t>Conductas Infractoras de campaña por Partido 2009 – 2018.</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4.30</w:t>
      </w:r>
      <w:r w:rsidRPr="00C53133">
        <w:rPr>
          <w:rStyle w:val="Ttulodellibro"/>
          <w:rFonts w:ascii="Arial" w:hAnsi="Arial" w:cs="Arial"/>
          <w:i/>
          <w:color w:val="auto"/>
          <w:sz w:val="18"/>
          <w:szCs w:val="18"/>
        </w:rPr>
        <w:tab/>
        <w:t>Medios de Impugnación interpuestos por partidos políticos revisión precautoria y campaña 2009</w:t>
      </w:r>
      <w:r w:rsidR="00C53133" w:rsidRPr="00C53133">
        <w:rPr>
          <w:rStyle w:val="Ttulodellibro"/>
          <w:rFonts w:ascii="Arial" w:hAnsi="Arial" w:cs="Arial"/>
          <w:i/>
          <w:color w:val="auto"/>
          <w:sz w:val="18"/>
          <w:szCs w:val="18"/>
        </w:rPr>
        <w:t>.</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4.31</w:t>
      </w:r>
      <w:r w:rsidRPr="00C53133">
        <w:rPr>
          <w:rStyle w:val="Ttulodellibro"/>
          <w:rFonts w:ascii="Arial" w:hAnsi="Arial" w:cs="Arial"/>
          <w:i/>
          <w:color w:val="auto"/>
          <w:sz w:val="18"/>
          <w:szCs w:val="18"/>
        </w:rPr>
        <w:tab/>
        <w:t>Medios de Impugnación interpuestos por partidos políticos precampaña y campaña 2011.</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4.32</w:t>
      </w:r>
      <w:r w:rsidRPr="00C53133">
        <w:rPr>
          <w:rStyle w:val="Ttulodellibro"/>
          <w:rFonts w:ascii="Arial" w:hAnsi="Arial" w:cs="Arial"/>
          <w:i/>
          <w:color w:val="auto"/>
          <w:sz w:val="18"/>
          <w:szCs w:val="18"/>
        </w:rPr>
        <w:tab/>
        <w:t>Medios de Impugnación interpuestos por partidos políticos campaña 2012.</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4.33</w:t>
      </w:r>
      <w:r w:rsidRPr="00C53133">
        <w:rPr>
          <w:rStyle w:val="Ttulodellibro"/>
          <w:rFonts w:ascii="Arial" w:hAnsi="Arial" w:cs="Arial"/>
          <w:i/>
          <w:color w:val="auto"/>
          <w:sz w:val="18"/>
          <w:szCs w:val="18"/>
        </w:rPr>
        <w:tab/>
        <w:t>Impugnaciones presentadas por partidos políticos en el Proceso Electoral 2015.</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4.34</w:t>
      </w:r>
      <w:r w:rsidRPr="00C53133">
        <w:rPr>
          <w:rStyle w:val="Ttulodellibro"/>
          <w:rFonts w:ascii="Arial" w:hAnsi="Arial" w:cs="Arial"/>
          <w:i/>
          <w:color w:val="auto"/>
          <w:sz w:val="18"/>
          <w:szCs w:val="18"/>
        </w:rPr>
        <w:tab/>
        <w:t>Impugnaciones presentadas por partidos políticos en el Proceso Electoral Extraordinario Chiautla 2016.</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4.35</w:t>
      </w:r>
      <w:r w:rsidRPr="00C53133">
        <w:rPr>
          <w:rStyle w:val="Ttulodellibro"/>
          <w:rFonts w:ascii="Arial" w:hAnsi="Arial" w:cs="Arial"/>
          <w:i/>
          <w:color w:val="auto"/>
          <w:sz w:val="18"/>
          <w:szCs w:val="18"/>
        </w:rPr>
        <w:tab/>
        <w:t>Impugnaciones presentadas por partidos políticos en el Proceso Electoral para renovar Gobernador 2017.</w:t>
      </w:r>
    </w:p>
    <w:p w:rsidR="00C53133" w:rsidRPr="00C53133" w:rsidRDefault="00C53133" w:rsidP="00C53133">
      <w:pPr>
        <w:pStyle w:val="Sinespaciado"/>
        <w:ind w:left="1418" w:hanging="1418"/>
        <w:contextualSpacing/>
        <w:jc w:val="both"/>
        <w:rPr>
          <w:rStyle w:val="Ttulodellibro"/>
          <w:rFonts w:ascii="Arial" w:hAnsi="Arial" w:cs="Arial"/>
          <w:i/>
          <w:color w:val="auto"/>
          <w:sz w:val="18"/>
          <w:szCs w:val="18"/>
        </w:rPr>
      </w:pPr>
    </w:p>
    <w:p w:rsidR="007721C8" w:rsidRPr="00C53133" w:rsidRDefault="007721C8" w:rsidP="00C53133">
      <w:pPr>
        <w:pStyle w:val="Sinespaciado"/>
        <w:ind w:left="1418" w:hanging="1418"/>
        <w:contextualSpacing/>
        <w:jc w:val="both"/>
        <w:rPr>
          <w:rStyle w:val="Ttulodellibro"/>
          <w:rFonts w:ascii="Arial" w:hAnsi="Arial" w:cs="Arial"/>
          <w:i/>
          <w:color w:val="auto"/>
          <w:sz w:val="18"/>
          <w:szCs w:val="18"/>
        </w:rPr>
      </w:pPr>
      <w:r w:rsidRPr="00C53133">
        <w:rPr>
          <w:rStyle w:val="Ttulodellibro"/>
          <w:rFonts w:ascii="Arial" w:hAnsi="Arial" w:cs="Arial"/>
          <w:i/>
          <w:color w:val="auto"/>
          <w:sz w:val="18"/>
          <w:szCs w:val="18"/>
        </w:rPr>
        <w:t>Tabla 4.36</w:t>
      </w:r>
      <w:r w:rsidRPr="00C53133">
        <w:rPr>
          <w:rStyle w:val="Ttulodellibro"/>
          <w:rFonts w:ascii="Arial" w:hAnsi="Arial" w:cs="Arial"/>
          <w:i/>
          <w:color w:val="auto"/>
          <w:sz w:val="18"/>
          <w:szCs w:val="18"/>
        </w:rPr>
        <w:tab/>
        <w:t>Impugnaciones presentadas por partidos políticos en el Proceso Local 2018.</w:t>
      </w:r>
    </w:p>
    <w:p w:rsidR="000C2DDD" w:rsidRDefault="000C2DDD">
      <w:pPr>
        <w:rPr>
          <w:rFonts w:ascii="Arial" w:hAnsi="Arial" w:cs="Arial"/>
          <w:b/>
          <w:sz w:val="24"/>
          <w:szCs w:val="24"/>
        </w:rPr>
      </w:pPr>
    </w:p>
    <w:p w:rsidR="000C2DDD" w:rsidRDefault="000C2DDD">
      <w:pPr>
        <w:rPr>
          <w:rFonts w:ascii="Arial" w:hAnsi="Arial" w:cs="Arial"/>
          <w:b/>
          <w:sz w:val="24"/>
          <w:szCs w:val="24"/>
        </w:rPr>
      </w:pPr>
    </w:p>
    <w:p w:rsidR="007721C8" w:rsidRDefault="007721C8">
      <w:pPr>
        <w:rPr>
          <w:rFonts w:ascii="Arial" w:hAnsi="Arial" w:cs="Arial"/>
          <w:b/>
          <w:sz w:val="24"/>
          <w:szCs w:val="24"/>
        </w:rPr>
      </w:pPr>
      <w:r>
        <w:rPr>
          <w:rFonts w:ascii="Arial" w:hAnsi="Arial" w:cs="Arial"/>
          <w:b/>
          <w:sz w:val="24"/>
          <w:szCs w:val="24"/>
        </w:rPr>
        <w:br w:type="page"/>
      </w:r>
    </w:p>
    <w:p w:rsidR="00990C83" w:rsidRPr="00483603" w:rsidRDefault="00990C83" w:rsidP="00476839">
      <w:pPr>
        <w:pStyle w:val="Sinespaciado"/>
        <w:rPr>
          <w:rStyle w:val="Ttulodellibro"/>
          <w:rFonts w:ascii="Arial" w:hAnsi="Arial" w:cs="Arial"/>
          <w:b/>
          <w:i/>
          <w:color w:val="auto"/>
          <w:sz w:val="24"/>
          <w:szCs w:val="24"/>
        </w:rPr>
      </w:pPr>
      <w:r w:rsidRPr="00483603">
        <w:rPr>
          <w:rStyle w:val="Ttulodellibro"/>
          <w:rFonts w:ascii="Arial" w:hAnsi="Arial" w:cs="Arial"/>
          <w:b/>
          <w:i/>
          <w:color w:val="auto"/>
          <w:sz w:val="24"/>
          <w:szCs w:val="24"/>
        </w:rPr>
        <w:lastRenderedPageBreak/>
        <w:t>ANEXO 1</w:t>
      </w:r>
      <w:r w:rsidR="00930133">
        <w:rPr>
          <w:rStyle w:val="Ttulodellibro"/>
          <w:rFonts w:ascii="Arial" w:hAnsi="Arial" w:cs="Arial"/>
          <w:b/>
          <w:i/>
          <w:color w:val="auto"/>
          <w:sz w:val="24"/>
          <w:szCs w:val="24"/>
        </w:rPr>
        <w:t>.</w:t>
      </w:r>
      <w:r w:rsidRPr="00483603">
        <w:rPr>
          <w:rStyle w:val="Ttulodellibro"/>
          <w:rFonts w:ascii="Arial" w:hAnsi="Arial" w:cs="Arial"/>
          <w:b/>
          <w:i/>
          <w:color w:val="auto"/>
          <w:sz w:val="24"/>
          <w:szCs w:val="24"/>
        </w:rPr>
        <w:t xml:space="preserve"> FALTAS DE CAMPAÑA 2009</w:t>
      </w:r>
      <w:r w:rsidR="00A709B1">
        <w:rPr>
          <w:rStyle w:val="Ttulodellibro"/>
          <w:rFonts w:ascii="Arial" w:hAnsi="Arial" w:cs="Arial"/>
          <w:b/>
          <w:i/>
          <w:color w:val="auto"/>
          <w:sz w:val="24"/>
          <w:szCs w:val="24"/>
        </w:rPr>
        <w:t>.</w:t>
      </w:r>
    </w:p>
    <w:p w:rsidR="00C53133" w:rsidRDefault="00C53133" w:rsidP="00476839">
      <w:pPr>
        <w:contextualSpacing/>
        <w:jc w:val="center"/>
        <w:rPr>
          <w:rFonts w:ascii="Arial" w:hAnsi="Arial" w:cs="Arial"/>
          <w:b/>
          <w:sz w:val="20"/>
          <w:szCs w:val="20"/>
        </w:rPr>
      </w:pPr>
    </w:p>
    <w:p w:rsidR="00C42F08" w:rsidRDefault="00C42F08" w:rsidP="00476839">
      <w:pPr>
        <w:contextualSpacing/>
        <w:jc w:val="center"/>
        <w:rPr>
          <w:rFonts w:ascii="Arial" w:hAnsi="Arial" w:cs="Arial"/>
          <w:b/>
          <w:sz w:val="20"/>
          <w:szCs w:val="20"/>
        </w:rPr>
      </w:pPr>
    </w:p>
    <w:p w:rsidR="00B83774" w:rsidRPr="00E5019C" w:rsidRDefault="00B83774" w:rsidP="00476839">
      <w:pPr>
        <w:contextualSpacing/>
        <w:jc w:val="center"/>
        <w:rPr>
          <w:rFonts w:ascii="Arial" w:hAnsi="Arial" w:cs="Arial"/>
          <w:b/>
          <w:sz w:val="20"/>
          <w:szCs w:val="20"/>
        </w:rPr>
      </w:pPr>
    </w:p>
    <w:p w:rsidR="00990C83" w:rsidRDefault="00990C83" w:rsidP="00476839">
      <w:pPr>
        <w:contextualSpacing/>
        <w:jc w:val="center"/>
        <w:rPr>
          <w:rFonts w:ascii="Arial" w:hAnsi="Arial" w:cs="Arial"/>
          <w:sz w:val="20"/>
          <w:szCs w:val="20"/>
        </w:rPr>
      </w:pPr>
      <w:r w:rsidRPr="00E5019C">
        <w:rPr>
          <w:rFonts w:ascii="Arial" w:hAnsi="Arial" w:cs="Arial"/>
          <w:b/>
          <w:sz w:val="20"/>
          <w:szCs w:val="20"/>
        </w:rPr>
        <w:t>Partido Acción Nacional</w:t>
      </w:r>
    </w:p>
    <w:p w:rsidR="00483603" w:rsidRPr="00E5019C" w:rsidRDefault="00483603" w:rsidP="00476839">
      <w:pPr>
        <w:contextualSpacing/>
        <w:rPr>
          <w:rFonts w:ascii="Arial" w:hAnsi="Arial" w:cs="Arial"/>
          <w:sz w:val="20"/>
          <w:szCs w:val="20"/>
        </w:rPr>
      </w:pPr>
    </w:p>
    <w:p w:rsidR="00225695" w:rsidRPr="00225695" w:rsidRDefault="00990C83" w:rsidP="00476839">
      <w:pPr>
        <w:rPr>
          <w:rFonts w:ascii="Arial" w:hAnsi="Arial" w:cs="Arial"/>
          <w:b/>
          <w:bCs/>
          <w:i/>
          <w:iCs/>
          <w:sz w:val="20"/>
          <w:szCs w:val="20"/>
        </w:rPr>
      </w:pPr>
      <w:r w:rsidRPr="00225695">
        <w:rPr>
          <w:rFonts w:ascii="Arial" w:hAnsi="Arial" w:cs="Arial"/>
          <w:b/>
          <w:bCs/>
          <w:i/>
          <w:iCs/>
          <w:sz w:val="20"/>
          <w:szCs w:val="20"/>
        </w:rPr>
        <w:t>Faltas Formales</w:t>
      </w:r>
      <w:r w:rsidR="00225695" w:rsidRPr="00225695">
        <w:rPr>
          <w:rFonts w:ascii="Arial" w:hAnsi="Arial" w:cs="Arial"/>
          <w:b/>
          <w:bCs/>
          <w:i/>
          <w:iCs/>
          <w:sz w:val="20"/>
          <w:szCs w:val="20"/>
        </w:rPr>
        <w:t>.</w:t>
      </w:r>
    </w:p>
    <w:p w:rsidR="00990C83" w:rsidRPr="00483603" w:rsidRDefault="00990C83" w:rsidP="00476839">
      <w:pPr>
        <w:pStyle w:val="Prrafodelista"/>
        <w:numPr>
          <w:ilvl w:val="0"/>
          <w:numId w:val="91"/>
        </w:numPr>
        <w:ind w:left="284" w:hanging="284"/>
        <w:jc w:val="both"/>
        <w:rPr>
          <w:rFonts w:ascii="Arial" w:hAnsi="Arial" w:cs="Arial"/>
          <w:sz w:val="20"/>
          <w:szCs w:val="20"/>
        </w:rPr>
      </w:pPr>
      <w:r w:rsidRPr="00483603">
        <w:rPr>
          <w:rFonts w:ascii="Arial" w:hAnsi="Arial" w:cs="Arial"/>
          <w:sz w:val="20"/>
          <w:szCs w:val="20"/>
        </w:rPr>
        <w:t>Dejó de cumplir con lo establecido en el artículo 52, fracción XIII, del Código Electoral del Estado de México, en relación con el artículo 74, párrafo primero, del Reglamento de Fiscalización a las Actividades de los Partidos Políticos y Coaliciones, el cual establece que los cheques librados, cuando se realicen pagos superiores a cien días de salario mínimo general vigente en la capital del Estado de México, se expedirán de forma nominativa y contendrán la leyenda “Para abono en cuenta del beneficiario”.</w:t>
      </w:r>
    </w:p>
    <w:p w:rsidR="00483603" w:rsidRPr="00483603" w:rsidRDefault="00483603" w:rsidP="00476839">
      <w:pPr>
        <w:ind w:left="284" w:hanging="284"/>
        <w:jc w:val="both"/>
        <w:rPr>
          <w:rFonts w:ascii="Arial" w:hAnsi="Arial" w:cs="Arial"/>
          <w:sz w:val="20"/>
          <w:szCs w:val="20"/>
        </w:rPr>
      </w:pPr>
    </w:p>
    <w:p w:rsidR="00990C83" w:rsidRPr="00E5019C" w:rsidRDefault="00990C83" w:rsidP="00476839">
      <w:pPr>
        <w:pStyle w:val="Prrafodelista"/>
        <w:numPr>
          <w:ilvl w:val="0"/>
          <w:numId w:val="91"/>
        </w:numPr>
        <w:ind w:left="284" w:hanging="284"/>
        <w:jc w:val="both"/>
        <w:rPr>
          <w:rFonts w:ascii="Arial" w:hAnsi="Arial" w:cs="Arial"/>
          <w:sz w:val="20"/>
          <w:szCs w:val="20"/>
        </w:rPr>
      </w:pPr>
      <w:r w:rsidRPr="00E5019C">
        <w:rPr>
          <w:rFonts w:ascii="Arial" w:hAnsi="Arial" w:cs="Arial"/>
          <w:sz w:val="20"/>
          <w:szCs w:val="20"/>
        </w:rPr>
        <w:t>Omitió informar dentro del plazo respectivo, respecto del porcentaje o monto de su participación en el tope de gastos de campaña de la candidatura común que postuló con Convergencia Partido Político Nacional para la elección de Ayuntamiento en el municipio de Mexicaltzingo, Estado de México; en contravención a lo dispuesto en el artículo 52, fracción XIII, del Código Electoral del Estado de México, en relación con el artículo 139, inciso b, del Reglamento de Fiscalización a las Actividades de los Partidos Políticos y Coaliciones. Pag 31 y 32</w:t>
      </w:r>
      <w:r w:rsidR="00483603">
        <w:rPr>
          <w:rFonts w:ascii="Arial" w:hAnsi="Arial" w:cs="Arial"/>
          <w:sz w:val="20"/>
          <w:szCs w:val="20"/>
        </w:rPr>
        <w:t>.</w:t>
      </w:r>
    </w:p>
    <w:p w:rsidR="00C53133" w:rsidRDefault="00C53133" w:rsidP="00476839">
      <w:pPr>
        <w:contextualSpacing/>
        <w:jc w:val="both"/>
        <w:rPr>
          <w:rFonts w:ascii="Arial" w:hAnsi="Arial" w:cs="Arial"/>
          <w:b/>
          <w:sz w:val="20"/>
          <w:szCs w:val="20"/>
        </w:rPr>
      </w:pPr>
    </w:p>
    <w:p w:rsidR="00B83774" w:rsidRPr="00E5019C" w:rsidRDefault="00B83774" w:rsidP="00476839">
      <w:pPr>
        <w:contextualSpacing/>
        <w:jc w:val="both"/>
        <w:rPr>
          <w:rFonts w:ascii="Arial" w:hAnsi="Arial" w:cs="Arial"/>
          <w:b/>
          <w:sz w:val="20"/>
          <w:szCs w:val="20"/>
        </w:rPr>
      </w:pPr>
    </w:p>
    <w:p w:rsidR="00483603" w:rsidRDefault="00483603" w:rsidP="00476839">
      <w:pPr>
        <w:contextualSpacing/>
        <w:jc w:val="both"/>
        <w:rPr>
          <w:rFonts w:ascii="Arial" w:hAnsi="Arial" w:cs="Arial"/>
          <w:b/>
          <w:sz w:val="20"/>
          <w:szCs w:val="20"/>
        </w:rPr>
      </w:pPr>
    </w:p>
    <w:p w:rsidR="00483603" w:rsidRDefault="00990C83" w:rsidP="00476839">
      <w:pPr>
        <w:contextualSpacing/>
        <w:jc w:val="center"/>
        <w:rPr>
          <w:rFonts w:ascii="Arial" w:hAnsi="Arial" w:cs="Arial"/>
          <w:b/>
          <w:sz w:val="20"/>
          <w:szCs w:val="20"/>
        </w:rPr>
      </w:pPr>
      <w:r w:rsidRPr="00E5019C">
        <w:rPr>
          <w:rFonts w:ascii="Arial" w:hAnsi="Arial" w:cs="Arial"/>
          <w:b/>
          <w:sz w:val="20"/>
          <w:szCs w:val="20"/>
        </w:rPr>
        <w:t>Partido Revolucionario Institucional</w:t>
      </w:r>
    </w:p>
    <w:p w:rsidR="00483603" w:rsidRPr="00E5019C" w:rsidRDefault="00483603" w:rsidP="00476839">
      <w:pPr>
        <w:contextualSpacing/>
        <w:jc w:val="both"/>
        <w:rPr>
          <w:rFonts w:ascii="Arial" w:hAnsi="Arial" w:cs="Arial"/>
          <w:b/>
          <w:sz w:val="20"/>
          <w:szCs w:val="20"/>
        </w:rPr>
      </w:pPr>
    </w:p>
    <w:p w:rsidR="00990C83" w:rsidRPr="00225695" w:rsidRDefault="00990C83" w:rsidP="00476839">
      <w:pPr>
        <w:rPr>
          <w:rFonts w:ascii="Arial" w:hAnsi="Arial" w:cs="Arial"/>
          <w:b/>
          <w:bCs/>
          <w:i/>
          <w:iCs/>
          <w:sz w:val="20"/>
          <w:szCs w:val="20"/>
        </w:rPr>
      </w:pPr>
      <w:r w:rsidRPr="00225695">
        <w:rPr>
          <w:rFonts w:ascii="Arial" w:hAnsi="Arial" w:cs="Arial"/>
          <w:b/>
          <w:bCs/>
          <w:i/>
          <w:iCs/>
          <w:sz w:val="20"/>
          <w:szCs w:val="20"/>
        </w:rPr>
        <w:t>Faltas Formales</w:t>
      </w:r>
    </w:p>
    <w:p w:rsidR="00990C83" w:rsidRDefault="00990C83" w:rsidP="00476839">
      <w:pPr>
        <w:pStyle w:val="Prrafodelista"/>
        <w:numPr>
          <w:ilvl w:val="0"/>
          <w:numId w:val="92"/>
        </w:numPr>
        <w:ind w:left="284" w:hanging="284"/>
        <w:jc w:val="both"/>
        <w:rPr>
          <w:rFonts w:ascii="Arial" w:hAnsi="Arial" w:cs="Arial"/>
          <w:sz w:val="20"/>
          <w:szCs w:val="20"/>
        </w:rPr>
      </w:pPr>
      <w:r w:rsidRPr="00E5019C">
        <w:rPr>
          <w:rFonts w:ascii="Arial" w:hAnsi="Arial" w:cs="Arial"/>
          <w:sz w:val="20"/>
          <w:szCs w:val="20"/>
        </w:rPr>
        <w:t xml:space="preserve">En relación con el Partido Revolucionario Institucional el Órgano Técnico de Fiscalización consideró que este incurrió en culpa en vigilancia, puesto que de las 125 candidaturas comunes postuladas por el referido instituto político y por los partidos Nueva Alianza, Verde Ecologista de México, otrora Socialdemócrata y otrora Futuro Democrático, para las elecciones de los </w:t>
      </w:r>
      <w:r w:rsidR="00763D3C">
        <w:rPr>
          <w:rFonts w:ascii="Arial" w:hAnsi="Arial" w:cs="Arial"/>
          <w:sz w:val="20"/>
          <w:szCs w:val="20"/>
        </w:rPr>
        <w:t>A</w:t>
      </w:r>
      <w:r w:rsidRPr="00E5019C">
        <w:rPr>
          <w:rFonts w:ascii="Arial" w:hAnsi="Arial" w:cs="Arial"/>
          <w:sz w:val="20"/>
          <w:szCs w:val="20"/>
        </w:rPr>
        <w:t xml:space="preserve">yuntamientos de la </w:t>
      </w:r>
      <w:r w:rsidR="00763D3C">
        <w:rPr>
          <w:rFonts w:ascii="Arial" w:hAnsi="Arial" w:cs="Arial"/>
          <w:sz w:val="20"/>
          <w:szCs w:val="20"/>
        </w:rPr>
        <w:t>e</w:t>
      </w:r>
      <w:r w:rsidRPr="00E5019C">
        <w:rPr>
          <w:rFonts w:ascii="Arial" w:hAnsi="Arial" w:cs="Arial"/>
          <w:sz w:val="20"/>
          <w:szCs w:val="20"/>
        </w:rPr>
        <w:t xml:space="preserve">ntidad, se rebasó el tope de gastos de campaña en 20 </w:t>
      </w:r>
      <w:r w:rsidR="000C05DC">
        <w:rPr>
          <w:rFonts w:ascii="Arial" w:hAnsi="Arial" w:cs="Arial"/>
          <w:sz w:val="20"/>
          <w:szCs w:val="20"/>
        </w:rPr>
        <w:t>A</w:t>
      </w:r>
      <w:r w:rsidRPr="00E5019C">
        <w:rPr>
          <w:rFonts w:ascii="Arial" w:hAnsi="Arial" w:cs="Arial"/>
          <w:sz w:val="20"/>
          <w:szCs w:val="20"/>
        </w:rPr>
        <w:t>yuntamientos por un importe total de $393,018.90 (</w:t>
      </w:r>
      <w:r w:rsidR="00DB28F6">
        <w:rPr>
          <w:rFonts w:ascii="Arial" w:hAnsi="Arial" w:cs="Arial"/>
          <w:sz w:val="20"/>
          <w:szCs w:val="20"/>
        </w:rPr>
        <w:t>t</w:t>
      </w:r>
      <w:r w:rsidRPr="00E5019C">
        <w:rPr>
          <w:rFonts w:ascii="Arial" w:hAnsi="Arial" w:cs="Arial"/>
          <w:sz w:val="20"/>
          <w:szCs w:val="20"/>
        </w:rPr>
        <w:t xml:space="preserve">rescientos noventa y tres mil dieciocho pesos 90/100 M.N.), de los cuales obtuvieron el triunfo en 11 de ellos; por lo que en el </w:t>
      </w:r>
      <w:r w:rsidR="00195C65" w:rsidRPr="00E5019C">
        <w:rPr>
          <w:rFonts w:ascii="Arial" w:hAnsi="Arial" w:cs="Arial"/>
          <w:sz w:val="20"/>
          <w:szCs w:val="20"/>
        </w:rPr>
        <w:t>dict</w:t>
      </w:r>
      <w:r w:rsidR="00195C65">
        <w:rPr>
          <w:rFonts w:ascii="Arial" w:hAnsi="Arial" w:cs="Arial"/>
          <w:sz w:val="20"/>
          <w:szCs w:val="20"/>
        </w:rPr>
        <w:t>a</w:t>
      </w:r>
      <w:r w:rsidR="00195C65" w:rsidRPr="00E5019C">
        <w:rPr>
          <w:rFonts w:ascii="Arial" w:hAnsi="Arial" w:cs="Arial"/>
          <w:sz w:val="20"/>
          <w:szCs w:val="20"/>
        </w:rPr>
        <w:t>men</w:t>
      </w:r>
      <w:r w:rsidRPr="00E5019C">
        <w:rPr>
          <w:rFonts w:ascii="Arial" w:hAnsi="Arial" w:cs="Arial"/>
          <w:sz w:val="20"/>
          <w:szCs w:val="20"/>
        </w:rPr>
        <w:t xml:space="preserve"> se le atribuye al Partido Revolucionario Institucional responsabilidad indirecta por tales faltas sobre la base de que, si bien no fue el responsable directo de los gastos en exceso, si formó parte de las candidaturas comunes.</w:t>
      </w:r>
    </w:p>
    <w:p w:rsidR="00C42F08" w:rsidRPr="00E5019C" w:rsidRDefault="00C42F08" w:rsidP="00476839">
      <w:pPr>
        <w:pStyle w:val="Prrafodelista"/>
        <w:ind w:left="284"/>
        <w:jc w:val="both"/>
        <w:rPr>
          <w:rFonts w:ascii="Arial" w:hAnsi="Arial" w:cs="Arial"/>
          <w:sz w:val="20"/>
          <w:szCs w:val="20"/>
        </w:rPr>
      </w:pPr>
    </w:p>
    <w:p w:rsidR="00990C83" w:rsidRPr="00E5019C" w:rsidRDefault="00990C83" w:rsidP="00476839">
      <w:pPr>
        <w:pStyle w:val="Prrafodelista"/>
        <w:numPr>
          <w:ilvl w:val="0"/>
          <w:numId w:val="92"/>
        </w:numPr>
        <w:ind w:left="284" w:hanging="284"/>
        <w:jc w:val="both"/>
        <w:rPr>
          <w:rFonts w:ascii="Arial" w:hAnsi="Arial" w:cs="Arial"/>
          <w:sz w:val="20"/>
          <w:szCs w:val="20"/>
        </w:rPr>
      </w:pPr>
      <w:r w:rsidRPr="00E5019C">
        <w:rPr>
          <w:rFonts w:ascii="Arial" w:hAnsi="Arial" w:cs="Arial"/>
          <w:sz w:val="20"/>
          <w:szCs w:val="20"/>
        </w:rPr>
        <w:t>Los partidos políticos integrantes de la candidatura común al rebasar el tope de gastos de campaña en 20 municipios, incumplieron con los artículos 52, fracción XIV; 76, fracción IV, y 160, párrafo tercero, del Código Electoral del Estado de México; 108 y 119 del Reglamento de Fiscalización de Recursos de los Partidos Políticos y Coaliciones del Instituto Electoral del Estado de México.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ind w:left="284"/>
        <w:contextualSpacing/>
        <w:jc w:val="both"/>
        <w:rPr>
          <w:rFonts w:ascii="Arial" w:hAnsi="Arial" w:cs="Arial"/>
          <w:sz w:val="20"/>
          <w:szCs w:val="20"/>
        </w:rPr>
      </w:pPr>
      <w:r w:rsidRPr="00E5019C">
        <w:rPr>
          <w:rFonts w:ascii="Arial" w:hAnsi="Arial" w:cs="Arial"/>
          <w:sz w:val="20"/>
          <w:szCs w:val="20"/>
        </w:rPr>
        <w:t>El Partido Revolucionario Institucional no realizó las acciones de prevención necesarias para evitar que el Partido Verde Ecologista de México, y el otrora Partido Futuro Democrático aportarán en 20 municipios cantidades mayores a las acordadas para evitar el rebase de los topes de gastos de campaña, entonces, dicho instituto político es responsable indirecto.</w:t>
      </w:r>
    </w:p>
    <w:p w:rsidR="00990C83" w:rsidRDefault="00990C83" w:rsidP="00476839">
      <w:pPr>
        <w:autoSpaceDE w:val="0"/>
        <w:autoSpaceDN w:val="0"/>
        <w:adjustRightInd w:val="0"/>
        <w:contextualSpacing/>
        <w:jc w:val="both"/>
        <w:rPr>
          <w:rFonts w:ascii="Arial" w:hAnsi="Arial" w:cs="Arial"/>
          <w:sz w:val="20"/>
          <w:szCs w:val="20"/>
        </w:rPr>
      </w:pPr>
    </w:p>
    <w:p w:rsidR="00C42F08" w:rsidRDefault="00C42F08" w:rsidP="00476839">
      <w:pPr>
        <w:autoSpaceDE w:val="0"/>
        <w:autoSpaceDN w:val="0"/>
        <w:adjustRightInd w:val="0"/>
        <w:contextualSpacing/>
        <w:jc w:val="both"/>
        <w:rPr>
          <w:rFonts w:ascii="Arial" w:hAnsi="Arial" w:cs="Arial"/>
          <w:sz w:val="20"/>
          <w:szCs w:val="20"/>
        </w:rPr>
      </w:pPr>
    </w:p>
    <w:p w:rsidR="00990C83" w:rsidRDefault="00990C83" w:rsidP="00476839">
      <w:pPr>
        <w:contextualSpacing/>
        <w:jc w:val="center"/>
        <w:rPr>
          <w:rFonts w:ascii="Arial" w:hAnsi="Arial" w:cs="Arial"/>
          <w:b/>
          <w:sz w:val="20"/>
          <w:szCs w:val="20"/>
        </w:rPr>
      </w:pPr>
      <w:r w:rsidRPr="00E5019C">
        <w:rPr>
          <w:rFonts w:ascii="Arial" w:hAnsi="Arial" w:cs="Arial"/>
          <w:b/>
          <w:sz w:val="20"/>
          <w:szCs w:val="20"/>
        </w:rPr>
        <w:t>Partido de la Revolución Democrática</w:t>
      </w:r>
    </w:p>
    <w:p w:rsidR="00C42F08" w:rsidRPr="00E5019C" w:rsidRDefault="00C42F08" w:rsidP="00476839">
      <w:pPr>
        <w:contextualSpacing/>
        <w:jc w:val="both"/>
        <w:rPr>
          <w:rFonts w:ascii="Arial" w:hAnsi="Arial" w:cs="Arial"/>
          <w:b/>
          <w:sz w:val="20"/>
          <w:szCs w:val="20"/>
        </w:rPr>
      </w:pPr>
    </w:p>
    <w:p w:rsidR="00990C83" w:rsidRPr="00225695" w:rsidRDefault="00990C83" w:rsidP="00476839">
      <w:pPr>
        <w:rPr>
          <w:rFonts w:ascii="Arial" w:hAnsi="Arial" w:cs="Arial"/>
          <w:b/>
          <w:bCs/>
          <w:i/>
          <w:iCs/>
          <w:sz w:val="20"/>
          <w:szCs w:val="20"/>
        </w:rPr>
      </w:pPr>
      <w:r w:rsidRPr="00225695">
        <w:rPr>
          <w:rFonts w:ascii="Arial" w:hAnsi="Arial" w:cs="Arial"/>
          <w:b/>
          <w:bCs/>
          <w:i/>
          <w:iCs/>
          <w:sz w:val="20"/>
          <w:szCs w:val="20"/>
        </w:rPr>
        <w:t>Faltas Sustanciales</w:t>
      </w:r>
    </w:p>
    <w:p w:rsidR="00990C83" w:rsidRPr="00E5019C" w:rsidRDefault="00990C83" w:rsidP="00476839">
      <w:pPr>
        <w:pStyle w:val="Prrafodelista"/>
        <w:numPr>
          <w:ilvl w:val="0"/>
          <w:numId w:val="93"/>
        </w:numPr>
        <w:ind w:left="284" w:hanging="284"/>
        <w:jc w:val="both"/>
        <w:rPr>
          <w:rFonts w:ascii="Arial" w:hAnsi="Arial" w:cs="Arial"/>
          <w:sz w:val="20"/>
          <w:szCs w:val="20"/>
        </w:rPr>
      </w:pPr>
      <w:r w:rsidRPr="00E5019C">
        <w:rPr>
          <w:rFonts w:ascii="Arial" w:hAnsi="Arial" w:cs="Arial"/>
          <w:sz w:val="20"/>
          <w:szCs w:val="20"/>
        </w:rPr>
        <w:t xml:space="preserve">El Partido de la Revolución Democrática incumplió con la obligación de respetar el tope de gastos de campaña que le impone la fracción XIV del artículo 52; y el párrafo tercero del artículo 160 del Código Electoral del Estado de México; respecto de la elección de </w:t>
      </w:r>
      <w:r w:rsidR="00195C65">
        <w:rPr>
          <w:rFonts w:ascii="Arial" w:hAnsi="Arial" w:cs="Arial"/>
          <w:sz w:val="20"/>
          <w:szCs w:val="20"/>
        </w:rPr>
        <w:t>A</w:t>
      </w:r>
      <w:r w:rsidRPr="00E5019C">
        <w:rPr>
          <w:rFonts w:ascii="Arial" w:hAnsi="Arial" w:cs="Arial"/>
          <w:sz w:val="20"/>
          <w:szCs w:val="20"/>
        </w:rPr>
        <w:t>yuntamiento del municipio de Tepetlaoxtoc, en la cual obtuvo el triunfo</w:t>
      </w:r>
      <w:r w:rsidR="00C42F08">
        <w:rPr>
          <w:rFonts w:ascii="Arial" w:hAnsi="Arial" w:cs="Arial"/>
          <w:sz w:val="20"/>
          <w:szCs w:val="20"/>
        </w:rPr>
        <w:t>.</w:t>
      </w:r>
    </w:p>
    <w:p w:rsidR="00990C83" w:rsidRPr="00E5019C" w:rsidRDefault="00990C83" w:rsidP="00476839">
      <w:pPr>
        <w:pStyle w:val="Prrafodelista"/>
        <w:ind w:left="284" w:hanging="284"/>
        <w:jc w:val="both"/>
        <w:rPr>
          <w:rFonts w:ascii="Arial" w:hAnsi="Arial" w:cs="Arial"/>
          <w:sz w:val="20"/>
          <w:szCs w:val="20"/>
        </w:rPr>
      </w:pPr>
    </w:p>
    <w:p w:rsidR="00990C83" w:rsidRPr="00E5019C" w:rsidRDefault="00990C83" w:rsidP="00476839">
      <w:pPr>
        <w:pStyle w:val="Prrafodelista"/>
        <w:numPr>
          <w:ilvl w:val="0"/>
          <w:numId w:val="93"/>
        </w:numPr>
        <w:ind w:left="284" w:hanging="284"/>
        <w:jc w:val="both"/>
        <w:rPr>
          <w:rFonts w:ascii="Arial" w:hAnsi="Arial" w:cs="Arial"/>
          <w:sz w:val="20"/>
          <w:szCs w:val="20"/>
        </w:rPr>
      </w:pPr>
      <w:r w:rsidRPr="00E5019C">
        <w:rPr>
          <w:rFonts w:ascii="Arial" w:hAnsi="Arial" w:cs="Arial"/>
          <w:sz w:val="20"/>
          <w:szCs w:val="20"/>
        </w:rPr>
        <w:t xml:space="preserve">El Partido de la Revolución Democrática incumplió con la obligación de respetar el tope de gastos de campaña de los </w:t>
      </w:r>
      <w:r w:rsidR="00195C65">
        <w:rPr>
          <w:rFonts w:ascii="Arial" w:hAnsi="Arial" w:cs="Arial"/>
          <w:sz w:val="20"/>
          <w:szCs w:val="20"/>
        </w:rPr>
        <w:t>A</w:t>
      </w:r>
      <w:r w:rsidRPr="00E5019C">
        <w:rPr>
          <w:rFonts w:ascii="Arial" w:hAnsi="Arial" w:cs="Arial"/>
          <w:sz w:val="20"/>
          <w:szCs w:val="20"/>
        </w:rPr>
        <w:t>yuntamientos de Metepec, Temascalapa y Tonatico, éstas últimas tres por virtud de las candidaturas comunes que postuló con el Partido del Trabajo.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A86636" w:rsidRDefault="00990C83" w:rsidP="00476839">
      <w:pPr>
        <w:rPr>
          <w:rFonts w:ascii="Arial" w:hAnsi="Arial" w:cs="Arial"/>
          <w:b/>
          <w:bCs/>
          <w:i/>
          <w:iCs/>
          <w:sz w:val="20"/>
          <w:szCs w:val="20"/>
        </w:rPr>
      </w:pPr>
      <w:r w:rsidRPr="00A86636">
        <w:rPr>
          <w:rFonts w:ascii="Arial" w:hAnsi="Arial" w:cs="Arial"/>
          <w:b/>
          <w:bCs/>
          <w:i/>
          <w:iCs/>
          <w:sz w:val="20"/>
          <w:szCs w:val="20"/>
        </w:rPr>
        <w:t>Faltas Formales</w:t>
      </w:r>
    </w:p>
    <w:p w:rsidR="00C42F08" w:rsidRDefault="00990C83" w:rsidP="00476839">
      <w:pPr>
        <w:pStyle w:val="Prrafodelista"/>
        <w:numPr>
          <w:ilvl w:val="0"/>
          <w:numId w:val="94"/>
        </w:numPr>
        <w:autoSpaceDE w:val="0"/>
        <w:autoSpaceDN w:val="0"/>
        <w:adjustRightInd w:val="0"/>
        <w:ind w:left="284" w:hanging="284"/>
        <w:jc w:val="both"/>
        <w:rPr>
          <w:rFonts w:ascii="Arial" w:hAnsi="Arial" w:cs="Arial"/>
          <w:sz w:val="20"/>
          <w:szCs w:val="20"/>
        </w:rPr>
      </w:pPr>
      <w:r w:rsidRPr="00C42F08">
        <w:rPr>
          <w:rFonts w:ascii="Arial" w:hAnsi="Arial" w:cs="Arial"/>
          <w:sz w:val="20"/>
          <w:szCs w:val="20"/>
        </w:rPr>
        <w:t xml:space="preserve">Utilización de una cuenta concentradora a nombre del partido para depositar los ingresos derivados del financiamiento para gastos de campaña, y la posterior apertura de 170 cuentas a nombre de los candidatos y de la coordinadora administrativa, para el manejo de los recursos en las campañas de </w:t>
      </w:r>
      <w:r w:rsidR="00195C65">
        <w:rPr>
          <w:rFonts w:ascii="Arial" w:hAnsi="Arial" w:cs="Arial"/>
          <w:sz w:val="20"/>
          <w:szCs w:val="20"/>
        </w:rPr>
        <w:t>A</w:t>
      </w:r>
      <w:r w:rsidRPr="00C42F08">
        <w:rPr>
          <w:rFonts w:ascii="Arial" w:hAnsi="Arial" w:cs="Arial"/>
          <w:sz w:val="20"/>
          <w:szCs w:val="20"/>
        </w:rPr>
        <w:t xml:space="preserve">yuntamientos y </w:t>
      </w:r>
      <w:r w:rsidR="00195C65">
        <w:rPr>
          <w:rFonts w:ascii="Arial" w:hAnsi="Arial" w:cs="Arial"/>
          <w:sz w:val="20"/>
          <w:szCs w:val="20"/>
        </w:rPr>
        <w:t>D</w:t>
      </w:r>
      <w:r w:rsidRPr="00C42F08">
        <w:rPr>
          <w:rFonts w:ascii="Arial" w:hAnsi="Arial" w:cs="Arial"/>
          <w:sz w:val="20"/>
          <w:szCs w:val="20"/>
        </w:rPr>
        <w:t xml:space="preserve">iputados </w:t>
      </w:r>
      <w:r w:rsidR="00195C65">
        <w:rPr>
          <w:rFonts w:ascii="Arial" w:hAnsi="Arial" w:cs="Arial"/>
          <w:sz w:val="20"/>
          <w:szCs w:val="20"/>
        </w:rPr>
        <w:t>L</w:t>
      </w:r>
      <w:r w:rsidRPr="00C42F08">
        <w:rPr>
          <w:rFonts w:ascii="Arial" w:hAnsi="Arial" w:cs="Arial"/>
          <w:sz w:val="20"/>
          <w:szCs w:val="20"/>
        </w:rPr>
        <w:t>ocales.</w:t>
      </w:r>
    </w:p>
    <w:p w:rsidR="00C42F08" w:rsidRDefault="00C42F08" w:rsidP="00476839">
      <w:pPr>
        <w:pStyle w:val="Prrafodelista"/>
        <w:autoSpaceDE w:val="0"/>
        <w:autoSpaceDN w:val="0"/>
        <w:adjustRightInd w:val="0"/>
        <w:ind w:left="284"/>
        <w:jc w:val="both"/>
        <w:rPr>
          <w:rFonts w:ascii="Arial" w:hAnsi="Arial" w:cs="Arial"/>
          <w:sz w:val="20"/>
          <w:szCs w:val="20"/>
        </w:rPr>
      </w:pPr>
    </w:p>
    <w:p w:rsidR="00C42F08" w:rsidRDefault="00990C83" w:rsidP="00476839">
      <w:pPr>
        <w:pStyle w:val="Prrafodelista"/>
        <w:numPr>
          <w:ilvl w:val="0"/>
          <w:numId w:val="94"/>
        </w:numPr>
        <w:autoSpaceDE w:val="0"/>
        <w:autoSpaceDN w:val="0"/>
        <w:adjustRightInd w:val="0"/>
        <w:ind w:left="284" w:hanging="284"/>
        <w:jc w:val="both"/>
        <w:rPr>
          <w:rFonts w:ascii="Arial" w:hAnsi="Arial" w:cs="Arial"/>
          <w:sz w:val="20"/>
          <w:szCs w:val="20"/>
        </w:rPr>
      </w:pPr>
      <w:r w:rsidRPr="00C42F08">
        <w:rPr>
          <w:rFonts w:ascii="Arial" w:hAnsi="Arial" w:cs="Arial"/>
          <w:sz w:val="20"/>
          <w:szCs w:val="20"/>
        </w:rPr>
        <w:t>Exhibición de las facturas 353 y 362, cada una por un monto de $12,000.00 (doce mil pesos 00/100 M.N.) en las cuales es incorrecto el cálculo del IVA por un margen de $3,360.00 (tres mil trescientos sesenta pesos 00/100 M.N.).</w:t>
      </w:r>
    </w:p>
    <w:p w:rsidR="00C42F08" w:rsidRPr="00C42F08" w:rsidRDefault="00C42F08" w:rsidP="00476839">
      <w:pPr>
        <w:autoSpaceDE w:val="0"/>
        <w:autoSpaceDN w:val="0"/>
        <w:adjustRightInd w:val="0"/>
        <w:jc w:val="both"/>
        <w:rPr>
          <w:rFonts w:ascii="Arial" w:hAnsi="Arial" w:cs="Arial"/>
          <w:sz w:val="20"/>
          <w:szCs w:val="20"/>
        </w:rPr>
      </w:pPr>
    </w:p>
    <w:p w:rsidR="00C42F08" w:rsidRDefault="00990C83" w:rsidP="00476839">
      <w:pPr>
        <w:pStyle w:val="Prrafodelista"/>
        <w:numPr>
          <w:ilvl w:val="0"/>
          <w:numId w:val="94"/>
        </w:numPr>
        <w:autoSpaceDE w:val="0"/>
        <w:autoSpaceDN w:val="0"/>
        <w:adjustRightInd w:val="0"/>
        <w:ind w:left="284" w:hanging="284"/>
        <w:jc w:val="both"/>
        <w:rPr>
          <w:rFonts w:ascii="Arial" w:hAnsi="Arial" w:cs="Arial"/>
          <w:sz w:val="20"/>
          <w:szCs w:val="20"/>
        </w:rPr>
      </w:pPr>
      <w:r w:rsidRPr="00C42F08">
        <w:rPr>
          <w:rFonts w:ascii="Arial" w:hAnsi="Arial" w:cs="Arial"/>
          <w:sz w:val="20"/>
          <w:szCs w:val="20"/>
        </w:rPr>
        <w:t>Presentación de la factura original 1012, por un monto de $3,795.00 (tres mil setecientos noventa y cinco pesos 00/100 M.N.) expedida el tres de junio del dos mil nueve, cuando la vigencia es del dieciocho de diciembre del dos mil nueve al diecisiete de diciembre del dos mil once.</w:t>
      </w:r>
    </w:p>
    <w:p w:rsidR="00C42F08" w:rsidRPr="00C42F08" w:rsidRDefault="00C42F08" w:rsidP="00476839">
      <w:pPr>
        <w:autoSpaceDE w:val="0"/>
        <w:autoSpaceDN w:val="0"/>
        <w:adjustRightInd w:val="0"/>
        <w:jc w:val="both"/>
        <w:rPr>
          <w:rFonts w:ascii="Arial" w:hAnsi="Arial" w:cs="Arial"/>
          <w:sz w:val="20"/>
          <w:szCs w:val="20"/>
        </w:rPr>
      </w:pPr>
    </w:p>
    <w:p w:rsidR="00990C83" w:rsidRPr="00C42F08" w:rsidRDefault="00990C83" w:rsidP="00476839">
      <w:pPr>
        <w:pStyle w:val="Prrafodelista"/>
        <w:numPr>
          <w:ilvl w:val="0"/>
          <w:numId w:val="94"/>
        </w:numPr>
        <w:autoSpaceDE w:val="0"/>
        <w:autoSpaceDN w:val="0"/>
        <w:adjustRightInd w:val="0"/>
        <w:ind w:left="284" w:hanging="284"/>
        <w:jc w:val="both"/>
        <w:rPr>
          <w:rFonts w:ascii="Arial" w:hAnsi="Arial" w:cs="Arial"/>
          <w:sz w:val="20"/>
          <w:szCs w:val="20"/>
        </w:rPr>
      </w:pPr>
      <w:r w:rsidRPr="00C42F08">
        <w:rPr>
          <w:rFonts w:ascii="Arial" w:hAnsi="Arial" w:cs="Arial"/>
          <w:sz w:val="20"/>
          <w:szCs w:val="20"/>
        </w:rPr>
        <w:t xml:space="preserve">Omisión de informar al Órgano Técnico de Fiscalización del Instituto, dentro del plazo respectivo, respecto del porcentaje o monto de participación en el tope de gastos de campaña de las candidaturas comunes que postuló con el Partido del Trabajo para las elecciones de </w:t>
      </w:r>
      <w:r w:rsidR="00195C65">
        <w:rPr>
          <w:rFonts w:ascii="Arial" w:hAnsi="Arial" w:cs="Arial"/>
          <w:sz w:val="20"/>
          <w:szCs w:val="20"/>
        </w:rPr>
        <w:t>A</w:t>
      </w:r>
      <w:r w:rsidRPr="00C42F08">
        <w:rPr>
          <w:rFonts w:ascii="Arial" w:hAnsi="Arial" w:cs="Arial"/>
          <w:sz w:val="20"/>
          <w:szCs w:val="20"/>
        </w:rPr>
        <w:t xml:space="preserve">yuntamientos y </w:t>
      </w:r>
      <w:r w:rsidR="00195C65">
        <w:rPr>
          <w:rFonts w:ascii="Arial" w:hAnsi="Arial" w:cs="Arial"/>
          <w:sz w:val="20"/>
          <w:szCs w:val="20"/>
        </w:rPr>
        <w:t>D</w:t>
      </w:r>
      <w:r w:rsidRPr="00C42F08">
        <w:rPr>
          <w:rFonts w:ascii="Arial" w:hAnsi="Arial" w:cs="Arial"/>
          <w:sz w:val="20"/>
          <w:szCs w:val="20"/>
        </w:rPr>
        <w:t xml:space="preserve">iputados </w:t>
      </w:r>
      <w:r w:rsidR="00195C65">
        <w:rPr>
          <w:rFonts w:ascii="Arial" w:hAnsi="Arial" w:cs="Arial"/>
          <w:sz w:val="20"/>
          <w:szCs w:val="20"/>
        </w:rPr>
        <w:t>L</w:t>
      </w:r>
      <w:r w:rsidRPr="00C42F08">
        <w:rPr>
          <w:rFonts w:ascii="Arial" w:hAnsi="Arial" w:cs="Arial"/>
          <w:sz w:val="20"/>
          <w:szCs w:val="20"/>
        </w:rPr>
        <w:t>ocales.</w:t>
      </w:r>
    </w:p>
    <w:p w:rsidR="00990C83" w:rsidRDefault="00990C83" w:rsidP="00476839">
      <w:pPr>
        <w:autoSpaceDE w:val="0"/>
        <w:autoSpaceDN w:val="0"/>
        <w:adjustRightInd w:val="0"/>
        <w:contextualSpacing/>
        <w:jc w:val="both"/>
        <w:rPr>
          <w:rFonts w:ascii="Arial" w:hAnsi="Arial" w:cs="Arial"/>
          <w:sz w:val="20"/>
          <w:szCs w:val="20"/>
        </w:rPr>
      </w:pPr>
    </w:p>
    <w:p w:rsidR="00C42F08" w:rsidRPr="00E5019C" w:rsidRDefault="00C42F08" w:rsidP="00476839">
      <w:pPr>
        <w:autoSpaceDE w:val="0"/>
        <w:autoSpaceDN w:val="0"/>
        <w:adjustRightInd w:val="0"/>
        <w:contextualSpacing/>
        <w:jc w:val="both"/>
        <w:rPr>
          <w:rFonts w:ascii="Arial" w:hAnsi="Arial" w:cs="Arial"/>
          <w:sz w:val="20"/>
          <w:szCs w:val="20"/>
        </w:rPr>
      </w:pPr>
    </w:p>
    <w:p w:rsidR="00990C83" w:rsidRDefault="00990C83" w:rsidP="00476839">
      <w:pPr>
        <w:autoSpaceDE w:val="0"/>
        <w:autoSpaceDN w:val="0"/>
        <w:adjustRightInd w:val="0"/>
        <w:contextualSpacing/>
        <w:jc w:val="center"/>
        <w:rPr>
          <w:rFonts w:ascii="Arial" w:hAnsi="Arial" w:cs="Arial"/>
          <w:b/>
          <w:sz w:val="20"/>
          <w:szCs w:val="20"/>
        </w:rPr>
      </w:pPr>
      <w:r w:rsidRPr="00E5019C">
        <w:rPr>
          <w:rFonts w:ascii="Arial" w:hAnsi="Arial" w:cs="Arial"/>
          <w:b/>
          <w:sz w:val="20"/>
          <w:szCs w:val="20"/>
        </w:rPr>
        <w:t>Partido del Trabajo</w:t>
      </w:r>
    </w:p>
    <w:p w:rsidR="00C42F08" w:rsidRPr="00E5019C" w:rsidRDefault="00C42F08" w:rsidP="00476839">
      <w:pPr>
        <w:autoSpaceDE w:val="0"/>
        <w:autoSpaceDN w:val="0"/>
        <w:adjustRightInd w:val="0"/>
        <w:contextualSpacing/>
        <w:jc w:val="both"/>
        <w:rPr>
          <w:rFonts w:ascii="Arial" w:hAnsi="Arial" w:cs="Arial"/>
          <w:b/>
          <w:sz w:val="20"/>
          <w:szCs w:val="20"/>
        </w:rPr>
      </w:pPr>
    </w:p>
    <w:p w:rsidR="00990C83" w:rsidRPr="00A86636" w:rsidRDefault="00990C83" w:rsidP="00476839">
      <w:pPr>
        <w:rPr>
          <w:rFonts w:ascii="Arial" w:hAnsi="Arial" w:cs="Arial"/>
          <w:b/>
          <w:bCs/>
          <w:i/>
          <w:iCs/>
          <w:sz w:val="20"/>
          <w:szCs w:val="20"/>
        </w:rPr>
      </w:pPr>
      <w:r w:rsidRPr="00A86636">
        <w:rPr>
          <w:rFonts w:ascii="Arial" w:hAnsi="Arial" w:cs="Arial"/>
          <w:b/>
          <w:bCs/>
          <w:i/>
          <w:iCs/>
          <w:sz w:val="20"/>
          <w:szCs w:val="20"/>
        </w:rPr>
        <w:t>Faltas Sustanciales</w:t>
      </w:r>
    </w:p>
    <w:p w:rsidR="00C42F08"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 xml:space="preserve">Omisión de presentar su informe definitivo de gastos de campaña en doce elecciones de </w:t>
      </w:r>
      <w:r w:rsidR="00195C65" w:rsidRPr="00195C65">
        <w:rPr>
          <w:rFonts w:ascii="Arial" w:hAnsi="Arial" w:cs="Arial"/>
          <w:sz w:val="20"/>
          <w:szCs w:val="20"/>
        </w:rPr>
        <w:t>A</w:t>
      </w:r>
      <w:r w:rsidRPr="00195C65">
        <w:rPr>
          <w:rFonts w:ascii="Arial" w:hAnsi="Arial" w:cs="Arial"/>
          <w:sz w:val="20"/>
          <w:szCs w:val="20"/>
        </w:rPr>
        <w:t>yuntamientos.</w:t>
      </w:r>
    </w:p>
    <w:p w:rsidR="00C42F08" w:rsidRPr="00C42F08" w:rsidRDefault="00C42F08" w:rsidP="00476839">
      <w:pPr>
        <w:pStyle w:val="Prrafodelista"/>
        <w:autoSpaceDE w:val="0"/>
        <w:autoSpaceDN w:val="0"/>
        <w:adjustRightInd w:val="0"/>
        <w:ind w:left="426" w:hanging="426"/>
        <w:jc w:val="both"/>
        <w:rPr>
          <w:rFonts w:ascii="Arial" w:hAnsi="Arial" w:cs="Arial"/>
          <w:sz w:val="20"/>
          <w:szCs w:val="20"/>
        </w:rPr>
      </w:pPr>
    </w:p>
    <w:p w:rsidR="00C42F08"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 xml:space="preserve">No presentación de las conciliaciones bancarias en las ciento veinticinco campañas para </w:t>
      </w:r>
      <w:r w:rsidR="00195C65" w:rsidRPr="00195C65">
        <w:rPr>
          <w:rFonts w:ascii="Arial" w:hAnsi="Arial" w:cs="Arial"/>
          <w:sz w:val="20"/>
          <w:szCs w:val="20"/>
        </w:rPr>
        <w:t>A</w:t>
      </w:r>
      <w:r w:rsidRPr="00195C65">
        <w:rPr>
          <w:rFonts w:ascii="Arial" w:hAnsi="Arial" w:cs="Arial"/>
          <w:sz w:val="20"/>
          <w:szCs w:val="20"/>
        </w:rPr>
        <w:t>yuntamientos.</w:t>
      </w:r>
    </w:p>
    <w:p w:rsidR="00C42F08" w:rsidRPr="00C42F08" w:rsidRDefault="00C42F08" w:rsidP="00476839">
      <w:pPr>
        <w:pStyle w:val="Prrafodelista"/>
        <w:autoSpaceDE w:val="0"/>
        <w:autoSpaceDN w:val="0"/>
        <w:adjustRightInd w:val="0"/>
        <w:ind w:left="426" w:hanging="426"/>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La entrega paulatina, a partir del tres de noviembre de dos mil nueve, de la información referente a</w:t>
      </w:r>
      <w:r w:rsidR="00195C65" w:rsidRPr="00195C65">
        <w:rPr>
          <w:rFonts w:ascii="Arial" w:hAnsi="Arial" w:cs="Arial"/>
          <w:sz w:val="20"/>
          <w:szCs w:val="20"/>
        </w:rPr>
        <w:t xml:space="preserve"> </w:t>
      </w:r>
      <w:r w:rsidRPr="00195C65">
        <w:rPr>
          <w:rFonts w:ascii="Arial" w:hAnsi="Arial" w:cs="Arial"/>
          <w:sz w:val="20"/>
          <w:szCs w:val="20"/>
        </w:rPr>
        <w:t xml:space="preserve">las campañas de </w:t>
      </w:r>
      <w:r w:rsidR="00195C65" w:rsidRPr="00195C65">
        <w:rPr>
          <w:rFonts w:ascii="Arial" w:hAnsi="Arial" w:cs="Arial"/>
          <w:sz w:val="20"/>
          <w:szCs w:val="20"/>
        </w:rPr>
        <w:t>A</w:t>
      </w:r>
      <w:r w:rsidRPr="00195C65">
        <w:rPr>
          <w:rFonts w:ascii="Arial" w:hAnsi="Arial" w:cs="Arial"/>
          <w:sz w:val="20"/>
          <w:szCs w:val="20"/>
        </w:rPr>
        <w:t>yuntamientos, concluyendo el seis del mismo mes y año.</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 xml:space="preserve">La entrega de la información correspondiente a las campañas de </w:t>
      </w:r>
      <w:r w:rsidR="00195C65" w:rsidRPr="00195C65">
        <w:rPr>
          <w:rFonts w:ascii="Arial" w:hAnsi="Arial" w:cs="Arial"/>
          <w:sz w:val="20"/>
          <w:szCs w:val="20"/>
        </w:rPr>
        <w:t>D</w:t>
      </w:r>
      <w:r w:rsidRPr="00195C65">
        <w:rPr>
          <w:rFonts w:ascii="Arial" w:hAnsi="Arial" w:cs="Arial"/>
          <w:sz w:val="20"/>
          <w:szCs w:val="20"/>
        </w:rPr>
        <w:t>iputados de cada uno de los distritos, a partir del nueve de noviembre de dos mil nueve, concluyendo el once del mismo mes y año.</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La entrega de la cuenta concentradora pausadamente.</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La falta de los primeros veinticinco cheques en el consecutivo respectivo sin registro alguno.</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La ausencia de ochenta y ocho cheques que asciende aproximadamente a la cantidad $3’204,166.00 (tres millones doscientos cuatro mil ciento sesenta y seis pesos 00/100 M.N.), respecto de los cuáles no se puede determinar si el monto que aparece en el listado consecutivo es correcto, ni el destino de los mismos, pues no existe registro contable, el talonario no está requisitado, y tampoco se mostró copia del cheque.</w:t>
      </w:r>
    </w:p>
    <w:p w:rsidR="00990C83" w:rsidRPr="00E5019C" w:rsidRDefault="00990C83" w:rsidP="00476839">
      <w:pPr>
        <w:autoSpaceDE w:val="0"/>
        <w:autoSpaceDN w:val="0"/>
        <w:adjustRightInd w:val="0"/>
        <w:ind w:left="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Diferencia entre el financiamiento obtenido y los cheques librados sin comprobar que asciende a la cantidad de $1’870,713.43 (un millón ochocientos setenta mil setecientos trece pesos 43/100 M.N.)</w:t>
      </w:r>
      <w:r w:rsidR="00A86636" w:rsidRPr="00195C65">
        <w:rPr>
          <w:rFonts w:ascii="Arial" w:hAnsi="Arial" w:cs="Arial"/>
          <w:sz w:val="20"/>
          <w:szCs w:val="20"/>
        </w:rPr>
        <w:t>.</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lastRenderedPageBreak/>
        <w:t>La substitución y modificación de la información y documentación contable realizada durante la visita de verificación respecto de los formatos de informe de campaña, las balanzas de comprobación y auxiliares contables.</w:t>
      </w:r>
    </w:p>
    <w:p w:rsidR="00990C83" w:rsidRPr="00E5019C" w:rsidRDefault="00990C83" w:rsidP="00476839">
      <w:pPr>
        <w:autoSpaceDE w:val="0"/>
        <w:autoSpaceDN w:val="0"/>
        <w:adjustRightInd w:val="0"/>
        <w:ind w:left="426" w:hanging="426"/>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La modificación que realizó en el desahogo de la garantía de audiencia consistente en diversos ajustes unilaterales sin evidencia documental en las campañas de ayuntamiento postuladas en lo individual y en candidaturas comunes con el Partido de la Revolución Democrática y con Convergencia Partido Político Nacional.</w:t>
      </w:r>
    </w:p>
    <w:p w:rsidR="00195C65" w:rsidRDefault="00195C65" w:rsidP="00476839">
      <w:pPr>
        <w:pStyle w:val="Prrafodelista"/>
        <w:autoSpaceDE w:val="0"/>
        <w:autoSpaceDN w:val="0"/>
        <w:adjustRightInd w:val="0"/>
        <w:ind w:left="426"/>
        <w:jc w:val="both"/>
        <w:rPr>
          <w:rFonts w:ascii="Arial" w:hAnsi="Arial" w:cs="Arial"/>
          <w:sz w:val="20"/>
          <w:szCs w:val="20"/>
        </w:rPr>
      </w:pPr>
    </w:p>
    <w:p w:rsidR="00990C83"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195C65">
        <w:rPr>
          <w:rFonts w:ascii="Arial" w:hAnsi="Arial" w:cs="Arial"/>
          <w:sz w:val="20"/>
          <w:szCs w:val="20"/>
        </w:rPr>
        <w:t xml:space="preserve">El rebase de tope gastos, sin haber obtenido el triunfo en ningún caso, en las campañas de </w:t>
      </w:r>
      <w:r w:rsidR="000C05DC" w:rsidRPr="00195C65">
        <w:rPr>
          <w:rFonts w:ascii="Arial" w:hAnsi="Arial" w:cs="Arial"/>
          <w:sz w:val="20"/>
          <w:szCs w:val="20"/>
        </w:rPr>
        <w:t>Ay</w:t>
      </w:r>
      <w:r w:rsidRPr="00195C65">
        <w:rPr>
          <w:rFonts w:ascii="Arial" w:hAnsi="Arial" w:cs="Arial"/>
          <w:sz w:val="20"/>
          <w:szCs w:val="20"/>
        </w:rPr>
        <w:t>untamiento de los municipios de:</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a. Cocotitlán, por la cantidad de $1,452.11 (mil cuatrocientos cincuenta y dos pesos 11/100 M.N.);</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b. Joquicingo, por la cantidad de $32,108.07 (treinta y dos mil ciento ocho pesos 07/100 M.N.);</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c. Santo Tomás de los Plátanos, por la cantidad de $155.76 (ciento cincuenta y cinco pesos 76/100 M.N.); y</w:t>
      </w:r>
    </w:p>
    <w:p w:rsidR="00195C65"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d. Ixtapan de la Sal, por $5,028.82 (cinco mil veintiocho pesos 82/100 M.N.)</w:t>
      </w:r>
    </w:p>
    <w:p w:rsidR="00195C65" w:rsidRDefault="00195C65" w:rsidP="00476839">
      <w:pPr>
        <w:autoSpaceDE w:val="0"/>
        <w:autoSpaceDN w:val="0"/>
        <w:adjustRightInd w:val="0"/>
        <w:contextualSpacing/>
        <w:jc w:val="both"/>
        <w:rPr>
          <w:rFonts w:ascii="Arial" w:hAnsi="Arial" w:cs="Arial"/>
          <w:sz w:val="20"/>
          <w:szCs w:val="20"/>
        </w:rPr>
      </w:pPr>
    </w:p>
    <w:p w:rsidR="00990C83" w:rsidRPr="00195C65" w:rsidRDefault="00990C83" w:rsidP="00476839">
      <w:pPr>
        <w:pStyle w:val="Prrafodelista"/>
        <w:numPr>
          <w:ilvl w:val="0"/>
          <w:numId w:val="97"/>
        </w:numPr>
        <w:autoSpaceDE w:val="0"/>
        <w:autoSpaceDN w:val="0"/>
        <w:adjustRightInd w:val="0"/>
        <w:ind w:left="426" w:hanging="426"/>
        <w:jc w:val="both"/>
        <w:rPr>
          <w:rFonts w:ascii="Arial" w:hAnsi="Arial" w:cs="Arial"/>
          <w:sz w:val="20"/>
          <w:szCs w:val="20"/>
        </w:rPr>
      </w:pPr>
      <w:r w:rsidRPr="00195C65">
        <w:rPr>
          <w:rFonts w:ascii="Arial" w:hAnsi="Arial" w:cs="Arial"/>
          <w:sz w:val="20"/>
          <w:szCs w:val="20"/>
        </w:rPr>
        <w:t xml:space="preserve">Rebase del tope de gastos de campaña en tres municipios para la elección de </w:t>
      </w:r>
      <w:r w:rsidR="00195C65" w:rsidRPr="00195C65">
        <w:rPr>
          <w:rFonts w:ascii="Arial" w:hAnsi="Arial" w:cs="Arial"/>
          <w:sz w:val="20"/>
          <w:szCs w:val="20"/>
        </w:rPr>
        <w:t>A</w:t>
      </w:r>
      <w:r w:rsidRPr="00195C65">
        <w:rPr>
          <w:rFonts w:ascii="Arial" w:hAnsi="Arial" w:cs="Arial"/>
          <w:sz w:val="20"/>
          <w:szCs w:val="20"/>
        </w:rPr>
        <w:t>yuntamiento, en virtud de las candidaturas comunes postuladas con el Partido de la Revolución Democrática por un importe total de $135,285.02 (ciento treinta y cinco mil doscientos ochenta y cinco pesos 02/100 M.N.), sin haber obtenido el triunfo en ningún caso, siendo las cantidades por las que se rebasó el tope de gastos en cada municipio, las siguientes:</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a. Metepec, por la cantidad de $29,086.54</w:t>
      </w:r>
      <w:r w:rsidR="00DB28F6">
        <w:rPr>
          <w:rFonts w:ascii="Arial" w:hAnsi="Arial" w:cs="Arial"/>
          <w:sz w:val="20"/>
          <w:szCs w:val="20"/>
        </w:rPr>
        <w:t xml:space="preserve"> (veintinueve mil ochenta y seis pesos 54/100 M.N.)</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b. Temascalapa, por la cantidad de $2,690.56</w:t>
      </w:r>
      <w:r w:rsidR="00DB28F6">
        <w:rPr>
          <w:rFonts w:ascii="Arial" w:hAnsi="Arial" w:cs="Arial"/>
          <w:sz w:val="20"/>
          <w:szCs w:val="20"/>
        </w:rPr>
        <w:t xml:space="preserve"> (dos mil seiscientos noventa </w:t>
      </w:r>
      <w:r w:rsidR="004D5742">
        <w:rPr>
          <w:rFonts w:ascii="Arial" w:hAnsi="Arial" w:cs="Arial"/>
          <w:sz w:val="20"/>
          <w:szCs w:val="20"/>
        </w:rPr>
        <w:t xml:space="preserve">pesos </w:t>
      </w:r>
      <w:r w:rsidR="00DB28F6">
        <w:rPr>
          <w:rFonts w:ascii="Arial" w:hAnsi="Arial" w:cs="Arial"/>
          <w:sz w:val="20"/>
          <w:szCs w:val="20"/>
        </w:rPr>
        <w:t>56/100 M.N.)</w:t>
      </w:r>
    </w:p>
    <w:p w:rsidR="00990C83" w:rsidRPr="00E5019C" w:rsidRDefault="00990C83" w:rsidP="00476839">
      <w:pPr>
        <w:autoSpaceDE w:val="0"/>
        <w:autoSpaceDN w:val="0"/>
        <w:adjustRightInd w:val="0"/>
        <w:ind w:left="993" w:hanging="284"/>
        <w:contextualSpacing/>
        <w:jc w:val="both"/>
        <w:rPr>
          <w:rFonts w:ascii="Arial" w:hAnsi="Arial" w:cs="Arial"/>
          <w:sz w:val="20"/>
          <w:szCs w:val="20"/>
        </w:rPr>
      </w:pPr>
      <w:r w:rsidRPr="00E5019C">
        <w:rPr>
          <w:rFonts w:ascii="Arial" w:hAnsi="Arial" w:cs="Arial"/>
          <w:sz w:val="20"/>
          <w:szCs w:val="20"/>
        </w:rPr>
        <w:t>c. Tonatico, por la cantidad de $103,507.92</w:t>
      </w:r>
      <w:r w:rsidR="00DB28F6">
        <w:rPr>
          <w:rFonts w:ascii="Arial" w:hAnsi="Arial" w:cs="Arial"/>
          <w:sz w:val="20"/>
          <w:szCs w:val="20"/>
        </w:rPr>
        <w:t xml:space="preserve"> (ciento tres mil quinientos siete mil </w:t>
      </w:r>
      <w:r w:rsidR="004D5742">
        <w:rPr>
          <w:rFonts w:ascii="Arial" w:hAnsi="Arial" w:cs="Arial"/>
          <w:sz w:val="20"/>
          <w:szCs w:val="20"/>
        </w:rPr>
        <w:t xml:space="preserve">pesos </w:t>
      </w:r>
      <w:r w:rsidR="00DB28F6">
        <w:rPr>
          <w:rFonts w:ascii="Arial" w:hAnsi="Arial" w:cs="Arial"/>
          <w:sz w:val="20"/>
          <w:szCs w:val="20"/>
        </w:rPr>
        <w:t>92/100 M.N.)</w:t>
      </w:r>
    </w:p>
    <w:p w:rsidR="00990C83" w:rsidRPr="00E5019C" w:rsidRDefault="00990C83" w:rsidP="00476839">
      <w:pPr>
        <w:autoSpaceDE w:val="0"/>
        <w:autoSpaceDN w:val="0"/>
        <w:adjustRightInd w:val="0"/>
        <w:ind w:hanging="426"/>
        <w:contextualSpacing/>
        <w:jc w:val="both"/>
        <w:rPr>
          <w:rFonts w:ascii="Arial" w:hAnsi="Arial" w:cs="Arial"/>
          <w:sz w:val="20"/>
          <w:szCs w:val="20"/>
        </w:rPr>
      </w:pPr>
    </w:p>
    <w:p w:rsidR="00990C83" w:rsidRPr="00E5019C" w:rsidRDefault="00990C83" w:rsidP="00476839">
      <w:pPr>
        <w:pStyle w:val="Prrafodelista"/>
        <w:numPr>
          <w:ilvl w:val="0"/>
          <w:numId w:val="97"/>
        </w:numPr>
        <w:autoSpaceDE w:val="0"/>
        <w:autoSpaceDN w:val="0"/>
        <w:adjustRightInd w:val="0"/>
        <w:ind w:left="426"/>
        <w:jc w:val="both"/>
        <w:rPr>
          <w:rFonts w:ascii="Arial" w:hAnsi="Arial" w:cs="Arial"/>
          <w:sz w:val="20"/>
          <w:szCs w:val="20"/>
        </w:rPr>
      </w:pPr>
      <w:r w:rsidRPr="00E5019C">
        <w:rPr>
          <w:rFonts w:ascii="Arial" w:hAnsi="Arial" w:cs="Arial"/>
          <w:sz w:val="20"/>
          <w:szCs w:val="20"/>
        </w:rPr>
        <w:t>Rebase del tope de gastos de campaña en la elección de ayuntamiento del municipio de Zacualpan por un monto total de $41,683.03 (cuarenta y un mil seiscientos ochenta y tres pesos 03/100 M.N.), en virtud de la candidatura común postulada con Convergencia Partido Político Nacional, la cual obtuvo el triunfo.</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621C18" w:rsidRDefault="00990C83" w:rsidP="00476839">
      <w:pPr>
        <w:rPr>
          <w:rFonts w:ascii="Arial" w:hAnsi="Arial" w:cs="Arial"/>
          <w:bCs/>
          <w:i/>
          <w:iCs/>
          <w:sz w:val="20"/>
          <w:szCs w:val="20"/>
        </w:rPr>
      </w:pPr>
      <w:r w:rsidRPr="00A86636">
        <w:rPr>
          <w:rFonts w:ascii="Arial" w:hAnsi="Arial" w:cs="Arial"/>
          <w:b/>
          <w:bCs/>
          <w:i/>
          <w:iCs/>
          <w:sz w:val="20"/>
          <w:szCs w:val="20"/>
        </w:rPr>
        <w:t>Faltas Formales</w:t>
      </w:r>
    </w:p>
    <w:p w:rsidR="00A217C8" w:rsidRDefault="00990C83" w:rsidP="00476839">
      <w:pPr>
        <w:pStyle w:val="Prrafodelista"/>
        <w:numPr>
          <w:ilvl w:val="0"/>
          <w:numId w:val="98"/>
        </w:numPr>
        <w:autoSpaceDE w:val="0"/>
        <w:autoSpaceDN w:val="0"/>
        <w:adjustRightInd w:val="0"/>
        <w:ind w:left="426"/>
        <w:jc w:val="both"/>
        <w:rPr>
          <w:rFonts w:ascii="Arial" w:hAnsi="Arial" w:cs="Arial"/>
          <w:sz w:val="20"/>
          <w:szCs w:val="20"/>
        </w:rPr>
      </w:pPr>
      <w:r w:rsidRPr="00A217C8">
        <w:rPr>
          <w:rFonts w:ascii="Arial" w:hAnsi="Arial" w:cs="Arial"/>
          <w:sz w:val="20"/>
          <w:szCs w:val="20"/>
        </w:rPr>
        <w:t xml:space="preserve">La omisión del Partido del Trabajo de traspasar el remanente de $4,943.51 </w:t>
      </w:r>
      <w:r w:rsidR="004D5742">
        <w:rPr>
          <w:rFonts w:ascii="Arial" w:hAnsi="Arial" w:cs="Arial"/>
          <w:sz w:val="20"/>
          <w:szCs w:val="20"/>
        </w:rPr>
        <w:t xml:space="preserve">(cuatro mil novecientos cuarenta y tres pesos 51/100 M.N.) </w:t>
      </w:r>
      <w:r w:rsidRPr="00A217C8">
        <w:rPr>
          <w:rFonts w:ascii="Arial" w:hAnsi="Arial" w:cs="Arial"/>
          <w:sz w:val="20"/>
          <w:szCs w:val="20"/>
        </w:rPr>
        <w:t xml:space="preserve">de la cuenta </w:t>
      </w:r>
      <w:proofErr w:type="spellStart"/>
      <w:r w:rsidRPr="00A217C8">
        <w:rPr>
          <w:rFonts w:ascii="Arial" w:hAnsi="Arial" w:cs="Arial"/>
          <w:sz w:val="20"/>
          <w:szCs w:val="20"/>
        </w:rPr>
        <w:t>aperturada</w:t>
      </w:r>
      <w:proofErr w:type="spellEnd"/>
      <w:r w:rsidRPr="00A217C8">
        <w:rPr>
          <w:rFonts w:ascii="Arial" w:hAnsi="Arial" w:cs="Arial"/>
          <w:sz w:val="20"/>
          <w:szCs w:val="20"/>
        </w:rPr>
        <w:t xml:space="preserve"> para gastos de campaña a la contabilidad de actividades ordinarias.</w:t>
      </w:r>
    </w:p>
    <w:p w:rsidR="00A217C8" w:rsidRDefault="00A217C8" w:rsidP="00476839">
      <w:pPr>
        <w:pStyle w:val="Prrafodelista"/>
        <w:autoSpaceDE w:val="0"/>
        <w:autoSpaceDN w:val="0"/>
        <w:adjustRightInd w:val="0"/>
        <w:ind w:left="426"/>
        <w:jc w:val="both"/>
        <w:rPr>
          <w:rFonts w:ascii="Arial" w:hAnsi="Arial" w:cs="Arial"/>
          <w:sz w:val="20"/>
          <w:szCs w:val="20"/>
        </w:rPr>
      </w:pPr>
    </w:p>
    <w:p w:rsidR="00A217C8" w:rsidRDefault="00990C83" w:rsidP="00476839">
      <w:pPr>
        <w:pStyle w:val="Prrafodelista"/>
        <w:numPr>
          <w:ilvl w:val="0"/>
          <w:numId w:val="98"/>
        </w:numPr>
        <w:autoSpaceDE w:val="0"/>
        <w:autoSpaceDN w:val="0"/>
        <w:adjustRightInd w:val="0"/>
        <w:ind w:left="426"/>
        <w:jc w:val="both"/>
        <w:rPr>
          <w:rFonts w:ascii="Arial" w:hAnsi="Arial" w:cs="Arial"/>
          <w:sz w:val="20"/>
          <w:szCs w:val="20"/>
        </w:rPr>
      </w:pPr>
      <w:r w:rsidRPr="00A217C8">
        <w:rPr>
          <w:rFonts w:ascii="Arial" w:hAnsi="Arial" w:cs="Arial"/>
          <w:sz w:val="20"/>
          <w:szCs w:val="20"/>
        </w:rPr>
        <w:t xml:space="preserve">La presentación de las facturas 0717 y 0719 por $1,873.25 </w:t>
      </w:r>
      <w:r w:rsidR="004D5742">
        <w:rPr>
          <w:rFonts w:ascii="Arial" w:hAnsi="Arial" w:cs="Arial"/>
          <w:sz w:val="20"/>
          <w:szCs w:val="20"/>
        </w:rPr>
        <w:t xml:space="preserve">(mil ochocientos setenta y tres pesos 25/100 M.N.) </w:t>
      </w:r>
      <w:r w:rsidRPr="00A217C8">
        <w:rPr>
          <w:rFonts w:ascii="Arial" w:hAnsi="Arial" w:cs="Arial"/>
          <w:sz w:val="20"/>
          <w:szCs w:val="20"/>
        </w:rPr>
        <w:t>y $1,380.00</w:t>
      </w:r>
      <w:r w:rsidR="004D5742">
        <w:rPr>
          <w:rFonts w:ascii="Arial" w:hAnsi="Arial" w:cs="Arial"/>
          <w:sz w:val="20"/>
          <w:szCs w:val="20"/>
        </w:rPr>
        <w:t xml:space="preserve"> (mil trescientos ochenta pesos 00/100 M.N.)</w:t>
      </w:r>
      <w:r w:rsidRPr="00A217C8">
        <w:rPr>
          <w:rFonts w:ascii="Arial" w:hAnsi="Arial" w:cs="Arial"/>
          <w:sz w:val="20"/>
          <w:szCs w:val="20"/>
        </w:rPr>
        <w:t>, respectivamente; 049 por la cantidad de $4,784.00</w:t>
      </w:r>
      <w:r w:rsidR="004D5742">
        <w:rPr>
          <w:rFonts w:ascii="Arial" w:hAnsi="Arial" w:cs="Arial"/>
          <w:sz w:val="20"/>
          <w:szCs w:val="20"/>
        </w:rPr>
        <w:t xml:space="preserve"> (cuatro mil setecientos </w:t>
      </w:r>
      <w:r w:rsidR="009D43BF">
        <w:rPr>
          <w:rFonts w:ascii="Arial" w:hAnsi="Arial" w:cs="Arial"/>
          <w:sz w:val="20"/>
          <w:szCs w:val="20"/>
        </w:rPr>
        <w:t>ochenta y cuatro pesos 00/100 M.N.)</w:t>
      </w:r>
      <w:r w:rsidRPr="00A217C8">
        <w:rPr>
          <w:rFonts w:ascii="Arial" w:hAnsi="Arial" w:cs="Arial"/>
          <w:sz w:val="20"/>
          <w:szCs w:val="20"/>
        </w:rPr>
        <w:t xml:space="preserve"> y 045 por $4,996.75</w:t>
      </w:r>
      <w:r w:rsidR="009D43BF">
        <w:rPr>
          <w:rFonts w:ascii="Arial" w:hAnsi="Arial" w:cs="Arial"/>
          <w:sz w:val="20"/>
          <w:szCs w:val="20"/>
        </w:rPr>
        <w:t xml:space="preserve"> (cuatro mil novecientos noventa y seis pesos 75/100 M.N.)</w:t>
      </w:r>
      <w:r w:rsidRPr="00A217C8">
        <w:rPr>
          <w:rFonts w:ascii="Arial" w:hAnsi="Arial" w:cs="Arial"/>
          <w:sz w:val="20"/>
          <w:szCs w:val="20"/>
        </w:rPr>
        <w:t>, que tienen una fecha de vigencia anterior a aquélla en la que fueron expedidas.</w:t>
      </w:r>
    </w:p>
    <w:p w:rsidR="00A217C8" w:rsidRPr="00A217C8" w:rsidRDefault="00A217C8" w:rsidP="00476839">
      <w:pPr>
        <w:pStyle w:val="Prrafodelista"/>
        <w:ind w:left="426"/>
        <w:rPr>
          <w:rFonts w:ascii="Arial" w:hAnsi="Arial" w:cs="Arial"/>
          <w:sz w:val="20"/>
          <w:szCs w:val="20"/>
        </w:rPr>
      </w:pPr>
    </w:p>
    <w:p w:rsidR="00A217C8" w:rsidRDefault="00990C83" w:rsidP="00476839">
      <w:pPr>
        <w:pStyle w:val="Prrafodelista"/>
        <w:numPr>
          <w:ilvl w:val="0"/>
          <w:numId w:val="98"/>
        </w:numPr>
        <w:autoSpaceDE w:val="0"/>
        <w:autoSpaceDN w:val="0"/>
        <w:adjustRightInd w:val="0"/>
        <w:ind w:left="426"/>
        <w:jc w:val="both"/>
        <w:rPr>
          <w:rFonts w:ascii="Arial" w:hAnsi="Arial" w:cs="Arial"/>
          <w:sz w:val="20"/>
          <w:szCs w:val="20"/>
        </w:rPr>
      </w:pPr>
      <w:r w:rsidRPr="00A217C8">
        <w:rPr>
          <w:rFonts w:ascii="Arial" w:hAnsi="Arial" w:cs="Arial"/>
          <w:sz w:val="20"/>
          <w:szCs w:val="20"/>
        </w:rPr>
        <w:t>El registro de la factura 815 en la cuenta de propaganda en “gorras” sin que en ella se detalle el concepto, de modo tal que la factura no especifica el tipo de gasto</w:t>
      </w:r>
      <w:r w:rsidR="00A217C8">
        <w:rPr>
          <w:rFonts w:ascii="Arial" w:hAnsi="Arial" w:cs="Arial"/>
          <w:sz w:val="20"/>
          <w:szCs w:val="20"/>
        </w:rPr>
        <w:t>.</w:t>
      </w:r>
    </w:p>
    <w:p w:rsidR="00A217C8" w:rsidRPr="00A217C8" w:rsidRDefault="00A217C8" w:rsidP="00476839">
      <w:pPr>
        <w:pStyle w:val="Prrafodelista"/>
        <w:ind w:left="426"/>
        <w:rPr>
          <w:rFonts w:ascii="Arial" w:hAnsi="Arial" w:cs="Arial"/>
          <w:sz w:val="20"/>
          <w:szCs w:val="20"/>
        </w:rPr>
      </w:pPr>
    </w:p>
    <w:p w:rsidR="00990C83" w:rsidRPr="00A217C8" w:rsidRDefault="00990C83" w:rsidP="00476839">
      <w:pPr>
        <w:pStyle w:val="Prrafodelista"/>
        <w:numPr>
          <w:ilvl w:val="0"/>
          <w:numId w:val="98"/>
        </w:numPr>
        <w:autoSpaceDE w:val="0"/>
        <w:autoSpaceDN w:val="0"/>
        <w:adjustRightInd w:val="0"/>
        <w:ind w:left="426"/>
        <w:jc w:val="both"/>
        <w:rPr>
          <w:rFonts w:ascii="Arial" w:hAnsi="Arial" w:cs="Arial"/>
          <w:sz w:val="20"/>
          <w:szCs w:val="20"/>
        </w:rPr>
      </w:pPr>
      <w:r w:rsidRPr="00A217C8">
        <w:rPr>
          <w:rFonts w:ascii="Arial" w:hAnsi="Arial" w:cs="Arial"/>
          <w:sz w:val="20"/>
          <w:szCs w:val="20"/>
        </w:rPr>
        <w:t>La omisión del Partido del Trabajo de informar al Órgano Técnico de Fiscalización respecto del monto o porcentaje de participación en el tope de gastos de las candidaturas comunes que postuló con el Partido de la Revolución Democrática y con Convergencia.</w:t>
      </w:r>
    </w:p>
    <w:p w:rsidR="00990C83" w:rsidRPr="00E5019C" w:rsidRDefault="00990C83" w:rsidP="00476839">
      <w:pPr>
        <w:autoSpaceDE w:val="0"/>
        <w:autoSpaceDN w:val="0"/>
        <w:adjustRightInd w:val="0"/>
        <w:contextualSpacing/>
        <w:jc w:val="both"/>
        <w:rPr>
          <w:rFonts w:ascii="Arial" w:hAnsi="Arial" w:cs="Arial"/>
          <w:sz w:val="20"/>
          <w:szCs w:val="20"/>
        </w:rPr>
      </w:pPr>
    </w:p>
    <w:p w:rsidR="00621C18" w:rsidRDefault="00621C18" w:rsidP="00476839">
      <w:pPr>
        <w:autoSpaceDE w:val="0"/>
        <w:autoSpaceDN w:val="0"/>
        <w:adjustRightInd w:val="0"/>
        <w:contextualSpacing/>
        <w:jc w:val="both"/>
        <w:rPr>
          <w:rFonts w:ascii="Arial" w:hAnsi="Arial" w:cs="Arial"/>
          <w:b/>
          <w:sz w:val="20"/>
          <w:szCs w:val="20"/>
        </w:rPr>
      </w:pPr>
    </w:p>
    <w:p w:rsidR="00B83774" w:rsidRDefault="00B83774" w:rsidP="00476839">
      <w:pPr>
        <w:autoSpaceDE w:val="0"/>
        <w:autoSpaceDN w:val="0"/>
        <w:adjustRightInd w:val="0"/>
        <w:contextualSpacing/>
        <w:jc w:val="both"/>
        <w:rPr>
          <w:rFonts w:ascii="Arial" w:hAnsi="Arial" w:cs="Arial"/>
          <w:b/>
          <w:sz w:val="20"/>
          <w:szCs w:val="20"/>
        </w:rPr>
      </w:pPr>
    </w:p>
    <w:p w:rsidR="00990C83" w:rsidRPr="00E5019C" w:rsidRDefault="00990C83" w:rsidP="00476839">
      <w:pPr>
        <w:autoSpaceDE w:val="0"/>
        <w:autoSpaceDN w:val="0"/>
        <w:adjustRightInd w:val="0"/>
        <w:contextualSpacing/>
        <w:jc w:val="center"/>
        <w:rPr>
          <w:rFonts w:ascii="Arial" w:hAnsi="Arial" w:cs="Arial"/>
          <w:b/>
          <w:sz w:val="20"/>
          <w:szCs w:val="20"/>
        </w:rPr>
      </w:pPr>
      <w:r w:rsidRPr="00E5019C">
        <w:rPr>
          <w:rFonts w:ascii="Arial" w:hAnsi="Arial" w:cs="Arial"/>
          <w:b/>
          <w:sz w:val="20"/>
          <w:szCs w:val="20"/>
        </w:rPr>
        <w:lastRenderedPageBreak/>
        <w:t>Partido Verde Ecologista de México</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Sustanciales</w:t>
      </w:r>
    </w:p>
    <w:p w:rsidR="00A217C8" w:rsidRDefault="00990C83" w:rsidP="00476839">
      <w:pPr>
        <w:pStyle w:val="Prrafodelista"/>
        <w:numPr>
          <w:ilvl w:val="0"/>
          <w:numId w:val="99"/>
        </w:numPr>
        <w:autoSpaceDE w:val="0"/>
        <w:autoSpaceDN w:val="0"/>
        <w:adjustRightInd w:val="0"/>
        <w:ind w:left="426" w:hanging="426"/>
        <w:jc w:val="both"/>
        <w:rPr>
          <w:rFonts w:ascii="Arial" w:hAnsi="Arial" w:cs="Arial"/>
          <w:sz w:val="20"/>
          <w:szCs w:val="20"/>
        </w:rPr>
      </w:pPr>
      <w:r w:rsidRPr="00621C18">
        <w:rPr>
          <w:rFonts w:ascii="Arial" w:hAnsi="Arial" w:cs="Arial"/>
          <w:sz w:val="20"/>
          <w:szCs w:val="20"/>
        </w:rPr>
        <w:t xml:space="preserve">En el rubro de ingresos en especie de aportación de simpatizantes para el distrito XXV de Nezahualcóyotl, el Partido Verde Ecologista de México reportó la cantidad de $466,848.25 (Cuatrocientos sesenta y seis mil ochocientos cuarenta y ocho pesos 25/100 M.N.), consistente en una donación realizada por la empresa mercantil denominada “Constructora Profusa, S.A. de C.V.”, al C. Francisco Javier </w:t>
      </w:r>
      <w:proofErr w:type="spellStart"/>
      <w:r w:rsidRPr="00621C18">
        <w:rPr>
          <w:rFonts w:ascii="Arial" w:hAnsi="Arial" w:cs="Arial"/>
          <w:sz w:val="20"/>
          <w:szCs w:val="20"/>
        </w:rPr>
        <w:t>Funtanet</w:t>
      </w:r>
      <w:proofErr w:type="spellEnd"/>
      <w:r w:rsidRPr="00621C18">
        <w:rPr>
          <w:rFonts w:ascii="Arial" w:hAnsi="Arial" w:cs="Arial"/>
          <w:sz w:val="20"/>
          <w:szCs w:val="20"/>
        </w:rPr>
        <w:t xml:space="preserve"> </w:t>
      </w:r>
      <w:proofErr w:type="spellStart"/>
      <w:r w:rsidRPr="00621C18">
        <w:rPr>
          <w:rFonts w:ascii="Arial" w:hAnsi="Arial" w:cs="Arial"/>
          <w:sz w:val="20"/>
          <w:szCs w:val="20"/>
        </w:rPr>
        <w:t>Mange</w:t>
      </w:r>
      <w:proofErr w:type="spellEnd"/>
      <w:r w:rsidRPr="00621C18">
        <w:rPr>
          <w:rFonts w:ascii="Arial" w:hAnsi="Arial" w:cs="Arial"/>
          <w:sz w:val="20"/>
          <w:szCs w:val="20"/>
        </w:rPr>
        <w:t xml:space="preserve">, candidato a </w:t>
      </w:r>
      <w:r w:rsidR="00560170">
        <w:rPr>
          <w:rFonts w:ascii="Arial" w:hAnsi="Arial" w:cs="Arial"/>
          <w:sz w:val="20"/>
          <w:szCs w:val="20"/>
        </w:rPr>
        <w:t>D</w:t>
      </w:r>
      <w:r w:rsidRPr="00621C18">
        <w:rPr>
          <w:rFonts w:ascii="Arial" w:hAnsi="Arial" w:cs="Arial"/>
          <w:sz w:val="20"/>
          <w:szCs w:val="20"/>
        </w:rPr>
        <w:t>iputado por el principio de mayoría relativa en el proceso electoral dos mil nueve.</w:t>
      </w:r>
    </w:p>
    <w:p w:rsidR="00A217C8" w:rsidRDefault="00A217C8" w:rsidP="00476839">
      <w:pPr>
        <w:pStyle w:val="Prrafodelista"/>
        <w:autoSpaceDE w:val="0"/>
        <w:autoSpaceDN w:val="0"/>
        <w:adjustRightInd w:val="0"/>
        <w:ind w:left="426" w:hanging="426"/>
        <w:jc w:val="both"/>
        <w:rPr>
          <w:rFonts w:ascii="Arial" w:hAnsi="Arial" w:cs="Arial"/>
          <w:sz w:val="20"/>
          <w:szCs w:val="20"/>
        </w:rPr>
      </w:pPr>
    </w:p>
    <w:p w:rsidR="00990C83" w:rsidRPr="00A217C8" w:rsidRDefault="00990C83" w:rsidP="00476839">
      <w:pPr>
        <w:pStyle w:val="Prrafodelista"/>
        <w:numPr>
          <w:ilvl w:val="0"/>
          <w:numId w:val="99"/>
        </w:numPr>
        <w:autoSpaceDE w:val="0"/>
        <w:autoSpaceDN w:val="0"/>
        <w:adjustRightInd w:val="0"/>
        <w:ind w:left="426" w:hanging="426"/>
        <w:jc w:val="both"/>
        <w:rPr>
          <w:rFonts w:ascii="Arial" w:hAnsi="Arial" w:cs="Arial"/>
          <w:sz w:val="20"/>
          <w:szCs w:val="20"/>
        </w:rPr>
      </w:pPr>
      <w:r w:rsidRPr="00A217C8">
        <w:rPr>
          <w:rFonts w:ascii="Arial" w:hAnsi="Arial" w:cs="Arial"/>
          <w:sz w:val="20"/>
          <w:szCs w:val="20"/>
        </w:rPr>
        <w:t xml:space="preserve">Por otra </w:t>
      </w:r>
      <w:proofErr w:type="gramStart"/>
      <w:r w:rsidRPr="00A217C8">
        <w:rPr>
          <w:rFonts w:ascii="Arial" w:hAnsi="Arial" w:cs="Arial"/>
          <w:sz w:val="20"/>
          <w:szCs w:val="20"/>
        </w:rPr>
        <w:t>parte</w:t>
      </w:r>
      <w:proofErr w:type="gramEnd"/>
      <w:r w:rsidRPr="00A217C8">
        <w:rPr>
          <w:rFonts w:ascii="Arial" w:hAnsi="Arial" w:cs="Arial"/>
          <w:sz w:val="20"/>
          <w:szCs w:val="20"/>
        </w:rPr>
        <w:t xml:space="preserve"> y como otra falta sustancial, se tiene que el Partido Verde Ecologista de México es responsable directo del rebase del tope de gastos de campaña en 20 </w:t>
      </w:r>
      <w:r w:rsidR="00A217C8">
        <w:rPr>
          <w:rFonts w:ascii="Arial" w:hAnsi="Arial" w:cs="Arial"/>
          <w:sz w:val="20"/>
          <w:szCs w:val="20"/>
        </w:rPr>
        <w:t>A</w:t>
      </w:r>
      <w:r w:rsidRPr="00A217C8">
        <w:rPr>
          <w:rFonts w:ascii="Arial" w:hAnsi="Arial" w:cs="Arial"/>
          <w:sz w:val="20"/>
          <w:szCs w:val="20"/>
        </w:rPr>
        <w:t xml:space="preserve">yuntamientos en los que dicho partido político, y los partidos Revolucionario Institucional, Nueva Alianza, y </w:t>
      </w:r>
      <w:r w:rsidR="00621C18" w:rsidRPr="00A217C8">
        <w:rPr>
          <w:rFonts w:ascii="Arial" w:hAnsi="Arial" w:cs="Arial"/>
          <w:sz w:val="20"/>
          <w:szCs w:val="20"/>
        </w:rPr>
        <w:t>otroras</w:t>
      </w:r>
      <w:r w:rsidRPr="00A217C8">
        <w:rPr>
          <w:rFonts w:ascii="Arial" w:hAnsi="Arial" w:cs="Arial"/>
          <w:sz w:val="20"/>
          <w:szCs w:val="20"/>
        </w:rPr>
        <w:t xml:space="preserve"> Socialdemócrata y Futuro Democrático postularon candidaturas comunes para las elecciones de los </w:t>
      </w:r>
      <w:r w:rsidR="00A217C8">
        <w:rPr>
          <w:rFonts w:ascii="Arial" w:hAnsi="Arial" w:cs="Arial"/>
          <w:sz w:val="20"/>
          <w:szCs w:val="20"/>
        </w:rPr>
        <w:t>A</w:t>
      </w:r>
      <w:r w:rsidRPr="00A217C8">
        <w:rPr>
          <w:rFonts w:ascii="Arial" w:hAnsi="Arial" w:cs="Arial"/>
          <w:sz w:val="20"/>
          <w:szCs w:val="20"/>
        </w:rPr>
        <w:t>yuntamientos de la Entidad.</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Formales</w:t>
      </w:r>
    </w:p>
    <w:p w:rsidR="00990C83" w:rsidRPr="00621C18" w:rsidRDefault="00990C83" w:rsidP="00476839">
      <w:pPr>
        <w:pStyle w:val="Prrafodelista"/>
        <w:numPr>
          <w:ilvl w:val="0"/>
          <w:numId w:val="95"/>
        </w:numPr>
        <w:autoSpaceDE w:val="0"/>
        <w:autoSpaceDN w:val="0"/>
        <w:adjustRightInd w:val="0"/>
        <w:ind w:left="426" w:hanging="426"/>
        <w:jc w:val="both"/>
        <w:rPr>
          <w:rFonts w:ascii="Arial" w:hAnsi="Arial" w:cs="Arial"/>
          <w:sz w:val="20"/>
          <w:szCs w:val="20"/>
        </w:rPr>
      </w:pPr>
      <w:r w:rsidRPr="00621C18">
        <w:rPr>
          <w:rFonts w:ascii="Arial" w:hAnsi="Arial" w:cs="Arial"/>
          <w:sz w:val="20"/>
          <w:szCs w:val="20"/>
        </w:rPr>
        <w:t>En el rubro de pasivos a gastos de propaganda respecto de distritos y ayuntamientos, el Partido Verde Ecologista de México efectuó el pago de pasivos por la cantidad de $3’617,944.90 (Tres millones seiscientos diecisiete mil novecientos cuarenta y cuatro pesos 90/100 M.N.), por concepto de gastos de propaganda a favor del proveedor “Servicio Postal Mexicano”, fuera del plazo legal efectuándose el dieciséis de diciembre de dos mil nueve, debiéndose haber realizado el veinte de julio de dos mil nueve. vulneró lo dispuesto por los artículos 52, fracción II y 60, fracción VI del Código Electoral del Estado de México.</w:t>
      </w:r>
    </w:p>
    <w:p w:rsidR="00990C83" w:rsidRDefault="00990C83" w:rsidP="00476839">
      <w:pPr>
        <w:autoSpaceDE w:val="0"/>
        <w:autoSpaceDN w:val="0"/>
        <w:adjustRightInd w:val="0"/>
        <w:contextualSpacing/>
        <w:jc w:val="both"/>
        <w:rPr>
          <w:rFonts w:ascii="Arial" w:hAnsi="Arial" w:cs="Arial"/>
          <w:sz w:val="20"/>
          <w:szCs w:val="20"/>
        </w:rPr>
      </w:pPr>
    </w:p>
    <w:p w:rsidR="00621C18" w:rsidRDefault="00621C18" w:rsidP="00476839">
      <w:pPr>
        <w:autoSpaceDE w:val="0"/>
        <w:autoSpaceDN w:val="0"/>
        <w:adjustRightInd w:val="0"/>
        <w:contextualSpacing/>
        <w:jc w:val="both"/>
        <w:rPr>
          <w:rFonts w:ascii="Arial" w:hAnsi="Arial" w:cs="Arial"/>
          <w:sz w:val="20"/>
          <w:szCs w:val="20"/>
        </w:rPr>
      </w:pPr>
    </w:p>
    <w:p w:rsidR="00990C83" w:rsidRDefault="00990C83" w:rsidP="00476839">
      <w:pPr>
        <w:autoSpaceDE w:val="0"/>
        <w:autoSpaceDN w:val="0"/>
        <w:adjustRightInd w:val="0"/>
        <w:contextualSpacing/>
        <w:jc w:val="center"/>
        <w:rPr>
          <w:rFonts w:ascii="Arial" w:hAnsi="Arial" w:cs="Arial"/>
          <w:b/>
          <w:sz w:val="20"/>
          <w:szCs w:val="20"/>
        </w:rPr>
      </w:pPr>
      <w:r w:rsidRPr="00E5019C">
        <w:rPr>
          <w:rFonts w:ascii="Arial" w:hAnsi="Arial" w:cs="Arial"/>
          <w:b/>
          <w:sz w:val="20"/>
          <w:szCs w:val="20"/>
        </w:rPr>
        <w:t>Convergencia</w:t>
      </w:r>
    </w:p>
    <w:p w:rsidR="00621C18" w:rsidRPr="00E5019C" w:rsidRDefault="00621C18" w:rsidP="00476839">
      <w:pPr>
        <w:autoSpaceDE w:val="0"/>
        <w:autoSpaceDN w:val="0"/>
        <w:adjustRightInd w:val="0"/>
        <w:contextualSpacing/>
        <w:jc w:val="both"/>
        <w:rPr>
          <w:rFonts w:ascii="Arial" w:hAnsi="Arial" w:cs="Arial"/>
          <w:b/>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Sustanciales</w:t>
      </w:r>
    </w:p>
    <w:p w:rsidR="00A217C8" w:rsidRDefault="00990C83" w:rsidP="00476839">
      <w:pPr>
        <w:pStyle w:val="Prrafodelista"/>
        <w:numPr>
          <w:ilvl w:val="0"/>
          <w:numId w:val="100"/>
        </w:numPr>
        <w:autoSpaceDE w:val="0"/>
        <w:autoSpaceDN w:val="0"/>
        <w:adjustRightInd w:val="0"/>
        <w:ind w:left="426" w:hanging="426"/>
        <w:jc w:val="both"/>
        <w:rPr>
          <w:rFonts w:ascii="Arial" w:hAnsi="Arial" w:cs="Arial"/>
          <w:sz w:val="20"/>
          <w:szCs w:val="20"/>
        </w:rPr>
      </w:pPr>
      <w:r w:rsidRPr="00A217C8">
        <w:rPr>
          <w:rFonts w:ascii="Arial" w:hAnsi="Arial" w:cs="Arial"/>
          <w:sz w:val="20"/>
          <w:szCs w:val="20"/>
        </w:rPr>
        <w:t xml:space="preserve">Los números de folios identificados como formatos APOM 255 del </w:t>
      </w:r>
      <w:r w:rsidR="00560170" w:rsidRPr="00A217C8">
        <w:rPr>
          <w:rFonts w:ascii="Arial" w:hAnsi="Arial" w:cs="Arial"/>
          <w:sz w:val="20"/>
          <w:szCs w:val="20"/>
        </w:rPr>
        <w:t>D</w:t>
      </w:r>
      <w:r w:rsidRPr="00A217C8">
        <w:rPr>
          <w:rFonts w:ascii="Arial" w:hAnsi="Arial" w:cs="Arial"/>
          <w:sz w:val="20"/>
          <w:szCs w:val="20"/>
        </w:rPr>
        <w:t xml:space="preserve">istrito XXXV de Metepec, y 143 del municipio de Metepec, se soportan con la factura 0777, en copia a color y original, respectivamente, expedida por la persona física de nombre </w:t>
      </w:r>
      <w:r w:rsidR="002F7FBF" w:rsidRPr="00A217C8">
        <w:rPr>
          <w:rFonts w:ascii="Arial" w:hAnsi="Arial" w:cs="Arial"/>
          <w:sz w:val="20"/>
          <w:szCs w:val="20"/>
        </w:rPr>
        <w:t>Ídem</w:t>
      </w:r>
      <w:r w:rsidRPr="00A217C8">
        <w:rPr>
          <w:rFonts w:ascii="Arial" w:hAnsi="Arial" w:cs="Arial"/>
          <w:sz w:val="20"/>
          <w:szCs w:val="20"/>
        </w:rPr>
        <w:t xml:space="preserve"> Dalila Salgado Rodríguez, por concepto de dípticos y flyers, con un importe total de $31,000.00, evidenciándose que la factura en original resulta ser documentación comprobatoria del APOM 143, correspondiente al municipio de Metepec, y la copia a color comprobante del APOM 255, que corresponde al distrito de Metepec, justificando con la misma factura duplicidad de gastos tanto del distrito XXXV de Metepec, como para el referido municipio.</w:t>
      </w:r>
    </w:p>
    <w:p w:rsidR="00A217C8" w:rsidRDefault="00A217C8" w:rsidP="00476839">
      <w:pPr>
        <w:pStyle w:val="Prrafodelista"/>
        <w:autoSpaceDE w:val="0"/>
        <w:autoSpaceDN w:val="0"/>
        <w:adjustRightInd w:val="0"/>
        <w:ind w:left="426" w:hanging="426"/>
        <w:jc w:val="both"/>
        <w:rPr>
          <w:rFonts w:ascii="Arial" w:hAnsi="Arial" w:cs="Arial"/>
          <w:sz w:val="20"/>
          <w:szCs w:val="20"/>
        </w:rPr>
      </w:pPr>
    </w:p>
    <w:p w:rsidR="00990C83" w:rsidRPr="00A217C8" w:rsidRDefault="00990C83" w:rsidP="00476839">
      <w:pPr>
        <w:pStyle w:val="Prrafodelista"/>
        <w:numPr>
          <w:ilvl w:val="0"/>
          <w:numId w:val="100"/>
        </w:numPr>
        <w:autoSpaceDE w:val="0"/>
        <w:autoSpaceDN w:val="0"/>
        <w:adjustRightInd w:val="0"/>
        <w:ind w:left="426" w:hanging="426"/>
        <w:jc w:val="both"/>
        <w:rPr>
          <w:rFonts w:ascii="Arial" w:hAnsi="Arial" w:cs="Arial"/>
          <w:sz w:val="20"/>
          <w:szCs w:val="20"/>
        </w:rPr>
      </w:pPr>
      <w:r w:rsidRPr="00A217C8">
        <w:rPr>
          <w:rFonts w:ascii="Arial" w:hAnsi="Arial" w:cs="Arial"/>
          <w:sz w:val="20"/>
          <w:szCs w:val="20"/>
        </w:rPr>
        <w:t xml:space="preserve">El número de folio identificado como APOM 223, correspondiente al distrito XIII de Atlacomulco, se encuentra respaldado por la factura número 819, expedida a favor del partido político, por Manuel Domínguez Ramírez “Periódico el Nativo”, que ampara la aportación realizada por el C. Rolando Castro Alvarado; sin embargo, de su análisis se advierte que el concepto de expedición expresa que se trata de inserciones a favor del candidato a </w:t>
      </w:r>
      <w:r w:rsidR="009D43BF">
        <w:rPr>
          <w:rFonts w:ascii="Arial" w:hAnsi="Arial" w:cs="Arial"/>
          <w:sz w:val="20"/>
          <w:szCs w:val="20"/>
        </w:rPr>
        <w:t>D</w:t>
      </w:r>
      <w:r w:rsidRPr="00A217C8">
        <w:rPr>
          <w:rFonts w:ascii="Arial" w:hAnsi="Arial" w:cs="Arial"/>
          <w:sz w:val="20"/>
          <w:szCs w:val="20"/>
        </w:rPr>
        <w:t>iputado por el distrito IX de Tejupilco, no así del distrito XIII de Atlacomulco, como debería ser, anexándose solo como testigo de dicha publicación un tríptico, pero en beneficio del candidato del distrito IX de Tejupilco; sin que se acredite fehacientemente que se trata de una “inserción pagada”, que se acredite el nombre del responsable de la publicación, las fechas de publicación y la existencia de un ejemplar de la publicación.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100"/>
        </w:numPr>
        <w:autoSpaceDE w:val="0"/>
        <w:autoSpaceDN w:val="0"/>
        <w:adjustRightInd w:val="0"/>
        <w:ind w:left="426" w:hanging="426"/>
        <w:jc w:val="both"/>
        <w:rPr>
          <w:rFonts w:ascii="Arial" w:hAnsi="Arial" w:cs="Arial"/>
          <w:sz w:val="20"/>
          <w:szCs w:val="20"/>
        </w:rPr>
      </w:pPr>
      <w:r w:rsidRPr="00E5019C">
        <w:rPr>
          <w:rFonts w:ascii="Arial" w:hAnsi="Arial" w:cs="Arial"/>
          <w:sz w:val="20"/>
          <w:szCs w:val="20"/>
        </w:rPr>
        <w:t xml:space="preserve">Del estudio y análisis se evidencia que los números de folio APOM 81 y 83, correspondientes a aportaciones en especie a favor del candidato del municipio de Ixtapaluca, se encuentran soportados con facturas expedidas por la persona física de nombre Brenda Gómez Jiménez, con números de factura idénticos 1039 A, de fecha 15 y 13 de mayo de 2009, respectivamente, por concepto de volantes por un importe total de $6,037.50, y por concepto de calcomanías con un importe total de $7,590.00, es decir, existen facturas del mismo proveedor con el mismo </w:t>
      </w:r>
      <w:r w:rsidRPr="00E5019C">
        <w:rPr>
          <w:rFonts w:ascii="Arial" w:hAnsi="Arial" w:cs="Arial"/>
          <w:sz w:val="20"/>
          <w:szCs w:val="20"/>
        </w:rPr>
        <w:lastRenderedPageBreak/>
        <w:t>número que se utilizaron para soportar dos gastos distintos relacionados con el municipio de Ixtapaluca.</w:t>
      </w:r>
    </w:p>
    <w:p w:rsidR="00990C83" w:rsidRPr="00E5019C" w:rsidRDefault="00990C83" w:rsidP="00476839">
      <w:pPr>
        <w:pStyle w:val="Prrafodelista"/>
        <w:autoSpaceDE w:val="0"/>
        <w:autoSpaceDN w:val="0"/>
        <w:adjustRightInd w:val="0"/>
        <w:ind w:left="426"/>
        <w:jc w:val="both"/>
        <w:rPr>
          <w:rFonts w:ascii="Arial" w:hAnsi="Arial" w:cs="Arial"/>
          <w:sz w:val="20"/>
          <w:szCs w:val="20"/>
        </w:rPr>
      </w:pPr>
    </w:p>
    <w:p w:rsidR="00990C83" w:rsidRPr="00E5019C" w:rsidRDefault="00990C83" w:rsidP="00476839">
      <w:pPr>
        <w:pStyle w:val="Prrafodelista"/>
        <w:numPr>
          <w:ilvl w:val="0"/>
          <w:numId w:val="100"/>
        </w:numPr>
        <w:autoSpaceDE w:val="0"/>
        <w:autoSpaceDN w:val="0"/>
        <w:adjustRightInd w:val="0"/>
        <w:ind w:left="426" w:hanging="426"/>
        <w:jc w:val="both"/>
        <w:rPr>
          <w:rFonts w:ascii="Arial" w:hAnsi="Arial" w:cs="Arial"/>
          <w:sz w:val="20"/>
          <w:szCs w:val="20"/>
        </w:rPr>
      </w:pPr>
      <w:r w:rsidRPr="00E5019C">
        <w:rPr>
          <w:rFonts w:ascii="Arial" w:hAnsi="Arial" w:cs="Arial"/>
          <w:sz w:val="20"/>
          <w:szCs w:val="20"/>
        </w:rPr>
        <w:t>El número de folio identificado como APOM 27, correspondiente al municipio 122 de Valle de Chalco Solidaridad, según el formato se encuentra amparado con la factura número 523, por concepto de bardas y un importe total de $6,670.00; sin embargo, la factura no fue presentada físicamente por el partido político para acreditar fehacientemente la aportación.</w:t>
      </w:r>
    </w:p>
    <w:p w:rsidR="00990C83" w:rsidRPr="00E5019C" w:rsidRDefault="00990C83" w:rsidP="00476839">
      <w:pPr>
        <w:pStyle w:val="Prrafodelista"/>
        <w:autoSpaceDE w:val="0"/>
        <w:autoSpaceDN w:val="0"/>
        <w:adjustRightInd w:val="0"/>
        <w:ind w:left="426"/>
        <w:jc w:val="both"/>
        <w:rPr>
          <w:rFonts w:ascii="Arial" w:hAnsi="Arial" w:cs="Arial"/>
          <w:sz w:val="20"/>
          <w:szCs w:val="20"/>
        </w:rPr>
      </w:pPr>
    </w:p>
    <w:p w:rsidR="00990C83" w:rsidRPr="00E5019C" w:rsidRDefault="00990C83" w:rsidP="00476839">
      <w:pPr>
        <w:pStyle w:val="Prrafodelista"/>
        <w:numPr>
          <w:ilvl w:val="0"/>
          <w:numId w:val="100"/>
        </w:numPr>
        <w:autoSpaceDE w:val="0"/>
        <w:autoSpaceDN w:val="0"/>
        <w:adjustRightInd w:val="0"/>
        <w:ind w:left="426" w:hanging="426"/>
        <w:jc w:val="both"/>
        <w:rPr>
          <w:rFonts w:ascii="Arial" w:hAnsi="Arial" w:cs="Arial"/>
          <w:sz w:val="20"/>
          <w:szCs w:val="20"/>
        </w:rPr>
      </w:pPr>
      <w:r w:rsidRPr="00E5019C">
        <w:rPr>
          <w:rFonts w:ascii="Arial" w:hAnsi="Arial" w:cs="Arial"/>
          <w:sz w:val="20"/>
          <w:szCs w:val="20"/>
        </w:rPr>
        <w:t xml:space="preserve">Rebase del tope de gastos de campaña en la elección de </w:t>
      </w:r>
      <w:r w:rsidR="00A217C8">
        <w:rPr>
          <w:rFonts w:ascii="Arial" w:hAnsi="Arial" w:cs="Arial"/>
          <w:sz w:val="20"/>
          <w:szCs w:val="20"/>
        </w:rPr>
        <w:t>A</w:t>
      </w:r>
      <w:r w:rsidRPr="00E5019C">
        <w:rPr>
          <w:rFonts w:ascii="Arial" w:hAnsi="Arial" w:cs="Arial"/>
          <w:sz w:val="20"/>
          <w:szCs w:val="20"/>
        </w:rPr>
        <w:t>yuntamiento del municipio de Zacualpan por un monto total de $41,683.03, en virtud de la candidatura común postulada con el PT, la cual obtuvo el triunfo.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Formales</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r w:rsidRPr="00E5019C">
        <w:rPr>
          <w:rFonts w:ascii="Arial" w:hAnsi="Arial" w:cs="Arial"/>
          <w:sz w:val="20"/>
          <w:szCs w:val="20"/>
        </w:rPr>
        <w:t xml:space="preserve">1. El número de folio identificado como APOM 264, correspondiente al </w:t>
      </w:r>
      <w:r w:rsidR="00560170">
        <w:rPr>
          <w:rFonts w:ascii="Arial" w:hAnsi="Arial" w:cs="Arial"/>
          <w:sz w:val="20"/>
          <w:szCs w:val="20"/>
        </w:rPr>
        <w:t>D</w:t>
      </w:r>
      <w:r w:rsidRPr="00E5019C">
        <w:rPr>
          <w:rFonts w:ascii="Arial" w:hAnsi="Arial" w:cs="Arial"/>
          <w:sz w:val="20"/>
          <w:szCs w:val="20"/>
        </w:rPr>
        <w:t>istrito XXVII de Chalco, se encuentra respaldado por las facturas con números 116, 121, 127 y 131, expedidas a favor del partido político por Verónica Maldonado Montiel, de las que se advierte contienen conceptos diferentes al giro comercial que las expide, resultando incongruencia entre el posible proveedor, giro comercial y operación realizada.</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r w:rsidRPr="00E5019C">
        <w:rPr>
          <w:rFonts w:ascii="Arial" w:hAnsi="Arial" w:cs="Arial"/>
          <w:sz w:val="20"/>
          <w:szCs w:val="20"/>
        </w:rPr>
        <w:t xml:space="preserve">2. El folio APOM identificado como número 264 correspondiente al </w:t>
      </w:r>
      <w:r w:rsidR="00560170">
        <w:rPr>
          <w:rFonts w:ascii="Arial" w:hAnsi="Arial" w:cs="Arial"/>
          <w:sz w:val="20"/>
          <w:szCs w:val="20"/>
        </w:rPr>
        <w:t>D</w:t>
      </w:r>
      <w:r w:rsidRPr="00E5019C">
        <w:rPr>
          <w:rFonts w:ascii="Arial" w:hAnsi="Arial" w:cs="Arial"/>
          <w:sz w:val="20"/>
          <w:szCs w:val="20"/>
        </w:rPr>
        <w:t>istrito XXVII de Chalco, se encuentra respaldado por la factura número 381, expedida a favor del Partido Político Convergencia por Antonia Rodríguez Martínez, por concepto de dípticos por un monto total de $60,000.00; factura que no contiene fecha de expedición, aunado a que el formato de aportación no se encuentra respaldado con la firma tanto del aportante como del representante del órgano interno, así como tampoco dicha aportación se encuentra soportada con documento que se haga verosímil tal beneficio.</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r w:rsidRPr="00E5019C">
        <w:rPr>
          <w:rFonts w:ascii="Arial" w:hAnsi="Arial" w:cs="Arial"/>
          <w:sz w:val="20"/>
          <w:szCs w:val="20"/>
        </w:rPr>
        <w:t xml:space="preserve">3. Omisión de informar acerca del porcentaje de participación en el tope de gasto de campaña respecto de la candidatura común que postuló con el PAN para el Ayuntamiento de Mexicaltzingo, y con el PT. </w:t>
      </w:r>
    </w:p>
    <w:p w:rsidR="00990C83" w:rsidRDefault="00990C83" w:rsidP="00476839">
      <w:pPr>
        <w:autoSpaceDE w:val="0"/>
        <w:autoSpaceDN w:val="0"/>
        <w:adjustRightInd w:val="0"/>
        <w:contextualSpacing/>
        <w:jc w:val="both"/>
        <w:rPr>
          <w:rFonts w:ascii="Arial" w:hAnsi="Arial" w:cs="Arial"/>
          <w:b/>
          <w:bCs/>
          <w:sz w:val="20"/>
          <w:szCs w:val="20"/>
        </w:rPr>
      </w:pPr>
    </w:p>
    <w:p w:rsidR="00621C18" w:rsidRPr="00E5019C" w:rsidRDefault="00621C18" w:rsidP="00476839">
      <w:pPr>
        <w:autoSpaceDE w:val="0"/>
        <w:autoSpaceDN w:val="0"/>
        <w:adjustRightInd w:val="0"/>
        <w:contextualSpacing/>
        <w:jc w:val="both"/>
        <w:rPr>
          <w:rFonts w:ascii="Arial" w:hAnsi="Arial" w:cs="Arial"/>
          <w:b/>
          <w:bCs/>
          <w:sz w:val="20"/>
          <w:szCs w:val="20"/>
        </w:rPr>
      </w:pPr>
    </w:p>
    <w:p w:rsidR="00990C83" w:rsidRDefault="00990C83" w:rsidP="00476839">
      <w:pPr>
        <w:autoSpaceDE w:val="0"/>
        <w:autoSpaceDN w:val="0"/>
        <w:adjustRightInd w:val="0"/>
        <w:contextualSpacing/>
        <w:jc w:val="center"/>
        <w:rPr>
          <w:rFonts w:ascii="Arial" w:hAnsi="Arial" w:cs="Arial"/>
          <w:b/>
          <w:sz w:val="20"/>
          <w:szCs w:val="20"/>
        </w:rPr>
      </w:pPr>
      <w:r w:rsidRPr="00E5019C">
        <w:rPr>
          <w:rFonts w:ascii="Arial" w:hAnsi="Arial" w:cs="Arial"/>
          <w:b/>
          <w:sz w:val="20"/>
          <w:szCs w:val="20"/>
        </w:rPr>
        <w:t>Nueva Alianza Partido Político Nacional</w:t>
      </w:r>
    </w:p>
    <w:p w:rsidR="00621C18" w:rsidRPr="00E5019C" w:rsidRDefault="00621C18" w:rsidP="00476839">
      <w:pPr>
        <w:autoSpaceDE w:val="0"/>
        <w:autoSpaceDN w:val="0"/>
        <w:adjustRightInd w:val="0"/>
        <w:contextualSpacing/>
        <w:jc w:val="both"/>
        <w:rPr>
          <w:rFonts w:ascii="Arial" w:hAnsi="Arial" w:cs="Arial"/>
          <w:b/>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Sustanciales</w:t>
      </w:r>
    </w:p>
    <w:p w:rsidR="00990C83" w:rsidRDefault="00990C83" w:rsidP="00476839">
      <w:pPr>
        <w:pStyle w:val="Prrafodelista"/>
        <w:numPr>
          <w:ilvl w:val="0"/>
          <w:numId w:val="2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Derivado del reconocimiento contable del ingreso gasto en el rubro de artículos de propaganda por la cantidad de $24, 678.20 (veinticuatro mil seiscientos setenta y ocho pesos 20/100 M.N.), se desprende que Nueva Alianza Partido Político Nacional omitió presentar en los informes definitivos de seis de octubre de dos mil nueve la totalidad de los ingresos en el rubro de aportaciones de simpatizantes, motivo por el cual se modifica la balanza contable del mes de julio.</w:t>
      </w:r>
    </w:p>
    <w:p w:rsidR="00483603" w:rsidRPr="00E5019C" w:rsidRDefault="00483603" w:rsidP="00476839">
      <w:pPr>
        <w:pStyle w:val="Prrafodelista"/>
        <w:autoSpaceDE w:val="0"/>
        <w:autoSpaceDN w:val="0"/>
        <w:adjustRightInd w:val="0"/>
        <w:ind w:left="284" w:hanging="284"/>
        <w:jc w:val="both"/>
        <w:rPr>
          <w:rFonts w:ascii="Arial" w:hAnsi="Arial" w:cs="Arial"/>
          <w:sz w:val="20"/>
          <w:szCs w:val="20"/>
        </w:rPr>
      </w:pPr>
    </w:p>
    <w:p w:rsidR="00483603" w:rsidRDefault="00990C83" w:rsidP="00476839">
      <w:pPr>
        <w:pStyle w:val="Prrafodelista"/>
        <w:numPr>
          <w:ilvl w:val="0"/>
          <w:numId w:val="2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En documento sin número de quince de enero de dos mil diez, que da respuesta al oficio de errores y omisiones IEEM/OTF/1067/2009, se desprende que Nueva Alianza Partido Político Nacional modificó la documentación contable que respalda los informes definitivos de seis de octubre de dos mil nueve, consistente en la balanza de comprobación del mes de julio de dos mil nueve y auxiliares contables, además, anexo los recibos de aportaciones de simpatizantes “APOS” de folios 007 y 008 mismos no estaban considerados en la contabilidad.</w:t>
      </w:r>
    </w:p>
    <w:p w:rsidR="00483603" w:rsidRPr="00483603" w:rsidRDefault="00483603" w:rsidP="00476839">
      <w:pPr>
        <w:pStyle w:val="Prrafodelista"/>
        <w:autoSpaceDE w:val="0"/>
        <w:autoSpaceDN w:val="0"/>
        <w:adjustRightInd w:val="0"/>
        <w:ind w:left="0"/>
        <w:jc w:val="both"/>
        <w:rPr>
          <w:rFonts w:ascii="Arial" w:hAnsi="Arial" w:cs="Arial"/>
          <w:sz w:val="20"/>
          <w:szCs w:val="20"/>
        </w:rPr>
      </w:pPr>
    </w:p>
    <w:p w:rsidR="00990C83" w:rsidRDefault="00990C83" w:rsidP="00476839">
      <w:pPr>
        <w:pStyle w:val="Prrafodelista"/>
        <w:numPr>
          <w:ilvl w:val="0"/>
          <w:numId w:val="2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Derivado del reconocimiento contable del ingreso gasto en el rubro de artículos de propaganda por la cantidad de $83, 560.34 (Ochenta y tres mil quinientos sesenta pesos 34/100 M.N.), se desprende que Nueva Alianza Partido Político Nacional omitió presentar en los informes definitivos de seis de octubre de dos mil nueve la totalidad de los ingresos en el rubro de aportaciones de simpatizantes, motivo por el cual se modifica la balanza contable del mes de julio.</w:t>
      </w:r>
    </w:p>
    <w:p w:rsidR="00483603" w:rsidRPr="00E5019C" w:rsidRDefault="00483603" w:rsidP="00476839">
      <w:pPr>
        <w:pStyle w:val="Prrafodelista"/>
        <w:autoSpaceDE w:val="0"/>
        <w:autoSpaceDN w:val="0"/>
        <w:adjustRightInd w:val="0"/>
        <w:ind w:left="284" w:hanging="284"/>
        <w:jc w:val="both"/>
        <w:rPr>
          <w:rFonts w:ascii="Arial" w:hAnsi="Arial" w:cs="Arial"/>
          <w:sz w:val="20"/>
          <w:szCs w:val="20"/>
        </w:rPr>
      </w:pPr>
    </w:p>
    <w:p w:rsidR="00990C83" w:rsidRDefault="00990C83" w:rsidP="00476839">
      <w:pPr>
        <w:pStyle w:val="Prrafodelista"/>
        <w:numPr>
          <w:ilvl w:val="0"/>
          <w:numId w:val="2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lastRenderedPageBreak/>
        <w:t>En documento sin número de quince de enero de dos mil diez, que da respuesta al oficio de errores y omisiones IEEM/OTF/1067/2009, se desprende que Nueva Alianza Partido Político Nacional modificó la documentación contable que respalda los informes definitivos de seis de octubre de dos mil nueve, consistente en la balanza de comprobación del mes de julio de dos mil nueve y auxiliares contables, además, anexo los recibos de aportaciones de simpatizantes “APOS” de folios 009, 010, 011, 012, 013, 014, 015, 016 ,017 y 018, mismos que no estaban considerados en la contabilidad.</w:t>
      </w:r>
    </w:p>
    <w:p w:rsidR="00483603" w:rsidRPr="00E5019C" w:rsidRDefault="00483603" w:rsidP="00476839">
      <w:pPr>
        <w:pStyle w:val="Prrafodelista"/>
        <w:autoSpaceDE w:val="0"/>
        <w:autoSpaceDN w:val="0"/>
        <w:adjustRightInd w:val="0"/>
        <w:ind w:left="0"/>
        <w:jc w:val="both"/>
        <w:rPr>
          <w:rFonts w:ascii="Arial" w:hAnsi="Arial" w:cs="Arial"/>
          <w:sz w:val="20"/>
          <w:szCs w:val="20"/>
        </w:rPr>
      </w:pPr>
    </w:p>
    <w:p w:rsidR="00990C83" w:rsidRPr="00E5019C" w:rsidRDefault="00990C83" w:rsidP="00476839">
      <w:pPr>
        <w:pStyle w:val="Prrafodelista"/>
        <w:numPr>
          <w:ilvl w:val="0"/>
          <w:numId w:val="2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 xml:space="preserve">En el rubro de proveedores y derivado del requerimiento de información sobre las operaciones mercantiles realizadas en la pasada campaña electoral, destaca la posible omisión de reportar en el informe definitivo de Nueva Alianza Partido Político Nacional dos facturas del proveedor </w:t>
      </w:r>
      <w:proofErr w:type="spellStart"/>
      <w:r w:rsidRPr="00E5019C">
        <w:rPr>
          <w:rFonts w:ascii="Arial" w:hAnsi="Arial" w:cs="Arial"/>
          <w:sz w:val="20"/>
          <w:szCs w:val="20"/>
        </w:rPr>
        <w:t>Editoposter</w:t>
      </w:r>
      <w:proofErr w:type="spellEnd"/>
      <w:r w:rsidRPr="00E5019C">
        <w:rPr>
          <w:rFonts w:ascii="Arial" w:hAnsi="Arial" w:cs="Arial"/>
          <w:sz w:val="20"/>
          <w:szCs w:val="20"/>
        </w:rPr>
        <w:t xml:space="preserve"> S.A, con folios 3634 y 3681, que sustentan un gasto de propaganda electoral no reportado en contabilidad por un monto total de $8,050.00 (ocho mil cincuenta pesos 00/100 M.N.). Durante el desahogo de la garantía de audiencia, el Órgano Interno de Nueva Alianza Partido Político Nacional, manifestó que las facturas requeridas no fueron reportadas por la Junta Estatal de Nueva Alianza, en atención a que el gasto corresponde a propaganda federal, anexando copia de la documentación respectiva.</w:t>
      </w:r>
    </w:p>
    <w:p w:rsidR="00990C83" w:rsidRDefault="00990C83" w:rsidP="00476839">
      <w:pPr>
        <w:autoSpaceDE w:val="0"/>
        <w:autoSpaceDN w:val="0"/>
        <w:adjustRightInd w:val="0"/>
        <w:contextualSpacing/>
        <w:jc w:val="both"/>
        <w:rPr>
          <w:rFonts w:ascii="Arial" w:hAnsi="Arial" w:cs="Arial"/>
          <w:sz w:val="20"/>
          <w:szCs w:val="20"/>
        </w:rPr>
      </w:pPr>
    </w:p>
    <w:p w:rsidR="00621C18" w:rsidRPr="00E5019C" w:rsidRDefault="00621C18" w:rsidP="00476839">
      <w:pPr>
        <w:autoSpaceDE w:val="0"/>
        <w:autoSpaceDN w:val="0"/>
        <w:adjustRightInd w:val="0"/>
        <w:contextualSpacing/>
        <w:jc w:val="both"/>
        <w:rPr>
          <w:rFonts w:ascii="Arial" w:hAnsi="Arial" w:cs="Arial"/>
          <w:sz w:val="20"/>
          <w:szCs w:val="20"/>
        </w:rPr>
      </w:pPr>
    </w:p>
    <w:p w:rsidR="00990C83" w:rsidRDefault="00990C83" w:rsidP="00476839">
      <w:pPr>
        <w:autoSpaceDE w:val="0"/>
        <w:autoSpaceDN w:val="0"/>
        <w:adjustRightInd w:val="0"/>
        <w:contextualSpacing/>
        <w:jc w:val="center"/>
        <w:rPr>
          <w:rFonts w:ascii="Arial" w:hAnsi="Arial" w:cs="Arial"/>
          <w:b/>
          <w:sz w:val="20"/>
          <w:szCs w:val="20"/>
        </w:rPr>
      </w:pPr>
      <w:r w:rsidRPr="00E5019C">
        <w:rPr>
          <w:rFonts w:ascii="Arial" w:hAnsi="Arial" w:cs="Arial"/>
          <w:b/>
          <w:sz w:val="20"/>
          <w:szCs w:val="20"/>
        </w:rPr>
        <w:t>Partido Socialdemócrata</w:t>
      </w:r>
    </w:p>
    <w:p w:rsidR="00621C18" w:rsidRPr="00E5019C" w:rsidRDefault="00621C18" w:rsidP="00476839">
      <w:pPr>
        <w:autoSpaceDE w:val="0"/>
        <w:autoSpaceDN w:val="0"/>
        <w:adjustRightInd w:val="0"/>
        <w:contextualSpacing/>
        <w:jc w:val="both"/>
        <w:rPr>
          <w:rFonts w:ascii="Arial" w:hAnsi="Arial" w:cs="Arial"/>
          <w:b/>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Faltas Sustanciales</w:t>
      </w:r>
    </w:p>
    <w:p w:rsidR="00990C83" w:rsidRPr="009D43BF" w:rsidRDefault="00990C83" w:rsidP="00476839">
      <w:pPr>
        <w:pStyle w:val="Prrafodelista"/>
        <w:numPr>
          <w:ilvl w:val="0"/>
          <w:numId w:val="101"/>
        </w:numPr>
        <w:autoSpaceDE w:val="0"/>
        <w:autoSpaceDN w:val="0"/>
        <w:adjustRightInd w:val="0"/>
        <w:ind w:left="284" w:hanging="284"/>
        <w:jc w:val="both"/>
        <w:rPr>
          <w:rFonts w:ascii="Arial" w:hAnsi="Arial" w:cs="Arial"/>
          <w:sz w:val="20"/>
          <w:szCs w:val="20"/>
        </w:rPr>
      </w:pPr>
      <w:r w:rsidRPr="009D43BF">
        <w:rPr>
          <w:rFonts w:ascii="Arial" w:hAnsi="Arial" w:cs="Arial"/>
          <w:sz w:val="20"/>
          <w:szCs w:val="20"/>
        </w:rPr>
        <w:t xml:space="preserve">Omisión de reportar gastos de producción en radio y televisión en elecciones para </w:t>
      </w:r>
      <w:r w:rsidR="009D43BF">
        <w:rPr>
          <w:rFonts w:ascii="Arial" w:hAnsi="Arial" w:cs="Arial"/>
          <w:sz w:val="20"/>
          <w:szCs w:val="20"/>
        </w:rPr>
        <w:t>D</w:t>
      </w:r>
      <w:r w:rsidRPr="009D43BF">
        <w:rPr>
          <w:rFonts w:ascii="Arial" w:hAnsi="Arial" w:cs="Arial"/>
          <w:sz w:val="20"/>
          <w:szCs w:val="20"/>
        </w:rPr>
        <w:t xml:space="preserve">iputados </w:t>
      </w:r>
      <w:r w:rsidR="009D43BF">
        <w:rPr>
          <w:rFonts w:ascii="Arial" w:hAnsi="Arial" w:cs="Arial"/>
          <w:sz w:val="20"/>
          <w:szCs w:val="20"/>
        </w:rPr>
        <w:t>L</w:t>
      </w:r>
      <w:r w:rsidRPr="009D43BF">
        <w:rPr>
          <w:rFonts w:ascii="Arial" w:hAnsi="Arial" w:cs="Arial"/>
          <w:sz w:val="20"/>
          <w:szCs w:val="20"/>
        </w:rPr>
        <w:t xml:space="preserve">ocales y </w:t>
      </w:r>
      <w:r w:rsidR="009D43BF">
        <w:rPr>
          <w:rFonts w:ascii="Arial" w:hAnsi="Arial" w:cs="Arial"/>
          <w:sz w:val="20"/>
          <w:szCs w:val="20"/>
        </w:rPr>
        <w:t>A</w:t>
      </w:r>
      <w:r w:rsidRPr="009D43BF">
        <w:rPr>
          <w:rFonts w:ascii="Arial" w:hAnsi="Arial" w:cs="Arial"/>
          <w:sz w:val="20"/>
          <w:szCs w:val="20"/>
        </w:rPr>
        <w:t>yuntamientos.</w:t>
      </w:r>
    </w:p>
    <w:p w:rsidR="00990C83" w:rsidRPr="00E5019C" w:rsidRDefault="00990C83" w:rsidP="00476839">
      <w:pPr>
        <w:pStyle w:val="Prrafodelista"/>
        <w:autoSpaceDE w:val="0"/>
        <w:autoSpaceDN w:val="0"/>
        <w:adjustRightInd w:val="0"/>
        <w:ind w:left="284" w:hanging="284"/>
        <w:jc w:val="both"/>
        <w:rPr>
          <w:rFonts w:ascii="Arial" w:hAnsi="Arial" w:cs="Arial"/>
          <w:sz w:val="20"/>
          <w:szCs w:val="20"/>
        </w:rPr>
      </w:pPr>
    </w:p>
    <w:p w:rsidR="00990C83" w:rsidRPr="00E5019C" w:rsidRDefault="00990C83" w:rsidP="00476839">
      <w:pPr>
        <w:pStyle w:val="Prrafodelista"/>
        <w:numPr>
          <w:ilvl w:val="0"/>
          <w:numId w:val="10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 xml:space="preserve">Omisión de reportar que en el distrito XVI de </w:t>
      </w:r>
      <w:r w:rsidR="00621C18" w:rsidRPr="00E5019C">
        <w:rPr>
          <w:rFonts w:ascii="Arial" w:hAnsi="Arial" w:cs="Arial"/>
          <w:sz w:val="20"/>
          <w:szCs w:val="20"/>
        </w:rPr>
        <w:t>Atizapán</w:t>
      </w:r>
      <w:r w:rsidRPr="00E5019C">
        <w:rPr>
          <w:rFonts w:ascii="Arial" w:hAnsi="Arial" w:cs="Arial"/>
          <w:sz w:val="20"/>
          <w:szCs w:val="20"/>
        </w:rPr>
        <w:t xml:space="preserve"> de Zaragoza, durante un evento cultural o de entretenimiento, realizado por el candidato Luis Gabriel Sánchez Caballero que se repartieron 50 refrigerios, se utilizó</w:t>
      </w:r>
      <w:r w:rsidR="009D43BF">
        <w:rPr>
          <w:rFonts w:ascii="Arial" w:hAnsi="Arial" w:cs="Arial"/>
          <w:sz w:val="20"/>
          <w:szCs w:val="20"/>
        </w:rPr>
        <w:t xml:space="preserve"> 1 </w:t>
      </w:r>
      <w:r w:rsidRPr="00E5019C">
        <w:rPr>
          <w:rFonts w:ascii="Arial" w:hAnsi="Arial" w:cs="Arial"/>
          <w:sz w:val="20"/>
          <w:szCs w:val="20"/>
        </w:rPr>
        <w:t>brincolín y 4 futbolitos.</w:t>
      </w:r>
    </w:p>
    <w:p w:rsidR="00990C83" w:rsidRPr="00E5019C" w:rsidRDefault="00990C83" w:rsidP="00476839">
      <w:pPr>
        <w:pStyle w:val="Prrafodelista"/>
        <w:autoSpaceDE w:val="0"/>
        <w:autoSpaceDN w:val="0"/>
        <w:adjustRightInd w:val="0"/>
        <w:ind w:left="284" w:hanging="284"/>
        <w:jc w:val="both"/>
        <w:rPr>
          <w:rFonts w:ascii="Arial" w:hAnsi="Arial" w:cs="Arial"/>
          <w:sz w:val="20"/>
          <w:szCs w:val="20"/>
        </w:rPr>
      </w:pPr>
    </w:p>
    <w:p w:rsidR="00990C83" w:rsidRPr="00E5019C" w:rsidRDefault="00990C83" w:rsidP="00476839">
      <w:pPr>
        <w:pStyle w:val="Prrafodelista"/>
        <w:numPr>
          <w:ilvl w:val="0"/>
          <w:numId w:val="10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 xml:space="preserve">Omisión de reportar que en el distrito XXXVII de Tlanepantla, el candidato Humberto Nava Genara uso publicidad en 1 </w:t>
      </w:r>
      <w:proofErr w:type="spellStart"/>
      <w:r w:rsidRPr="00E5019C">
        <w:rPr>
          <w:rFonts w:ascii="Arial" w:hAnsi="Arial" w:cs="Arial"/>
          <w:sz w:val="20"/>
          <w:szCs w:val="20"/>
        </w:rPr>
        <w:t>parabus</w:t>
      </w:r>
      <w:proofErr w:type="spellEnd"/>
      <w:r w:rsidRPr="00E5019C">
        <w:rPr>
          <w:rFonts w:ascii="Arial" w:hAnsi="Arial" w:cs="Arial"/>
          <w:sz w:val="20"/>
          <w:szCs w:val="20"/>
        </w:rPr>
        <w:t>.</w:t>
      </w:r>
    </w:p>
    <w:p w:rsidR="00990C83" w:rsidRPr="00E5019C" w:rsidRDefault="00990C83" w:rsidP="00476839">
      <w:pPr>
        <w:pStyle w:val="Prrafodelista"/>
        <w:autoSpaceDE w:val="0"/>
        <w:autoSpaceDN w:val="0"/>
        <w:adjustRightInd w:val="0"/>
        <w:ind w:left="284" w:hanging="284"/>
        <w:jc w:val="both"/>
        <w:rPr>
          <w:rFonts w:ascii="Arial" w:hAnsi="Arial" w:cs="Arial"/>
          <w:sz w:val="20"/>
          <w:szCs w:val="20"/>
        </w:rPr>
      </w:pPr>
    </w:p>
    <w:p w:rsidR="00990C83" w:rsidRPr="00E5019C" w:rsidRDefault="00990C83" w:rsidP="00476839">
      <w:pPr>
        <w:pStyle w:val="Prrafodelista"/>
        <w:numPr>
          <w:ilvl w:val="0"/>
          <w:numId w:val="10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Omisión de reportar que en el distrito XVI de Atizapán de Zaragoza, el candidato Luis Gabriel Sánchez Caballero, repartió 7 banderas y 100 pines.</w:t>
      </w:r>
    </w:p>
    <w:p w:rsidR="00990C83" w:rsidRPr="00E5019C" w:rsidRDefault="00990C83" w:rsidP="00476839">
      <w:pPr>
        <w:autoSpaceDE w:val="0"/>
        <w:autoSpaceDN w:val="0"/>
        <w:adjustRightInd w:val="0"/>
        <w:contextualSpacing/>
        <w:jc w:val="both"/>
        <w:rPr>
          <w:rFonts w:ascii="Arial" w:hAnsi="Arial" w:cs="Arial"/>
          <w:bCs/>
          <w:sz w:val="20"/>
          <w:szCs w:val="20"/>
        </w:rPr>
      </w:pPr>
    </w:p>
    <w:p w:rsidR="00990C83" w:rsidRPr="009D43BF" w:rsidRDefault="00990C83" w:rsidP="00476839">
      <w:pPr>
        <w:rPr>
          <w:rFonts w:ascii="Arial" w:hAnsi="Arial" w:cs="Arial"/>
          <w:b/>
          <w:bCs/>
          <w:i/>
          <w:iCs/>
          <w:sz w:val="20"/>
          <w:szCs w:val="20"/>
        </w:rPr>
      </w:pPr>
      <w:r w:rsidRPr="009D43BF">
        <w:rPr>
          <w:rFonts w:ascii="Arial" w:hAnsi="Arial" w:cs="Arial"/>
          <w:b/>
          <w:bCs/>
          <w:i/>
          <w:iCs/>
          <w:sz w:val="20"/>
          <w:szCs w:val="20"/>
        </w:rPr>
        <w:t>Faltas Formales</w:t>
      </w:r>
    </w:p>
    <w:p w:rsidR="00990C83" w:rsidRPr="009D43BF" w:rsidRDefault="00990C83" w:rsidP="00476839">
      <w:pPr>
        <w:pStyle w:val="Prrafodelista"/>
        <w:numPr>
          <w:ilvl w:val="0"/>
          <w:numId w:val="102"/>
        </w:numPr>
        <w:autoSpaceDE w:val="0"/>
        <w:autoSpaceDN w:val="0"/>
        <w:adjustRightInd w:val="0"/>
        <w:ind w:left="284" w:hanging="284"/>
        <w:jc w:val="both"/>
        <w:rPr>
          <w:rFonts w:ascii="Arial" w:hAnsi="Arial" w:cs="Arial"/>
          <w:sz w:val="20"/>
          <w:szCs w:val="20"/>
        </w:rPr>
      </w:pPr>
      <w:r w:rsidRPr="009D43BF">
        <w:rPr>
          <w:rFonts w:ascii="Arial" w:hAnsi="Arial" w:cs="Arial"/>
          <w:sz w:val="20"/>
          <w:szCs w:val="20"/>
        </w:rPr>
        <w:t xml:space="preserve">No se cuenta con la impresión de las pólizas contables en los 339 cheques que emitieron en campañas tanto para </w:t>
      </w:r>
      <w:r w:rsidR="009D43BF">
        <w:rPr>
          <w:rFonts w:ascii="Arial" w:hAnsi="Arial" w:cs="Arial"/>
          <w:sz w:val="20"/>
          <w:szCs w:val="20"/>
        </w:rPr>
        <w:t>D</w:t>
      </w:r>
      <w:r w:rsidRPr="009D43BF">
        <w:rPr>
          <w:rFonts w:ascii="Arial" w:hAnsi="Arial" w:cs="Arial"/>
          <w:sz w:val="20"/>
          <w:szCs w:val="20"/>
        </w:rPr>
        <w:t xml:space="preserve">iputados </w:t>
      </w:r>
      <w:r w:rsidR="009D43BF">
        <w:rPr>
          <w:rFonts w:ascii="Arial" w:hAnsi="Arial" w:cs="Arial"/>
          <w:sz w:val="20"/>
          <w:szCs w:val="20"/>
        </w:rPr>
        <w:t>L</w:t>
      </w:r>
      <w:r w:rsidRPr="009D43BF">
        <w:rPr>
          <w:rFonts w:ascii="Arial" w:hAnsi="Arial" w:cs="Arial"/>
          <w:sz w:val="20"/>
          <w:szCs w:val="20"/>
        </w:rPr>
        <w:t xml:space="preserve">ocales como para </w:t>
      </w:r>
      <w:r w:rsidR="00A709B1" w:rsidRPr="009D43BF">
        <w:rPr>
          <w:rFonts w:ascii="Arial" w:hAnsi="Arial" w:cs="Arial"/>
          <w:sz w:val="20"/>
          <w:szCs w:val="20"/>
        </w:rPr>
        <w:t>A</w:t>
      </w:r>
      <w:r w:rsidRPr="009D43BF">
        <w:rPr>
          <w:rFonts w:ascii="Arial" w:hAnsi="Arial" w:cs="Arial"/>
          <w:sz w:val="20"/>
          <w:szCs w:val="20"/>
        </w:rPr>
        <w:t>yuntamientos.</w:t>
      </w:r>
    </w:p>
    <w:p w:rsidR="00990C83" w:rsidRPr="009D43BF" w:rsidRDefault="00990C83" w:rsidP="00476839">
      <w:pPr>
        <w:pStyle w:val="Prrafodelista"/>
        <w:autoSpaceDE w:val="0"/>
        <w:autoSpaceDN w:val="0"/>
        <w:adjustRightInd w:val="0"/>
        <w:ind w:left="284" w:hanging="284"/>
        <w:jc w:val="both"/>
        <w:rPr>
          <w:rFonts w:ascii="Arial" w:hAnsi="Arial" w:cs="Arial"/>
          <w:sz w:val="20"/>
          <w:szCs w:val="20"/>
        </w:rPr>
      </w:pPr>
    </w:p>
    <w:p w:rsidR="00990C83" w:rsidRPr="009D43BF" w:rsidRDefault="00990C83" w:rsidP="00476839">
      <w:pPr>
        <w:pStyle w:val="Prrafodelista"/>
        <w:numPr>
          <w:ilvl w:val="0"/>
          <w:numId w:val="102"/>
        </w:numPr>
        <w:autoSpaceDE w:val="0"/>
        <w:autoSpaceDN w:val="0"/>
        <w:adjustRightInd w:val="0"/>
        <w:ind w:left="284" w:hanging="284"/>
        <w:jc w:val="both"/>
        <w:rPr>
          <w:rFonts w:ascii="Arial" w:hAnsi="Arial" w:cs="Arial"/>
          <w:sz w:val="20"/>
          <w:szCs w:val="20"/>
        </w:rPr>
      </w:pPr>
      <w:r w:rsidRPr="009D43BF">
        <w:rPr>
          <w:rFonts w:ascii="Arial" w:hAnsi="Arial" w:cs="Arial"/>
          <w:sz w:val="20"/>
          <w:szCs w:val="20"/>
        </w:rPr>
        <w:t>No se encontraron las pólizas contables números: P-CH 75 del 27 de mayo de 2009, por un importe de $1’031,183.22</w:t>
      </w:r>
      <w:r w:rsidR="009D43BF">
        <w:rPr>
          <w:rFonts w:ascii="Arial" w:hAnsi="Arial" w:cs="Arial"/>
          <w:sz w:val="20"/>
          <w:szCs w:val="20"/>
        </w:rPr>
        <w:t xml:space="preserve"> (un millón treinta </w:t>
      </w:r>
      <w:r w:rsidR="00B224BD">
        <w:rPr>
          <w:rFonts w:ascii="Arial" w:hAnsi="Arial" w:cs="Arial"/>
          <w:sz w:val="20"/>
          <w:szCs w:val="20"/>
        </w:rPr>
        <w:t xml:space="preserve">y </w:t>
      </w:r>
      <w:r w:rsidR="009D43BF">
        <w:rPr>
          <w:rFonts w:ascii="Arial" w:hAnsi="Arial" w:cs="Arial"/>
          <w:sz w:val="20"/>
          <w:szCs w:val="20"/>
        </w:rPr>
        <w:t>un mil ciento ochenta y tres pesos 22/100 M.N.)</w:t>
      </w:r>
      <w:r w:rsidRPr="009D43BF">
        <w:rPr>
          <w:rFonts w:ascii="Arial" w:hAnsi="Arial" w:cs="Arial"/>
          <w:sz w:val="20"/>
          <w:szCs w:val="20"/>
        </w:rPr>
        <w:t>; P-CH 218 del 17 de junio de 2009 por un importe de $128,000.00</w:t>
      </w:r>
      <w:r w:rsidR="00B224BD">
        <w:rPr>
          <w:rFonts w:ascii="Arial" w:hAnsi="Arial" w:cs="Arial"/>
          <w:sz w:val="20"/>
          <w:szCs w:val="20"/>
        </w:rPr>
        <w:t xml:space="preserve"> (ciento veintiocho mil pesos 00/100 M.N.)</w:t>
      </w:r>
      <w:r w:rsidRPr="009D43BF">
        <w:rPr>
          <w:rFonts w:ascii="Arial" w:hAnsi="Arial" w:cs="Arial"/>
          <w:sz w:val="20"/>
          <w:szCs w:val="20"/>
        </w:rPr>
        <w:t>; y P-CH 287 del 26 de junio de 2009, por un importe de $18,125.00</w:t>
      </w:r>
      <w:r w:rsidR="00B224BD">
        <w:rPr>
          <w:rFonts w:ascii="Arial" w:hAnsi="Arial" w:cs="Arial"/>
          <w:sz w:val="20"/>
          <w:szCs w:val="20"/>
        </w:rPr>
        <w:t xml:space="preserve"> (dieciocho mil ciento veinticinco pesos 00/100).</w:t>
      </w:r>
    </w:p>
    <w:p w:rsidR="00990C83" w:rsidRPr="009D43BF" w:rsidRDefault="00990C83" w:rsidP="00476839">
      <w:pPr>
        <w:pStyle w:val="Prrafodelista"/>
        <w:autoSpaceDE w:val="0"/>
        <w:autoSpaceDN w:val="0"/>
        <w:adjustRightInd w:val="0"/>
        <w:ind w:left="284" w:hanging="284"/>
        <w:jc w:val="both"/>
        <w:rPr>
          <w:rFonts w:ascii="Arial" w:hAnsi="Arial" w:cs="Arial"/>
          <w:sz w:val="20"/>
          <w:szCs w:val="20"/>
        </w:rPr>
      </w:pPr>
    </w:p>
    <w:p w:rsidR="00990C83" w:rsidRPr="009D43BF" w:rsidRDefault="00990C83" w:rsidP="00476839">
      <w:pPr>
        <w:pStyle w:val="Prrafodelista"/>
        <w:numPr>
          <w:ilvl w:val="0"/>
          <w:numId w:val="102"/>
        </w:numPr>
        <w:autoSpaceDE w:val="0"/>
        <w:autoSpaceDN w:val="0"/>
        <w:adjustRightInd w:val="0"/>
        <w:ind w:left="284" w:hanging="284"/>
        <w:jc w:val="both"/>
        <w:rPr>
          <w:rFonts w:ascii="Arial" w:hAnsi="Arial" w:cs="Arial"/>
          <w:sz w:val="20"/>
          <w:szCs w:val="20"/>
        </w:rPr>
      </w:pPr>
      <w:r w:rsidRPr="009D43BF">
        <w:rPr>
          <w:rFonts w:ascii="Arial" w:hAnsi="Arial" w:cs="Arial"/>
          <w:sz w:val="20"/>
          <w:szCs w:val="20"/>
        </w:rPr>
        <w:t>Con recursos de la cuenta de gasto campaña se pag</w:t>
      </w:r>
      <w:r w:rsidR="00B224BD">
        <w:rPr>
          <w:rFonts w:ascii="Arial" w:hAnsi="Arial" w:cs="Arial"/>
          <w:sz w:val="20"/>
          <w:szCs w:val="20"/>
        </w:rPr>
        <w:t>ó</w:t>
      </w:r>
      <w:r w:rsidRPr="009D43BF">
        <w:rPr>
          <w:rFonts w:ascii="Arial" w:hAnsi="Arial" w:cs="Arial"/>
          <w:sz w:val="20"/>
          <w:szCs w:val="20"/>
        </w:rPr>
        <w:t xml:space="preserve"> capacitación a candidatos, por un importe de $25, 300.00</w:t>
      </w:r>
      <w:r w:rsidR="00B224BD">
        <w:rPr>
          <w:rFonts w:ascii="Arial" w:hAnsi="Arial" w:cs="Arial"/>
          <w:sz w:val="20"/>
          <w:szCs w:val="20"/>
        </w:rPr>
        <w:t xml:space="preserve"> (veinticinco mil trescientos pesos 00/100 M.N.)</w:t>
      </w:r>
    </w:p>
    <w:p w:rsidR="00990C83" w:rsidRPr="00E5019C" w:rsidRDefault="00990C83" w:rsidP="00476839">
      <w:pPr>
        <w:autoSpaceDE w:val="0"/>
        <w:autoSpaceDN w:val="0"/>
        <w:adjustRightInd w:val="0"/>
        <w:ind w:left="284" w:hanging="284"/>
        <w:contextualSpacing/>
        <w:jc w:val="both"/>
        <w:rPr>
          <w:rFonts w:ascii="Arial" w:hAnsi="Arial" w:cs="Arial"/>
          <w:bCs/>
          <w:sz w:val="20"/>
          <w:szCs w:val="20"/>
        </w:rPr>
      </w:pPr>
    </w:p>
    <w:p w:rsidR="00990C83" w:rsidRPr="00E5019C" w:rsidRDefault="00990C83" w:rsidP="00476839">
      <w:pPr>
        <w:autoSpaceDE w:val="0"/>
        <w:autoSpaceDN w:val="0"/>
        <w:adjustRightInd w:val="0"/>
        <w:ind w:left="284" w:hanging="284"/>
        <w:contextualSpacing/>
        <w:jc w:val="both"/>
        <w:rPr>
          <w:rFonts w:ascii="Arial" w:hAnsi="Arial" w:cs="Arial"/>
          <w:bCs/>
          <w:sz w:val="20"/>
          <w:szCs w:val="20"/>
        </w:rPr>
      </w:pPr>
      <w:r w:rsidRPr="00E5019C">
        <w:rPr>
          <w:rFonts w:ascii="Arial" w:hAnsi="Arial" w:cs="Arial"/>
          <w:bCs/>
          <w:sz w:val="20"/>
          <w:szCs w:val="20"/>
        </w:rPr>
        <w:t>4. En algunos de los cheques pagados por REPAP no se encontró la copia de la credencial de elector, siendo las pólizas número 60, 63, 144, 191, 231, 263, 324 y 335.</w:t>
      </w:r>
    </w:p>
    <w:p w:rsidR="00990C83" w:rsidRPr="00E5019C" w:rsidRDefault="00990C83" w:rsidP="00476839">
      <w:pPr>
        <w:autoSpaceDE w:val="0"/>
        <w:autoSpaceDN w:val="0"/>
        <w:adjustRightInd w:val="0"/>
        <w:contextualSpacing/>
        <w:jc w:val="both"/>
        <w:rPr>
          <w:rFonts w:ascii="Arial" w:hAnsi="Arial" w:cs="Arial"/>
          <w:bCs/>
          <w:sz w:val="20"/>
          <w:szCs w:val="20"/>
        </w:rPr>
      </w:pPr>
    </w:p>
    <w:p w:rsidR="00990C83" w:rsidRPr="00B224BD" w:rsidRDefault="00990C83" w:rsidP="00476839">
      <w:pPr>
        <w:pStyle w:val="Prrafodelista"/>
        <w:numPr>
          <w:ilvl w:val="0"/>
          <w:numId w:val="101"/>
        </w:numPr>
        <w:autoSpaceDE w:val="0"/>
        <w:autoSpaceDN w:val="0"/>
        <w:adjustRightInd w:val="0"/>
        <w:ind w:left="284" w:hanging="284"/>
        <w:jc w:val="both"/>
        <w:rPr>
          <w:rFonts w:ascii="Arial" w:hAnsi="Arial" w:cs="Arial"/>
          <w:bCs/>
          <w:sz w:val="20"/>
          <w:szCs w:val="20"/>
        </w:rPr>
      </w:pPr>
      <w:r w:rsidRPr="00B224BD">
        <w:rPr>
          <w:rFonts w:ascii="Arial" w:hAnsi="Arial" w:cs="Arial"/>
          <w:bCs/>
          <w:sz w:val="20"/>
          <w:szCs w:val="20"/>
        </w:rPr>
        <w:t>Clasificación indebida de la contabilidad, sin atender a las recomendaciones de reclasificación del OTF en los casos siguientes:</w:t>
      </w:r>
    </w:p>
    <w:p w:rsidR="00B224BD"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 xml:space="preserve">Reclasificación No. 1. Gastos: Póliza No. PE 54, se observa gasto por coordinación y logística en 13 distritos afectado en la cuenta eventos. El otrora partido político registró </w:t>
      </w:r>
      <w:r w:rsidRPr="00B224BD">
        <w:rPr>
          <w:rFonts w:ascii="Arial" w:hAnsi="Arial" w:cs="Arial"/>
          <w:bCs/>
          <w:sz w:val="20"/>
          <w:szCs w:val="20"/>
        </w:rPr>
        <w:lastRenderedPageBreak/>
        <w:t>contablemente gasto por coordinación y logística en 13 distritos en la cuenta de eventos, por lo que se propone reclasificarlo a la cuenta de gastos de asesoría y consultas.</w:t>
      </w:r>
    </w:p>
    <w:p w:rsidR="00990C83"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Reclasificación No. 2. Gastos: Póliza No. PE 154, se observa gasto por volantes afectado en la cuenta material promocional. El otrora partido político registró contablemente gasto por volantes en la cuenta material promocional, por lo que se propone reclasificarlo a la cuenta de impresos.</w:t>
      </w:r>
    </w:p>
    <w:p w:rsidR="00990C83"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Reclasificación No. 3. Gastos: Póliza No. PE 211, se observa gasto por condones afectado en la cuenta material promocional. El otrora partido político, registró contablemente gasto por condones en la cuenta de material promocional, por lo que se propone reclasificarlo a la cuenta gastos de condones.</w:t>
      </w:r>
    </w:p>
    <w:p w:rsidR="00990C83"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Reclasificación No. 4. Gastos: Póliza No. PE 260, se observa gasto por volantes afectado en la cuenta material promocional. El otrora partido político registró contablemente gasto por volantes en la cuenta material promocional, por lo que se propone reclasificarlo a la cuenta gastos de impresos.</w:t>
      </w:r>
    </w:p>
    <w:p w:rsidR="00990C83"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Reclasificación No. 5. Gastos: Póliza No. PE 303, se observa gasto por lonas afectado en la cuenta material promocional. El otrora partido político registró contablemente gasto por lonas en la cuenta material promocional, por lo que se propone reclasificarlo a la cuenta gastos de lonas.</w:t>
      </w:r>
    </w:p>
    <w:p w:rsidR="00990C83" w:rsidRPr="00B224BD" w:rsidRDefault="00990C83" w:rsidP="00476839">
      <w:pPr>
        <w:pStyle w:val="Prrafodelista"/>
        <w:numPr>
          <w:ilvl w:val="0"/>
          <w:numId w:val="103"/>
        </w:numPr>
        <w:autoSpaceDE w:val="0"/>
        <w:autoSpaceDN w:val="0"/>
        <w:adjustRightInd w:val="0"/>
        <w:jc w:val="both"/>
        <w:rPr>
          <w:rFonts w:ascii="Arial" w:hAnsi="Arial" w:cs="Arial"/>
          <w:bCs/>
          <w:sz w:val="20"/>
          <w:szCs w:val="20"/>
        </w:rPr>
      </w:pPr>
      <w:r w:rsidRPr="00B224BD">
        <w:rPr>
          <w:rFonts w:ascii="Arial" w:hAnsi="Arial" w:cs="Arial"/>
          <w:bCs/>
          <w:sz w:val="20"/>
          <w:szCs w:val="20"/>
        </w:rPr>
        <w:t>Reclasificación No. 6. Gastos: Póliza No. PE 330, se observa gasto por mantenimiento equipo de transporte afectado en la cuenta mantenimiento equipo de cómputo. El otrora partido político registró contablemente gasto por mantenimiento equipo de transporte en la cuenta mantenimiento equipo de cómputo, por lo que se propone reclasificarlo a la cuenta mantenimiento equipo de transporte.</w:t>
      </w:r>
    </w:p>
    <w:p w:rsidR="00990C83" w:rsidRDefault="00990C83" w:rsidP="00476839">
      <w:pPr>
        <w:autoSpaceDE w:val="0"/>
        <w:autoSpaceDN w:val="0"/>
        <w:adjustRightInd w:val="0"/>
        <w:contextualSpacing/>
        <w:jc w:val="both"/>
        <w:rPr>
          <w:rFonts w:ascii="Arial" w:hAnsi="Arial" w:cs="Arial"/>
          <w:bCs/>
          <w:sz w:val="20"/>
          <w:szCs w:val="20"/>
        </w:rPr>
      </w:pPr>
    </w:p>
    <w:p w:rsidR="00383818" w:rsidRPr="00E5019C" w:rsidRDefault="00383818" w:rsidP="00476839">
      <w:pPr>
        <w:autoSpaceDE w:val="0"/>
        <w:autoSpaceDN w:val="0"/>
        <w:adjustRightInd w:val="0"/>
        <w:contextualSpacing/>
        <w:jc w:val="both"/>
        <w:rPr>
          <w:rFonts w:ascii="Arial" w:hAnsi="Arial" w:cs="Arial"/>
          <w:bCs/>
          <w:sz w:val="20"/>
          <w:szCs w:val="20"/>
        </w:rPr>
      </w:pPr>
    </w:p>
    <w:p w:rsidR="00990C83" w:rsidRPr="00E5019C" w:rsidRDefault="00990C83" w:rsidP="00476839">
      <w:pPr>
        <w:autoSpaceDE w:val="0"/>
        <w:autoSpaceDN w:val="0"/>
        <w:adjustRightInd w:val="0"/>
        <w:contextualSpacing/>
        <w:jc w:val="center"/>
        <w:rPr>
          <w:rFonts w:ascii="Arial" w:hAnsi="Arial" w:cs="Arial"/>
          <w:b/>
          <w:bCs/>
          <w:sz w:val="20"/>
          <w:szCs w:val="20"/>
        </w:rPr>
      </w:pPr>
      <w:r w:rsidRPr="00E5019C">
        <w:rPr>
          <w:rFonts w:ascii="Arial" w:hAnsi="Arial" w:cs="Arial"/>
          <w:b/>
          <w:bCs/>
          <w:sz w:val="20"/>
          <w:szCs w:val="20"/>
        </w:rPr>
        <w:t>Partido Futuro Democrático</w:t>
      </w:r>
    </w:p>
    <w:p w:rsidR="00990C83" w:rsidRPr="00E5019C" w:rsidRDefault="00990C83" w:rsidP="00476839">
      <w:pPr>
        <w:autoSpaceDE w:val="0"/>
        <w:autoSpaceDN w:val="0"/>
        <w:adjustRightInd w:val="0"/>
        <w:contextualSpacing/>
        <w:jc w:val="both"/>
        <w:rPr>
          <w:rFonts w:ascii="Arial" w:hAnsi="Arial" w:cs="Arial"/>
          <w:bCs/>
          <w:sz w:val="20"/>
          <w:szCs w:val="20"/>
        </w:rPr>
      </w:pPr>
    </w:p>
    <w:p w:rsidR="00990C83" w:rsidRPr="00B83774" w:rsidRDefault="00990C83" w:rsidP="00476839">
      <w:pPr>
        <w:rPr>
          <w:rFonts w:ascii="Arial" w:hAnsi="Arial" w:cs="Arial"/>
          <w:b/>
          <w:bCs/>
          <w:i/>
          <w:iCs/>
          <w:sz w:val="20"/>
          <w:szCs w:val="20"/>
        </w:rPr>
      </w:pPr>
      <w:r w:rsidRPr="00B83774">
        <w:rPr>
          <w:rFonts w:ascii="Arial" w:hAnsi="Arial" w:cs="Arial"/>
          <w:b/>
          <w:bCs/>
          <w:i/>
          <w:iCs/>
          <w:sz w:val="20"/>
          <w:szCs w:val="20"/>
        </w:rPr>
        <w:t>Falta Sustancial</w:t>
      </w:r>
    </w:p>
    <w:p w:rsidR="00990C83" w:rsidRPr="00FA50A9" w:rsidRDefault="00990C83" w:rsidP="00476839">
      <w:pPr>
        <w:pStyle w:val="Prrafodelista"/>
        <w:numPr>
          <w:ilvl w:val="0"/>
          <w:numId w:val="104"/>
        </w:numPr>
        <w:autoSpaceDE w:val="0"/>
        <w:autoSpaceDN w:val="0"/>
        <w:adjustRightInd w:val="0"/>
        <w:ind w:left="426" w:hanging="426"/>
        <w:jc w:val="both"/>
        <w:rPr>
          <w:rFonts w:ascii="Arial" w:hAnsi="Arial" w:cs="Arial"/>
          <w:sz w:val="20"/>
          <w:szCs w:val="20"/>
        </w:rPr>
      </w:pPr>
      <w:r w:rsidRPr="00FA50A9">
        <w:rPr>
          <w:rFonts w:ascii="Arial" w:hAnsi="Arial" w:cs="Arial"/>
          <w:sz w:val="20"/>
          <w:szCs w:val="20"/>
        </w:rPr>
        <w:t xml:space="preserve">Fue responsable directo del rebase del tope de gastos de campaña en 20 </w:t>
      </w:r>
      <w:r w:rsidR="00FA50A9">
        <w:rPr>
          <w:rFonts w:ascii="Arial" w:hAnsi="Arial" w:cs="Arial"/>
          <w:sz w:val="20"/>
          <w:szCs w:val="20"/>
        </w:rPr>
        <w:t>A</w:t>
      </w:r>
      <w:r w:rsidRPr="00FA50A9">
        <w:rPr>
          <w:rFonts w:ascii="Arial" w:hAnsi="Arial" w:cs="Arial"/>
          <w:sz w:val="20"/>
          <w:szCs w:val="20"/>
        </w:rPr>
        <w:t xml:space="preserve">yuntamientos en los que dicho partido político, y los partidos Revolucionario Institucional, Nueva Alianza, Verde Ecologista de México y otrora Socialdemócrata postularon candidaturas comunes para las elecciones de los </w:t>
      </w:r>
      <w:r w:rsidR="00FA50A9">
        <w:rPr>
          <w:rFonts w:ascii="Arial" w:hAnsi="Arial" w:cs="Arial"/>
          <w:sz w:val="20"/>
          <w:szCs w:val="20"/>
        </w:rPr>
        <w:t>A</w:t>
      </w:r>
      <w:r w:rsidRPr="00FA50A9">
        <w:rPr>
          <w:rFonts w:ascii="Arial" w:hAnsi="Arial" w:cs="Arial"/>
          <w:sz w:val="20"/>
          <w:szCs w:val="20"/>
        </w:rPr>
        <w:t>yuntamientos de la Entidad.</w:t>
      </w:r>
    </w:p>
    <w:p w:rsidR="00990C83" w:rsidRPr="00E5019C" w:rsidRDefault="00990C83" w:rsidP="00476839">
      <w:pPr>
        <w:autoSpaceDE w:val="0"/>
        <w:autoSpaceDN w:val="0"/>
        <w:adjustRightInd w:val="0"/>
        <w:contextualSpacing/>
        <w:jc w:val="both"/>
        <w:rPr>
          <w:rFonts w:ascii="Arial" w:hAnsi="Arial" w:cs="Arial"/>
          <w:bCs/>
          <w:sz w:val="20"/>
          <w:szCs w:val="20"/>
        </w:rPr>
      </w:pPr>
    </w:p>
    <w:p w:rsidR="00990C83" w:rsidRPr="00383818" w:rsidRDefault="00990C83" w:rsidP="00476839">
      <w:pPr>
        <w:rPr>
          <w:rFonts w:ascii="Arial" w:hAnsi="Arial" w:cs="Arial"/>
          <w:bCs/>
          <w:i/>
          <w:iCs/>
          <w:sz w:val="20"/>
          <w:szCs w:val="20"/>
        </w:rPr>
      </w:pPr>
      <w:r w:rsidRPr="00B83774">
        <w:rPr>
          <w:rFonts w:ascii="Arial" w:hAnsi="Arial" w:cs="Arial"/>
          <w:b/>
          <w:bCs/>
          <w:i/>
          <w:iCs/>
          <w:sz w:val="20"/>
          <w:szCs w:val="20"/>
        </w:rPr>
        <w:t>Faltas Formales</w:t>
      </w:r>
    </w:p>
    <w:p w:rsidR="00FA50A9" w:rsidRDefault="00990C83" w:rsidP="00476839">
      <w:pPr>
        <w:pStyle w:val="Prrafodelista"/>
        <w:numPr>
          <w:ilvl w:val="0"/>
          <w:numId w:val="105"/>
        </w:numPr>
        <w:autoSpaceDE w:val="0"/>
        <w:autoSpaceDN w:val="0"/>
        <w:adjustRightInd w:val="0"/>
        <w:ind w:left="426" w:hanging="426"/>
        <w:jc w:val="both"/>
        <w:rPr>
          <w:rFonts w:ascii="Arial" w:hAnsi="Arial" w:cs="Arial"/>
          <w:sz w:val="20"/>
          <w:szCs w:val="20"/>
        </w:rPr>
      </w:pPr>
      <w:r w:rsidRPr="00FA50A9">
        <w:rPr>
          <w:rFonts w:ascii="Arial" w:hAnsi="Arial" w:cs="Arial"/>
          <w:sz w:val="20"/>
          <w:szCs w:val="20"/>
        </w:rPr>
        <w:t xml:space="preserve">La omisión sobre </w:t>
      </w:r>
      <w:r w:rsidR="00FA50A9">
        <w:rPr>
          <w:rFonts w:ascii="Arial" w:hAnsi="Arial" w:cs="Arial"/>
          <w:sz w:val="20"/>
          <w:szCs w:val="20"/>
        </w:rPr>
        <w:t>33</w:t>
      </w:r>
      <w:r w:rsidRPr="00FA50A9">
        <w:rPr>
          <w:rFonts w:ascii="Arial" w:hAnsi="Arial" w:cs="Arial"/>
          <w:sz w:val="20"/>
          <w:szCs w:val="20"/>
        </w:rPr>
        <w:t xml:space="preserve"> pagos realizados mediante cheque con un importe mayor a 100 días de salario mínimo, equivalentes a $5,195.00 (</w:t>
      </w:r>
      <w:r w:rsidR="00FA50A9">
        <w:rPr>
          <w:rFonts w:ascii="Arial" w:hAnsi="Arial" w:cs="Arial"/>
          <w:sz w:val="20"/>
          <w:szCs w:val="20"/>
        </w:rPr>
        <w:t>c</w:t>
      </w:r>
      <w:r w:rsidRPr="00FA50A9">
        <w:rPr>
          <w:rFonts w:ascii="Arial" w:hAnsi="Arial" w:cs="Arial"/>
          <w:sz w:val="20"/>
          <w:szCs w:val="20"/>
        </w:rPr>
        <w:t>inco mil ciento noventa y cinco pesos 00/100 M.N.), sin la leyenda “para abono en cuenta del beneficiario</w:t>
      </w:r>
      <w:r w:rsidR="00FA50A9">
        <w:rPr>
          <w:rFonts w:ascii="Arial" w:hAnsi="Arial" w:cs="Arial"/>
          <w:sz w:val="20"/>
          <w:szCs w:val="20"/>
        </w:rPr>
        <w:t>”</w:t>
      </w:r>
      <w:r w:rsidRPr="00FA50A9">
        <w:rPr>
          <w:rFonts w:ascii="Arial" w:hAnsi="Arial" w:cs="Arial"/>
          <w:sz w:val="20"/>
          <w:szCs w:val="20"/>
        </w:rPr>
        <w:t>, con lo cual incumple con lo dispuesto por los artículos 52 fracción XIII, del Código Electoral del Estado de México y 74, párrafo primero, del Reglamento de Fiscalización a las Actividades de los Partidos Políticos y Coaliciones, del Instituto Electoral del Estado de México.</w:t>
      </w:r>
    </w:p>
    <w:p w:rsidR="00FA50A9" w:rsidRPr="00FA50A9" w:rsidRDefault="00FA50A9" w:rsidP="00476839">
      <w:pPr>
        <w:autoSpaceDE w:val="0"/>
        <w:autoSpaceDN w:val="0"/>
        <w:adjustRightInd w:val="0"/>
        <w:jc w:val="both"/>
        <w:rPr>
          <w:rFonts w:ascii="Arial" w:hAnsi="Arial" w:cs="Arial"/>
          <w:sz w:val="20"/>
          <w:szCs w:val="20"/>
        </w:rPr>
      </w:pPr>
    </w:p>
    <w:p w:rsidR="00990C83" w:rsidRPr="00FA50A9" w:rsidRDefault="00990C83" w:rsidP="00476839">
      <w:pPr>
        <w:pStyle w:val="Prrafodelista"/>
        <w:numPr>
          <w:ilvl w:val="0"/>
          <w:numId w:val="105"/>
        </w:numPr>
        <w:autoSpaceDE w:val="0"/>
        <w:autoSpaceDN w:val="0"/>
        <w:adjustRightInd w:val="0"/>
        <w:ind w:left="426" w:hanging="426"/>
        <w:jc w:val="both"/>
        <w:rPr>
          <w:rFonts w:ascii="Arial" w:hAnsi="Arial" w:cs="Arial"/>
          <w:sz w:val="20"/>
          <w:szCs w:val="20"/>
        </w:rPr>
      </w:pPr>
      <w:r w:rsidRPr="00FA50A9">
        <w:rPr>
          <w:rFonts w:ascii="Arial" w:hAnsi="Arial" w:cs="Arial"/>
          <w:sz w:val="20"/>
          <w:szCs w:val="20"/>
        </w:rPr>
        <w:t>No presentó la documentación comprobatoria relacionada con el uso excesivo de los recursos del partido político, con la que se acredite la realización de un anticipo por la cantidad de $2,561.66 (</w:t>
      </w:r>
      <w:r w:rsidR="00FA50A9">
        <w:rPr>
          <w:rFonts w:ascii="Arial" w:hAnsi="Arial" w:cs="Arial"/>
          <w:sz w:val="20"/>
          <w:szCs w:val="20"/>
        </w:rPr>
        <w:t>d</w:t>
      </w:r>
      <w:r w:rsidRPr="00FA50A9">
        <w:rPr>
          <w:rFonts w:ascii="Arial" w:hAnsi="Arial" w:cs="Arial"/>
          <w:sz w:val="20"/>
          <w:szCs w:val="20"/>
        </w:rPr>
        <w:t>os mil quinientos sesenta y un pesos 66/100 M.N.), a favor de Verónica Barrera Sánchez, por lo que incumple con lo dispuesto por los artículos 52 fracción XIII, del Código Electoral del Estado de México y 72 del Reglamento de Fiscalización a las Actividades de los Partidos Políticos y Coaliciones, del Instituto Electoral del Estado de México.</w:t>
      </w:r>
    </w:p>
    <w:p w:rsidR="00476839" w:rsidRDefault="00476839">
      <w:pPr>
        <w:rPr>
          <w:rStyle w:val="Ttulodellibro"/>
          <w:rFonts w:ascii="Arial" w:hAnsi="Arial" w:cs="Arial"/>
          <w:b/>
          <w:i/>
          <w:color w:val="auto"/>
          <w:sz w:val="24"/>
          <w:szCs w:val="24"/>
        </w:rPr>
      </w:pPr>
      <w:r>
        <w:rPr>
          <w:rStyle w:val="Ttulodellibro"/>
          <w:rFonts w:ascii="Arial" w:hAnsi="Arial" w:cs="Arial"/>
          <w:b/>
          <w:i/>
          <w:color w:val="auto"/>
          <w:sz w:val="24"/>
          <w:szCs w:val="24"/>
        </w:rPr>
        <w:br w:type="page"/>
      </w:r>
    </w:p>
    <w:p w:rsidR="00990C83" w:rsidRPr="00A709B1" w:rsidRDefault="00990C83" w:rsidP="00476839">
      <w:pPr>
        <w:pStyle w:val="Sinespaciado"/>
        <w:rPr>
          <w:rStyle w:val="Ttulodellibro"/>
          <w:rFonts w:ascii="Arial" w:hAnsi="Arial" w:cs="Arial"/>
          <w:b/>
          <w:i/>
          <w:color w:val="auto"/>
          <w:sz w:val="24"/>
          <w:szCs w:val="24"/>
        </w:rPr>
      </w:pPr>
      <w:r w:rsidRPr="00A709B1">
        <w:rPr>
          <w:rStyle w:val="Ttulodellibro"/>
          <w:rFonts w:ascii="Arial" w:hAnsi="Arial" w:cs="Arial"/>
          <w:b/>
          <w:i/>
          <w:color w:val="auto"/>
          <w:sz w:val="24"/>
          <w:szCs w:val="24"/>
        </w:rPr>
        <w:lastRenderedPageBreak/>
        <w:t>ANEXO 2</w:t>
      </w:r>
      <w:r w:rsidR="00930133">
        <w:rPr>
          <w:rStyle w:val="Ttulodellibro"/>
          <w:rFonts w:ascii="Arial" w:hAnsi="Arial" w:cs="Arial"/>
          <w:b/>
          <w:i/>
          <w:color w:val="auto"/>
          <w:sz w:val="24"/>
          <w:szCs w:val="24"/>
        </w:rPr>
        <w:t>.</w:t>
      </w:r>
      <w:r w:rsidRPr="00A709B1">
        <w:rPr>
          <w:rStyle w:val="Ttulodellibro"/>
          <w:rFonts w:ascii="Arial" w:hAnsi="Arial" w:cs="Arial"/>
          <w:b/>
          <w:i/>
          <w:color w:val="auto"/>
          <w:sz w:val="24"/>
          <w:szCs w:val="24"/>
        </w:rPr>
        <w:t xml:space="preserve"> FALTAS DE CAMPAÑA PROCESO ELECTORAL 2012</w:t>
      </w:r>
      <w:r w:rsidR="00A709B1">
        <w:rPr>
          <w:rStyle w:val="Ttulodellibro"/>
          <w:rFonts w:ascii="Arial" w:hAnsi="Arial" w:cs="Arial"/>
          <w:b/>
          <w:i/>
          <w:color w:val="auto"/>
          <w:sz w:val="24"/>
          <w:szCs w:val="24"/>
        </w:rPr>
        <w:t>.</w:t>
      </w:r>
    </w:p>
    <w:p w:rsidR="00383818" w:rsidRDefault="00383818" w:rsidP="00476839">
      <w:pPr>
        <w:contextualSpacing/>
        <w:rPr>
          <w:rFonts w:ascii="Arial" w:hAnsi="Arial" w:cs="Arial"/>
          <w:b/>
          <w:sz w:val="20"/>
          <w:szCs w:val="20"/>
        </w:rPr>
      </w:pPr>
    </w:p>
    <w:p w:rsidR="00383818" w:rsidRDefault="00383818" w:rsidP="00476839">
      <w:pPr>
        <w:contextualSpacing/>
        <w:rPr>
          <w:rFonts w:ascii="Arial" w:hAnsi="Arial" w:cs="Arial"/>
          <w:b/>
          <w:sz w:val="20"/>
          <w:szCs w:val="20"/>
        </w:rPr>
      </w:pPr>
    </w:p>
    <w:p w:rsidR="00A709B1" w:rsidRDefault="00A709B1" w:rsidP="00476839">
      <w:pPr>
        <w:contextualSpacing/>
        <w:jc w:val="center"/>
        <w:rPr>
          <w:rFonts w:ascii="Arial" w:hAnsi="Arial" w:cs="Arial"/>
          <w:b/>
          <w:sz w:val="20"/>
          <w:szCs w:val="20"/>
        </w:rPr>
      </w:pPr>
    </w:p>
    <w:p w:rsidR="00990C83" w:rsidRPr="00E5019C" w:rsidRDefault="00990C83" w:rsidP="00476839">
      <w:pPr>
        <w:contextualSpacing/>
        <w:jc w:val="center"/>
        <w:rPr>
          <w:rFonts w:ascii="Arial" w:hAnsi="Arial" w:cs="Arial"/>
          <w:b/>
          <w:sz w:val="20"/>
          <w:szCs w:val="20"/>
        </w:rPr>
      </w:pPr>
      <w:r w:rsidRPr="00E5019C">
        <w:rPr>
          <w:rFonts w:ascii="Arial" w:hAnsi="Arial" w:cs="Arial"/>
          <w:b/>
          <w:sz w:val="20"/>
          <w:szCs w:val="20"/>
        </w:rPr>
        <w:t>Partido de la Revolución Democrática</w:t>
      </w:r>
    </w:p>
    <w:p w:rsidR="00383818" w:rsidRDefault="00383818" w:rsidP="00476839">
      <w:pPr>
        <w:contextualSpacing/>
        <w:rPr>
          <w:rFonts w:ascii="Arial" w:hAnsi="Arial" w:cs="Arial"/>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Faltas Formales</w:t>
      </w:r>
    </w:p>
    <w:p w:rsidR="00383818" w:rsidRPr="00304E1F" w:rsidRDefault="00990C83" w:rsidP="00476839">
      <w:pPr>
        <w:pStyle w:val="Prrafodelista"/>
        <w:numPr>
          <w:ilvl w:val="0"/>
          <w:numId w:val="107"/>
        </w:numPr>
        <w:autoSpaceDE w:val="0"/>
        <w:autoSpaceDN w:val="0"/>
        <w:adjustRightInd w:val="0"/>
        <w:ind w:left="426" w:hanging="426"/>
        <w:jc w:val="both"/>
        <w:rPr>
          <w:rFonts w:ascii="Arial" w:hAnsi="Arial" w:cs="Arial"/>
          <w:sz w:val="20"/>
          <w:szCs w:val="20"/>
        </w:rPr>
      </w:pPr>
      <w:r w:rsidRPr="00304E1F">
        <w:rPr>
          <w:rFonts w:ascii="Arial" w:hAnsi="Arial" w:cs="Arial"/>
          <w:sz w:val="20"/>
          <w:szCs w:val="20"/>
        </w:rPr>
        <w:t>Compra de propaganda compartida en los Municipios de Atlautla, Ocuilan, Otzolotepec, Ozumba y Tlalmanalco con el ex candidato a la Presidencia de la República Andrés Manuel López Obrador.</w:t>
      </w:r>
    </w:p>
    <w:p w:rsidR="00990C83" w:rsidRPr="00383818" w:rsidRDefault="00BD403C" w:rsidP="00476839">
      <w:pPr>
        <w:pStyle w:val="Prrafodelista"/>
        <w:ind w:left="0"/>
        <w:jc w:val="both"/>
        <w:rPr>
          <w:rFonts w:ascii="Arial" w:hAnsi="Arial" w:cs="Arial"/>
          <w:sz w:val="20"/>
          <w:szCs w:val="20"/>
        </w:rPr>
      </w:pPr>
      <w:r>
        <w:rPr>
          <w:rFonts w:ascii="Arial" w:hAnsi="Arial" w:cs="Arial"/>
          <w:i/>
          <w:iCs/>
          <w:sz w:val="20"/>
          <w:szCs w:val="20"/>
        </w:rPr>
        <w:t>“</w:t>
      </w:r>
      <w:r w:rsidR="00990C83" w:rsidRPr="00383818">
        <w:rPr>
          <w:rFonts w:ascii="Arial" w:hAnsi="Arial" w:cs="Arial"/>
          <w:i/>
          <w:iCs/>
          <w:sz w:val="20"/>
          <w:szCs w:val="20"/>
        </w:rPr>
        <w:t>Como resultado de la compulsa al Informe Final de Monitoreo a Medios Alternos para el Proceso Electoral dos mil doce, aprobado por el Consejo General del Instituto Electoral del Estado de México, mediante Acuerdo N°. IEEM/CG/244/2012, contra los informes definitivos sobre el origen, monto, volumen, aplicación y destino de los ingresos y gastos de campaña presentados por el Partido de la Revolución Democrática, correspondiente a los Municipios de Atlautla, Ocuilan, Otzolotepec, Ozumba y Tlalmanalco, se observó una presunta aplicación de recursos en dinero o en especie para promocionar las candidaturas de los respectivos candidatos a presidentes municipales del Partido de la Revolución Democrática en los citados municipios y al candidato a la Presidencia de la República postulado por la Coalición “Movimiento Progresista”. Es decir, existe evidencia derivada del monitoreo en la que se aprecia la imagen de los respectivos candidatos registrados y postulados por el partido político junto con la imagen que pública y notoriamente se identifica con el candidato presidencial referido, razón por la que se deduce se realizó compras de propaganda compartida que benefician directa e indirectamente la campaña del excandidato a la Presidencia de los Estados Unidos Mexicanos Andrés Manuel López Obrador, con recursos del financiamiento público del Estado de México en contravención en lo dispuesto en el artículo 64 del Reglamento de Fiscalización a las Actividades de los Partidos Políticos y Coaliciones del Instituto Electoral del Estado de México…”</w:t>
      </w:r>
      <w:r w:rsidR="00383818" w:rsidRPr="00383818">
        <w:rPr>
          <w:rFonts w:ascii="Arial" w:hAnsi="Arial" w:cs="Arial"/>
          <w:i/>
          <w:iCs/>
          <w:sz w:val="20"/>
          <w:szCs w:val="20"/>
        </w:rPr>
        <w:t>.</w:t>
      </w:r>
    </w:p>
    <w:p w:rsidR="00383818" w:rsidRDefault="00383818" w:rsidP="00476839">
      <w:pPr>
        <w:contextualSpacing/>
        <w:jc w:val="both"/>
        <w:rPr>
          <w:rFonts w:ascii="Arial" w:hAnsi="Arial" w:cs="Arial"/>
          <w:i/>
          <w:iCs/>
          <w:sz w:val="20"/>
          <w:szCs w:val="20"/>
        </w:rPr>
      </w:pPr>
    </w:p>
    <w:p w:rsidR="00383818" w:rsidRPr="00E5019C" w:rsidRDefault="00383818" w:rsidP="00476839">
      <w:pPr>
        <w:contextualSpacing/>
        <w:jc w:val="both"/>
        <w:rPr>
          <w:rFonts w:ascii="Arial" w:hAnsi="Arial" w:cs="Arial"/>
          <w:i/>
          <w:iCs/>
          <w:sz w:val="20"/>
          <w:szCs w:val="20"/>
        </w:rPr>
      </w:pPr>
    </w:p>
    <w:p w:rsidR="00990C83" w:rsidRDefault="00990C83" w:rsidP="00476839">
      <w:pPr>
        <w:contextualSpacing/>
        <w:jc w:val="center"/>
        <w:rPr>
          <w:rFonts w:ascii="Arial" w:hAnsi="Arial" w:cs="Arial"/>
          <w:b/>
          <w:sz w:val="20"/>
          <w:szCs w:val="20"/>
        </w:rPr>
      </w:pPr>
      <w:r w:rsidRPr="00E5019C">
        <w:rPr>
          <w:rFonts w:ascii="Arial" w:hAnsi="Arial" w:cs="Arial"/>
          <w:b/>
          <w:sz w:val="20"/>
          <w:szCs w:val="20"/>
        </w:rPr>
        <w:t>Partido del Trabajo</w:t>
      </w:r>
    </w:p>
    <w:p w:rsidR="00383818" w:rsidRPr="00E5019C" w:rsidRDefault="00383818" w:rsidP="00476839">
      <w:pPr>
        <w:contextualSpacing/>
        <w:jc w:val="both"/>
        <w:rPr>
          <w:rFonts w:ascii="Arial" w:hAnsi="Arial" w:cs="Arial"/>
          <w:b/>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Faltas Formales</w:t>
      </w:r>
    </w:p>
    <w:p w:rsidR="00990C83" w:rsidRDefault="00990C83" w:rsidP="00476839">
      <w:pPr>
        <w:pStyle w:val="Prrafodelista"/>
        <w:numPr>
          <w:ilvl w:val="0"/>
          <w:numId w:val="108"/>
        </w:numPr>
        <w:autoSpaceDE w:val="0"/>
        <w:autoSpaceDN w:val="0"/>
        <w:adjustRightInd w:val="0"/>
        <w:ind w:left="426" w:hanging="426"/>
        <w:jc w:val="both"/>
        <w:rPr>
          <w:rFonts w:ascii="Arial" w:hAnsi="Arial" w:cs="Arial"/>
          <w:sz w:val="20"/>
          <w:szCs w:val="20"/>
        </w:rPr>
      </w:pPr>
      <w:r w:rsidRPr="00E5019C">
        <w:rPr>
          <w:rFonts w:ascii="Arial" w:hAnsi="Arial" w:cs="Arial"/>
          <w:sz w:val="20"/>
          <w:szCs w:val="20"/>
        </w:rPr>
        <w:t>Documentación probatoria consistente en 4 facturas con fecha de vigencia sin efectos. Por un monto de $19,993.96</w:t>
      </w:r>
      <w:r w:rsidR="00BD403C">
        <w:rPr>
          <w:rFonts w:ascii="Arial" w:hAnsi="Arial" w:cs="Arial"/>
          <w:sz w:val="20"/>
          <w:szCs w:val="20"/>
        </w:rPr>
        <w:t xml:space="preserve"> (diecinueve mil novecientos noventa y tres pesos 96/100 M.N.)</w:t>
      </w:r>
      <w:r w:rsidRPr="00E5019C">
        <w:rPr>
          <w:rFonts w:ascii="Arial" w:hAnsi="Arial" w:cs="Arial"/>
          <w:sz w:val="20"/>
          <w:szCs w:val="20"/>
        </w:rPr>
        <w:t>.</w:t>
      </w:r>
    </w:p>
    <w:p w:rsidR="00990C83" w:rsidRDefault="00990C83" w:rsidP="00476839">
      <w:pPr>
        <w:contextualSpacing/>
        <w:jc w:val="both"/>
        <w:rPr>
          <w:rFonts w:ascii="Arial" w:hAnsi="Arial" w:cs="Arial"/>
          <w:i/>
          <w:iCs/>
          <w:sz w:val="20"/>
          <w:szCs w:val="20"/>
        </w:rPr>
      </w:pPr>
      <w:r w:rsidRPr="00E5019C">
        <w:rPr>
          <w:rFonts w:ascii="Arial" w:hAnsi="Arial" w:cs="Arial"/>
          <w:i/>
          <w:iCs/>
          <w:sz w:val="20"/>
          <w:szCs w:val="20"/>
        </w:rPr>
        <w:t>“Como se describe en la observación identificada con el número dos del informe de resultados sobre el origen, monto, volumen, aplicación y destino de los recursos públicos y privados, derivado de la revisión a los informes definitivos de campaña de distritos en el proceso electoral 2012, del Partido del Trabajo, referente a la campaña del distrito XVI, con cabecera en Atizapán de Zaragoza, el gasto registrado por la cantidad de $19,993.96 (Diecinueve mil novecientos noventa y tres pesos 96/100 M.N.), por concepto de PINTA DE BARDAS PARA PUBLICIDAD DE CAMPAÑA del proveedor Martha Eugenia Gutiérrez Quintero, con RFC GUQM661110357, evidenció que el soporte comprobatorio se sustentó en la expedición el veinticinco de junio de dos mil doce de cuatro facturas en que el plazo de vigencia ya había fenecido, dado que en términos de la anotación visible al calce, la fecha de vigencia de los folios señala dos años efectivos hasta el once de mayo de dos mil doce; en consecuencia, una vez transcurrido dicho plazo el comprobante fiscal quedó sin efectos para las deducciones de su importe.</w:t>
      </w:r>
      <w:r w:rsidRPr="00E5019C">
        <w:rPr>
          <w:rFonts w:ascii="Arial" w:hAnsi="Arial" w:cs="Arial"/>
          <w:sz w:val="20"/>
          <w:szCs w:val="20"/>
        </w:rPr>
        <w:t xml:space="preserve"> </w:t>
      </w:r>
      <w:r w:rsidRPr="00E5019C">
        <w:rPr>
          <w:rFonts w:ascii="Arial" w:hAnsi="Arial" w:cs="Arial"/>
          <w:i/>
          <w:iCs/>
          <w:sz w:val="20"/>
          <w:szCs w:val="20"/>
        </w:rPr>
        <w:t>52, fracción XIII, del Código Electoral del Estado de México; 71 y 79 del Reglamento de Fiscalización a las Actividades de los Partidos Políticos y Coaliciones del Instituto Electoral del Estado de México</w:t>
      </w:r>
      <w:r w:rsidR="00BD403C">
        <w:rPr>
          <w:rFonts w:ascii="Arial" w:hAnsi="Arial" w:cs="Arial"/>
          <w:i/>
          <w:iCs/>
          <w:sz w:val="20"/>
          <w:szCs w:val="20"/>
        </w:rPr>
        <w:t>”</w:t>
      </w:r>
      <w:r w:rsidRPr="00E5019C">
        <w:rPr>
          <w:rFonts w:ascii="Arial" w:hAnsi="Arial" w:cs="Arial"/>
          <w:i/>
          <w:iCs/>
          <w:sz w:val="20"/>
          <w:szCs w:val="20"/>
        </w:rPr>
        <w:t>.</w:t>
      </w:r>
    </w:p>
    <w:p w:rsidR="00383818" w:rsidRPr="00E5019C" w:rsidRDefault="00383818" w:rsidP="00476839">
      <w:pPr>
        <w:contextualSpacing/>
        <w:jc w:val="both"/>
        <w:rPr>
          <w:rFonts w:ascii="Arial" w:hAnsi="Arial" w:cs="Arial"/>
          <w:i/>
          <w:iCs/>
          <w:sz w:val="20"/>
          <w:szCs w:val="20"/>
        </w:rPr>
      </w:pPr>
    </w:p>
    <w:p w:rsidR="00990C83" w:rsidRDefault="00990C83" w:rsidP="00476839">
      <w:pPr>
        <w:pStyle w:val="Prrafodelista"/>
        <w:numPr>
          <w:ilvl w:val="0"/>
          <w:numId w:val="108"/>
        </w:numPr>
        <w:ind w:left="426"/>
        <w:jc w:val="both"/>
        <w:rPr>
          <w:rFonts w:ascii="Arial" w:hAnsi="Arial" w:cs="Arial"/>
          <w:sz w:val="20"/>
          <w:szCs w:val="20"/>
        </w:rPr>
      </w:pPr>
      <w:r w:rsidRPr="00E5019C">
        <w:rPr>
          <w:rFonts w:ascii="Arial" w:hAnsi="Arial" w:cs="Arial"/>
          <w:sz w:val="20"/>
          <w:szCs w:val="20"/>
        </w:rPr>
        <w:t>Compra de propaganda compartida con el ex candidato a la Presidencia de la República Andrés Manuel López Obrador, por un monto de $8,040,123.96</w:t>
      </w:r>
      <w:r w:rsidR="00BD403C">
        <w:rPr>
          <w:rFonts w:ascii="Arial" w:hAnsi="Arial" w:cs="Arial"/>
          <w:sz w:val="20"/>
          <w:szCs w:val="20"/>
        </w:rPr>
        <w:t xml:space="preserve"> (ocho millones cuarenta mil ciento veintitrés pesos 96/100 M.N.)</w:t>
      </w:r>
      <w:r w:rsidRPr="00E5019C">
        <w:rPr>
          <w:rFonts w:ascii="Arial" w:hAnsi="Arial" w:cs="Arial"/>
          <w:sz w:val="20"/>
          <w:szCs w:val="20"/>
        </w:rPr>
        <w:t>.</w:t>
      </w:r>
    </w:p>
    <w:p w:rsidR="00990C83" w:rsidRDefault="00990C83" w:rsidP="00476839">
      <w:pPr>
        <w:contextualSpacing/>
        <w:jc w:val="both"/>
        <w:rPr>
          <w:rFonts w:ascii="Arial" w:hAnsi="Arial" w:cs="Arial"/>
          <w:sz w:val="20"/>
          <w:szCs w:val="20"/>
        </w:rPr>
      </w:pPr>
      <w:r w:rsidRPr="00E5019C">
        <w:rPr>
          <w:rFonts w:ascii="Arial" w:hAnsi="Arial" w:cs="Arial"/>
          <w:sz w:val="20"/>
          <w:szCs w:val="20"/>
        </w:rPr>
        <w:t>B. Gastos registrados por concepto de propaganda que ascienden a $8,040,123.96 (</w:t>
      </w:r>
      <w:r w:rsidR="00BD403C">
        <w:rPr>
          <w:rFonts w:ascii="Arial" w:hAnsi="Arial" w:cs="Arial"/>
          <w:sz w:val="20"/>
          <w:szCs w:val="20"/>
        </w:rPr>
        <w:t>o</w:t>
      </w:r>
      <w:r w:rsidRPr="00E5019C">
        <w:rPr>
          <w:rFonts w:ascii="Arial" w:hAnsi="Arial" w:cs="Arial"/>
          <w:sz w:val="20"/>
          <w:szCs w:val="20"/>
        </w:rPr>
        <w:t xml:space="preserve">cho millones cuarenta mil ciento veintitrés pesos 96/100 M.N.), que se aplicaron a un destino que se aparta del objetivo para el cual debieron sufragarse, ya que además de difundir la campaña de los candidatos registrados ante el Instituto Electoral del Estado de México, difundieron y promovieron al ciudadano </w:t>
      </w:r>
      <w:r w:rsidRPr="00E5019C">
        <w:rPr>
          <w:rFonts w:ascii="Arial" w:hAnsi="Arial" w:cs="Arial"/>
          <w:sz w:val="20"/>
          <w:szCs w:val="20"/>
        </w:rPr>
        <w:lastRenderedPageBreak/>
        <w:t>Andrés Manuel López Obrador, ex candidato registrado por la Coalición “Movimiento Progresista”, ante el Instituto Federal Electoral, contendiente en diverso proceso electoral.</w:t>
      </w:r>
    </w:p>
    <w:p w:rsidR="00383818" w:rsidRPr="00E5019C" w:rsidRDefault="00383818" w:rsidP="00476839">
      <w:pPr>
        <w:ind w:left="284" w:hanging="284"/>
        <w:contextualSpacing/>
        <w:jc w:val="both"/>
        <w:rPr>
          <w:rFonts w:ascii="Arial" w:hAnsi="Arial" w:cs="Arial"/>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 Sustancial</w:t>
      </w:r>
    </w:p>
    <w:p w:rsidR="00990C83" w:rsidRDefault="00990C83" w:rsidP="00476839">
      <w:pPr>
        <w:pStyle w:val="Prrafodelista"/>
        <w:numPr>
          <w:ilvl w:val="0"/>
          <w:numId w:val="109"/>
        </w:numPr>
        <w:ind w:left="426"/>
        <w:jc w:val="both"/>
        <w:rPr>
          <w:rFonts w:ascii="Arial" w:hAnsi="Arial" w:cs="Arial"/>
          <w:sz w:val="20"/>
          <w:szCs w:val="20"/>
        </w:rPr>
      </w:pPr>
      <w:r w:rsidRPr="00E5019C">
        <w:rPr>
          <w:rFonts w:ascii="Arial" w:hAnsi="Arial" w:cs="Arial"/>
          <w:sz w:val="20"/>
          <w:szCs w:val="20"/>
        </w:rPr>
        <w:t>Rebase de tope de gastos de campaña en la elección de Ayuntamientos de Almoloya del Río, Atizapán, Ayapango, Isidro Fabela, Mexicaltzingo, Rayón y Tonanitla.</w:t>
      </w:r>
    </w:p>
    <w:p w:rsidR="00383818" w:rsidRDefault="00383818" w:rsidP="00476839">
      <w:pPr>
        <w:jc w:val="both"/>
        <w:rPr>
          <w:rFonts w:ascii="Arial" w:hAnsi="Arial" w:cs="Arial"/>
          <w:sz w:val="20"/>
          <w:szCs w:val="20"/>
        </w:rPr>
      </w:pPr>
    </w:p>
    <w:p w:rsidR="00383818" w:rsidRDefault="00383818" w:rsidP="00476839">
      <w:pPr>
        <w:jc w:val="both"/>
        <w:rPr>
          <w:rFonts w:ascii="Arial" w:hAnsi="Arial" w:cs="Arial"/>
          <w:sz w:val="20"/>
          <w:szCs w:val="20"/>
        </w:rPr>
      </w:pPr>
    </w:p>
    <w:p w:rsidR="00990C83" w:rsidRDefault="00990C83" w:rsidP="00476839">
      <w:pPr>
        <w:contextualSpacing/>
        <w:jc w:val="center"/>
        <w:rPr>
          <w:rFonts w:ascii="Arial" w:hAnsi="Arial" w:cs="Arial"/>
          <w:b/>
          <w:sz w:val="20"/>
          <w:szCs w:val="20"/>
        </w:rPr>
      </w:pPr>
      <w:r w:rsidRPr="00E5019C">
        <w:rPr>
          <w:rFonts w:ascii="Arial" w:hAnsi="Arial" w:cs="Arial"/>
          <w:b/>
          <w:sz w:val="20"/>
          <w:szCs w:val="20"/>
        </w:rPr>
        <w:t>Movimiento Ciudadano</w:t>
      </w:r>
    </w:p>
    <w:p w:rsidR="00383818" w:rsidRPr="00E5019C" w:rsidRDefault="00383818" w:rsidP="00476839">
      <w:pPr>
        <w:contextualSpacing/>
        <w:jc w:val="both"/>
        <w:rPr>
          <w:rFonts w:ascii="Arial" w:hAnsi="Arial" w:cs="Arial"/>
          <w:b/>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Faltas Formales</w:t>
      </w:r>
    </w:p>
    <w:p w:rsidR="00990C83" w:rsidRDefault="00990C83" w:rsidP="00476839">
      <w:pPr>
        <w:pStyle w:val="Prrafodelista"/>
        <w:numPr>
          <w:ilvl w:val="0"/>
          <w:numId w:val="25"/>
        </w:numPr>
        <w:ind w:left="284" w:hanging="284"/>
        <w:jc w:val="both"/>
        <w:rPr>
          <w:rFonts w:ascii="Arial" w:hAnsi="Arial" w:cs="Arial"/>
          <w:sz w:val="20"/>
          <w:szCs w:val="20"/>
        </w:rPr>
      </w:pPr>
      <w:r w:rsidRPr="00E5019C">
        <w:rPr>
          <w:rFonts w:ascii="Arial" w:hAnsi="Arial" w:cs="Arial"/>
          <w:sz w:val="20"/>
          <w:szCs w:val="20"/>
        </w:rPr>
        <w:t>No present</w:t>
      </w:r>
      <w:r w:rsidR="002213C4">
        <w:rPr>
          <w:rFonts w:ascii="Arial" w:hAnsi="Arial" w:cs="Arial"/>
          <w:sz w:val="20"/>
          <w:szCs w:val="20"/>
        </w:rPr>
        <w:t>ó</w:t>
      </w:r>
      <w:r w:rsidRPr="00E5019C">
        <w:rPr>
          <w:rFonts w:ascii="Arial" w:hAnsi="Arial" w:cs="Arial"/>
          <w:sz w:val="20"/>
          <w:szCs w:val="20"/>
        </w:rPr>
        <w:t xml:space="preserve"> documentación</w:t>
      </w:r>
      <w:r w:rsidR="002213C4">
        <w:rPr>
          <w:rFonts w:ascii="Arial" w:hAnsi="Arial" w:cs="Arial"/>
          <w:sz w:val="20"/>
          <w:szCs w:val="20"/>
        </w:rPr>
        <w:t xml:space="preserve"> </w:t>
      </w:r>
      <w:r w:rsidRPr="00E5019C">
        <w:rPr>
          <w:rFonts w:ascii="Arial" w:hAnsi="Arial" w:cs="Arial"/>
          <w:sz w:val="20"/>
          <w:szCs w:val="20"/>
        </w:rPr>
        <w:t>soporte (cheque nominativo o transferencia), por un monto de $1,009,391.19</w:t>
      </w:r>
      <w:r w:rsidR="002213C4">
        <w:rPr>
          <w:rFonts w:ascii="Arial" w:hAnsi="Arial" w:cs="Arial"/>
          <w:sz w:val="20"/>
          <w:szCs w:val="20"/>
        </w:rPr>
        <w:t xml:space="preserve"> (un millón nueve mil pesos 19/100 M.N.)</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El partido político no soportó debidamente gastos de campaña en virtud que no presentó cheque nominativo y con la leyenda “Para abono en cuenta del beneficiario”, o en su caso, mediante el Sistema de Pagos Electrónicos Interbancarios (SPEI), como forma de pago exigida por el reglamento de la materia. El referido instituto político, incumplió con lo dispuesto en los artículos 52, fracción XIII del Código Electoral del Estado de México; 71 y 74 del Reglamento de Fiscalización a las Actividades de los Partidos Políticos y Coaliciones.</w:t>
      </w:r>
    </w:p>
    <w:p w:rsidR="00383818" w:rsidRPr="00E5019C" w:rsidRDefault="00383818" w:rsidP="00476839">
      <w:pPr>
        <w:ind w:left="284"/>
        <w:contextualSpacing/>
        <w:jc w:val="both"/>
        <w:rPr>
          <w:rFonts w:ascii="Arial" w:hAnsi="Arial" w:cs="Arial"/>
          <w:sz w:val="20"/>
          <w:szCs w:val="20"/>
        </w:rPr>
      </w:pPr>
    </w:p>
    <w:p w:rsidR="00990C83" w:rsidRPr="00E5019C" w:rsidRDefault="00990C83" w:rsidP="00476839">
      <w:pPr>
        <w:pStyle w:val="Prrafodelista"/>
        <w:numPr>
          <w:ilvl w:val="0"/>
          <w:numId w:val="25"/>
        </w:numPr>
        <w:ind w:left="284" w:hanging="284"/>
        <w:jc w:val="both"/>
        <w:rPr>
          <w:rFonts w:ascii="Arial" w:hAnsi="Arial" w:cs="Arial"/>
          <w:sz w:val="20"/>
          <w:szCs w:val="20"/>
        </w:rPr>
      </w:pPr>
      <w:r w:rsidRPr="00E5019C">
        <w:rPr>
          <w:rFonts w:ascii="Arial" w:hAnsi="Arial" w:cs="Arial"/>
          <w:sz w:val="20"/>
          <w:szCs w:val="20"/>
        </w:rPr>
        <w:t>Compra de propaganda compartida en el Municipio de Lerma con el ex candidato a la Presidencia de la República Andrés Manuel López Obrador, por un monto de $23,200.00</w:t>
      </w:r>
      <w:r w:rsidR="002213C4">
        <w:rPr>
          <w:rFonts w:ascii="Arial" w:hAnsi="Arial" w:cs="Arial"/>
          <w:sz w:val="20"/>
          <w:szCs w:val="20"/>
        </w:rPr>
        <w:t xml:space="preserve"> (veintitrés mil doscientos pesos 00/100 M.N.)</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 xml:space="preserve">Gastos que se aplicaron a un destino que se aparta del objetivo para el cual debieron sufragarse, ya que además de difundir la campaña del candidato registrado al cargo de Presidente Municipal del Ayuntamiento del </w:t>
      </w:r>
      <w:r w:rsidR="00625E8E">
        <w:rPr>
          <w:rFonts w:ascii="Arial" w:hAnsi="Arial" w:cs="Arial"/>
          <w:sz w:val="20"/>
          <w:szCs w:val="20"/>
        </w:rPr>
        <w:t>M</w:t>
      </w:r>
      <w:r w:rsidRPr="00E5019C">
        <w:rPr>
          <w:rFonts w:ascii="Arial" w:hAnsi="Arial" w:cs="Arial"/>
          <w:sz w:val="20"/>
          <w:szCs w:val="20"/>
        </w:rPr>
        <w:t>unicipio de Lerma, ante el Instituto Electoral del Estado de México, difundieron y promovieron al ciudadano Andrés Manuel López Obrador, ex candidato registrado por la Coalición “Movimiento Progresista”, ante el Instituto Federal Electoral, contendiente en diverso proceso electoral. Con las conductas consideradas como infracciones, se transgredieron los artículos 52, fracción XVIII, en relación con el 58, fracción II, inciso b), primer párrafo, del Código Electoral del Estado de México y 72 del Reglamento de Fiscalización a las Actividades de los Partidos Políticos y Coaliciones del Instituto Electoral del Estado de México.</w:t>
      </w:r>
    </w:p>
    <w:p w:rsidR="00383818" w:rsidRPr="00E5019C" w:rsidRDefault="00383818" w:rsidP="00476839">
      <w:pPr>
        <w:contextualSpacing/>
        <w:jc w:val="both"/>
        <w:rPr>
          <w:rFonts w:ascii="Arial" w:hAnsi="Arial" w:cs="Arial"/>
          <w:sz w:val="20"/>
          <w:szCs w:val="20"/>
        </w:rPr>
      </w:pPr>
    </w:p>
    <w:p w:rsidR="00990C83" w:rsidRPr="00E5019C" w:rsidRDefault="00990C83" w:rsidP="00476839">
      <w:pPr>
        <w:pStyle w:val="Prrafodelista"/>
        <w:numPr>
          <w:ilvl w:val="0"/>
          <w:numId w:val="25"/>
        </w:numPr>
        <w:ind w:left="284" w:hanging="284"/>
        <w:jc w:val="both"/>
        <w:rPr>
          <w:rFonts w:ascii="Arial" w:hAnsi="Arial" w:cs="Arial"/>
          <w:sz w:val="20"/>
          <w:szCs w:val="20"/>
        </w:rPr>
      </w:pPr>
      <w:r w:rsidRPr="00E5019C">
        <w:rPr>
          <w:rFonts w:ascii="Arial" w:hAnsi="Arial" w:cs="Arial"/>
          <w:sz w:val="20"/>
          <w:szCs w:val="20"/>
        </w:rPr>
        <w:t>Entrega de informes de campaña de forma extemporánea.</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Extemporaneidad en la entrega de informes de campaña por el Partido Movimiento Ciudadano. Por lo que se refiere a la omisión de no presentar sus informes de campaña dentro del plazo previsto por el Código Electoral del Estado de México, esto es, presentó de manera tardía o extemporánea, incumpliendo lo dispuesto en los artículos 52, fracciones XIII, XVIII, XXVII, 61, fracción III, inciso b), numerales 1 y 2, del Código Electoral del Estado de México; 117 del Reglamento de Fiscalización a las Actividades de los Partidos Políticos y Coaliciones.</w:t>
      </w:r>
    </w:p>
    <w:p w:rsidR="00383818" w:rsidRDefault="00383818" w:rsidP="00476839">
      <w:pPr>
        <w:contextualSpacing/>
        <w:jc w:val="both"/>
        <w:rPr>
          <w:rFonts w:ascii="Arial" w:hAnsi="Arial" w:cs="Arial"/>
          <w:sz w:val="20"/>
          <w:szCs w:val="20"/>
        </w:rPr>
      </w:pPr>
    </w:p>
    <w:p w:rsidR="00383818" w:rsidRPr="00E5019C" w:rsidRDefault="00383818" w:rsidP="00476839">
      <w:pPr>
        <w:contextualSpacing/>
        <w:jc w:val="both"/>
        <w:rPr>
          <w:rFonts w:ascii="Arial" w:hAnsi="Arial" w:cs="Arial"/>
          <w:sz w:val="20"/>
          <w:szCs w:val="20"/>
        </w:rPr>
      </w:pPr>
    </w:p>
    <w:p w:rsidR="00990C83" w:rsidRDefault="004D0A1D" w:rsidP="00476839">
      <w:pPr>
        <w:contextualSpacing/>
        <w:jc w:val="center"/>
        <w:rPr>
          <w:rFonts w:ascii="Arial" w:hAnsi="Arial" w:cs="Arial"/>
          <w:b/>
          <w:bCs/>
          <w:sz w:val="20"/>
          <w:szCs w:val="20"/>
        </w:rPr>
      </w:pPr>
      <w:r>
        <w:rPr>
          <w:rFonts w:ascii="Arial" w:hAnsi="Arial" w:cs="Arial"/>
          <w:b/>
          <w:bCs/>
          <w:sz w:val="20"/>
          <w:szCs w:val="20"/>
        </w:rPr>
        <w:t>Coalición Morena</w:t>
      </w:r>
      <w:r w:rsidR="00990C83" w:rsidRPr="00E5019C">
        <w:rPr>
          <w:rFonts w:ascii="Arial" w:hAnsi="Arial" w:cs="Arial"/>
          <w:b/>
          <w:bCs/>
          <w:sz w:val="20"/>
          <w:szCs w:val="20"/>
        </w:rPr>
        <w:t>. PT y MC</w:t>
      </w:r>
    </w:p>
    <w:p w:rsidR="00383818" w:rsidRPr="00E5019C" w:rsidRDefault="00383818" w:rsidP="00476839">
      <w:pPr>
        <w:contextualSpacing/>
        <w:jc w:val="both"/>
        <w:rPr>
          <w:rFonts w:ascii="Arial" w:hAnsi="Arial" w:cs="Arial"/>
          <w:b/>
          <w:bCs/>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 xml:space="preserve">Falta Sustancial </w:t>
      </w:r>
    </w:p>
    <w:p w:rsidR="00990C83" w:rsidRPr="00E5019C" w:rsidRDefault="00990C83" w:rsidP="00476839">
      <w:pPr>
        <w:pStyle w:val="Prrafodelista"/>
        <w:numPr>
          <w:ilvl w:val="0"/>
          <w:numId w:val="26"/>
        </w:numPr>
        <w:ind w:left="284" w:hanging="284"/>
        <w:jc w:val="both"/>
        <w:rPr>
          <w:rFonts w:ascii="Arial" w:hAnsi="Arial" w:cs="Arial"/>
          <w:sz w:val="20"/>
          <w:szCs w:val="20"/>
        </w:rPr>
      </w:pPr>
      <w:r w:rsidRPr="00E5019C">
        <w:rPr>
          <w:rFonts w:ascii="Arial" w:hAnsi="Arial" w:cs="Arial"/>
          <w:sz w:val="20"/>
          <w:szCs w:val="20"/>
        </w:rPr>
        <w:t>Rebase de tope de gastos de campaña en el Ayuntamiento del municipio de Chiautla.</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Rebase de tope de gastos de campaña en el Ayuntamiento del municipio de Chiautla. Al rebasar el tope de gastos de campaña fijado por el Consejo General del Instituto Electoral del Estado de México, y el cual está obligado a respetar por virtud de los artículos 52, fracción XIV, 160, párrafo tercero, del Código Electoral Local</w:t>
      </w:r>
      <w:r w:rsidR="00383818">
        <w:rPr>
          <w:rFonts w:ascii="Arial" w:hAnsi="Arial" w:cs="Arial"/>
          <w:sz w:val="20"/>
          <w:szCs w:val="20"/>
        </w:rPr>
        <w:t>.</w:t>
      </w:r>
    </w:p>
    <w:p w:rsidR="00383818" w:rsidRDefault="00383818" w:rsidP="00476839">
      <w:pPr>
        <w:contextualSpacing/>
        <w:jc w:val="both"/>
        <w:rPr>
          <w:rFonts w:ascii="Arial" w:hAnsi="Arial" w:cs="Arial"/>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 Formal</w:t>
      </w:r>
    </w:p>
    <w:p w:rsidR="00990C83" w:rsidRPr="00E5019C" w:rsidRDefault="00625E8E" w:rsidP="00476839">
      <w:pPr>
        <w:pStyle w:val="Prrafodelista"/>
        <w:numPr>
          <w:ilvl w:val="0"/>
          <w:numId w:val="25"/>
        </w:numPr>
        <w:ind w:left="284" w:hanging="284"/>
        <w:jc w:val="both"/>
        <w:rPr>
          <w:rFonts w:ascii="Arial" w:hAnsi="Arial" w:cs="Arial"/>
          <w:sz w:val="20"/>
          <w:szCs w:val="20"/>
        </w:rPr>
      </w:pPr>
      <w:r>
        <w:rPr>
          <w:rFonts w:ascii="Arial" w:hAnsi="Arial" w:cs="Arial"/>
          <w:sz w:val="20"/>
          <w:szCs w:val="20"/>
        </w:rPr>
        <w:t>E</w:t>
      </w:r>
      <w:r w:rsidR="00990C83" w:rsidRPr="00E5019C">
        <w:rPr>
          <w:rFonts w:ascii="Arial" w:hAnsi="Arial" w:cs="Arial"/>
          <w:sz w:val="20"/>
          <w:szCs w:val="20"/>
        </w:rPr>
        <w:t>ntrega de informes de campaña de forma extemporánea.</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Extemporaneidad en la entrega de informes de campaña. incumpliendo lo dispuesto en los artículos 52, fracciones XIII, XVIII, XXVII, 61, fracción III, inciso b), numerales 1 y 2, del Código Electoral del Estado de México; 117</w:t>
      </w:r>
      <w:r w:rsidR="00383818">
        <w:rPr>
          <w:rFonts w:ascii="Arial" w:hAnsi="Arial" w:cs="Arial"/>
          <w:sz w:val="20"/>
          <w:szCs w:val="20"/>
        </w:rPr>
        <w:t>.</w:t>
      </w:r>
    </w:p>
    <w:p w:rsidR="00990C83" w:rsidRDefault="004D0A1D" w:rsidP="00476839">
      <w:pPr>
        <w:contextualSpacing/>
        <w:jc w:val="center"/>
        <w:rPr>
          <w:rFonts w:ascii="Arial" w:hAnsi="Arial" w:cs="Arial"/>
          <w:b/>
          <w:sz w:val="20"/>
          <w:szCs w:val="20"/>
        </w:rPr>
      </w:pPr>
      <w:r>
        <w:rPr>
          <w:rFonts w:ascii="Arial" w:hAnsi="Arial" w:cs="Arial"/>
          <w:b/>
          <w:sz w:val="20"/>
          <w:szCs w:val="20"/>
        </w:rPr>
        <w:lastRenderedPageBreak/>
        <w:t>Coalición Movimiento Progresista PRD, PT y MC</w:t>
      </w:r>
    </w:p>
    <w:p w:rsidR="00383818" w:rsidRPr="00E5019C" w:rsidRDefault="00383818" w:rsidP="00476839">
      <w:pPr>
        <w:contextualSpacing/>
        <w:jc w:val="both"/>
        <w:rPr>
          <w:rFonts w:ascii="Arial" w:hAnsi="Arial" w:cs="Arial"/>
          <w:b/>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 Formal</w:t>
      </w:r>
    </w:p>
    <w:p w:rsidR="00990C83" w:rsidRPr="00E5019C" w:rsidRDefault="00990C83" w:rsidP="00476839">
      <w:pPr>
        <w:pStyle w:val="Prrafodelista"/>
        <w:numPr>
          <w:ilvl w:val="0"/>
          <w:numId w:val="110"/>
        </w:numPr>
        <w:ind w:left="284" w:hanging="284"/>
        <w:jc w:val="both"/>
        <w:rPr>
          <w:rFonts w:ascii="Arial" w:hAnsi="Arial" w:cs="Arial"/>
          <w:sz w:val="20"/>
          <w:szCs w:val="20"/>
        </w:rPr>
      </w:pPr>
      <w:r w:rsidRPr="00E5019C">
        <w:rPr>
          <w:rFonts w:ascii="Arial" w:hAnsi="Arial" w:cs="Arial"/>
          <w:sz w:val="20"/>
          <w:szCs w:val="20"/>
        </w:rPr>
        <w:t>Omisión de consolidar información financiera de la coalición “Movimiento Progresista”.</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Transgrede lo estipulado en el art. 9 y 105 del Reglamento de Fiscalización a las Actividades de los Partidos Políticos y Coaliciones.</w:t>
      </w:r>
    </w:p>
    <w:p w:rsidR="001436DF" w:rsidRPr="00E5019C" w:rsidRDefault="001436DF" w:rsidP="00476839">
      <w:pPr>
        <w:contextualSpacing/>
        <w:jc w:val="both"/>
        <w:rPr>
          <w:rFonts w:ascii="Arial" w:hAnsi="Arial" w:cs="Arial"/>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 Sustancial</w:t>
      </w:r>
    </w:p>
    <w:p w:rsidR="00990C83" w:rsidRPr="00E5019C" w:rsidRDefault="00990C83" w:rsidP="00476839">
      <w:pPr>
        <w:pStyle w:val="Prrafodelista"/>
        <w:numPr>
          <w:ilvl w:val="0"/>
          <w:numId w:val="111"/>
        </w:numPr>
        <w:ind w:left="284" w:hanging="284"/>
        <w:jc w:val="both"/>
        <w:rPr>
          <w:rFonts w:ascii="Arial" w:hAnsi="Arial" w:cs="Arial"/>
          <w:sz w:val="20"/>
          <w:szCs w:val="20"/>
        </w:rPr>
      </w:pPr>
      <w:r w:rsidRPr="00E5019C">
        <w:rPr>
          <w:rFonts w:ascii="Arial" w:hAnsi="Arial" w:cs="Arial"/>
          <w:sz w:val="20"/>
          <w:szCs w:val="20"/>
        </w:rPr>
        <w:t>Rebase de tope de gastos de campaña en el Ayuntamiento del municipio de Jilotzingo.</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 xml:space="preserve">Al rebasar el tope de gastos de campaña fijado por el Consejo General del Instituto Electoral del Estado de México, y el cual está obligado a respetar por virtud de los artículos 33, primer párrafo y 52 fracciones XIII, XIV y XXVII, en relación directa con el párrafo tercero del artículo 160 del Código Electoral del Estado de México; 71, 87, 107, 108, 120 y 121 del Reglamento de Fiscalización a las Actividades de los Partidos Políticos y Coaliciones. </w:t>
      </w:r>
    </w:p>
    <w:p w:rsidR="001436DF" w:rsidRDefault="001436DF" w:rsidP="00476839">
      <w:pPr>
        <w:contextualSpacing/>
        <w:jc w:val="both"/>
        <w:rPr>
          <w:rFonts w:ascii="Arial" w:hAnsi="Arial" w:cs="Arial"/>
          <w:sz w:val="20"/>
          <w:szCs w:val="20"/>
        </w:rPr>
      </w:pPr>
    </w:p>
    <w:p w:rsidR="00560170" w:rsidRPr="00E5019C" w:rsidRDefault="00560170" w:rsidP="00476839">
      <w:pPr>
        <w:contextualSpacing/>
        <w:jc w:val="both"/>
        <w:rPr>
          <w:rFonts w:ascii="Arial" w:hAnsi="Arial" w:cs="Arial"/>
          <w:sz w:val="20"/>
          <w:szCs w:val="20"/>
        </w:rPr>
      </w:pPr>
    </w:p>
    <w:p w:rsidR="00625E8E" w:rsidRDefault="00625E8E" w:rsidP="00476839">
      <w:pPr>
        <w:contextualSpacing/>
        <w:jc w:val="center"/>
        <w:rPr>
          <w:rFonts w:ascii="Arial" w:hAnsi="Arial" w:cs="Arial"/>
          <w:b/>
          <w:sz w:val="20"/>
          <w:szCs w:val="20"/>
        </w:rPr>
      </w:pPr>
    </w:p>
    <w:p w:rsidR="00990C83" w:rsidRDefault="004D0A1D" w:rsidP="00476839">
      <w:pPr>
        <w:contextualSpacing/>
        <w:jc w:val="center"/>
        <w:rPr>
          <w:rFonts w:ascii="Arial" w:hAnsi="Arial" w:cs="Arial"/>
          <w:b/>
          <w:sz w:val="20"/>
          <w:szCs w:val="20"/>
        </w:rPr>
      </w:pPr>
      <w:r>
        <w:rPr>
          <w:rFonts w:ascii="Arial" w:hAnsi="Arial" w:cs="Arial"/>
          <w:b/>
          <w:sz w:val="20"/>
          <w:szCs w:val="20"/>
        </w:rPr>
        <w:t>Coalición Unidos es Posible, PRD y MC</w:t>
      </w:r>
    </w:p>
    <w:p w:rsidR="001436DF" w:rsidRPr="00E5019C" w:rsidRDefault="001436DF" w:rsidP="00476839">
      <w:pPr>
        <w:contextualSpacing/>
        <w:jc w:val="both"/>
        <w:rPr>
          <w:rFonts w:ascii="Arial" w:hAnsi="Arial" w:cs="Arial"/>
          <w:b/>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Faltas Formales</w:t>
      </w:r>
    </w:p>
    <w:p w:rsidR="00990C83" w:rsidRPr="00E5019C" w:rsidRDefault="00990C83" w:rsidP="00476839">
      <w:pPr>
        <w:pStyle w:val="Prrafodelista"/>
        <w:numPr>
          <w:ilvl w:val="0"/>
          <w:numId w:val="30"/>
        </w:numPr>
        <w:ind w:left="284" w:hanging="426"/>
        <w:jc w:val="both"/>
        <w:rPr>
          <w:rFonts w:ascii="Arial" w:hAnsi="Arial" w:cs="Arial"/>
          <w:sz w:val="20"/>
          <w:szCs w:val="20"/>
        </w:rPr>
      </w:pPr>
      <w:r w:rsidRPr="00E5019C">
        <w:rPr>
          <w:rFonts w:ascii="Arial" w:hAnsi="Arial" w:cs="Arial"/>
          <w:sz w:val="20"/>
          <w:szCs w:val="20"/>
        </w:rPr>
        <w:t xml:space="preserve">No se reportaron los ingresos y gastos del Partido Movimiento Ciudadano en la Coalición. </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Omisión de consolidar la información contable y financiera de los Partidos de la Revolución Democrática y Movimiento Ciudadano, pues de los informes definitivos de campaña de la Coalición “Unidos es Posible”, únicamente se reportaron los ingresos y gastos del partido nombrado en primer término. En esa tesitura, la conducta constituye a juicio del Órgano Técnico de Fiscalización, una presunta contravención a los artículos 33, primer párrafo y 52 fracciones XIII y XXVII del Código Electoral del Estado de México; 71, 78, 87, 118, 120, 121 y 138, inciso c, del Reglamento de Fiscalización a las Actividades de los Partidos Políticos y Coaliciones</w:t>
      </w:r>
      <w:r w:rsidR="00560170">
        <w:rPr>
          <w:rFonts w:ascii="Arial" w:hAnsi="Arial" w:cs="Arial"/>
          <w:sz w:val="20"/>
          <w:szCs w:val="20"/>
        </w:rPr>
        <w:t>.</w:t>
      </w:r>
    </w:p>
    <w:p w:rsidR="00560170" w:rsidRPr="00E5019C" w:rsidRDefault="00560170" w:rsidP="00476839">
      <w:pPr>
        <w:contextualSpacing/>
        <w:jc w:val="both"/>
        <w:rPr>
          <w:rFonts w:ascii="Arial" w:hAnsi="Arial" w:cs="Arial"/>
          <w:sz w:val="20"/>
          <w:szCs w:val="20"/>
        </w:rPr>
      </w:pPr>
    </w:p>
    <w:p w:rsidR="00990C83" w:rsidRPr="00E5019C" w:rsidRDefault="00990C83" w:rsidP="00476839">
      <w:pPr>
        <w:pStyle w:val="Prrafodelista"/>
        <w:numPr>
          <w:ilvl w:val="0"/>
          <w:numId w:val="30"/>
        </w:numPr>
        <w:ind w:left="284" w:hanging="426"/>
        <w:jc w:val="both"/>
        <w:rPr>
          <w:rFonts w:ascii="Arial" w:hAnsi="Arial" w:cs="Arial"/>
          <w:sz w:val="20"/>
          <w:szCs w:val="20"/>
        </w:rPr>
      </w:pPr>
      <w:r w:rsidRPr="00E5019C">
        <w:rPr>
          <w:rFonts w:ascii="Arial" w:hAnsi="Arial" w:cs="Arial"/>
          <w:sz w:val="20"/>
          <w:szCs w:val="20"/>
        </w:rPr>
        <w:t xml:space="preserve">Omisión de registrar gasto de propaganda de campaña utilizada en un evento masivo en Nextlalpan. </w:t>
      </w: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Omisión de registrar gasto de propaganda de campaña utilizada en un evento masivo consistente en lonas, brincolín, camioneta que brinda servicios médicos,</w:t>
      </w:r>
      <w:r w:rsidR="00560170">
        <w:rPr>
          <w:rFonts w:ascii="Arial" w:hAnsi="Arial" w:cs="Arial"/>
          <w:sz w:val="20"/>
          <w:szCs w:val="20"/>
        </w:rPr>
        <w:t xml:space="preserve"> </w:t>
      </w:r>
      <w:r w:rsidRPr="00E5019C">
        <w:rPr>
          <w:rFonts w:ascii="Arial" w:hAnsi="Arial" w:cs="Arial"/>
          <w:sz w:val="20"/>
          <w:szCs w:val="20"/>
        </w:rPr>
        <w:t xml:space="preserve">en Nextlalpan de la Coalición “Unidos es Posible”. contraviniendo lo estipulado en </w:t>
      </w:r>
      <w:r w:rsidR="00560170" w:rsidRPr="00E5019C">
        <w:rPr>
          <w:rFonts w:ascii="Arial" w:hAnsi="Arial" w:cs="Arial"/>
          <w:sz w:val="20"/>
          <w:szCs w:val="20"/>
        </w:rPr>
        <w:t>los artículos</w:t>
      </w:r>
      <w:r w:rsidRPr="00E5019C">
        <w:rPr>
          <w:rFonts w:ascii="Arial" w:hAnsi="Arial" w:cs="Arial"/>
          <w:sz w:val="20"/>
          <w:szCs w:val="20"/>
        </w:rPr>
        <w:t xml:space="preserve"> 17, 71 y 87 del Reglamento de Fiscalización a las Actividades de los Partidos Políticos y Coaliciones del Instituto.</w:t>
      </w:r>
    </w:p>
    <w:p w:rsidR="00560170" w:rsidRPr="00E5019C" w:rsidRDefault="00560170" w:rsidP="00476839">
      <w:pPr>
        <w:contextualSpacing/>
        <w:jc w:val="both"/>
        <w:rPr>
          <w:rFonts w:ascii="Arial" w:hAnsi="Arial" w:cs="Arial"/>
          <w:sz w:val="20"/>
          <w:szCs w:val="20"/>
        </w:rPr>
      </w:pPr>
    </w:p>
    <w:p w:rsidR="00990C83" w:rsidRPr="00E5019C" w:rsidRDefault="00990C83" w:rsidP="00476839">
      <w:pPr>
        <w:pStyle w:val="Prrafodelista"/>
        <w:numPr>
          <w:ilvl w:val="0"/>
          <w:numId w:val="30"/>
        </w:numPr>
        <w:ind w:left="284" w:hanging="426"/>
        <w:jc w:val="both"/>
        <w:rPr>
          <w:rFonts w:ascii="Arial" w:hAnsi="Arial" w:cs="Arial"/>
          <w:sz w:val="20"/>
          <w:szCs w:val="20"/>
        </w:rPr>
      </w:pPr>
      <w:r w:rsidRPr="00E5019C">
        <w:rPr>
          <w:rFonts w:ascii="Arial" w:hAnsi="Arial" w:cs="Arial"/>
          <w:sz w:val="20"/>
          <w:szCs w:val="20"/>
        </w:rPr>
        <w:t>Omisión de registrar gastos de propaganda de campaña en Rayón, de la coalición “Unidos es Posible.</w:t>
      </w:r>
    </w:p>
    <w:p w:rsidR="00990C83" w:rsidRDefault="00C02786" w:rsidP="00476839">
      <w:pPr>
        <w:ind w:left="284"/>
        <w:contextualSpacing/>
        <w:jc w:val="both"/>
        <w:rPr>
          <w:rFonts w:ascii="Arial" w:hAnsi="Arial" w:cs="Arial"/>
          <w:sz w:val="20"/>
          <w:szCs w:val="20"/>
        </w:rPr>
      </w:pPr>
      <w:r>
        <w:rPr>
          <w:rFonts w:ascii="Arial" w:hAnsi="Arial" w:cs="Arial"/>
          <w:sz w:val="20"/>
          <w:szCs w:val="20"/>
        </w:rPr>
        <w:t>C</w:t>
      </w:r>
      <w:r w:rsidR="00990C83" w:rsidRPr="00E5019C">
        <w:rPr>
          <w:rFonts w:ascii="Arial" w:hAnsi="Arial" w:cs="Arial"/>
          <w:sz w:val="20"/>
          <w:szCs w:val="20"/>
        </w:rPr>
        <w:t xml:space="preserve">ontraviniendo lo estipulado en </w:t>
      </w:r>
      <w:r w:rsidR="00560170" w:rsidRPr="00E5019C">
        <w:rPr>
          <w:rFonts w:ascii="Arial" w:hAnsi="Arial" w:cs="Arial"/>
          <w:sz w:val="20"/>
          <w:szCs w:val="20"/>
        </w:rPr>
        <w:t>los artículos</w:t>
      </w:r>
      <w:r w:rsidR="00990C83" w:rsidRPr="00E5019C">
        <w:rPr>
          <w:rFonts w:ascii="Arial" w:hAnsi="Arial" w:cs="Arial"/>
          <w:sz w:val="20"/>
          <w:szCs w:val="20"/>
        </w:rPr>
        <w:t xml:space="preserve"> 17, 71 y 87 del Reglamento de Fiscalización a las Actividades de los Partidos Políticos y Coaliciones del Instituto</w:t>
      </w:r>
      <w:r w:rsidR="00560170">
        <w:rPr>
          <w:rFonts w:ascii="Arial" w:hAnsi="Arial" w:cs="Arial"/>
          <w:sz w:val="20"/>
          <w:szCs w:val="20"/>
        </w:rPr>
        <w:t>.</w:t>
      </w:r>
    </w:p>
    <w:p w:rsidR="00560170" w:rsidRPr="00E5019C" w:rsidRDefault="00560170" w:rsidP="00476839">
      <w:pPr>
        <w:ind w:left="284"/>
        <w:contextualSpacing/>
        <w:jc w:val="both"/>
        <w:rPr>
          <w:rFonts w:ascii="Arial" w:hAnsi="Arial" w:cs="Arial"/>
          <w:sz w:val="20"/>
          <w:szCs w:val="20"/>
        </w:rPr>
      </w:pPr>
    </w:p>
    <w:p w:rsidR="00990C83" w:rsidRPr="00A709B1" w:rsidRDefault="00990C83" w:rsidP="00476839">
      <w:pPr>
        <w:rPr>
          <w:rFonts w:ascii="Arial" w:hAnsi="Arial" w:cs="Arial"/>
          <w:b/>
          <w:bCs/>
          <w:i/>
          <w:iCs/>
          <w:sz w:val="20"/>
          <w:szCs w:val="20"/>
        </w:rPr>
      </w:pPr>
      <w:r w:rsidRPr="00A709B1">
        <w:rPr>
          <w:rFonts w:ascii="Arial" w:hAnsi="Arial" w:cs="Arial"/>
          <w:b/>
          <w:bCs/>
          <w:i/>
          <w:iCs/>
          <w:sz w:val="20"/>
          <w:szCs w:val="20"/>
        </w:rPr>
        <w:t>Falta Sustancial</w:t>
      </w:r>
    </w:p>
    <w:p w:rsidR="00990C83" w:rsidRPr="00E5019C" w:rsidRDefault="00990C83" w:rsidP="00476839">
      <w:pPr>
        <w:pStyle w:val="Prrafodelista"/>
        <w:numPr>
          <w:ilvl w:val="0"/>
          <w:numId w:val="31"/>
        </w:numPr>
        <w:ind w:left="426" w:hanging="426"/>
        <w:jc w:val="both"/>
        <w:rPr>
          <w:rFonts w:ascii="Arial" w:hAnsi="Arial" w:cs="Arial"/>
          <w:sz w:val="20"/>
          <w:szCs w:val="20"/>
        </w:rPr>
      </w:pPr>
      <w:r w:rsidRPr="00E5019C">
        <w:rPr>
          <w:rFonts w:ascii="Arial" w:hAnsi="Arial" w:cs="Arial"/>
          <w:sz w:val="20"/>
          <w:szCs w:val="20"/>
        </w:rPr>
        <w:t>Rebase de tope de gastos de campaña en el Ayuntamiento del municipio de Tonatico.</w:t>
      </w:r>
    </w:p>
    <w:p w:rsidR="00990C83" w:rsidRPr="00E5019C" w:rsidRDefault="00990C83" w:rsidP="00476839">
      <w:pPr>
        <w:ind w:left="426"/>
        <w:contextualSpacing/>
        <w:jc w:val="both"/>
        <w:rPr>
          <w:rFonts w:ascii="Arial" w:hAnsi="Arial" w:cs="Arial"/>
          <w:sz w:val="20"/>
          <w:szCs w:val="20"/>
        </w:rPr>
      </w:pPr>
      <w:r w:rsidRPr="00E5019C">
        <w:rPr>
          <w:rFonts w:ascii="Arial" w:hAnsi="Arial" w:cs="Arial"/>
          <w:sz w:val="20"/>
          <w:szCs w:val="20"/>
        </w:rPr>
        <w:t>Incumplió con la obligación de respetar el tope de gastos de campaña que le impone la fracción XIV del artículo 52; Código Electoral del Estado de México y 107 del Reglamento de Fiscalización de las Actividades de los Partidos Políticos y Coaliciones</w:t>
      </w:r>
    </w:p>
    <w:p w:rsidR="00990C83" w:rsidRDefault="00E04C13" w:rsidP="00476839">
      <w:pPr>
        <w:pStyle w:val="Sinespaciado"/>
        <w:rPr>
          <w:rStyle w:val="Ttulodellibro"/>
          <w:rFonts w:ascii="Arial" w:hAnsi="Arial" w:cs="Arial"/>
          <w:b/>
          <w:i/>
          <w:color w:val="auto"/>
          <w:sz w:val="24"/>
          <w:szCs w:val="24"/>
        </w:rPr>
      </w:pPr>
      <w:r>
        <w:rPr>
          <w:rFonts w:ascii="Arial" w:hAnsi="Arial" w:cs="Arial"/>
          <w:b/>
          <w:bCs/>
          <w:sz w:val="20"/>
          <w:szCs w:val="20"/>
        </w:rPr>
        <w:br w:type="page"/>
      </w:r>
      <w:r w:rsidR="00990C83" w:rsidRPr="00930133">
        <w:rPr>
          <w:rStyle w:val="Ttulodellibro"/>
          <w:rFonts w:ascii="Arial" w:hAnsi="Arial" w:cs="Arial"/>
          <w:b/>
          <w:i/>
          <w:color w:val="auto"/>
          <w:sz w:val="24"/>
          <w:szCs w:val="24"/>
        </w:rPr>
        <w:lastRenderedPageBreak/>
        <w:t>ANEXO 3</w:t>
      </w:r>
      <w:r w:rsidR="00930133">
        <w:rPr>
          <w:rStyle w:val="Ttulodellibro"/>
          <w:rFonts w:ascii="Arial" w:hAnsi="Arial" w:cs="Arial"/>
          <w:b/>
          <w:i/>
          <w:color w:val="auto"/>
          <w:sz w:val="24"/>
          <w:szCs w:val="24"/>
        </w:rPr>
        <w:t>.</w:t>
      </w:r>
      <w:r w:rsidR="00990C83" w:rsidRPr="00930133">
        <w:rPr>
          <w:rStyle w:val="Ttulodellibro"/>
          <w:rFonts w:ascii="Arial" w:hAnsi="Arial" w:cs="Arial"/>
          <w:b/>
          <w:i/>
          <w:color w:val="auto"/>
          <w:sz w:val="24"/>
          <w:szCs w:val="24"/>
        </w:rPr>
        <w:t xml:space="preserve"> PRECAMPAÑA PROCESO ELECTORAL 2015</w:t>
      </w:r>
      <w:r w:rsidR="00930133">
        <w:rPr>
          <w:rStyle w:val="Ttulodellibro"/>
          <w:rFonts w:ascii="Arial" w:hAnsi="Arial" w:cs="Arial"/>
          <w:b/>
          <w:i/>
          <w:color w:val="auto"/>
          <w:sz w:val="24"/>
          <w:szCs w:val="24"/>
        </w:rPr>
        <w:t>.</w:t>
      </w:r>
    </w:p>
    <w:p w:rsidR="00930133" w:rsidRDefault="00930133" w:rsidP="00476839">
      <w:pPr>
        <w:pStyle w:val="Sinespaciado"/>
        <w:rPr>
          <w:rStyle w:val="Ttulodellibro"/>
          <w:rFonts w:ascii="Arial" w:hAnsi="Arial" w:cs="Arial"/>
          <w:b/>
          <w:i/>
          <w:color w:val="auto"/>
          <w:sz w:val="24"/>
          <w:szCs w:val="24"/>
        </w:rPr>
      </w:pPr>
    </w:p>
    <w:p w:rsidR="00930133" w:rsidRPr="00E5019C" w:rsidRDefault="00930133" w:rsidP="00476839">
      <w:pPr>
        <w:pStyle w:val="Sinespaciado"/>
        <w:rPr>
          <w:rFonts w:ascii="Arial" w:hAnsi="Arial" w:cs="Arial"/>
          <w:b/>
          <w:bCs/>
          <w:sz w:val="20"/>
          <w:szCs w:val="20"/>
        </w:rPr>
      </w:pPr>
    </w:p>
    <w:p w:rsidR="00990C83" w:rsidRPr="00E5019C" w:rsidRDefault="00990C83" w:rsidP="00476839">
      <w:pPr>
        <w:autoSpaceDE w:val="0"/>
        <w:autoSpaceDN w:val="0"/>
        <w:adjustRightInd w:val="0"/>
        <w:contextualSpacing/>
        <w:jc w:val="center"/>
        <w:rPr>
          <w:rFonts w:ascii="Arial" w:hAnsi="Arial" w:cs="Arial"/>
          <w:b/>
          <w:bCs/>
          <w:sz w:val="20"/>
          <w:szCs w:val="20"/>
        </w:rPr>
      </w:pPr>
    </w:p>
    <w:p w:rsidR="00990C83" w:rsidRPr="00930133" w:rsidRDefault="00990C83" w:rsidP="00476839">
      <w:pPr>
        <w:autoSpaceDE w:val="0"/>
        <w:autoSpaceDN w:val="0"/>
        <w:adjustRightInd w:val="0"/>
        <w:contextualSpacing/>
        <w:rPr>
          <w:rFonts w:ascii="Arial" w:hAnsi="Arial" w:cs="Arial"/>
          <w:b/>
          <w:bCs/>
          <w:i/>
          <w:iCs/>
          <w:sz w:val="20"/>
          <w:szCs w:val="20"/>
          <w:u w:val="single"/>
        </w:rPr>
      </w:pPr>
      <w:r w:rsidRPr="00930133">
        <w:rPr>
          <w:rFonts w:ascii="Arial" w:hAnsi="Arial" w:cs="Arial"/>
          <w:b/>
          <w:bCs/>
          <w:i/>
          <w:iCs/>
          <w:sz w:val="20"/>
          <w:szCs w:val="20"/>
          <w:u w:val="single"/>
        </w:rPr>
        <w:t>CARGOS DE DIPUTADOS LOCALES</w:t>
      </w:r>
    </w:p>
    <w:p w:rsidR="00990C83" w:rsidRPr="00E5019C" w:rsidRDefault="00990C83" w:rsidP="00476839">
      <w:pPr>
        <w:autoSpaceDE w:val="0"/>
        <w:autoSpaceDN w:val="0"/>
        <w:adjustRightInd w:val="0"/>
        <w:contextualSpacing/>
        <w:rPr>
          <w:rFonts w:ascii="Arial" w:hAnsi="Arial" w:cs="Arial"/>
          <w:b/>
          <w:bCs/>
          <w:sz w:val="20"/>
          <w:szCs w:val="20"/>
        </w:rPr>
      </w:pPr>
    </w:p>
    <w:p w:rsidR="00084D07" w:rsidRDefault="00084D07" w:rsidP="00476839">
      <w:pPr>
        <w:autoSpaceDE w:val="0"/>
        <w:autoSpaceDN w:val="0"/>
        <w:adjustRightInd w:val="0"/>
        <w:contextualSpacing/>
        <w:rPr>
          <w:rFonts w:ascii="Arial" w:hAnsi="Arial" w:cs="Arial"/>
          <w:b/>
          <w:bCs/>
          <w:sz w:val="20"/>
          <w:szCs w:val="20"/>
        </w:rPr>
      </w:pPr>
    </w:p>
    <w:p w:rsidR="00990C83" w:rsidRPr="00E5019C" w:rsidRDefault="004D0A1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t>Partido Acción Nacional</w:t>
      </w:r>
    </w:p>
    <w:p w:rsidR="00990C83" w:rsidRPr="00E5019C" w:rsidRDefault="00990C83" w:rsidP="00476839">
      <w:pPr>
        <w:autoSpaceDE w:val="0"/>
        <w:autoSpaceDN w:val="0"/>
        <w:adjustRightInd w:val="0"/>
        <w:contextualSpacing/>
        <w:rPr>
          <w:rFonts w:ascii="Arial" w:hAnsi="Arial" w:cs="Arial"/>
          <w:b/>
          <w:b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 xml:space="preserve">Faltas Formales </w:t>
      </w:r>
    </w:p>
    <w:p w:rsidR="00990C83" w:rsidRPr="00E5019C" w:rsidRDefault="00CC211B" w:rsidP="00476839">
      <w:pPr>
        <w:pStyle w:val="Prrafodelista"/>
        <w:numPr>
          <w:ilvl w:val="0"/>
          <w:numId w:val="112"/>
        </w:numPr>
        <w:autoSpaceDE w:val="0"/>
        <w:autoSpaceDN w:val="0"/>
        <w:adjustRightInd w:val="0"/>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PAN, omitió realizar las correcciones solicitadas en el “Sistema de captura de formatos y almacenamiento de la información de Precampaña”, Plantillas 1 y 2, del precandidato al cargo de Diputado Local C. Carlos Valentín Galicia Jiménez en el rubro de ingresos por $930.01</w:t>
      </w:r>
      <w:r w:rsidR="00EE0ED0">
        <w:rPr>
          <w:rFonts w:ascii="Arial" w:hAnsi="Arial" w:cs="Arial"/>
          <w:sz w:val="20"/>
          <w:szCs w:val="20"/>
        </w:rPr>
        <w:t xml:space="preserve"> </w:t>
      </w:r>
      <w:r w:rsidR="00990C83" w:rsidRPr="00E5019C">
        <w:rPr>
          <w:rFonts w:ascii="Arial" w:hAnsi="Arial" w:cs="Arial"/>
          <w:sz w:val="20"/>
          <w:szCs w:val="20"/>
        </w:rPr>
        <w:t>y egresos por - $930.07</w:t>
      </w:r>
      <w:r>
        <w:rPr>
          <w:rFonts w:ascii="Arial" w:hAnsi="Arial" w:cs="Arial"/>
          <w:sz w:val="20"/>
          <w:szCs w:val="20"/>
        </w:rPr>
        <w:t xml:space="preserve"> </w:t>
      </w:r>
      <w:r w:rsidRPr="00E5019C">
        <w:rPr>
          <w:rFonts w:ascii="Arial" w:hAnsi="Arial" w:cs="Arial"/>
          <w:sz w:val="20"/>
          <w:szCs w:val="20"/>
        </w:rPr>
        <w:t>y</w:t>
      </w:r>
      <w:r>
        <w:rPr>
          <w:rFonts w:ascii="Arial" w:hAnsi="Arial" w:cs="Arial"/>
          <w:sz w:val="20"/>
          <w:szCs w:val="20"/>
        </w:rPr>
        <w:t xml:space="preserve"> v</w:t>
      </w:r>
      <w:r w:rsidR="00990C83" w:rsidRPr="00E5019C">
        <w:rPr>
          <w:rFonts w:ascii="Arial" w:hAnsi="Arial" w:cs="Arial"/>
          <w:sz w:val="20"/>
          <w:szCs w:val="20"/>
        </w:rPr>
        <w:t>ulneró lo dispuesto en el artículo 33, numeral 2, inciso a) del Reglamento de Fiscalización</w:t>
      </w:r>
      <w:r>
        <w:rPr>
          <w:rFonts w:ascii="Arial" w:hAnsi="Arial" w:cs="Arial"/>
          <w:sz w:val="20"/>
          <w:szCs w:val="20"/>
        </w:rPr>
        <w:t>”</w:t>
      </w:r>
      <w:r w:rsidR="00990C83" w:rsidRPr="00E5019C">
        <w:rPr>
          <w:rFonts w:ascii="Arial" w:hAnsi="Arial" w:cs="Arial"/>
          <w:sz w:val="20"/>
          <w:szCs w:val="20"/>
        </w:rPr>
        <w:t>.</w:t>
      </w:r>
    </w:p>
    <w:p w:rsidR="00990C83" w:rsidRDefault="00990C83" w:rsidP="00476839">
      <w:pPr>
        <w:autoSpaceDE w:val="0"/>
        <w:autoSpaceDN w:val="0"/>
        <w:adjustRightInd w:val="0"/>
        <w:contextualSpacing/>
        <w:jc w:val="both"/>
        <w:rPr>
          <w:rFonts w:ascii="Arial" w:hAnsi="Arial" w:cs="Arial"/>
          <w:sz w:val="20"/>
          <w:szCs w:val="20"/>
        </w:rPr>
      </w:pPr>
    </w:p>
    <w:p w:rsidR="00930133" w:rsidRDefault="00930133" w:rsidP="00476839">
      <w:pPr>
        <w:autoSpaceDE w:val="0"/>
        <w:autoSpaceDN w:val="0"/>
        <w:adjustRightInd w:val="0"/>
        <w:contextualSpacing/>
        <w:jc w:val="both"/>
        <w:rPr>
          <w:rFonts w:ascii="Arial" w:hAnsi="Arial" w:cs="Arial"/>
          <w:sz w:val="20"/>
          <w:szCs w:val="20"/>
        </w:rPr>
      </w:pPr>
    </w:p>
    <w:p w:rsidR="00990C83" w:rsidRPr="00E5019C" w:rsidRDefault="004D0A1D" w:rsidP="00476839">
      <w:pPr>
        <w:autoSpaceDE w:val="0"/>
        <w:autoSpaceDN w:val="0"/>
        <w:adjustRightInd w:val="0"/>
        <w:contextualSpacing/>
        <w:jc w:val="center"/>
        <w:rPr>
          <w:rFonts w:ascii="Arial" w:hAnsi="Arial" w:cs="Arial"/>
          <w:b/>
          <w:sz w:val="20"/>
          <w:szCs w:val="20"/>
        </w:rPr>
      </w:pPr>
      <w:r>
        <w:rPr>
          <w:rFonts w:ascii="Arial" w:hAnsi="Arial" w:cs="Arial"/>
          <w:b/>
          <w:sz w:val="20"/>
          <w:szCs w:val="20"/>
        </w:rPr>
        <w:t>Partido de la Revolución Democrática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Sustanciales</w:t>
      </w:r>
    </w:p>
    <w:p w:rsidR="00990C83" w:rsidRPr="00E5019C" w:rsidRDefault="00990C83" w:rsidP="00476839">
      <w:pPr>
        <w:pStyle w:val="Prrafodelista"/>
        <w:numPr>
          <w:ilvl w:val="0"/>
          <w:numId w:val="113"/>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“PRD presentó 47 “Informes de Precampaña” para el cargo de Diputados Locales fuera de los plazos establecidos en la normatividad electoral y posteriores al requerimiento de la autoridad”.</w:t>
      </w:r>
    </w:p>
    <w:p w:rsidR="00990C83" w:rsidRPr="00E5019C" w:rsidRDefault="00990C83" w:rsidP="00476839">
      <w:pPr>
        <w:pStyle w:val="Prrafodelista"/>
        <w:autoSpaceDE w:val="0"/>
        <w:autoSpaceDN w:val="0"/>
        <w:adjustRightInd w:val="0"/>
        <w:ind w:left="284" w:hanging="284"/>
        <w:jc w:val="both"/>
        <w:rPr>
          <w:rFonts w:ascii="Arial" w:hAnsi="Arial" w:cs="Arial"/>
          <w:sz w:val="20"/>
          <w:szCs w:val="20"/>
        </w:rPr>
      </w:pPr>
    </w:p>
    <w:p w:rsidR="00990C83" w:rsidRPr="00E5019C" w:rsidRDefault="00990C83" w:rsidP="00476839">
      <w:pPr>
        <w:pStyle w:val="Prrafodelista"/>
        <w:numPr>
          <w:ilvl w:val="0"/>
          <w:numId w:val="113"/>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“PRD omitió presentar 46 “Informes de Precampaña” para el cargo de Diputados Locales”.</w:t>
      </w:r>
    </w:p>
    <w:p w:rsidR="00990C83" w:rsidRPr="00E5019C" w:rsidRDefault="00990C83" w:rsidP="00476839">
      <w:pPr>
        <w:pStyle w:val="Prrafodelista"/>
        <w:autoSpaceDE w:val="0"/>
        <w:autoSpaceDN w:val="0"/>
        <w:adjustRightInd w:val="0"/>
        <w:ind w:left="284" w:hanging="284"/>
        <w:jc w:val="both"/>
        <w:rPr>
          <w:rFonts w:ascii="Arial" w:hAnsi="Arial" w:cs="Arial"/>
          <w:sz w:val="20"/>
          <w:szCs w:val="20"/>
        </w:rPr>
      </w:pPr>
    </w:p>
    <w:p w:rsidR="00990C83" w:rsidRPr="00CC211B" w:rsidRDefault="00990C83" w:rsidP="00476839">
      <w:pPr>
        <w:pStyle w:val="Prrafodelista"/>
        <w:numPr>
          <w:ilvl w:val="0"/>
          <w:numId w:val="113"/>
        </w:numPr>
        <w:autoSpaceDE w:val="0"/>
        <w:autoSpaceDN w:val="0"/>
        <w:adjustRightInd w:val="0"/>
        <w:ind w:left="284" w:hanging="284"/>
        <w:jc w:val="both"/>
        <w:rPr>
          <w:rFonts w:ascii="Arial" w:hAnsi="Arial" w:cs="Arial"/>
          <w:sz w:val="20"/>
          <w:szCs w:val="20"/>
        </w:rPr>
      </w:pPr>
      <w:r w:rsidRPr="00CC211B">
        <w:rPr>
          <w:rFonts w:ascii="Arial" w:hAnsi="Arial" w:cs="Arial"/>
          <w:sz w:val="20"/>
          <w:szCs w:val="20"/>
        </w:rPr>
        <w:t>“El PRD omitió proporcionar la documentación soporte que acreditara el origen de diversas aportaciones, correspondientes, por una cantidad que asciende $692,315.82.”</w:t>
      </w:r>
    </w:p>
    <w:p w:rsidR="00990C83" w:rsidRDefault="00990C83" w:rsidP="00476839">
      <w:pPr>
        <w:autoSpaceDE w:val="0"/>
        <w:autoSpaceDN w:val="0"/>
        <w:adjustRightInd w:val="0"/>
        <w:contextualSpacing/>
        <w:jc w:val="both"/>
        <w:rPr>
          <w:rFonts w:ascii="Arial" w:hAnsi="Arial" w:cs="Arial"/>
          <w:i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Formales</w:t>
      </w: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presentar el archivo xls (EXCEL) en el cual se pudiera identificar que corresponde al sujeto obligado respectivo.”</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En consecuencia, el PRD incumplió con lo establecido el artículo 4 inciso i) del Acuerdo INE/CG13/2015.</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presentar la documentación soporte que acreditara la incorporación de la precandidata C. Itzel Lizbeth Nava López.”</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El PRD incumplió con lo establecido en el artículo 277, numeral 1, inciso d) del Reglamento de Fiscalización.</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realizar las correcciones en el “Sistema de Captura de Formatos y Almacenamiento de la Información de Precampaña”, por un monto de $148,383.20.”</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 xml:space="preserve">En </w:t>
      </w:r>
      <w:r w:rsidR="004F76ED" w:rsidRPr="00E5019C">
        <w:rPr>
          <w:rFonts w:ascii="Arial" w:hAnsi="Arial" w:cs="Arial"/>
          <w:iCs/>
          <w:sz w:val="20"/>
          <w:szCs w:val="20"/>
        </w:rPr>
        <w:t>consecuencia, incumplió</w:t>
      </w:r>
      <w:r w:rsidRPr="00E5019C">
        <w:rPr>
          <w:rFonts w:ascii="Arial" w:hAnsi="Arial" w:cs="Arial"/>
          <w:iCs/>
          <w:sz w:val="20"/>
          <w:szCs w:val="20"/>
        </w:rPr>
        <w:t xml:space="preserve"> con lo establecido en los artículos 33, numeral 1, inciso i), del Reglamento de Fiscalización.</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informar sobre sus límites de financiamiento privado al Consejo General del Instituto Nacional Electoral.”</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 xml:space="preserve">En </w:t>
      </w:r>
      <w:r w:rsidR="004F76ED" w:rsidRPr="00E5019C">
        <w:rPr>
          <w:rFonts w:ascii="Arial" w:hAnsi="Arial" w:cs="Arial"/>
          <w:iCs/>
          <w:sz w:val="20"/>
          <w:szCs w:val="20"/>
        </w:rPr>
        <w:t>consecuencia, incumplió</w:t>
      </w:r>
      <w:r w:rsidRPr="00E5019C">
        <w:rPr>
          <w:rFonts w:ascii="Arial" w:hAnsi="Arial" w:cs="Arial"/>
          <w:iCs/>
          <w:sz w:val="20"/>
          <w:szCs w:val="20"/>
        </w:rPr>
        <w:t xml:space="preserve"> con lo establecido en el artículo 56, numeral 2, inciso c) de la Ley General de Partidos de Partidos</w:t>
      </w:r>
      <w:r w:rsidR="004F76ED">
        <w:rPr>
          <w:rFonts w:ascii="Arial" w:hAnsi="Arial" w:cs="Arial"/>
          <w:iCs/>
          <w:sz w:val="20"/>
          <w:szCs w:val="20"/>
        </w:rPr>
        <w:t>.</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proporcionar el Control de Folios, contrato de donación y cotizaciones por $6,000.00.”</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 xml:space="preserve">En </w:t>
      </w:r>
      <w:r w:rsidR="004F76ED" w:rsidRPr="00E5019C">
        <w:rPr>
          <w:rFonts w:ascii="Arial" w:hAnsi="Arial" w:cs="Arial"/>
          <w:iCs/>
          <w:sz w:val="20"/>
          <w:szCs w:val="20"/>
        </w:rPr>
        <w:t>consecuencia,</w:t>
      </w:r>
      <w:r w:rsidRPr="00E5019C">
        <w:rPr>
          <w:rFonts w:ascii="Arial" w:hAnsi="Arial" w:cs="Arial"/>
          <w:iCs/>
          <w:sz w:val="20"/>
          <w:szCs w:val="20"/>
        </w:rPr>
        <w:t xml:space="preserve"> incumplió con los artículos 55, numeral 1 y 56, numeral 4 de la Ley General de Partidos Políticos.</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3"/>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“El PRD omitió reportar un ingreso en efectivo, sin embargo, no fue realizado mediante cuenta bancaria del partido político por un monto de $134,781.53.”</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En consecuencia, el PRD incumplió con lo establecido en el artículo 102, numeral 2 del Reglamento de Fiscalización.</w:t>
      </w:r>
    </w:p>
    <w:p w:rsidR="00990C83" w:rsidRDefault="00990C83" w:rsidP="00476839">
      <w:pPr>
        <w:autoSpaceDE w:val="0"/>
        <w:autoSpaceDN w:val="0"/>
        <w:adjustRightInd w:val="0"/>
        <w:contextualSpacing/>
        <w:jc w:val="both"/>
        <w:rPr>
          <w:rFonts w:ascii="Arial" w:hAnsi="Arial" w:cs="Arial"/>
          <w:iCs/>
          <w:sz w:val="20"/>
          <w:szCs w:val="20"/>
        </w:rPr>
      </w:pPr>
    </w:p>
    <w:p w:rsidR="004F76ED" w:rsidRDefault="004F76ED" w:rsidP="00476839">
      <w:pPr>
        <w:autoSpaceDE w:val="0"/>
        <w:autoSpaceDN w:val="0"/>
        <w:adjustRightInd w:val="0"/>
        <w:contextualSpacing/>
        <w:jc w:val="both"/>
        <w:rPr>
          <w:rFonts w:ascii="Arial" w:hAnsi="Arial" w:cs="Arial"/>
          <w:iCs/>
          <w:sz w:val="20"/>
          <w:szCs w:val="20"/>
        </w:rPr>
      </w:pPr>
    </w:p>
    <w:p w:rsidR="00990C83" w:rsidRPr="00E5019C" w:rsidRDefault="004D0A1D" w:rsidP="00476839">
      <w:pPr>
        <w:autoSpaceDE w:val="0"/>
        <w:autoSpaceDN w:val="0"/>
        <w:adjustRightInd w:val="0"/>
        <w:contextualSpacing/>
        <w:jc w:val="center"/>
        <w:rPr>
          <w:rFonts w:ascii="Arial" w:hAnsi="Arial" w:cs="Arial"/>
          <w:b/>
          <w:iCs/>
          <w:sz w:val="20"/>
          <w:szCs w:val="20"/>
        </w:rPr>
      </w:pPr>
      <w:r>
        <w:rPr>
          <w:rFonts w:ascii="Arial" w:hAnsi="Arial" w:cs="Arial"/>
          <w:b/>
          <w:iCs/>
          <w:sz w:val="20"/>
          <w:szCs w:val="20"/>
        </w:rPr>
        <w:t>Partido Movimiento Ciudadano</w:t>
      </w:r>
    </w:p>
    <w:p w:rsidR="00990C83" w:rsidRPr="00E5019C" w:rsidRDefault="00990C83" w:rsidP="00476839">
      <w:pPr>
        <w:autoSpaceDE w:val="0"/>
        <w:autoSpaceDN w:val="0"/>
        <w:adjustRightInd w:val="0"/>
        <w:contextualSpacing/>
        <w:jc w:val="both"/>
        <w:rPr>
          <w:rFonts w:ascii="Arial" w:hAnsi="Arial" w:cs="Arial"/>
          <w:b/>
          <w:i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Sustanciales</w:t>
      </w:r>
    </w:p>
    <w:p w:rsidR="00990C83" w:rsidRPr="00E5019C" w:rsidRDefault="00990C83" w:rsidP="00476839">
      <w:pPr>
        <w:pStyle w:val="Prrafodelista"/>
        <w:numPr>
          <w:ilvl w:val="0"/>
          <w:numId w:val="34"/>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“MC presentó 41 informes de Precampaña, correspondientes al Proceso Electoral Local Ordinario 2014-2015 fuera de los plazos establecidos por la normatividad electoral y posterior al requerimiento de la autoridad.”</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El artículo 79, numeral 1, inciso a), fracción III de la Ley General de Partidos Políticos; así como el artículo 443, numeral 1, inciso d) y 445, numeral 1, inciso d) 160 de la Ley General de Instituciones.</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4"/>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“MC omitió, presentar la documentación soporte correspondiente a 2 precandidatas, que amparara las aportaciones en especie por $6,000.00”</w:t>
      </w:r>
      <w:r w:rsidR="00421C8B">
        <w:rPr>
          <w:rFonts w:ascii="Arial" w:hAnsi="Arial" w:cs="Arial"/>
          <w:iCs/>
          <w:sz w:val="20"/>
          <w:szCs w:val="20"/>
        </w:rPr>
        <w:t>.</w:t>
      </w:r>
    </w:p>
    <w:p w:rsidR="00990C83" w:rsidRPr="00E5019C" w:rsidRDefault="00DB01AC" w:rsidP="00476839">
      <w:pPr>
        <w:autoSpaceDE w:val="0"/>
        <w:autoSpaceDN w:val="0"/>
        <w:adjustRightInd w:val="0"/>
        <w:ind w:left="284"/>
        <w:contextualSpacing/>
        <w:jc w:val="both"/>
        <w:rPr>
          <w:rFonts w:ascii="Arial" w:hAnsi="Arial" w:cs="Arial"/>
          <w:iCs/>
          <w:sz w:val="20"/>
          <w:szCs w:val="20"/>
        </w:rPr>
      </w:pPr>
      <w:r>
        <w:rPr>
          <w:rFonts w:ascii="Arial" w:hAnsi="Arial" w:cs="Arial"/>
          <w:iCs/>
          <w:sz w:val="20"/>
          <w:szCs w:val="20"/>
        </w:rPr>
        <w:t>Vulneró</w:t>
      </w:r>
      <w:r w:rsidR="00990C83" w:rsidRPr="00E5019C">
        <w:rPr>
          <w:rFonts w:ascii="Arial" w:hAnsi="Arial" w:cs="Arial"/>
          <w:iCs/>
          <w:sz w:val="20"/>
          <w:szCs w:val="20"/>
        </w:rPr>
        <w:t xml:space="preserve"> lo dispuesto en el artículo 96 numeral 1 del Reglamento de Fiscalización.</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4"/>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“MC no presentó la documentación soporte que comprobara la aportación recibida, la cual asciende a un total de $6,540.00.”</w:t>
      </w:r>
    </w:p>
    <w:p w:rsidR="00990C83" w:rsidRPr="00E5019C" w:rsidRDefault="00990C83" w:rsidP="00476839">
      <w:pPr>
        <w:autoSpaceDE w:val="0"/>
        <w:autoSpaceDN w:val="0"/>
        <w:adjustRightInd w:val="0"/>
        <w:ind w:left="284"/>
        <w:contextualSpacing/>
        <w:jc w:val="both"/>
        <w:rPr>
          <w:rFonts w:ascii="Arial" w:hAnsi="Arial" w:cs="Arial"/>
          <w:iCs/>
          <w:sz w:val="20"/>
          <w:szCs w:val="20"/>
        </w:rPr>
      </w:pPr>
      <w:r w:rsidRPr="00E5019C">
        <w:rPr>
          <w:rFonts w:ascii="Arial" w:hAnsi="Arial" w:cs="Arial"/>
          <w:iCs/>
          <w:sz w:val="20"/>
          <w:szCs w:val="20"/>
        </w:rPr>
        <w:t>El partido en comento vulneró dispuesto en el artículo 96 numeral 1 del Reglamento de Fiscalización.</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E5019C" w:rsidRDefault="00990C83" w:rsidP="00476839">
      <w:pPr>
        <w:pStyle w:val="Prrafodelista"/>
        <w:numPr>
          <w:ilvl w:val="0"/>
          <w:numId w:val="34"/>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“MC no presentó la documentación soporte que ampara una aportación por la cantidad que asciende a $16,800.00”</w:t>
      </w:r>
      <w:r w:rsidR="00421C8B">
        <w:rPr>
          <w:rFonts w:ascii="Arial" w:hAnsi="Arial" w:cs="Arial"/>
          <w:iCs/>
          <w:sz w:val="20"/>
          <w:szCs w:val="20"/>
        </w:rPr>
        <w:t>.</w:t>
      </w:r>
    </w:p>
    <w:p w:rsidR="00990C83" w:rsidRPr="00E5019C" w:rsidRDefault="00DB01AC" w:rsidP="00476839">
      <w:pPr>
        <w:autoSpaceDE w:val="0"/>
        <w:autoSpaceDN w:val="0"/>
        <w:adjustRightInd w:val="0"/>
        <w:ind w:left="284"/>
        <w:contextualSpacing/>
        <w:jc w:val="both"/>
        <w:rPr>
          <w:rFonts w:ascii="Arial" w:hAnsi="Arial" w:cs="Arial"/>
          <w:iCs/>
          <w:sz w:val="20"/>
          <w:szCs w:val="20"/>
        </w:rPr>
      </w:pPr>
      <w:r>
        <w:rPr>
          <w:rFonts w:ascii="Arial" w:hAnsi="Arial" w:cs="Arial"/>
          <w:iCs/>
          <w:sz w:val="20"/>
          <w:szCs w:val="20"/>
        </w:rPr>
        <w:t>Vulneró</w:t>
      </w:r>
      <w:r w:rsidR="00990C83" w:rsidRPr="00E5019C">
        <w:rPr>
          <w:rFonts w:ascii="Arial" w:hAnsi="Arial" w:cs="Arial"/>
          <w:iCs/>
          <w:sz w:val="20"/>
          <w:szCs w:val="20"/>
        </w:rPr>
        <w:t xml:space="preserve"> el artículo 96 numeral 1 del Reglamento de Fiscalización.</w:t>
      </w:r>
    </w:p>
    <w:p w:rsidR="00990C83" w:rsidRPr="00E5019C" w:rsidRDefault="00990C83" w:rsidP="00476839">
      <w:pPr>
        <w:autoSpaceDE w:val="0"/>
        <w:autoSpaceDN w:val="0"/>
        <w:adjustRightInd w:val="0"/>
        <w:contextualSpacing/>
        <w:jc w:val="both"/>
        <w:rPr>
          <w:rFonts w:ascii="Arial" w:hAnsi="Arial" w:cs="Arial"/>
          <w:i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 Formal</w:t>
      </w:r>
    </w:p>
    <w:p w:rsidR="00990C83" w:rsidRPr="00E5019C" w:rsidRDefault="00990C83" w:rsidP="00476839">
      <w:pPr>
        <w:pStyle w:val="Prrafodelista"/>
        <w:numPr>
          <w:ilvl w:val="0"/>
          <w:numId w:val="35"/>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“MC omitió presentar los límites de aportaciones individuales de los precandidatos, militantes y simpatizantes.”</w:t>
      </w:r>
    </w:p>
    <w:p w:rsidR="00990C83" w:rsidRPr="00E5019C" w:rsidRDefault="00990C83" w:rsidP="00476839">
      <w:pPr>
        <w:autoSpaceDE w:val="0"/>
        <w:autoSpaceDN w:val="0"/>
        <w:adjustRightInd w:val="0"/>
        <w:ind w:left="284"/>
        <w:contextualSpacing/>
        <w:rPr>
          <w:rFonts w:ascii="Arial" w:hAnsi="Arial" w:cs="Arial"/>
          <w:sz w:val="20"/>
          <w:szCs w:val="20"/>
        </w:rPr>
      </w:pPr>
      <w:r w:rsidRPr="00E5019C">
        <w:rPr>
          <w:rFonts w:ascii="Arial" w:hAnsi="Arial" w:cs="Arial"/>
          <w:sz w:val="20"/>
          <w:szCs w:val="20"/>
        </w:rPr>
        <w:t>Vulneró lo dispuesto en el artículo 56, numeral 1, inciso c) de la Ley General de Partidos Políticos.</w:t>
      </w:r>
    </w:p>
    <w:p w:rsidR="00DB01AC" w:rsidRDefault="00DB01AC" w:rsidP="00476839">
      <w:pPr>
        <w:rPr>
          <w:rFonts w:ascii="Arial" w:hAnsi="Arial" w:cs="Arial"/>
          <w:b/>
          <w:bCs/>
          <w:sz w:val="20"/>
          <w:szCs w:val="20"/>
        </w:rPr>
      </w:pPr>
    </w:p>
    <w:p w:rsidR="00DB01AC" w:rsidRDefault="00DB01AC" w:rsidP="00476839">
      <w:pPr>
        <w:rPr>
          <w:rFonts w:ascii="Arial" w:hAnsi="Arial" w:cs="Arial"/>
          <w:b/>
          <w:bCs/>
          <w:sz w:val="20"/>
          <w:szCs w:val="20"/>
        </w:rPr>
      </w:pPr>
    </w:p>
    <w:p w:rsidR="00990C83" w:rsidRPr="00E5019C" w:rsidRDefault="004D0A1D" w:rsidP="00476839">
      <w:pPr>
        <w:jc w:val="center"/>
        <w:rPr>
          <w:rFonts w:ascii="Arial" w:hAnsi="Arial" w:cs="Arial"/>
          <w:b/>
          <w:bCs/>
          <w:sz w:val="20"/>
          <w:szCs w:val="20"/>
        </w:rPr>
      </w:pPr>
      <w:r>
        <w:rPr>
          <w:rFonts w:ascii="Arial" w:hAnsi="Arial" w:cs="Arial"/>
          <w:b/>
          <w:bCs/>
          <w:sz w:val="20"/>
          <w:szCs w:val="20"/>
        </w:rPr>
        <w:t>Partido Humanista</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Formales</w:t>
      </w:r>
    </w:p>
    <w:p w:rsidR="00990C83" w:rsidRPr="00E5019C" w:rsidRDefault="00990C83" w:rsidP="00476839">
      <w:pPr>
        <w:pStyle w:val="Prrafodelista"/>
        <w:numPr>
          <w:ilvl w:val="0"/>
          <w:numId w:val="36"/>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PH omitió presentar en una revista la leyenda de “Inserción pagada”.</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r w:rsidRPr="00E5019C">
        <w:rPr>
          <w:rFonts w:ascii="Arial" w:hAnsi="Arial" w:cs="Arial"/>
          <w:sz w:val="20"/>
          <w:szCs w:val="20"/>
        </w:rPr>
        <w:t>Un incumplimiento a lo establecido en el artículo 211, numeral 2, del Reglamento de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30133" w:rsidRDefault="00930133" w:rsidP="00476839">
      <w:pPr>
        <w:autoSpaceDE w:val="0"/>
        <w:autoSpaceDN w:val="0"/>
        <w:adjustRightInd w:val="0"/>
        <w:contextualSpacing/>
        <w:jc w:val="both"/>
        <w:rPr>
          <w:rFonts w:ascii="Arial" w:hAnsi="Arial" w:cs="Arial"/>
          <w:b/>
          <w:bCs/>
          <w:sz w:val="20"/>
          <w:szCs w:val="20"/>
        </w:rPr>
      </w:pPr>
    </w:p>
    <w:p w:rsidR="00990C83" w:rsidRPr="00E5019C" w:rsidRDefault="004D0A1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t>Partido Encuentro Social</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Formales</w:t>
      </w:r>
    </w:p>
    <w:p w:rsidR="00990C83" w:rsidRPr="00E5019C" w:rsidRDefault="00990C83" w:rsidP="00476839">
      <w:pPr>
        <w:pStyle w:val="Prrafodelista"/>
        <w:numPr>
          <w:ilvl w:val="0"/>
          <w:numId w:val="37"/>
        </w:numPr>
        <w:autoSpaceDE w:val="0"/>
        <w:autoSpaceDN w:val="0"/>
        <w:adjustRightInd w:val="0"/>
        <w:ind w:left="284"/>
        <w:jc w:val="both"/>
        <w:rPr>
          <w:rFonts w:ascii="Arial" w:hAnsi="Arial" w:cs="Arial"/>
          <w:sz w:val="20"/>
          <w:szCs w:val="20"/>
        </w:rPr>
      </w:pPr>
      <w:r w:rsidRPr="00E5019C">
        <w:rPr>
          <w:rFonts w:ascii="Arial" w:hAnsi="Arial" w:cs="Arial"/>
          <w:sz w:val="20"/>
          <w:szCs w:val="20"/>
        </w:rPr>
        <w:t>El PES presentó 45 informes de ingresos y gastos de precampaña que no se apegaron al formato establecido por la normatividad.</w:t>
      </w:r>
    </w:p>
    <w:p w:rsidR="00990C83" w:rsidRPr="00E5019C" w:rsidRDefault="00990C83" w:rsidP="00476839">
      <w:pPr>
        <w:autoSpaceDE w:val="0"/>
        <w:autoSpaceDN w:val="0"/>
        <w:adjustRightInd w:val="0"/>
        <w:ind w:left="284"/>
        <w:contextualSpacing/>
        <w:jc w:val="both"/>
        <w:rPr>
          <w:rFonts w:ascii="Arial" w:hAnsi="Arial" w:cs="Arial"/>
          <w:sz w:val="20"/>
          <w:szCs w:val="20"/>
        </w:rPr>
      </w:pPr>
      <w:r w:rsidRPr="00E5019C">
        <w:rPr>
          <w:rFonts w:ascii="Arial" w:hAnsi="Arial" w:cs="Arial"/>
          <w:sz w:val="20"/>
          <w:szCs w:val="20"/>
        </w:rPr>
        <w:t>Un incumplimiento a lo establecido en los artículos los artículos 242, numeral 1 y 296, numeral 1 del Reglamento de Fiscalización.</w:t>
      </w:r>
    </w:p>
    <w:p w:rsidR="00990C83" w:rsidRDefault="00990C83" w:rsidP="00476839">
      <w:pPr>
        <w:autoSpaceDE w:val="0"/>
        <w:autoSpaceDN w:val="0"/>
        <w:adjustRightInd w:val="0"/>
        <w:contextualSpacing/>
        <w:jc w:val="both"/>
        <w:rPr>
          <w:rFonts w:ascii="Arial" w:hAnsi="Arial" w:cs="Arial"/>
          <w:sz w:val="20"/>
          <w:szCs w:val="20"/>
        </w:rPr>
      </w:pPr>
    </w:p>
    <w:p w:rsidR="00421C8B" w:rsidRDefault="00421C8B" w:rsidP="00476839">
      <w:pPr>
        <w:autoSpaceDE w:val="0"/>
        <w:autoSpaceDN w:val="0"/>
        <w:adjustRightInd w:val="0"/>
        <w:contextualSpacing/>
        <w:jc w:val="both"/>
        <w:rPr>
          <w:rFonts w:ascii="Arial" w:hAnsi="Arial" w:cs="Arial"/>
          <w:sz w:val="20"/>
          <w:szCs w:val="20"/>
        </w:rPr>
      </w:pPr>
    </w:p>
    <w:p w:rsidR="00476839" w:rsidRDefault="00476839">
      <w:pPr>
        <w:rPr>
          <w:rFonts w:ascii="Arial" w:hAnsi="Arial" w:cs="Arial"/>
          <w:b/>
          <w:bCs/>
          <w:i/>
          <w:iCs/>
          <w:sz w:val="20"/>
          <w:szCs w:val="20"/>
          <w:u w:val="single"/>
        </w:rPr>
      </w:pPr>
      <w:r>
        <w:rPr>
          <w:rFonts w:ascii="Arial" w:hAnsi="Arial" w:cs="Arial"/>
          <w:b/>
          <w:bCs/>
          <w:i/>
          <w:iCs/>
          <w:sz w:val="20"/>
          <w:szCs w:val="20"/>
          <w:u w:val="single"/>
        </w:rPr>
        <w:br w:type="page"/>
      </w:r>
    </w:p>
    <w:p w:rsidR="00990C83" w:rsidRPr="00930133" w:rsidRDefault="00990C83" w:rsidP="00476839">
      <w:pPr>
        <w:autoSpaceDE w:val="0"/>
        <w:autoSpaceDN w:val="0"/>
        <w:adjustRightInd w:val="0"/>
        <w:contextualSpacing/>
        <w:rPr>
          <w:rFonts w:ascii="Arial" w:hAnsi="Arial" w:cs="Arial"/>
          <w:b/>
          <w:bCs/>
          <w:i/>
          <w:iCs/>
          <w:sz w:val="20"/>
          <w:szCs w:val="20"/>
          <w:u w:val="single"/>
        </w:rPr>
      </w:pPr>
      <w:r w:rsidRPr="00930133">
        <w:rPr>
          <w:rFonts w:ascii="Arial" w:hAnsi="Arial" w:cs="Arial"/>
          <w:b/>
          <w:bCs/>
          <w:i/>
          <w:iCs/>
          <w:sz w:val="20"/>
          <w:szCs w:val="20"/>
          <w:u w:val="single"/>
        </w:rPr>
        <w:lastRenderedPageBreak/>
        <w:t>CARGOS DE AYUNTAMIENTOS</w:t>
      </w:r>
    </w:p>
    <w:p w:rsidR="00421C8B" w:rsidRDefault="00421C8B" w:rsidP="00476839">
      <w:pPr>
        <w:autoSpaceDE w:val="0"/>
        <w:autoSpaceDN w:val="0"/>
        <w:adjustRightInd w:val="0"/>
        <w:contextualSpacing/>
        <w:rPr>
          <w:rFonts w:ascii="Arial" w:hAnsi="Arial" w:cs="Arial"/>
          <w:b/>
          <w:bCs/>
          <w:sz w:val="20"/>
          <w:szCs w:val="20"/>
        </w:rPr>
      </w:pPr>
    </w:p>
    <w:p w:rsidR="00476839" w:rsidRDefault="00476839" w:rsidP="00476839">
      <w:pPr>
        <w:autoSpaceDE w:val="0"/>
        <w:autoSpaceDN w:val="0"/>
        <w:adjustRightInd w:val="0"/>
        <w:contextualSpacing/>
        <w:jc w:val="center"/>
        <w:rPr>
          <w:rFonts w:ascii="Arial" w:hAnsi="Arial" w:cs="Arial"/>
          <w:b/>
          <w:bCs/>
          <w:sz w:val="20"/>
          <w:szCs w:val="20"/>
        </w:rPr>
      </w:pPr>
    </w:p>
    <w:p w:rsidR="00990C83" w:rsidRPr="00E5019C" w:rsidRDefault="004D0A1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t>Partido de la Revolución Democrática</w:t>
      </w:r>
    </w:p>
    <w:p w:rsidR="00990C83" w:rsidRPr="00E5019C" w:rsidRDefault="00990C83" w:rsidP="00476839">
      <w:pPr>
        <w:autoSpaceDE w:val="0"/>
        <w:autoSpaceDN w:val="0"/>
        <w:adjustRightInd w:val="0"/>
        <w:contextualSpacing/>
        <w:rPr>
          <w:rFonts w:ascii="Arial" w:hAnsi="Arial" w:cs="Arial"/>
          <w:sz w:val="20"/>
          <w:szCs w:val="20"/>
        </w:rPr>
      </w:pPr>
    </w:p>
    <w:p w:rsidR="00990C83" w:rsidRPr="00E5019C" w:rsidRDefault="00990C83" w:rsidP="00476839">
      <w:pPr>
        <w:rPr>
          <w:rFonts w:ascii="Arial" w:hAnsi="Arial" w:cs="Arial"/>
          <w:sz w:val="20"/>
          <w:szCs w:val="20"/>
        </w:rPr>
      </w:pPr>
      <w:r w:rsidRPr="00930133">
        <w:rPr>
          <w:rFonts w:ascii="Arial" w:hAnsi="Arial" w:cs="Arial"/>
          <w:b/>
          <w:bCs/>
          <w:i/>
          <w:iCs/>
          <w:sz w:val="20"/>
          <w:szCs w:val="20"/>
        </w:rPr>
        <w:t>Faltas Sustanciales</w:t>
      </w:r>
    </w:p>
    <w:p w:rsidR="00990C83" w:rsidRPr="00E5019C" w:rsidRDefault="00990C83" w:rsidP="00476839">
      <w:pPr>
        <w:pStyle w:val="Prrafodelista"/>
        <w:numPr>
          <w:ilvl w:val="0"/>
          <w:numId w:val="38"/>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PRD presentó 74 Informes de precampaña de forma extemporánea posterior al requerimiento de la autoridad”</w:t>
      </w:r>
    </w:p>
    <w:p w:rsidR="00990C83" w:rsidRPr="00E5019C" w:rsidRDefault="00990C83" w:rsidP="00476839">
      <w:pPr>
        <w:autoSpaceDE w:val="0"/>
        <w:autoSpaceDN w:val="0"/>
        <w:adjustRightInd w:val="0"/>
        <w:ind w:left="284"/>
        <w:contextualSpacing/>
        <w:jc w:val="both"/>
        <w:rPr>
          <w:rFonts w:ascii="Arial" w:hAnsi="Arial" w:cs="Arial"/>
          <w:sz w:val="20"/>
          <w:szCs w:val="20"/>
        </w:rPr>
      </w:pPr>
      <w:r w:rsidRPr="00E5019C">
        <w:rPr>
          <w:rFonts w:ascii="Arial" w:hAnsi="Arial" w:cs="Arial"/>
          <w:sz w:val="20"/>
          <w:szCs w:val="20"/>
        </w:rPr>
        <w:t>Vulneró lo dispuesto en el 79, numeral 1, inciso a) fraccione III de la Ley General de Partidos Políticos; 443, numeral 1, inciso d); y artículo 445, numeral 1, inciso d) de la Ley General.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38"/>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PRD omitió presentar 70 Informes de precampaña de para el cargo de miembro de los Ayuntamientos.</w:t>
      </w:r>
    </w:p>
    <w:p w:rsidR="00990C83" w:rsidRPr="00E5019C" w:rsidRDefault="00990C83" w:rsidP="00476839">
      <w:pPr>
        <w:autoSpaceDE w:val="0"/>
        <w:autoSpaceDN w:val="0"/>
        <w:adjustRightInd w:val="0"/>
        <w:ind w:left="284"/>
        <w:contextualSpacing/>
        <w:jc w:val="both"/>
        <w:rPr>
          <w:rFonts w:ascii="Arial" w:hAnsi="Arial" w:cs="Arial"/>
          <w:sz w:val="20"/>
          <w:szCs w:val="20"/>
        </w:rPr>
      </w:pPr>
      <w:r w:rsidRPr="00E5019C">
        <w:rPr>
          <w:rFonts w:ascii="Arial" w:hAnsi="Arial" w:cs="Arial"/>
          <w:sz w:val="20"/>
          <w:szCs w:val="20"/>
        </w:rPr>
        <w:t>El partido en comento vulneró lo dispuesto en los artículos 79, numeral 1, inciso a), fracción III de la Ley General de Partidos Políticos, así como 443, numeral 1, inciso d) y 445, numeral 1, inciso d) de la Ley General.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38"/>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partido reportó aportaciones en efectivo sin embargo no presentó la documentación soporte, que acreditara el origen de diversas aportaciones, por una cantidad que asciende $542,940.53.”</w:t>
      </w:r>
    </w:p>
    <w:p w:rsidR="00990C83" w:rsidRPr="00E5019C" w:rsidRDefault="00990C83" w:rsidP="00476839">
      <w:pPr>
        <w:autoSpaceDE w:val="0"/>
        <w:autoSpaceDN w:val="0"/>
        <w:adjustRightInd w:val="0"/>
        <w:ind w:left="284"/>
        <w:contextualSpacing/>
        <w:jc w:val="both"/>
        <w:rPr>
          <w:rFonts w:ascii="Arial" w:hAnsi="Arial" w:cs="Arial"/>
          <w:sz w:val="20"/>
          <w:szCs w:val="20"/>
        </w:rPr>
      </w:pPr>
      <w:r w:rsidRPr="00E5019C">
        <w:rPr>
          <w:rFonts w:ascii="Arial" w:hAnsi="Arial" w:cs="Arial"/>
          <w:sz w:val="20"/>
          <w:szCs w:val="20"/>
        </w:rPr>
        <w:t>Vulneró lo dispuesto en el artículo 104, numeral 2 y del Reglamento para la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38"/>
        </w:numPr>
        <w:autoSpaceDE w:val="0"/>
        <w:autoSpaceDN w:val="0"/>
        <w:adjustRightInd w:val="0"/>
        <w:ind w:left="284"/>
        <w:jc w:val="both"/>
        <w:rPr>
          <w:rFonts w:ascii="Arial" w:hAnsi="Arial" w:cs="Arial"/>
          <w:sz w:val="20"/>
          <w:szCs w:val="20"/>
        </w:rPr>
      </w:pPr>
      <w:r w:rsidRPr="00E5019C">
        <w:rPr>
          <w:rFonts w:ascii="Arial" w:hAnsi="Arial" w:cs="Arial"/>
          <w:sz w:val="20"/>
          <w:szCs w:val="20"/>
        </w:rPr>
        <w:t>“La respuesta del PRD se consideró parcial, toda vez que no presentó el soporte documental por concepto de gastos en bardas, por parte del precandidato para el Ayuntamiento de Chimalhuacán, Silvestre López Cornejo. Por lo que se la observación No Subsanada por un importe de $ 4,060.00.”</w:t>
      </w:r>
    </w:p>
    <w:p w:rsidR="00990C83" w:rsidRPr="00E5019C" w:rsidRDefault="00990C83" w:rsidP="00476839">
      <w:pPr>
        <w:autoSpaceDE w:val="0"/>
        <w:autoSpaceDN w:val="0"/>
        <w:adjustRightInd w:val="0"/>
        <w:ind w:firstLine="284"/>
        <w:contextualSpacing/>
        <w:jc w:val="both"/>
        <w:rPr>
          <w:rFonts w:ascii="Arial" w:hAnsi="Arial" w:cs="Arial"/>
          <w:sz w:val="20"/>
          <w:szCs w:val="20"/>
        </w:rPr>
      </w:pPr>
      <w:r w:rsidRPr="00E5019C">
        <w:rPr>
          <w:rFonts w:ascii="Arial" w:hAnsi="Arial" w:cs="Arial"/>
          <w:sz w:val="20"/>
          <w:szCs w:val="20"/>
        </w:rPr>
        <w:t>El partido en comento vulneró lo dispuesto en el artículo 127 del Reglamento de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38"/>
        </w:numPr>
        <w:autoSpaceDE w:val="0"/>
        <w:autoSpaceDN w:val="0"/>
        <w:adjustRightInd w:val="0"/>
        <w:ind w:left="284"/>
        <w:rPr>
          <w:rFonts w:ascii="Arial" w:hAnsi="Arial" w:cs="Arial"/>
          <w:iCs/>
          <w:sz w:val="20"/>
          <w:szCs w:val="20"/>
        </w:rPr>
      </w:pPr>
      <w:r w:rsidRPr="00E5019C">
        <w:rPr>
          <w:rFonts w:ascii="Arial" w:hAnsi="Arial" w:cs="Arial"/>
          <w:sz w:val="20"/>
          <w:szCs w:val="20"/>
        </w:rPr>
        <w:t xml:space="preserve"> “</w:t>
      </w:r>
      <w:r w:rsidRPr="00E5019C">
        <w:rPr>
          <w:rFonts w:ascii="Arial" w:hAnsi="Arial" w:cs="Arial"/>
          <w:iCs/>
          <w:sz w:val="20"/>
          <w:szCs w:val="20"/>
        </w:rPr>
        <w:t>El PRD omitió presentar la documentación soporte que acredite el gasto por una cantidad $159,210.00.”</w:t>
      </w:r>
    </w:p>
    <w:p w:rsidR="00990C83" w:rsidRPr="00E5019C" w:rsidRDefault="00990C83" w:rsidP="00476839">
      <w:pPr>
        <w:autoSpaceDE w:val="0"/>
        <w:autoSpaceDN w:val="0"/>
        <w:adjustRightInd w:val="0"/>
        <w:ind w:left="284"/>
        <w:contextualSpacing/>
        <w:rPr>
          <w:rFonts w:ascii="Arial" w:hAnsi="Arial" w:cs="Arial"/>
          <w:iCs/>
          <w:sz w:val="20"/>
          <w:szCs w:val="20"/>
        </w:rPr>
      </w:pPr>
      <w:r w:rsidRPr="00E5019C">
        <w:rPr>
          <w:rFonts w:ascii="Arial" w:hAnsi="Arial" w:cs="Arial"/>
          <w:iCs/>
          <w:sz w:val="20"/>
          <w:szCs w:val="20"/>
        </w:rPr>
        <w:t>Vulneró lo dispuesto en el artículo 127 del Reglamento de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Formales</w:t>
      </w:r>
    </w:p>
    <w:p w:rsidR="00990C83" w:rsidRPr="00E5019C" w:rsidRDefault="00990C83" w:rsidP="00476839">
      <w:pPr>
        <w:pStyle w:val="Prrafodelista"/>
        <w:numPr>
          <w:ilvl w:val="0"/>
          <w:numId w:val="39"/>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PRD omitió presentar el listado de registro correspondiente a 4 Precandidatos.”. Incumplió con lo dispuesto en el artículo 277, numeral 1, inciso d) del Reglamento de Fiscalización.</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pStyle w:val="Prrafodelista"/>
        <w:numPr>
          <w:ilvl w:val="0"/>
          <w:numId w:val="39"/>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PRD omitió presentar la actualización de la información en el sistema de captura de formatos de la información correspondiente a 10 precandidatos.” Omitió con lo dispuesto en artículo 33 numeral 2 incisos d) del Reglamento de Fiscalización.</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pStyle w:val="Prrafodelista"/>
        <w:numPr>
          <w:ilvl w:val="0"/>
          <w:numId w:val="39"/>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partido político omitió realizar mediante cuentas bancarias diversas aportaciones menores a 90 DSMGV por $29,906.76”</w:t>
      </w:r>
      <w:r w:rsidR="00421C8B">
        <w:rPr>
          <w:rFonts w:ascii="Arial" w:hAnsi="Arial" w:cs="Arial"/>
          <w:sz w:val="20"/>
          <w:szCs w:val="20"/>
        </w:rPr>
        <w:t xml:space="preserve">. </w:t>
      </w:r>
      <w:r w:rsidRPr="00E5019C">
        <w:rPr>
          <w:rFonts w:ascii="Arial" w:hAnsi="Arial" w:cs="Arial"/>
          <w:sz w:val="20"/>
          <w:szCs w:val="20"/>
        </w:rPr>
        <w:t xml:space="preserve">En </w:t>
      </w:r>
      <w:r w:rsidR="00E14228" w:rsidRPr="00E5019C">
        <w:rPr>
          <w:rFonts w:ascii="Arial" w:hAnsi="Arial" w:cs="Arial"/>
          <w:sz w:val="20"/>
          <w:szCs w:val="20"/>
        </w:rPr>
        <w:t>consecuencia,</w:t>
      </w:r>
      <w:r w:rsidRPr="00E5019C">
        <w:rPr>
          <w:rFonts w:ascii="Arial" w:hAnsi="Arial" w:cs="Arial"/>
          <w:sz w:val="20"/>
          <w:szCs w:val="20"/>
        </w:rPr>
        <w:t xml:space="preserve"> el PRD incumplió con los artículos; 102, numeral 1 del Reglamento de Fiscalización.</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pStyle w:val="Prrafodelista"/>
        <w:numPr>
          <w:ilvl w:val="0"/>
          <w:numId w:val="39"/>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 xml:space="preserve">“El partido omitió presentar los controles de </w:t>
      </w:r>
      <w:r w:rsidR="00421C8B" w:rsidRPr="00E5019C">
        <w:rPr>
          <w:rFonts w:ascii="Arial" w:hAnsi="Arial" w:cs="Arial"/>
          <w:sz w:val="20"/>
          <w:szCs w:val="20"/>
        </w:rPr>
        <w:t>folios,</w:t>
      </w:r>
      <w:r w:rsidRPr="00E5019C">
        <w:rPr>
          <w:rFonts w:ascii="Arial" w:hAnsi="Arial" w:cs="Arial"/>
          <w:sz w:val="20"/>
          <w:szCs w:val="20"/>
        </w:rPr>
        <w:t xml:space="preserve"> así como los contratos de donación respecto de diversas aportaciones en especie.” En </w:t>
      </w:r>
      <w:r w:rsidR="00421C8B" w:rsidRPr="00E5019C">
        <w:rPr>
          <w:rFonts w:ascii="Arial" w:hAnsi="Arial" w:cs="Arial"/>
          <w:sz w:val="20"/>
          <w:szCs w:val="20"/>
        </w:rPr>
        <w:t>consecuencia,</w:t>
      </w:r>
      <w:r w:rsidRPr="00E5019C">
        <w:rPr>
          <w:rFonts w:ascii="Arial" w:hAnsi="Arial" w:cs="Arial"/>
          <w:sz w:val="20"/>
          <w:szCs w:val="20"/>
        </w:rPr>
        <w:t xml:space="preserve"> el PRD incumplió con los artículos; 107, numerales 1 y 3 del Reglamento de Fiscalización. </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pStyle w:val="Prrafodelista"/>
        <w:numPr>
          <w:ilvl w:val="0"/>
          <w:numId w:val="39"/>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partido omitió presentar lo siguiente: permisos de autorización de la pinta de bardas, relación que detalle la ubicación y medias exactas de las bardas, cotizaciones o facturas, contrato de prestación de servicios, y muestras fotográficas.” Incumplió con los artículos; artículos 216 del Reglamento de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Default="00990C83" w:rsidP="00476839">
      <w:pPr>
        <w:autoSpaceDE w:val="0"/>
        <w:autoSpaceDN w:val="0"/>
        <w:adjustRightInd w:val="0"/>
        <w:contextualSpacing/>
        <w:jc w:val="both"/>
        <w:rPr>
          <w:rFonts w:ascii="Arial" w:hAnsi="Arial" w:cs="Arial"/>
          <w:sz w:val="20"/>
          <w:szCs w:val="20"/>
        </w:rPr>
      </w:pPr>
    </w:p>
    <w:p w:rsidR="00930133" w:rsidRPr="00E5019C" w:rsidRDefault="00930133" w:rsidP="00476839">
      <w:pPr>
        <w:autoSpaceDE w:val="0"/>
        <w:autoSpaceDN w:val="0"/>
        <w:adjustRightInd w:val="0"/>
        <w:contextualSpacing/>
        <w:jc w:val="both"/>
        <w:rPr>
          <w:rFonts w:ascii="Arial" w:hAnsi="Arial" w:cs="Arial"/>
          <w:sz w:val="20"/>
          <w:szCs w:val="20"/>
        </w:rPr>
      </w:pPr>
    </w:p>
    <w:p w:rsidR="00E14228" w:rsidRDefault="00E14228" w:rsidP="00476839">
      <w:pPr>
        <w:autoSpaceDE w:val="0"/>
        <w:autoSpaceDN w:val="0"/>
        <w:adjustRightInd w:val="0"/>
        <w:contextualSpacing/>
        <w:jc w:val="center"/>
        <w:rPr>
          <w:rFonts w:ascii="Arial" w:hAnsi="Arial" w:cs="Arial"/>
          <w:b/>
          <w:bCs/>
          <w:sz w:val="20"/>
          <w:szCs w:val="20"/>
        </w:rPr>
      </w:pPr>
    </w:p>
    <w:p w:rsidR="00E14228" w:rsidRDefault="00E14228" w:rsidP="00476839">
      <w:pPr>
        <w:autoSpaceDE w:val="0"/>
        <w:autoSpaceDN w:val="0"/>
        <w:adjustRightInd w:val="0"/>
        <w:contextualSpacing/>
        <w:jc w:val="center"/>
        <w:rPr>
          <w:rFonts w:ascii="Arial" w:hAnsi="Arial" w:cs="Arial"/>
          <w:b/>
          <w:bCs/>
          <w:sz w:val="20"/>
          <w:szCs w:val="20"/>
        </w:rPr>
      </w:pPr>
    </w:p>
    <w:p w:rsidR="00990C83" w:rsidRPr="00E5019C" w:rsidRDefault="004D0A1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lastRenderedPageBreak/>
        <w:t>Partido Movimiento Ciudadano</w:t>
      </w:r>
    </w:p>
    <w:p w:rsidR="00990C83" w:rsidRDefault="00990C83" w:rsidP="00476839">
      <w:pPr>
        <w:autoSpaceDE w:val="0"/>
        <w:autoSpaceDN w:val="0"/>
        <w:adjustRightInd w:val="0"/>
        <w:contextualSpacing/>
        <w:jc w:val="both"/>
        <w:rPr>
          <w:rFonts w:ascii="Arial" w:hAnsi="Arial" w:cs="Arial"/>
          <w:sz w:val="20"/>
          <w:szCs w:val="20"/>
        </w:rPr>
      </w:pPr>
    </w:p>
    <w:p w:rsidR="00A4423E" w:rsidRPr="00E5019C" w:rsidRDefault="00A4423E" w:rsidP="00476839">
      <w:pPr>
        <w:autoSpaceDE w:val="0"/>
        <w:autoSpaceDN w:val="0"/>
        <w:adjustRightInd w:val="0"/>
        <w:contextualSpacing/>
        <w:jc w:val="both"/>
        <w:rPr>
          <w:rFonts w:ascii="Arial" w:hAnsi="Arial" w:cs="Arial"/>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Sustanciales</w:t>
      </w:r>
    </w:p>
    <w:p w:rsidR="00E14228" w:rsidRDefault="00990C83" w:rsidP="00476839">
      <w:pPr>
        <w:pStyle w:val="Prrafodelista"/>
        <w:numPr>
          <w:ilvl w:val="0"/>
          <w:numId w:val="40"/>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presentó 74 “Informes de Precampaña” fuera de los plazos establecidos por la normatividad electoral y posterior al requerimiento de la autoridad”.</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Vulneró lo dispuesto en el 79, numeral 1, inciso a), fracciones I, II y III de la Ley General de Partidos Políticos; así como el artículo 443, numeral 1, inciso d) y 445, numeral 1, inciso d) de la Ley General.</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E14228" w:rsidRDefault="00990C83" w:rsidP="00476839">
      <w:pPr>
        <w:pStyle w:val="Prrafodelista"/>
        <w:numPr>
          <w:ilvl w:val="0"/>
          <w:numId w:val="40"/>
        </w:numPr>
        <w:autoSpaceDE w:val="0"/>
        <w:autoSpaceDN w:val="0"/>
        <w:adjustRightInd w:val="0"/>
        <w:ind w:left="284" w:hanging="284"/>
        <w:jc w:val="both"/>
        <w:rPr>
          <w:rFonts w:ascii="Arial" w:hAnsi="Arial" w:cs="Arial"/>
          <w:iCs/>
          <w:sz w:val="20"/>
          <w:szCs w:val="20"/>
        </w:rPr>
      </w:pPr>
      <w:r w:rsidRPr="00E5019C">
        <w:rPr>
          <w:rFonts w:ascii="Arial" w:hAnsi="Arial" w:cs="Arial"/>
          <w:iCs/>
          <w:sz w:val="20"/>
          <w:szCs w:val="20"/>
        </w:rPr>
        <w:t xml:space="preserve"> “MC omitió presentar 2 “Informes de Precampaña” para el cargo de Ayuntamientos.”</w:t>
      </w:r>
    </w:p>
    <w:p w:rsidR="00990C83" w:rsidRPr="00E5019C" w:rsidRDefault="00990C83" w:rsidP="00476839">
      <w:pPr>
        <w:pStyle w:val="Prrafodelista"/>
        <w:autoSpaceDE w:val="0"/>
        <w:autoSpaceDN w:val="0"/>
        <w:adjustRightInd w:val="0"/>
        <w:ind w:left="284"/>
        <w:jc w:val="both"/>
        <w:rPr>
          <w:rFonts w:ascii="Arial" w:hAnsi="Arial" w:cs="Arial"/>
          <w:iCs/>
          <w:sz w:val="20"/>
          <w:szCs w:val="20"/>
        </w:rPr>
      </w:pPr>
      <w:r w:rsidRPr="00E5019C">
        <w:rPr>
          <w:rFonts w:ascii="Arial" w:hAnsi="Arial" w:cs="Arial"/>
          <w:iCs/>
          <w:sz w:val="20"/>
          <w:szCs w:val="20"/>
        </w:rPr>
        <w:t>Contravino lo dispuesto en el artículo 79, numeral 1, inciso a), fracción III de la Ley General de Partidos Políticos.</w:t>
      </w:r>
    </w:p>
    <w:p w:rsidR="00990C83" w:rsidRPr="00E5019C" w:rsidRDefault="00990C83" w:rsidP="00476839">
      <w:pPr>
        <w:autoSpaceDE w:val="0"/>
        <w:autoSpaceDN w:val="0"/>
        <w:adjustRightInd w:val="0"/>
        <w:ind w:left="284" w:hanging="284"/>
        <w:contextualSpacing/>
        <w:jc w:val="both"/>
        <w:rPr>
          <w:rFonts w:ascii="Arial" w:hAnsi="Arial" w:cs="Arial"/>
          <w:b/>
          <w:sz w:val="20"/>
          <w:szCs w:val="20"/>
        </w:rPr>
      </w:pPr>
    </w:p>
    <w:p w:rsidR="00E14228" w:rsidRDefault="00990C83" w:rsidP="00476839">
      <w:pPr>
        <w:pStyle w:val="Prrafodelista"/>
        <w:numPr>
          <w:ilvl w:val="0"/>
          <w:numId w:val="40"/>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omitió proporcionar las evidencias comprobatorias que amparen los gastos registrados por los precandidatos Estrada de la Cruz Yolanda y de Chávez de la O Jairo, por $15,000.00 y $13,910.00, respectivamente, dando como total $28,910.00.”</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Vulneró lo dispuesto en el artículo 127 del Reglamento de Fiscalización</w:t>
      </w:r>
      <w:r w:rsidR="00E14228">
        <w:rPr>
          <w:rFonts w:ascii="Arial" w:hAnsi="Arial" w:cs="Arial"/>
          <w:sz w:val="20"/>
          <w:szCs w:val="20"/>
        </w:rPr>
        <w:t>.</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E14228" w:rsidRDefault="00990C83" w:rsidP="00476839">
      <w:pPr>
        <w:pStyle w:val="Prrafodelista"/>
        <w:numPr>
          <w:ilvl w:val="0"/>
          <w:numId w:val="40"/>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no reportó los gastos de propaganda en lonas, sillas, sistema de audio, carpa y templete, por un importe total de $10,420.00”.</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Incumplió con lo establecido en los artículos 79, numeral 1, inciso a), fracción I de la Ley General de Partidos Políticos; con relación al artículo 127 del Reglamento de Fiscalización.</w:t>
      </w:r>
    </w:p>
    <w:p w:rsidR="00990C83" w:rsidRDefault="00990C83" w:rsidP="00476839">
      <w:pPr>
        <w:autoSpaceDE w:val="0"/>
        <w:autoSpaceDN w:val="0"/>
        <w:adjustRightInd w:val="0"/>
        <w:contextualSpacing/>
        <w:jc w:val="both"/>
        <w:rPr>
          <w:rFonts w:ascii="Arial" w:hAnsi="Arial" w:cs="Arial"/>
          <w:sz w:val="20"/>
          <w:szCs w:val="20"/>
        </w:rPr>
      </w:pPr>
    </w:p>
    <w:p w:rsidR="00A4423E" w:rsidRPr="00E5019C" w:rsidRDefault="00A4423E" w:rsidP="00476839">
      <w:pPr>
        <w:autoSpaceDE w:val="0"/>
        <w:autoSpaceDN w:val="0"/>
        <w:adjustRightInd w:val="0"/>
        <w:contextualSpacing/>
        <w:jc w:val="both"/>
        <w:rPr>
          <w:rFonts w:ascii="Arial" w:hAnsi="Arial" w:cs="Arial"/>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Faltas Formales</w:t>
      </w:r>
    </w:p>
    <w:p w:rsidR="00A4423E" w:rsidRDefault="00990C83" w:rsidP="00476839">
      <w:pPr>
        <w:pStyle w:val="Prrafodelista"/>
        <w:numPr>
          <w:ilvl w:val="0"/>
          <w:numId w:val="4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omitió realizar las correcciones en el “Sistema de Captura de Formatos y Almacenamiento de la Información de Precampaña”, apartado “Informe de Precampaña” (plantilla 2), por un monto de $16,746.00.”</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 xml:space="preserve">Incumplió con lo establecido en los artículos 240 del Reglamento de </w:t>
      </w:r>
      <w:r w:rsidR="002F7FBF" w:rsidRPr="00E5019C">
        <w:rPr>
          <w:rFonts w:ascii="Arial" w:hAnsi="Arial" w:cs="Arial"/>
          <w:sz w:val="20"/>
          <w:szCs w:val="20"/>
        </w:rPr>
        <w:t>Fiscalización,</w:t>
      </w:r>
      <w:r w:rsidRPr="00E5019C">
        <w:rPr>
          <w:rFonts w:ascii="Arial" w:hAnsi="Arial" w:cs="Arial"/>
          <w:sz w:val="20"/>
          <w:szCs w:val="20"/>
        </w:rPr>
        <w:t xml:space="preserve"> así como con el Punto de Acuerdo Primero, artículos 4 y 5 del Acuerdo INE/CG13/2015.</w:t>
      </w:r>
    </w:p>
    <w:p w:rsidR="00990C83" w:rsidRPr="00E5019C" w:rsidRDefault="00990C83" w:rsidP="00476839">
      <w:pPr>
        <w:autoSpaceDE w:val="0"/>
        <w:autoSpaceDN w:val="0"/>
        <w:adjustRightInd w:val="0"/>
        <w:ind w:left="284" w:hanging="284"/>
        <w:contextualSpacing/>
        <w:jc w:val="both"/>
        <w:rPr>
          <w:rFonts w:ascii="Arial" w:hAnsi="Arial" w:cs="Arial"/>
          <w:sz w:val="20"/>
          <w:szCs w:val="20"/>
        </w:rPr>
      </w:pPr>
    </w:p>
    <w:p w:rsidR="00990C83" w:rsidRPr="00E5019C" w:rsidRDefault="00990C83" w:rsidP="00476839">
      <w:pPr>
        <w:pStyle w:val="Prrafodelista"/>
        <w:numPr>
          <w:ilvl w:val="0"/>
          <w:numId w:val="4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omitió presentar el “CF-RM-CI” Control de folios de Recibos de Aportaciones de Militantes y del Candidato interno, el contrato de donación debidamente requisitado y cotizaciones del precandidato Moisés Ramírez Silvia, por $85,260.00.” Incumplió con los artículos 105; 106 y 107 del Reglamento de Fiscalización; en relación con el artículo 56 numeral 3 y 4 de la Ley General de Partidos Políticos.</w:t>
      </w:r>
    </w:p>
    <w:p w:rsidR="00990C83" w:rsidRPr="00E5019C" w:rsidRDefault="00990C83" w:rsidP="00476839">
      <w:pPr>
        <w:autoSpaceDE w:val="0"/>
        <w:autoSpaceDN w:val="0"/>
        <w:adjustRightInd w:val="0"/>
        <w:contextualSpacing/>
        <w:jc w:val="both"/>
        <w:rPr>
          <w:rFonts w:ascii="Arial" w:hAnsi="Arial" w:cs="Arial"/>
          <w:sz w:val="20"/>
          <w:szCs w:val="20"/>
        </w:rPr>
      </w:pPr>
    </w:p>
    <w:p w:rsidR="00A4423E" w:rsidRDefault="00990C83" w:rsidP="00476839">
      <w:pPr>
        <w:pStyle w:val="Prrafodelista"/>
        <w:numPr>
          <w:ilvl w:val="0"/>
          <w:numId w:val="41"/>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“MC omitió presentar las muestras de diversa propaganda adquirida en favor del precandidato Romero Rancaño Everardo, por $27,150.00”</w:t>
      </w:r>
      <w:r w:rsidR="00421C8B">
        <w:rPr>
          <w:rFonts w:ascii="Arial" w:hAnsi="Arial" w:cs="Arial"/>
          <w:sz w:val="20"/>
          <w:szCs w:val="20"/>
        </w:rPr>
        <w:t>.</w:t>
      </w:r>
    </w:p>
    <w:p w:rsidR="00990C83" w:rsidRPr="00A4423E" w:rsidRDefault="00990C83" w:rsidP="00476839">
      <w:pPr>
        <w:autoSpaceDE w:val="0"/>
        <w:autoSpaceDN w:val="0"/>
        <w:adjustRightInd w:val="0"/>
        <w:ind w:firstLine="284"/>
        <w:jc w:val="both"/>
        <w:rPr>
          <w:rFonts w:ascii="Arial" w:hAnsi="Arial" w:cs="Arial"/>
          <w:sz w:val="20"/>
          <w:szCs w:val="20"/>
        </w:rPr>
      </w:pPr>
      <w:r w:rsidRPr="00A4423E">
        <w:rPr>
          <w:rFonts w:ascii="Arial" w:hAnsi="Arial" w:cs="Arial"/>
          <w:sz w:val="20"/>
          <w:szCs w:val="20"/>
        </w:rPr>
        <w:t>En consecuencia, incumplió lo establecido en el artículo 205 del Reglamento de Fiscalización.</w:t>
      </w:r>
    </w:p>
    <w:p w:rsidR="00990C83" w:rsidRPr="00E5019C" w:rsidRDefault="00990C83" w:rsidP="00476839">
      <w:pPr>
        <w:pStyle w:val="Prrafodelista"/>
        <w:rPr>
          <w:rFonts w:ascii="Arial" w:hAnsi="Arial" w:cs="Arial"/>
          <w:sz w:val="20"/>
          <w:szCs w:val="20"/>
        </w:rPr>
      </w:pPr>
    </w:p>
    <w:p w:rsidR="00990C83" w:rsidRPr="00E5019C" w:rsidRDefault="00990C83" w:rsidP="00476839">
      <w:pPr>
        <w:pStyle w:val="Prrafodelista"/>
        <w:autoSpaceDE w:val="0"/>
        <w:autoSpaceDN w:val="0"/>
        <w:adjustRightInd w:val="0"/>
        <w:jc w:val="both"/>
        <w:rPr>
          <w:rFonts w:ascii="Arial" w:hAnsi="Arial" w:cs="Arial"/>
          <w:sz w:val="20"/>
          <w:szCs w:val="20"/>
        </w:rPr>
      </w:pPr>
    </w:p>
    <w:p w:rsidR="00990C83" w:rsidRPr="00E5019C" w:rsidRDefault="004D0A1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t>Partido Encuentro Social</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w:t>
      </w:r>
      <w:r w:rsidR="00421C8B" w:rsidRPr="00930133">
        <w:rPr>
          <w:rFonts w:ascii="Arial" w:hAnsi="Arial" w:cs="Arial"/>
          <w:b/>
          <w:bCs/>
          <w:i/>
          <w:iCs/>
          <w:sz w:val="20"/>
          <w:szCs w:val="20"/>
        </w:rPr>
        <w:t>alta Formal</w:t>
      </w:r>
    </w:p>
    <w:p w:rsidR="00A4423E" w:rsidRDefault="00990C83" w:rsidP="00476839">
      <w:pPr>
        <w:pStyle w:val="Prrafodelista"/>
        <w:numPr>
          <w:ilvl w:val="0"/>
          <w:numId w:val="42"/>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“El PES presentó 52 informes de ingresos y gastos de precampaña que no se apegaron al formato establecido por la normatividad.</w:t>
      </w:r>
      <w:r w:rsidR="00A4423E">
        <w:rPr>
          <w:rFonts w:ascii="Arial" w:hAnsi="Arial" w:cs="Arial"/>
          <w:sz w:val="20"/>
          <w:szCs w:val="20"/>
        </w:rPr>
        <w:t>”</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Incumplimiento a lo establecido en los artículos los artículos 242, numeral 1 y 296, numeral 1 del Reglamento de Fiscalización.</w:t>
      </w:r>
    </w:p>
    <w:p w:rsidR="00990C83" w:rsidRDefault="00990C83" w:rsidP="00476839">
      <w:pPr>
        <w:autoSpaceDE w:val="0"/>
        <w:autoSpaceDN w:val="0"/>
        <w:adjustRightInd w:val="0"/>
        <w:contextualSpacing/>
        <w:jc w:val="both"/>
        <w:rPr>
          <w:rFonts w:ascii="Arial" w:hAnsi="Arial" w:cs="Arial"/>
          <w:sz w:val="20"/>
          <w:szCs w:val="20"/>
        </w:rPr>
      </w:pPr>
    </w:p>
    <w:p w:rsidR="00421C8B" w:rsidRDefault="00421C8B" w:rsidP="00476839">
      <w:pPr>
        <w:autoSpaceDE w:val="0"/>
        <w:autoSpaceDN w:val="0"/>
        <w:adjustRightInd w:val="0"/>
        <w:contextualSpacing/>
        <w:jc w:val="both"/>
        <w:rPr>
          <w:rFonts w:ascii="Arial" w:hAnsi="Arial" w:cs="Arial"/>
          <w:sz w:val="20"/>
          <w:szCs w:val="20"/>
        </w:rPr>
      </w:pPr>
    </w:p>
    <w:p w:rsidR="00476839" w:rsidRDefault="00476839">
      <w:pPr>
        <w:rPr>
          <w:rFonts w:ascii="Arial" w:hAnsi="Arial" w:cs="Arial"/>
          <w:b/>
          <w:bCs/>
          <w:sz w:val="20"/>
          <w:szCs w:val="20"/>
        </w:rPr>
      </w:pPr>
      <w:r>
        <w:rPr>
          <w:rFonts w:ascii="Arial" w:hAnsi="Arial" w:cs="Arial"/>
          <w:b/>
          <w:bCs/>
          <w:sz w:val="20"/>
          <w:szCs w:val="20"/>
        </w:rPr>
        <w:br w:type="page"/>
      </w:r>
    </w:p>
    <w:p w:rsidR="00990C83" w:rsidRPr="00E5019C" w:rsidRDefault="00990C83" w:rsidP="00476839">
      <w:pPr>
        <w:autoSpaceDE w:val="0"/>
        <w:autoSpaceDN w:val="0"/>
        <w:adjustRightInd w:val="0"/>
        <w:contextualSpacing/>
        <w:jc w:val="center"/>
        <w:rPr>
          <w:rFonts w:ascii="Arial" w:hAnsi="Arial" w:cs="Arial"/>
          <w:b/>
          <w:bCs/>
          <w:sz w:val="20"/>
          <w:szCs w:val="20"/>
        </w:rPr>
      </w:pPr>
      <w:r w:rsidRPr="00E5019C">
        <w:rPr>
          <w:rFonts w:ascii="Arial" w:hAnsi="Arial" w:cs="Arial"/>
          <w:b/>
          <w:bCs/>
          <w:sz w:val="20"/>
          <w:szCs w:val="20"/>
        </w:rPr>
        <w:lastRenderedPageBreak/>
        <w:t>Partido M</w:t>
      </w:r>
      <w:r w:rsidR="004D0A1D">
        <w:rPr>
          <w:rFonts w:ascii="Arial" w:hAnsi="Arial" w:cs="Arial"/>
          <w:b/>
          <w:bCs/>
          <w:sz w:val="20"/>
          <w:szCs w:val="20"/>
        </w:rPr>
        <w:t>orena</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930133" w:rsidRDefault="00990C83" w:rsidP="00476839">
      <w:pPr>
        <w:rPr>
          <w:rFonts w:ascii="Arial" w:hAnsi="Arial" w:cs="Arial"/>
          <w:b/>
          <w:bCs/>
          <w:i/>
          <w:iCs/>
          <w:sz w:val="20"/>
          <w:szCs w:val="20"/>
        </w:rPr>
      </w:pPr>
      <w:r w:rsidRPr="00930133">
        <w:rPr>
          <w:rFonts w:ascii="Arial" w:hAnsi="Arial" w:cs="Arial"/>
          <w:b/>
          <w:bCs/>
          <w:i/>
          <w:iCs/>
          <w:sz w:val="20"/>
          <w:szCs w:val="20"/>
        </w:rPr>
        <w:t>Falta Sustancial</w:t>
      </w:r>
    </w:p>
    <w:p w:rsidR="00A4423E" w:rsidRDefault="00990C83" w:rsidP="00476839">
      <w:pPr>
        <w:pStyle w:val="Prrafodelista"/>
        <w:numPr>
          <w:ilvl w:val="0"/>
          <w:numId w:val="43"/>
        </w:numPr>
        <w:autoSpaceDE w:val="0"/>
        <w:autoSpaceDN w:val="0"/>
        <w:adjustRightInd w:val="0"/>
        <w:ind w:left="284" w:hanging="284"/>
        <w:jc w:val="both"/>
        <w:rPr>
          <w:rFonts w:ascii="Arial" w:hAnsi="Arial" w:cs="Arial"/>
          <w:sz w:val="20"/>
          <w:szCs w:val="20"/>
        </w:rPr>
      </w:pPr>
      <w:r w:rsidRPr="00E5019C">
        <w:rPr>
          <w:rFonts w:ascii="Arial" w:hAnsi="Arial" w:cs="Arial"/>
          <w:sz w:val="20"/>
          <w:szCs w:val="20"/>
        </w:rPr>
        <w:t>“MORENA, no reportó el gasto por concepto de una barda, correspondiente a la Precandidata a Presidenta Municipal de Los Reyes La Paz en el Estado de México la C. Martha Guerrero Sánchez por un importe de $5,600.00.</w:t>
      </w:r>
    </w:p>
    <w:p w:rsidR="00990C83" w:rsidRPr="00E5019C" w:rsidRDefault="00990C83" w:rsidP="00476839">
      <w:pPr>
        <w:pStyle w:val="Prrafodelista"/>
        <w:autoSpaceDE w:val="0"/>
        <w:autoSpaceDN w:val="0"/>
        <w:adjustRightInd w:val="0"/>
        <w:ind w:left="284"/>
        <w:jc w:val="both"/>
        <w:rPr>
          <w:rFonts w:ascii="Arial" w:hAnsi="Arial" w:cs="Arial"/>
          <w:sz w:val="20"/>
          <w:szCs w:val="20"/>
        </w:rPr>
      </w:pPr>
      <w:r w:rsidRPr="00E5019C">
        <w:rPr>
          <w:rFonts w:ascii="Arial" w:hAnsi="Arial" w:cs="Arial"/>
          <w:sz w:val="20"/>
          <w:szCs w:val="20"/>
        </w:rPr>
        <w:t>Vulneró lo dispuesto en el artículo 79, numeral 1, inciso a), fracción I de la Ley General de Partidos Políticos, y 127 del Reglamento de Fiscalización.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rPr>
          <w:rFonts w:ascii="Arial" w:hAnsi="Arial" w:cs="Arial"/>
          <w:sz w:val="20"/>
          <w:szCs w:val="20"/>
        </w:rPr>
      </w:pPr>
    </w:p>
    <w:p w:rsidR="00990C83" w:rsidRPr="00E5019C" w:rsidRDefault="00990C83" w:rsidP="00476839">
      <w:pPr>
        <w:contextualSpacing/>
        <w:rPr>
          <w:rFonts w:ascii="Arial" w:hAnsi="Arial" w:cs="Arial"/>
          <w:sz w:val="20"/>
          <w:szCs w:val="20"/>
        </w:rPr>
      </w:pPr>
    </w:p>
    <w:p w:rsidR="00990C83" w:rsidRPr="00E5019C" w:rsidRDefault="00990C83" w:rsidP="00476839">
      <w:pPr>
        <w:contextualSpacing/>
        <w:rPr>
          <w:rFonts w:ascii="Arial" w:hAnsi="Arial" w:cs="Arial"/>
          <w:sz w:val="20"/>
          <w:szCs w:val="20"/>
        </w:rPr>
      </w:pPr>
    </w:p>
    <w:p w:rsidR="00421C8B" w:rsidRDefault="00421C8B" w:rsidP="00476839">
      <w:pPr>
        <w:rPr>
          <w:rFonts w:ascii="Arial" w:hAnsi="Arial" w:cs="Arial"/>
          <w:b/>
          <w:sz w:val="20"/>
          <w:szCs w:val="20"/>
        </w:rPr>
      </w:pPr>
      <w:r>
        <w:rPr>
          <w:rFonts w:ascii="Arial" w:hAnsi="Arial" w:cs="Arial"/>
          <w:b/>
          <w:sz w:val="20"/>
          <w:szCs w:val="20"/>
        </w:rPr>
        <w:br w:type="page"/>
      </w:r>
    </w:p>
    <w:p w:rsidR="00990C83" w:rsidRPr="004D0A1D" w:rsidRDefault="00990C83" w:rsidP="00476839">
      <w:pPr>
        <w:pStyle w:val="Sinespaciado"/>
        <w:rPr>
          <w:rStyle w:val="Ttulodellibro"/>
          <w:rFonts w:ascii="Arial" w:hAnsi="Arial" w:cs="Arial"/>
          <w:b/>
          <w:i/>
          <w:color w:val="auto"/>
          <w:sz w:val="24"/>
          <w:szCs w:val="24"/>
        </w:rPr>
      </w:pPr>
      <w:r w:rsidRPr="004D0A1D">
        <w:rPr>
          <w:rStyle w:val="Ttulodellibro"/>
          <w:rFonts w:ascii="Arial" w:hAnsi="Arial" w:cs="Arial"/>
          <w:b/>
          <w:i/>
          <w:color w:val="auto"/>
          <w:sz w:val="24"/>
          <w:szCs w:val="24"/>
        </w:rPr>
        <w:lastRenderedPageBreak/>
        <w:t>ANEXO 4</w:t>
      </w:r>
      <w:r w:rsidR="004D0A1D">
        <w:rPr>
          <w:rStyle w:val="Ttulodellibro"/>
          <w:rFonts w:ascii="Arial" w:hAnsi="Arial" w:cs="Arial"/>
          <w:b/>
          <w:i/>
          <w:color w:val="auto"/>
          <w:sz w:val="24"/>
          <w:szCs w:val="24"/>
        </w:rPr>
        <w:t>.</w:t>
      </w:r>
      <w:r w:rsidRPr="004D0A1D">
        <w:rPr>
          <w:rStyle w:val="Ttulodellibro"/>
          <w:rFonts w:ascii="Arial" w:hAnsi="Arial" w:cs="Arial"/>
          <w:b/>
          <w:i/>
          <w:color w:val="auto"/>
          <w:sz w:val="24"/>
          <w:szCs w:val="24"/>
        </w:rPr>
        <w:t xml:space="preserve"> FALTAS DE CAMPAÑA 2015</w:t>
      </w:r>
      <w:r w:rsidR="004D0A1D">
        <w:rPr>
          <w:rStyle w:val="Ttulodellibro"/>
          <w:rFonts w:ascii="Arial" w:hAnsi="Arial" w:cs="Arial"/>
          <w:b/>
          <w:i/>
          <w:color w:val="auto"/>
          <w:sz w:val="24"/>
          <w:szCs w:val="24"/>
        </w:rPr>
        <w:t>.</w:t>
      </w:r>
    </w:p>
    <w:p w:rsidR="00A12BFE" w:rsidRDefault="00A12BFE" w:rsidP="00476839">
      <w:pPr>
        <w:contextualSpacing/>
        <w:jc w:val="center"/>
        <w:rPr>
          <w:rFonts w:ascii="Arial" w:hAnsi="Arial" w:cs="Arial"/>
          <w:b/>
          <w:sz w:val="20"/>
          <w:szCs w:val="20"/>
        </w:rPr>
      </w:pPr>
    </w:p>
    <w:p w:rsidR="00A12BFE" w:rsidRDefault="00A12BFE" w:rsidP="00476839">
      <w:pPr>
        <w:contextualSpacing/>
        <w:jc w:val="center"/>
        <w:rPr>
          <w:rFonts w:ascii="Arial" w:hAnsi="Arial" w:cs="Arial"/>
          <w:b/>
          <w:sz w:val="20"/>
          <w:szCs w:val="20"/>
        </w:rPr>
      </w:pPr>
    </w:p>
    <w:p w:rsidR="00421C8B" w:rsidRPr="00E5019C" w:rsidRDefault="00421C8B" w:rsidP="00476839">
      <w:pPr>
        <w:contextualSpacing/>
        <w:jc w:val="center"/>
        <w:rPr>
          <w:rFonts w:ascii="Arial" w:hAnsi="Arial" w:cs="Arial"/>
          <w:b/>
          <w:sz w:val="20"/>
          <w:szCs w:val="20"/>
        </w:rPr>
      </w:pPr>
    </w:p>
    <w:p w:rsidR="00990C83" w:rsidRDefault="004D0A1D" w:rsidP="00476839">
      <w:pPr>
        <w:contextualSpacing/>
        <w:jc w:val="center"/>
        <w:rPr>
          <w:rFonts w:ascii="Arial" w:hAnsi="Arial" w:cs="Arial"/>
          <w:b/>
          <w:sz w:val="20"/>
          <w:szCs w:val="20"/>
        </w:rPr>
      </w:pPr>
      <w:r>
        <w:rPr>
          <w:rFonts w:ascii="Arial" w:hAnsi="Arial" w:cs="Arial"/>
          <w:b/>
          <w:sz w:val="20"/>
          <w:szCs w:val="20"/>
        </w:rPr>
        <w:t>Partido Acción Nacional</w:t>
      </w:r>
    </w:p>
    <w:p w:rsidR="00421C8B" w:rsidRPr="00E5019C" w:rsidRDefault="00421C8B" w:rsidP="00476839">
      <w:pPr>
        <w:contextualSpacing/>
        <w:rPr>
          <w:rFonts w:ascii="Arial" w:hAnsi="Arial" w:cs="Arial"/>
          <w:b/>
          <w:sz w:val="20"/>
          <w:szCs w:val="20"/>
        </w:rPr>
      </w:pPr>
    </w:p>
    <w:p w:rsidR="00990C83" w:rsidRPr="004D0A1D" w:rsidRDefault="00990C83" w:rsidP="00476839">
      <w:pPr>
        <w:rPr>
          <w:rFonts w:ascii="Arial" w:hAnsi="Arial" w:cs="Arial"/>
          <w:b/>
          <w:bCs/>
          <w:i/>
          <w:iCs/>
          <w:sz w:val="20"/>
          <w:szCs w:val="20"/>
        </w:rPr>
      </w:pPr>
      <w:r w:rsidRPr="004D0A1D">
        <w:rPr>
          <w:rFonts w:ascii="Arial" w:hAnsi="Arial" w:cs="Arial"/>
          <w:b/>
          <w:bCs/>
          <w:i/>
          <w:iCs/>
          <w:sz w:val="20"/>
          <w:szCs w:val="20"/>
        </w:rPr>
        <w:t>Faltas Formales</w:t>
      </w:r>
    </w:p>
    <w:p w:rsidR="00990C83" w:rsidRPr="00C43DD1" w:rsidRDefault="00990C83" w:rsidP="00476839">
      <w:pPr>
        <w:pStyle w:val="Prrafodelista"/>
        <w:numPr>
          <w:ilvl w:val="0"/>
          <w:numId w:val="44"/>
        </w:numPr>
        <w:ind w:left="284" w:hanging="284"/>
        <w:jc w:val="both"/>
        <w:rPr>
          <w:rFonts w:ascii="Arial" w:hAnsi="Arial" w:cs="Arial"/>
          <w:sz w:val="20"/>
          <w:szCs w:val="20"/>
        </w:rPr>
      </w:pPr>
      <w:r w:rsidRPr="00C43DD1">
        <w:rPr>
          <w:rFonts w:ascii="Arial" w:hAnsi="Arial" w:cs="Arial"/>
          <w:sz w:val="20"/>
          <w:szCs w:val="20"/>
        </w:rPr>
        <w:t>Los sujetos obligados presentaron el “Informe de Campaña” al cargo de 40 Diputados Locales de forma extemporánea</w:t>
      </w:r>
      <w:r w:rsidR="00C43DD1" w:rsidRPr="00C43DD1">
        <w:rPr>
          <w:rFonts w:ascii="Arial" w:hAnsi="Arial" w:cs="Arial"/>
          <w:sz w:val="20"/>
          <w:szCs w:val="20"/>
        </w:rPr>
        <w:t>.</w:t>
      </w:r>
    </w:p>
    <w:p w:rsidR="00C43DD1" w:rsidRPr="00C43DD1" w:rsidRDefault="00C43DD1" w:rsidP="00476839">
      <w:pPr>
        <w:pStyle w:val="Prrafodelista"/>
        <w:ind w:left="284"/>
        <w:jc w:val="both"/>
        <w:rPr>
          <w:rFonts w:ascii="Arial" w:hAnsi="Arial" w:cs="Arial"/>
          <w:sz w:val="20"/>
          <w:szCs w:val="20"/>
        </w:rPr>
      </w:pPr>
    </w:p>
    <w:p w:rsidR="00990C83" w:rsidRPr="00C43DD1" w:rsidRDefault="00990C83" w:rsidP="00476839">
      <w:pPr>
        <w:pStyle w:val="Prrafodelista"/>
        <w:numPr>
          <w:ilvl w:val="0"/>
          <w:numId w:val="44"/>
        </w:numPr>
        <w:ind w:left="284" w:hanging="284"/>
        <w:jc w:val="both"/>
        <w:rPr>
          <w:rFonts w:ascii="Arial" w:hAnsi="Arial" w:cs="Arial"/>
          <w:sz w:val="20"/>
          <w:szCs w:val="20"/>
        </w:rPr>
      </w:pPr>
      <w:r w:rsidRPr="00C43DD1">
        <w:rPr>
          <w:rFonts w:ascii="Arial" w:hAnsi="Arial" w:cs="Arial"/>
          <w:sz w:val="20"/>
          <w:szCs w:val="20"/>
        </w:rPr>
        <w:t>Los sujetos obligados presentaron el “Informe de Campaña” al cargo de 70 Ayuntamientos de forma extemporánea</w:t>
      </w:r>
      <w:r w:rsidR="00C43DD1">
        <w:rPr>
          <w:rFonts w:ascii="Arial" w:hAnsi="Arial" w:cs="Arial"/>
          <w:sz w:val="20"/>
          <w:szCs w:val="20"/>
        </w:rPr>
        <w:t>.</w:t>
      </w:r>
    </w:p>
    <w:p w:rsidR="00421C8B" w:rsidRDefault="00421C8B" w:rsidP="00476839">
      <w:pPr>
        <w:ind w:left="284" w:hanging="284"/>
        <w:contextualSpacing/>
        <w:jc w:val="both"/>
        <w:rPr>
          <w:rFonts w:ascii="Arial" w:hAnsi="Arial" w:cs="Arial"/>
          <w:sz w:val="20"/>
          <w:szCs w:val="20"/>
        </w:rPr>
      </w:pPr>
    </w:p>
    <w:p w:rsidR="00990C83" w:rsidRDefault="00990C83" w:rsidP="00476839">
      <w:pPr>
        <w:ind w:left="284"/>
        <w:contextualSpacing/>
        <w:jc w:val="both"/>
        <w:rPr>
          <w:rFonts w:ascii="Arial" w:hAnsi="Arial" w:cs="Arial"/>
          <w:sz w:val="20"/>
          <w:szCs w:val="20"/>
        </w:rPr>
      </w:pPr>
      <w:r w:rsidRPr="00E5019C">
        <w:rPr>
          <w:rFonts w:ascii="Arial" w:hAnsi="Arial" w:cs="Arial"/>
          <w:sz w:val="20"/>
          <w:szCs w:val="20"/>
        </w:rPr>
        <w:t>Tal situación constituye, a juicio de la Unidad Técnica de Fiscalización, un incumplimiento a lo establecido en el artículo 79, numeral 1, inciso b), fracción III, de la Ley General de Partidos Políticos.</w:t>
      </w:r>
    </w:p>
    <w:p w:rsidR="00421C8B" w:rsidRPr="00E5019C" w:rsidRDefault="00421C8B" w:rsidP="00476839">
      <w:pPr>
        <w:contextualSpacing/>
        <w:rPr>
          <w:rFonts w:ascii="Arial" w:hAnsi="Arial" w:cs="Arial"/>
          <w:sz w:val="20"/>
          <w:szCs w:val="20"/>
        </w:rPr>
      </w:pPr>
    </w:p>
    <w:p w:rsidR="00990C83" w:rsidRPr="004D0A1D" w:rsidRDefault="00990C83" w:rsidP="00476839">
      <w:pPr>
        <w:rPr>
          <w:rFonts w:ascii="Arial" w:hAnsi="Arial" w:cs="Arial"/>
          <w:b/>
          <w:bCs/>
          <w:i/>
          <w:iCs/>
          <w:sz w:val="20"/>
          <w:szCs w:val="20"/>
        </w:rPr>
      </w:pPr>
      <w:r w:rsidRPr="004D0A1D">
        <w:rPr>
          <w:rFonts w:ascii="Arial" w:hAnsi="Arial" w:cs="Arial"/>
          <w:b/>
          <w:bCs/>
          <w:i/>
          <w:iCs/>
          <w:sz w:val="20"/>
          <w:szCs w:val="20"/>
        </w:rPr>
        <w:t>Faltas Sustanciales</w:t>
      </w:r>
    </w:p>
    <w:p w:rsidR="00C43DD1" w:rsidRPr="00C43DD1" w:rsidRDefault="00C43DD1" w:rsidP="00476839">
      <w:pPr>
        <w:pStyle w:val="Prrafodelista"/>
        <w:numPr>
          <w:ilvl w:val="0"/>
          <w:numId w:val="64"/>
        </w:numPr>
        <w:ind w:left="284" w:hanging="284"/>
        <w:jc w:val="both"/>
        <w:rPr>
          <w:rFonts w:ascii="Arial" w:hAnsi="Arial" w:cs="Arial"/>
          <w:sz w:val="20"/>
          <w:szCs w:val="20"/>
        </w:rPr>
      </w:pPr>
      <w:r>
        <w:rPr>
          <w:rFonts w:ascii="Arial" w:hAnsi="Arial" w:cs="Arial"/>
          <w:sz w:val="20"/>
          <w:szCs w:val="20"/>
        </w:rPr>
        <w:t>“</w:t>
      </w:r>
      <w:r w:rsidR="00990C83" w:rsidRPr="00C43DD1">
        <w:rPr>
          <w:rFonts w:ascii="Arial" w:hAnsi="Arial" w:cs="Arial"/>
          <w:sz w:val="20"/>
          <w:szCs w:val="20"/>
        </w:rPr>
        <w:t>El Partido Acción Nacional omitió presentar el soporte documental de los registros contables, por un monto de $12,280.00</w:t>
      </w:r>
      <w:r>
        <w:rPr>
          <w:rFonts w:ascii="Arial" w:hAnsi="Arial" w:cs="Arial"/>
          <w:sz w:val="20"/>
          <w:szCs w:val="20"/>
        </w:rPr>
        <w:t>”.</w:t>
      </w:r>
    </w:p>
    <w:p w:rsidR="00990C83" w:rsidRDefault="00C43DD1" w:rsidP="00476839">
      <w:pPr>
        <w:pStyle w:val="Prrafodelista"/>
        <w:ind w:left="284"/>
        <w:jc w:val="both"/>
        <w:rPr>
          <w:rFonts w:ascii="Arial" w:hAnsi="Arial" w:cs="Arial"/>
          <w:sz w:val="20"/>
          <w:szCs w:val="20"/>
        </w:rPr>
      </w:pPr>
      <w:r>
        <w:rPr>
          <w:rFonts w:ascii="Arial" w:hAnsi="Arial" w:cs="Arial"/>
          <w:sz w:val="20"/>
          <w:szCs w:val="20"/>
        </w:rPr>
        <w:t>I</w:t>
      </w:r>
      <w:r w:rsidR="00990C83" w:rsidRPr="00C43DD1">
        <w:rPr>
          <w:rFonts w:ascii="Arial" w:hAnsi="Arial" w:cs="Arial"/>
          <w:sz w:val="20"/>
          <w:szCs w:val="20"/>
        </w:rPr>
        <w:t>ncumplió con lo dispuesto en el artículo 96, numeral 1 del Reglamento de Fiscalización.</w:t>
      </w:r>
    </w:p>
    <w:p w:rsidR="00C43DD1" w:rsidRPr="00C43DD1" w:rsidRDefault="00C43DD1" w:rsidP="00476839">
      <w:pPr>
        <w:pStyle w:val="Prrafodelista"/>
        <w:ind w:left="284"/>
        <w:jc w:val="both"/>
        <w:rPr>
          <w:rFonts w:ascii="Arial" w:hAnsi="Arial" w:cs="Arial"/>
          <w:sz w:val="20"/>
          <w:szCs w:val="20"/>
        </w:rPr>
      </w:pPr>
    </w:p>
    <w:p w:rsidR="00C43DD1" w:rsidRDefault="00C43DD1" w:rsidP="00476839">
      <w:pPr>
        <w:pStyle w:val="Prrafodelista"/>
        <w:numPr>
          <w:ilvl w:val="0"/>
          <w:numId w:val="64"/>
        </w:numPr>
        <w:ind w:left="284" w:hanging="284"/>
        <w:jc w:val="both"/>
        <w:rPr>
          <w:rFonts w:ascii="Arial" w:hAnsi="Arial" w:cs="Arial"/>
          <w:sz w:val="20"/>
          <w:szCs w:val="20"/>
        </w:rPr>
      </w:pPr>
      <w:r>
        <w:rPr>
          <w:rFonts w:ascii="Arial" w:hAnsi="Arial" w:cs="Arial"/>
          <w:sz w:val="20"/>
          <w:szCs w:val="20"/>
        </w:rPr>
        <w:t>“</w:t>
      </w:r>
      <w:r w:rsidR="00990C83" w:rsidRPr="00C43DD1">
        <w:rPr>
          <w:rFonts w:ascii="Arial" w:hAnsi="Arial" w:cs="Arial"/>
          <w:sz w:val="20"/>
          <w:szCs w:val="20"/>
        </w:rPr>
        <w:t xml:space="preserve">El </w:t>
      </w:r>
      <w:r>
        <w:rPr>
          <w:rFonts w:ascii="Arial" w:hAnsi="Arial" w:cs="Arial"/>
          <w:sz w:val="20"/>
          <w:szCs w:val="20"/>
        </w:rPr>
        <w:t>P</w:t>
      </w:r>
      <w:r w:rsidR="00990C83" w:rsidRPr="00C43DD1">
        <w:rPr>
          <w:rFonts w:ascii="Arial" w:hAnsi="Arial" w:cs="Arial"/>
          <w:sz w:val="20"/>
          <w:szCs w:val="20"/>
        </w:rPr>
        <w:t>artido Acción Nacional omitió presentar el soporte documental de los registros contables por un monto de $33,744.40</w:t>
      </w:r>
      <w:r>
        <w:rPr>
          <w:rFonts w:ascii="Arial" w:hAnsi="Arial" w:cs="Arial"/>
          <w:sz w:val="20"/>
          <w:szCs w:val="20"/>
        </w:rPr>
        <w:t>”.</w:t>
      </w:r>
    </w:p>
    <w:p w:rsidR="00990C83" w:rsidRDefault="00C43DD1" w:rsidP="00476839">
      <w:pPr>
        <w:pStyle w:val="Prrafodelista"/>
        <w:ind w:left="284"/>
        <w:jc w:val="both"/>
        <w:rPr>
          <w:rFonts w:ascii="Arial" w:hAnsi="Arial" w:cs="Arial"/>
          <w:sz w:val="20"/>
          <w:szCs w:val="20"/>
        </w:rPr>
      </w:pPr>
      <w:r>
        <w:rPr>
          <w:rFonts w:ascii="Arial" w:hAnsi="Arial" w:cs="Arial"/>
          <w:sz w:val="20"/>
          <w:szCs w:val="20"/>
        </w:rPr>
        <w:t>I</w:t>
      </w:r>
      <w:r w:rsidR="00990C83" w:rsidRPr="00C43DD1">
        <w:rPr>
          <w:rFonts w:ascii="Arial" w:hAnsi="Arial" w:cs="Arial"/>
          <w:sz w:val="20"/>
          <w:szCs w:val="20"/>
        </w:rPr>
        <w:t>ncumplió con lo dispuesto en el artículo 96, numeral 1 del Reglamento de Fiscalización.</w:t>
      </w:r>
    </w:p>
    <w:p w:rsidR="00C43DD1" w:rsidRPr="00C43DD1" w:rsidRDefault="00C43DD1" w:rsidP="00476839">
      <w:pPr>
        <w:pStyle w:val="Prrafodelista"/>
        <w:ind w:left="284"/>
        <w:jc w:val="both"/>
        <w:rPr>
          <w:rFonts w:ascii="Arial" w:hAnsi="Arial" w:cs="Arial"/>
          <w:sz w:val="20"/>
          <w:szCs w:val="20"/>
        </w:rPr>
      </w:pPr>
    </w:p>
    <w:p w:rsidR="00C43DD1" w:rsidRDefault="00C43DD1" w:rsidP="00476839">
      <w:pPr>
        <w:pStyle w:val="Prrafodelista"/>
        <w:numPr>
          <w:ilvl w:val="0"/>
          <w:numId w:val="64"/>
        </w:numPr>
        <w:ind w:left="284" w:hanging="284"/>
        <w:jc w:val="both"/>
        <w:rPr>
          <w:rFonts w:ascii="Arial" w:hAnsi="Arial" w:cs="Arial"/>
          <w:sz w:val="20"/>
          <w:szCs w:val="20"/>
        </w:rPr>
      </w:pPr>
      <w:r>
        <w:rPr>
          <w:rFonts w:ascii="Arial" w:hAnsi="Arial" w:cs="Arial"/>
          <w:sz w:val="20"/>
          <w:szCs w:val="20"/>
        </w:rPr>
        <w:t>“</w:t>
      </w:r>
      <w:r w:rsidR="00990C83" w:rsidRPr="00C43DD1">
        <w:rPr>
          <w:rFonts w:ascii="Arial" w:hAnsi="Arial" w:cs="Arial"/>
          <w:sz w:val="20"/>
          <w:szCs w:val="20"/>
        </w:rPr>
        <w:t>El Partido Acción Nacional omitió presentar el soporte documental de los registros contables por un monto de $1,662,007.37</w:t>
      </w:r>
      <w:r>
        <w:rPr>
          <w:rFonts w:ascii="Arial" w:hAnsi="Arial" w:cs="Arial"/>
          <w:sz w:val="20"/>
          <w:szCs w:val="20"/>
        </w:rPr>
        <w:t>”.</w:t>
      </w:r>
    </w:p>
    <w:p w:rsidR="00990C83" w:rsidRDefault="00990C83" w:rsidP="00476839">
      <w:pPr>
        <w:pStyle w:val="Prrafodelista"/>
        <w:ind w:left="284"/>
        <w:jc w:val="both"/>
        <w:rPr>
          <w:rFonts w:ascii="Arial" w:hAnsi="Arial" w:cs="Arial"/>
          <w:sz w:val="20"/>
          <w:szCs w:val="20"/>
        </w:rPr>
      </w:pPr>
      <w:r w:rsidRPr="00C43DD1">
        <w:rPr>
          <w:rFonts w:ascii="Arial" w:hAnsi="Arial" w:cs="Arial"/>
          <w:sz w:val="20"/>
          <w:szCs w:val="20"/>
        </w:rPr>
        <w:t>En consecuencia, incumplió con lo dispuesto en el artículo 127 del Reglamento de Fiscalización.</w:t>
      </w:r>
    </w:p>
    <w:p w:rsidR="00C43DD1" w:rsidRPr="00C43DD1" w:rsidRDefault="00C43DD1" w:rsidP="00476839">
      <w:pPr>
        <w:pStyle w:val="Prrafodelista"/>
        <w:ind w:left="284"/>
        <w:jc w:val="both"/>
        <w:rPr>
          <w:rFonts w:ascii="Arial" w:hAnsi="Arial" w:cs="Arial"/>
          <w:sz w:val="20"/>
          <w:szCs w:val="20"/>
        </w:rPr>
      </w:pPr>
    </w:p>
    <w:p w:rsidR="00C43DD1" w:rsidRDefault="00C43DD1" w:rsidP="00476839">
      <w:pPr>
        <w:pStyle w:val="Prrafodelista"/>
        <w:numPr>
          <w:ilvl w:val="0"/>
          <w:numId w:val="64"/>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 xml:space="preserve">El </w:t>
      </w:r>
      <w:r>
        <w:rPr>
          <w:rFonts w:ascii="Arial" w:hAnsi="Arial" w:cs="Arial"/>
          <w:sz w:val="20"/>
          <w:szCs w:val="20"/>
        </w:rPr>
        <w:t>P</w:t>
      </w:r>
      <w:r w:rsidR="00990C83" w:rsidRPr="00E5019C">
        <w:rPr>
          <w:rFonts w:ascii="Arial" w:hAnsi="Arial" w:cs="Arial"/>
          <w:sz w:val="20"/>
          <w:szCs w:val="20"/>
        </w:rPr>
        <w:t>artido Acción Nacional omitió presentar el soporte documental de registros contables por un monto de $2,679,478.74”.</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En consecuencia, incumplió con lo dispuesto en el artículo 127 del Reglamento de Fiscalización.</w:t>
      </w:r>
    </w:p>
    <w:p w:rsidR="00C43DD1" w:rsidRPr="00E5019C" w:rsidRDefault="00C43DD1" w:rsidP="00476839">
      <w:pPr>
        <w:pStyle w:val="Prrafodelista"/>
        <w:ind w:left="284"/>
        <w:jc w:val="both"/>
        <w:rPr>
          <w:rFonts w:ascii="Arial" w:hAnsi="Arial" w:cs="Arial"/>
          <w:sz w:val="20"/>
          <w:szCs w:val="20"/>
        </w:rPr>
      </w:pPr>
    </w:p>
    <w:p w:rsidR="00C43DD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 xml:space="preserve">“El Partido Acción Nacional omitió registrar en el Sistema Integral de Fiscalización el registro contable por la utilización de casa de campaña por un importe de $150,000, de 3 candidatos a diputado local y 2 candidatos a </w:t>
      </w:r>
      <w:r w:rsidR="00C43DD1">
        <w:rPr>
          <w:rFonts w:ascii="Arial" w:hAnsi="Arial" w:cs="Arial"/>
          <w:sz w:val="20"/>
          <w:szCs w:val="20"/>
        </w:rPr>
        <w:t>A</w:t>
      </w:r>
      <w:r w:rsidRPr="00E5019C">
        <w:rPr>
          <w:rFonts w:ascii="Arial" w:hAnsi="Arial" w:cs="Arial"/>
          <w:sz w:val="20"/>
          <w:szCs w:val="20"/>
        </w:rPr>
        <w:t>yuntamiento”. (VISITAS DE VERIFICACION).</w:t>
      </w:r>
    </w:p>
    <w:p w:rsidR="00990C83" w:rsidRDefault="00C43DD1" w:rsidP="00476839">
      <w:pPr>
        <w:pStyle w:val="Prrafodelista"/>
        <w:ind w:left="284"/>
        <w:jc w:val="both"/>
        <w:rPr>
          <w:rFonts w:ascii="Arial" w:hAnsi="Arial" w:cs="Arial"/>
          <w:sz w:val="20"/>
          <w:szCs w:val="20"/>
        </w:rPr>
      </w:pPr>
      <w:r>
        <w:rPr>
          <w:rFonts w:ascii="Arial" w:hAnsi="Arial" w:cs="Arial"/>
          <w:sz w:val="20"/>
          <w:szCs w:val="20"/>
        </w:rPr>
        <w:t>I</w:t>
      </w:r>
      <w:r w:rsidR="00990C83" w:rsidRPr="00E5019C">
        <w:rPr>
          <w:rFonts w:ascii="Arial" w:hAnsi="Arial" w:cs="Arial"/>
          <w:sz w:val="20"/>
          <w:szCs w:val="20"/>
        </w:rPr>
        <w:t>ncumplió con lo dispuesto en el 79, numeral 1, inciso b), fracción I de la Ley General de Partidos Políticos en relación con el artículo 127 del Reglamento de Fiscalización.</w:t>
      </w:r>
    </w:p>
    <w:p w:rsidR="00C43DD1" w:rsidRPr="00E5019C" w:rsidRDefault="00C43DD1" w:rsidP="00476839">
      <w:pPr>
        <w:pStyle w:val="Prrafodelista"/>
        <w:ind w:left="284"/>
        <w:jc w:val="both"/>
        <w:rPr>
          <w:rFonts w:ascii="Arial" w:hAnsi="Arial" w:cs="Arial"/>
          <w:sz w:val="20"/>
          <w:szCs w:val="20"/>
        </w:rPr>
      </w:pPr>
    </w:p>
    <w:p w:rsidR="008C669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“Derivado del monitoreo de Espectaculares y propaganda en la vía pública realizado por La Unidad Técnica de Fiscalización, el Partido Acción Nacional no reportó gastos por $552,298.00 que benefician directamente a candidatos postulados por el PAN”.</w:t>
      </w:r>
    </w:p>
    <w:p w:rsidR="00990C83" w:rsidRDefault="008C6691" w:rsidP="00476839">
      <w:pPr>
        <w:pStyle w:val="Prrafodelista"/>
        <w:ind w:left="284"/>
        <w:jc w:val="both"/>
        <w:rPr>
          <w:rFonts w:ascii="Arial" w:hAnsi="Arial" w:cs="Arial"/>
          <w:sz w:val="20"/>
          <w:szCs w:val="20"/>
        </w:rPr>
      </w:pPr>
      <w:r>
        <w:rPr>
          <w:rFonts w:ascii="Arial" w:hAnsi="Arial" w:cs="Arial"/>
          <w:sz w:val="20"/>
          <w:szCs w:val="20"/>
        </w:rPr>
        <w:t>E</w:t>
      </w:r>
      <w:r w:rsidR="00990C83" w:rsidRPr="00E5019C">
        <w:rPr>
          <w:rFonts w:ascii="Arial" w:hAnsi="Arial" w:cs="Arial"/>
          <w:sz w:val="20"/>
          <w:szCs w:val="20"/>
        </w:rPr>
        <w:t>l sujeto obligado incumplió con lo dispuesto en el 79, numeral 1, inciso b), fracción I de la Ley General de Partidos Políticos en relación con el artículo 127 del Reglamento de Fiscalización.</w:t>
      </w:r>
    </w:p>
    <w:p w:rsidR="008C6691" w:rsidRPr="008C6691" w:rsidRDefault="008C6691" w:rsidP="00476839">
      <w:pPr>
        <w:jc w:val="both"/>
        <w:rPr>
          <w:rFonts w:ascii="Arial" w:hAnsi="Arial" w:cs="Arial"/>
          <w:sz w:val="20"/>
          <w:szCs w:val="20"/>
        </w:rPr>
      </w:pPr>
    </w:p>
    <w:p w:rsidR="008C669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“Derivado del monitoreo de espectaculares y propaganda en la vía pública realizado por La Unidad Técnica de Fiscalización, el Partido Acción Nacional no reportó gastos genéricos por un monto de $20,000 que serán prorrateados”.</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En consecuencia, incumplió con lo dispuesto en el 79, numeral 1, inciso b), fracción I de la Ley General de Partidos Políticos en relación con el artículo 127 del Reglamento de Fiscalización.</w:t>
      </w:r>
    </w:p>
    <w:p w:rsidR="008C6691" w:rsidRPr="00E5019C" w:rsidRDefault="008C6691" w:rsidP="00476839">
      <w:pPr>
        <w:pStyle w:val="Prrafodelista"/>
        <w:ind w:left="284"/>
        <w:jc w:val="both"/>
        <w:rPr>
          <w:rFonts w:ascii="Arial" w:hAnsi="Arial" w:cs="Arial"/>
          <w:sz w:val="20"/>
          <w:szCs w:val="20"/>
        </w:rPr>
      </w:pPr>
    </w:p>
    <w:p w:rsidR="008C669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“Derivado del monitoreo de Espectaculares y propaganda en la vía pública realizado por el Instituto Electoral del Estado de México, el Partido Acción Nacional no reportó gastos por un monto de $660,000 que benefician directamente a candidatos postulados por el PAN”.</w:t>
      </w:r>
    </w:p>
    <w:p w:rsidR="00990C83" w:rsidRDefault="008C6691" w:rsidP="00476839">
      <w:pPr>
        <w:pStyle w:val="Prrafodelista"/>
        <w:ind w:left="284"/>
        <w:jc w:val="both"/>
        <w:rPr>
          <w:rFonts w:ascii="Arial" w:hAnsi="Arial" w:cs="Arial"/>
          <w:sz w:val="20"/>
          <w:szCs w:val="20"/>
        </w:rPr>
      </w:pPr>
      <w:r>
        <w:rPr>
          <w:rFonts w:ascii="Arial" w:hAnsi="Arial" w:cs="Arial"/>
          <w:sz w:val="20"/>
          <w:szCs w:val="20"/>
        </w:rPr>
        <w:lastRenderedPageBreak/>
        <w:t>I</w:t>
      </w:r>
      <w:r w:rsidR="00990C83" w:rsidRPr="00E5019C">
        <w:rPr>
          <w:rFonts w:ascii="Arial" w:hAnsi="Arial" w:cs="Arial"/>
          <w:sz w:val="20"/>
          <w:szCs w:val="20"/>
        </w:rPr>
        <w:t>ncumplió con lo dispuesto en el 79, numeral 1, inciso b), fracción I de la Ley General de Partidos Políticos en relación con el artículo 127 del Reglamento de Fiscalización.</w:t>
      </w:r>
    </w:p>
    <w:p w:rsidR="008C6691" w:rsidRPr="00E5019C" w:rsidRDefault="008C6691" w:rsidP="00476839">
      <w:pPr>
        <w:pStyle w:val="Prrafodelista"/>
        <w:ind w:left="284"/>
        <w:jc w:val="both"/>
        <w:rPr>
          <w:rFonts w:ascii="Arial" w:hAnsi="Arial" w:cs="Arial"/>
          <w:sz w:val="20"/>
          <w:szCs w:val="20"/>
        </w:rPr>
      </w:pPr>
    </w:p>
    <w:p w:rsidR="008C669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“Derivado del monitoreo de Espectaculares y propaganda en la vía pública realizado por el Instituto Electoral del Estado de México, el Partido Acción Nacional no reportó gastos genéricos por $120,000 que serán prorrateados”</w:t>
      </w:r>
      <w:r w:rsidR="008C6691">
        <w:rPr>
          <w:rFonts w:ascii="Arial" w:hAnsi="Arial" w:cs="Arial"/>
          <w:sz w:val="20"/>
          <w:szCs w:val="20"/>
        </w:rPr>
        <w:t>.</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En consecuencia, incumplió con lo dispuesto en el 79, numeral 1, inciso b), fracción I de la Ley General de Partidos Políticos en relación con el artículo 127 del Reglamento de Fiscalización.</w:t>
      </w:r>
    </w:p>
    <w:p w:rsidR="008C6691" w:rsidRPr="00E5019C" w:rsidRDefault="008C6691" w:rsidP="00476839">
      <w:pPr>
        <w:pStyle w:val="Prrafodelista"/>
        <w:ind w:left="284"/>
        <w:jc w:val="both"/>
        <w:rPr>
          <w:rFonts w:ascii="Arial" w:hAnsi="Arial" w:cs="Arial"/>
          <w:sz w:val="20"/>
          <w:szCs w:val="20"/>
        </w:rPr>
      </w:pPr>
    </w:p>
    <w:p w:rsidR="008C6691"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“El Partido Acción Nacional no reportar 6 producciones de radio y 3 producciones de T.V por un monto total de $933,000.00 ($904,000.00 + $29,000.00)”.</w:t>
      </w:r>
    </w:p>
    <w:p w:rsidR="00990C83" w:rsidRDefault="008C6691" w:rsidP="00476839">
      <w:pPr>
        <w:pStyle w:val="Prrafodelista"/>
        <w:ind w:left="284"/>
        <w:jc w:val="both"/>
        <w:rPr>
          <w:rFonts w:ascii="Arial" w:hAnsi="Arial" w:cs="Arial"/>
          <w:sz w:val="20"/>
          <w:szCs w:val="20"/>
        </w:rPr>
      </w:pPr>
      <w:r>
        <w:rPr>
          <w:rFonts w:ascii="Arial" w:hAnsi="Arial" w:cs="Arial"/>
          <w:sz w:val="20"/>
          <w:szCs w:val="20"/>
        </w:rPr>
        <w:t>E</w:t>
      </w:r>
      <w:r w:rsidR="00990C83" w:rsidRPr="00E5019C">
        <w:rPr>
          <w:rFonts w:ascii="Arial" w:hAnsi="Arial" w:cs="Arial"/>
          <w:sz w:val="20"/>
          <w:szCs w:val="20"/>
        </w:rPr>
        <w:t>l sujeto obligado incumplió con lo dispuesto en el 79, numeral 1, inciso b), fracción I de la Ley General de Partidos Políticos en relación con el artículo 127 del Reglamento de Fiscalización</w:t>
      </w:r>
      <w:r>
        <w:rPr>
          <w:rFonts w:ascii="Arial" w:hAnsi="Arial" w:cs="Arial"/>
          <w:sz w:val="20"/>
          <w:szCs w:val="20"/>
        </w:rPr>
        <w:t>.</w:t>
      </w:r>
    </w:p>
    <w:p w:rsidR="008C6691" w:rsidRPr="00E5019C" w:rsidRDefault="008C6691" w:rsidP="00476839">
      <w:pPr>
        <w:pStyle w:val="Prrafodelista"/>
        <w:ind w:left="284"/>
        <w:jc w:val="both"/>
        <w:rPr>
          <w:rFonts w:ascii="Arial" w:hAnsi="Arial" w:cs="Arial"/>
          <w:sz w:val="20"/>
          <w:szCs w:val="20"/>
        </w:rPr>
      </w:pPr>
    </w:p>
    <w:p w:rsidR="00F34155" w:rsidRDefault="00990C83" w:rsidP="00476839">
      <w:pPr>
        <w:pStyle w:val="Prrafodelista"/>
        <w:numPr>
          <w:ilvl w:val="0"/>
          <w:numId w:val="64"/>
        </w:numPr>
        <w:ind w:left="284" w:hanging="284"/>
        <w:jc w:val="both"/>
        <w:rPr>
          <w:rFonts w:ascii="Arial" w:hAnsi="Arial" w:cs="Arial"/>
          <w:sz w:val="20"/>
          <w:szCs w:val="20"/>
        </w:rPr>
      </w:pPr>
      <w:r w:rsidRPr="00E5019C">
        <w:rPr>
          <w:rFonts w:ascii="Arial" w:hAnsi="Arial" w:cs="Arial"/>
          <w:sz w:val="20"/>
          <w:szCs w:val="20"/>
        </w:rPr>
        <w:t xml:space="preserve"> “El partido Acción Nacional no reportó gastos genéricos correspondientes a la producción de mensajes para radio y T.V por un importe de</w:t>
      </w:r>
      <w:r w:rsidR="00F34155">
        <w:rPr>
          <w:rFonts w:ascii="Arial" w:hAnsi="Arial" w:cs="Arial"/>
          <w:sz w:val="20"/>
          <w:szCs w:val="20"/>
        </w:rPr>
        <w:t xml:space="preserve"> </w:t>
      </w:r>
      <w:r w:rsidRPr="00E5019C">
        <w:rPr>
          <w:rFonts w:ascii="Arial" w:hAnsi="Arial" w:cs="Arial"/>
          <w:sz w:val="20"/>
          <w:szCs w:val="20"/>
        </w:rPr>
        <w:t>$29,000 que serán prorrateados</w:t>
      </w:r>
      <w:r w:rsidR="00F34155">
        <w:rPr>
          <w:rFonts w:ascii="Arial" w:hAnsi="Arial" w:cs="Arial"/>
          <w:sz w:val="20"/>
          <w:szCs w:val="20"/>
        </w:rPr>
        <w:t>”</w:t>
      </w:r>
      <w:r w:rsidRPr="00E5019C">
        <w:rPr>
          <w:rFonts w:ascii="Arial" w:hAnsi="Arial" w:cs="Arial"/>
          <w:sz w:val="20"/>
          <w:szCs w:val="20"/>
        </w:rPr>
        <w:t>.</w:t>
      </w:r>
    </w:p>
    <w:p w:rsidR="00990C83" w:rsidRPr="00E5019C" w:rsidRDefault="00990C83" w:rsidP="00476839">
      <w:pPr>
        <w:pStyle w:val="Prrafodelista"/>
        <w:ind w:left="284"/>
        <w:jc w:val="both"/>
        <w:rPr>
          <w:rFonts w:ascii="Arial" w:hAnsi="Arial" w:cs="Arial"/>
          <w:sz w:val="20"/>
          <w:szCs w:val="20"/>
        </w:rPr>
      </w:pPr>
      <w:r w:rsidRPr="00E5019C">
        <w:rPr>
          <w:rFonts w:ascii="Arial" w:hAnsi="Arial" w:cs="Arial"/>
          <w:sz w:val="20"/>
          <w:szCs w:val="20"/>
        </w:rPr>
        <w:t>En consecuencia, el sujeto obligado incumplió con lo dispuesto en el 79, numeral 1, inciso b), fracción I de la Ley General de Partidos Políticos en relación con el artículo 127 del Reglamento de Fiscalización.</w:t>
      </w:r>
    </w:p>
    <w:p w:rsidR="00990C83" w:rsidRDefault="00990C83" w:rsidP="00476839">
      <w:pPr>
        <w:pStyle w:val="Default"/>
        <w:contextualSpacing/>
        <w:rPr>
          <w:sz w:val="20"/>
          <w:szCs w:val="20"/>
        </w:rPr>
      </w:pPr>
    </w:p>
    <w:p w:rsidR="00A12BFE" w:rsidRDefault="00A12BFE" w:rsidP="00476839">
      <w:pPr>
        <w:pStyle w:val="Default"/>
        <w:contextualSpacing/>
        <w:rPr>
          <w:sz w:val="20"/>
          <w:szCs w:val="20"/>
        </w:rPr>
      </w:pPr>
    </w:p>
    <w:p w:rsidR="00990C83" w:rsidRPr="00E5019C" w:rsidRDefault="004D0A1D" w:rsidP="00476839">
      <w:pPr>
        <w:pStyle w:val="Default"/>
        <w:contextualSpacing/>
        <w:jc w:val="center"/>
        <w:rPr>
          <w:sz w:val="20"/>
          <w:szCs w:val="20"/>
        </w:rPr>
      </w:pPr>
      <w:r>
        <w:rPr>
          <w:b/>
          <w:bCs/>
          <w:sz w:val="20"/>
          <w:szCs w:val="20"/>
        </w:rPr>
        <w:t>Partido Revolucionario Institucional</w:t>
      </w:r>
    </w:p>
    <w:p w:rsidR="00990C83" w:rsidRPr="00E5019C" w:rsidRDefault="00990C83" w:rsidP="00476839">
      <w:pPr>
        <w:pStyle w:val="Default"/>
        <w:contextualSpacing/>
        <w:rPr>
          <w:b/>
          <w:bCs/>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Sustanciales</w:t>
      </w:r>
    </w:p>
    <w:p w:rsidR="00A12BFE" w:rsidRDefault="00F34155" w:rsidP="00476839">
      <w:pPr>
        <w:pStyle w:val="Default"/>
        <w:numPr>
          <w:ilvl w:val="0"/>
          <w:numId w:val="45"/>
        </w:numPr>
        <w:ind w:left="284" w:hanging="284"/>
        <w:contextualSpacing/>
        <w:jc w:val="both"/>
        <w:rPr>
          <w:sz w:val="20"/>
          <w:szCs w:val="20"/>
        </w:rPr>
      </w:pPr>
      <w:r>
        <w:rPr>
          <w:sz w:val="20"/>
          <w:szCs w:val="20"/>
        </w:rPr>
        <w:t>“</w:t>
      </w:r>
      <w:r w:rsidR="00990C83" w:rsidRPr="00E5019C">
        <w:rPr>
          <w:sz w:val="20"/>
          <w:szCs w:val="20"/>
        </w:rPr>
        <w:t>El PRI no reportó gastos por $448,452.50 ($28,452.50+$420,000.00) que benefician directamente a candidatos postulados por el PRI</w:t>
      </w:r>
      <w:r>
        <w:rPr>
          <w:sz w:val="20"/>
          <w:szCs w:val="20"/>
        </w:rPr>
        <w:t>”.</w:t>
      </w:r>
    </w:p>
    <w:p w:rsidR="00990C83" w:rsidRDefault="00990C83" w:rsidP="00476839">
      <w:pPr>
        <w:pStyle w:val="Default"/>
        <w:ind w:left="284"/>
        <w:contextualSpacing/>
        <w:jc w:val="both"/>
        <w:rPr>
          <w:sz w:val="20"/>
          <w:szCs w:val="20"/>
        </w:rPr>
      </w:pPr>
      <w:r w:rsidRPr="00E5019C">
        <w:rPr>
          <w:sz w:val="20"/>
          <w:szCs w:val="20"/>
        </w:rPr>
        <w:t xml:space="preserve">En </w:t>
      </w:r>
      <w:r w:rsidR="002F7FBF" w:rsidRPr="00E5019C">
        <w:rPr>
          <w:sz w:val="20"/>
          <w:szCs w:val="20"/>
        </w:rPr>
        <w:t>consecuencia,</w:t>
      </w:r>
      <w:r w:rsidRPr="00E5019C">
        <w:rPr>
          <w:sz w:val="20"/>
          <w:szCs w:val="20"/>
        </w:rPr>
        <w:t xml:space="preserve"> el partido incumplió con lo establecido en los artículos; 79, numeral 1, inciso b) fracción I, de la Ley General de Partidos Políticos y 127 del Reglamento de Fiscalización.</w:t>
      </w:r>
    </w:p>
    <w:p w:rsidR="00A12BFE" w:rsidRDefault="00A12BFE" w:rsidP="00476839">
      <w:pPr>
        <w:pStyle w:val="Default"/>
        <w:ind w:left="284"/>
        <w:contextualSpacing/>
        <w:jc w:val="both"/>
        <w:rPr>
          <w:sz w:val="20"/>
          <w:szCs w:val="20"/>
        </w:rPr>
      </w:pPr>
    </w:p>
    <w:p w:rsidR="004D0A1D" w:rsidRDefault="004D0A1D" w:rsidP="00476839">
      <w:pPr>
        <w:pStyle w:val="Default"/>
        <w:ind w:left="284"/>
        <w:contextualSpacing/>
        <w:jc w:val="both"/>
        <w:rPr>
          <w:sz w:val="20"/>
          <w:szCs w:val="20"/>
        </w:rPr>
      </w:pPr>
    </w:p>
    <w:p w:rsidR="00990C83" w:rsidRDefault="004D0A1D" w:rsidP="00476839">
      <w:pPr>
        <w:contextualSpacing/>
        <w:jc w:val="center"/>
        <w:rPr>
          <w:rFonts w:ascii="Arial" w:hAnsi="Arial" w:cs="Arial"/>
          <w:b/>
          <w:sz w:val="20"/>
          <w:szCs w:val="20"/>
        </w:rPr>
      </w:pPr>
      <w:r>
        <w:rPr>
          <w:rFonts w:ascii="Arial" w:hAnsi="Arial" w:cs="Arial"/>
          <w:b/>
          <w:sz w:val="20"/>
          <w:szCs w:val="20"/>
        </w:rPr>
        <w:t>Partido de la Revolución Democrática</w:t>
      </w:r>
    </w:p>
    <w:p w:rsidR="00A12BFE" w:rsidRPr="00E5019C" w:rsidRDefault="00A12BFE" w:rsidP="00476839">
      <w:pPr>
        <w:contextualSpacing/>
        <w:jc w:val="both"/>
        <w:rPr>
          <w:rFonts w:ascii="Arial" w:hAnsi="Arial" w:cs="Arial"/>
          <w:b/>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Formales</w:t>
      </w:r>
    </w:p>
    <w:p w:rsidR="00990C83" w:rsidRPr="00F34155" w:rsidRDefault="00990C83" w:rsidP="00476839">
      <w:pPr>
        <w:pStyle w:val="Prrafodelista"/>
        <w:numPr>
          <w:ilvl w:val="0"/>
          <w:numId w:val="46"/>
        </w:numPr>
        <w:ind w:left="284" w:hanging="284"/>
        <w:jc w:val="both"/>
        <w:rPr>
          <w:rFonts w:ascii="Arial" w:hAnsi="Arial" w:cs="Arial"/>
          <w:sz w:val="20"/>
          <w:szCs w:val="20"/>
        </w:rPr>
      </w:pPr>
      <w:r w:rsidRPr="00F34155">
        <w:rPr>
          <w:rFonts w:ascii="Arial" w:hAnsi="Arial" w:cs="Arial"/>
          <w:sz w:val="20"/>
          <w:szCs w:val="20"/>
        </w:rPr>
        <w:t>El sujeto obligado presentó tres “Informes de Campaña” del primer y único periodo al cargo de Diputados Locales de forma extemporánea</w:t>
      </w:r>
      <w:r w:rsidR="00A12BFE" w:rsidRPr="00F34155">
        <w:rPr>
          <w:rFonts w:ascii="Arial" w:hAnsi="Arial" w:cs="Arial"/>
          <w:sz w:val="20"/>
          <w:szCs w:val="20"/>
        </w:rPr>
        <w:t>.</w:t>
      </w:r>
    </w:p>
    <w:p w:rsidR="00F34155" w:rsidRPr="00F34155" w:rsidRDefault="00F34155" w:rsidP="00476839">
      <w:pPr>
        <w:pStyle w:val="Prrafodelista"/>
        <w:ind w:left="284"/>
        <w:jc w:val="both"/>
        <w:rPr>
          <w:rFonts w:ascii="Arial" w:hAnsi="Arial" w:cs="Arial"/>
          <w:sz w:val="20"/>
          <w:szCs w:val="20"/>
        </w:rPr>
      </w:pPr>
    </w:p>
    <w:p w:rsidR="00990C83" w:rsidRPr="00F34155" w:rsidRDefault="00990C83" w:rsidP="00476839">
      <w:pPr>
        <w:pStyle w:val="Prrafodelista"/>
        <w:numPr>
          <w:ilvl w:val="0"/>
          <w:numId w:val="46"/>
        </w:numPr>
        <w:ind w:left="284" w:hanging="284"/>
        <w:jc w:val="both"/>
        <w:rPr>
          <w:rFonts w:ascii="Arial" w:hAnsi="Arial" w:cs="Arial"/>
          <w:sz w:val="20"/>
          <w:szCs w:val="20"/>
        </w:rPr>
      </w:pPr>
      <w:r w:rsidRPr="00F34155">
        <w:rPr>
          <w:rFonts w:ascii="Arial" w:hAnsi="Arial" w:cs="Arial"/>
          <w:sz w:val="20"/>
          <w:szCs w:val="20"/>
        </w:rPr>
        <w:t>El sujeto obligado presentó 12 Informes de Campaña al cargo de Ayuntamientos de forma extemporánea</w:t>
      </w:r>
      <w:r w:rsidR="00A12BFE" w:rsidRPr="00F34155">
        <w:rPr>
          <w:rFonts w:ascii="Arial" w:hAnsi="Arial" w:cs="Arial"/>
          <w:sz w:val="20"/>
          <w:szCs w:val="20"/>
        </w:rPr>
        <w:t>.</w:t>
      </w:r>
    </w:p>
    <w:p w:rsidR="00990C83" w:rsidRPr="00F34155" w:rsidRDefault="00990C83" w:rsidP="00476839">
      <w:pPr>
        <w:ind w:left="284"/>
        <w:contextualSpacing/>
        <w:jc w:val="both"/>
        <w:rPr>
          <w:rFonts w:ascii="Arial" w:hAnsi="Arial" w:cs="Arial"/>
          <w:sz w:val="20"/>
          <w:szCs w:val="20"/>
        </w:rPr>
      </w:pPr>
      <w:r w:rsidRPr="00F34155">
        <w:rPr>
          <w:rFonts w:ascii="Arial" w:hAnsi="Arial" w:cs="Arial"/>
          <w:sz w:val="20"/>
          <w:szCs w:val="20"/>
        </w:rPr>
        <w:t>El instituto político en comento vulneró lo dispuesto en los artículos 79, numeral 1, inciso b), fracción III, de la Ley General de Partidos Políticos.</w:t>
      </w:r>
    </w:p>
    <w:p w:rsidR="00A12BFE" w:rsidRPr="00E5019C" w:rsidRDefault="00A12BFE" w:rsidP="00476839">
      <w:pPr>
        <w:contextualSpacing/>
        <w:jc w:val="both"/>
        <w:rPr>
          <w:rFonts w:ascii="Arial" w:hAnsi="Arial" w:cs="Arial"/>
          <w:sz w:val="20"/>
          <w:szCs w:val="20"/>
        </w:rPr>
      </w:pPr>
    </w:p>
    <w:p w:rsidR="00990C83" w:rsidRPr="005C2DB9" w:rsidRDefault="00A12BFE" w:rsidP="00476839">
      <w:pPr>
        <w:rPr>
          <w:rFonts w:ascii="Arial" w:hAnsi="Arial" w:cs="Arial"/>
          <w:b/>
          <w:bCs/>
          <w:i/>
          <w:iCs/>
          <w:sz w:val="20"/>
          <w:szCs w:val="20"/>
        </w:rPr>
      </w:pPr>
      <w:r w:rsidRPr="005C2DB9">
        <w:rPr>
          <w:rFonts w:ascii="Arial" w:hAnsi="Arial" w:cs="Arial"/>
          <w:b/>
          <w:bCs/>
          <w:i/>
          <w:iCs/>
          <w:sz w:val="20"/>
          <w:szCs w:val="20"/>
        </w:rPr>
        <w:t>Faltas Sustanciales</w:t>
      </w:r>
    </w:p>
    <w:p w:rsidR="00F34155" w:rsidRDefault="00F34155"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político omitió presentar un “Informe de Campaña” correspondiente al cargo de Diputado Local.”</w:t>
      </w:r>
    </w:p>
    <w:p w:rsidR="00990C83" w:rsidRDefault="00F34155" w:rsidP="00476839">
      <w:pPr>
        <w:pStyle w:val="Prrafodelista"/>
        <w:ind w:left="284"/>
        <w:jc w:val="both"/>
        <w:rPr>
          <w:rFonts w:ascii="Arial" w:hAnsi="Arial" w:cs="Arial"/>
          <w:sz w:val="20"/>
          <w:szCs w:val="20"/>
        </w:rPr>
      </w:pPr>
      <w:r>
        <w:rPr>
          <w:rFonts w:ascii="Arial" w:hAnsi="Arial" w:cs="Arial"/>
          <w:sz w:val="20"/>
          <w:szCs w:val="20"/>
        </w:rPr>
        <w:t xml:space="preserve">Por lo </w:t>
      </w:r>
      <w:proofErr w:type="gramStart"/>
      <w:r>
        <w:rPr>
          <w:rFonts w:ascii="Arial" w:hAnsi="Arial" w:cs="Arial"/>
          <w:sz w:val="20"/>
          <w:szCs w:val="20"/>
        </w:rPr>
        <w:t>tanto</w:t>
      </w:r>
      <w:proofErr w:type="gramEnd"/>
      <w:r>
        <w:rPr>
          <w:rFonts w:ascii="Arial" w:hAnsi="Arial" w:cs="Arial"/>
          <w:sz w:val="20"/>
          <w:szCs w:val="20"/>
        </w:rPr>
        <w:t xml:space="preserve"> e</w:t>
      </w:r>
      <w:r w:rsidR="00990C83" w:rsidRPr="00E5019C">
        <w:rPr>
          <w:rFonts w:ascii="Arial" w:hAnsi="Arial" w:cs="Arial"/>
          <w:sz w:val="20"/>
          <w:szCs w:val="20"/>
        </w:rPr>
        <w:t>l sujeto obligado incumplió con lo dispuesto en el artículo 79, numeral 1, inciso b), fracción III de la Ley General de Partidos Políticos.</w:t>
      </w:r>
    </w:p>
    <w:p w:rsidR="00F34155" w:rsidRPr="00F34155" w:rsidRDefault="00F34155" w:rsidP="00476839">
      <w:pPr>
        <w:jc w:val="both"/>
        <w:rPr>
          <w:rFonts w:ascii="Arial" w:hAnsi="Arial" w:cs="Arial"/>
          <w:sz w:val="20"/>
          <w:szCs w:val="20"/>
        </w:rPr>
      </w:pPr>
    </w:p>
    <w:p w:rsidR="00F34155" w:rsidRDefault="00F34155"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político omitió presentar 5 “Informes de Campaña” de candidatos registrados para el cargo de Representantes Municipales.”</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En consecuencia, el sujeto obligado incumplió con lo dispuesto en el artículo 79, numeral 1, inciso b), fracción III de la Ley General de Partidos Políticos.</w:t>
      </w:r>
    </w:p>
    <w:p w:rsidR="00F34155" w:rsidRPr="00E5019C" w:rsidRDefault="00F34155" w:rsidP="00476839">
      <w:pPr>
        <w:pStyle w:val="Prrafodelista"/>
        <w:ind w:left="284"/>
        <w:jc w:val="both"/>
        <w:rPr>
          <w:rFonts w:ascii="Arial" w:hAnsi="Arial" w:cs="Arial"/>
          <w:sz w:val="20"/>
          <w:szCs w:val="20"/>
        </w:rPr>
      </w:pPr>
    </w:p>
    <w:p w:rsidR="00F34155"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presentar documentación soporte por un monto de $122,678.39 (35,190.00 y 87,488.39).”</w:t>
      </w:r>
    </w:p>
    <w:p w:rsidR="00990C83" w:rsidRDefault="00990C83" w:rsidP="00476839">
      <w:pPr>
        <w:pStyle w:val="Prrafodelista"/>
        <w:ind w:left="284"/>
        <w:jc w:val="both"/>
        <w:rPr>
          <w:rFonts w:ascii="Arial" w:hAnsi="Arial" w:cs="Arial"/>
          <w:sz w:val="20"/>
          <w:szCs w:val="20"/>
        </w:rPr>
      </w:pPr>
      <w:r w:rsidRPr="00E5019C">
        <w:rPr>
          <w:rFonts w:ascii="Arial" w:hAnsi="Arial" w:cs="Arial"/>
          <w:sz w:val="20"/>
          <w:szCs w:val="20"/>
        </w:rPr>
        <w:t xml:space="preserve">En </w:t>
      </w:r>
      <w:proofErr w:type="gramStart"/>
      <w:r w:rsidRPr="00E5019C">
        <w:rPr>
          <w:rFonts w:ascii="Arial" w:hAnsi="Arial" w:cs="Arial"/>
          <w:sz w:val="20"/>
          <w:szCs w:val="20"/>
        </w:rPr>
        <w:t>consecuencia</w:t>
      </w:r>
      <w:proofErr w:type="gramEnd"/>
      <w:r w:rsidRPr="00E5019C">
        <w:rPr>
          <w:rFonts w:ascii="Arial" w:hAnsi="Arial" w:cs="Arial"/>
          <w:sz w:val="20"/>
          <w:szCs w:val="20"/>
        </w:rPr>
        <w:t xml:space="preserve"> el </w:t>
      </w:r>
      <w:r w:rsidR="00C95752">
        <w:rPr>
          <w:rFonts w:ascii="Arial" w:hAnsi="Arial" w:cs="Arial"/>
          <w:sz w:val="20"/>
          <w:szCs w:val="20"/>
        </w:rPr>
        <w:t>s</w:t>
      </w:r>
      <w:r w:rsidRPr="00E5019C">
        <w:rPr>
          <w:rFonts w:ascii="Arial" w:hAnsi="Arial" w:cs="Arial"/>
          <w:sz w:val="20"/>
          <w:szCs w:val="20"/>
        </w:rPr>
        <w:t xml:space="preserve">ujeto </w:t>
      </w:r>
      <w:r w:rsidR="00C95752">
        <w:rPr>
          <w:rFonts w:ascii="Arial" w:hAnsi="Arial" w:cs="Arial"/>
          <w:sz w:val="20"/>
          <w:szCs w:val="20"/>
        </w:rPr>
        <w:t>o</w:t>
      </w:r>
      <w:r w:rsidRPr="00E5019C">
        <w:rPr>
          <w:rFonts w:ascii="Arial" w:hAnsi="Arial" w:cs="Arial"/>
          <w:sz w:val="20"/>
          <w:szCs w:val="20"/>
        </w:rPr>
        <w:t>bligado incumplió con lo dispuesto en el artículo 127 del Reglamento de Fiscalización por un importe de $122,678.39.</w:t>
      </w:r>
    </w:p>
    <w:p w:rsidR="00F34155" w:rsidRPr="00E5019C" w:rsidRDefault="00F34155" w:rsidP="00476839">
      <w:pPr>
        <w:pStyle w:val="Prrafodelista"/>
        <w:ind w:left="284"/>
        <w:jc w:val="both"/>
        <w:rPr>
          <w:rFonts w:ascii="Arial" w:hAnsi="Arial" w:cs="Arial"/>
          <w:sz w:val="20"/>
          <w:szCs w:val="20"/>
        </w:rPr>
      </w:pPr>
    </w:p>
    <w:p w:rsidR="00C95752"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presentar documentación soporte correspondiente al rubro de egresos, por $756,157.06 ($471393.66+284,763.40)</w:t>
      </w:r>
      <w:r>
        <w:rPr>
          <w:rFonts w:ascii="Arial" w:hAnsi="Arial" w:cs="Arial"/>
          <w:sz w:val="20"/>
          <w:szCs w:val="20"/>
        </w:rPr>
        <w:t>”.</w:t>
      </w:r>
    </w:p>
    <w:p w:rsidR="00990C83" w:rsidRDefault="002F7FBF" w:rsidP="00476839">
      <w:pPr>
        <w:pStyle w:val="Prrafodelista"/>
        <w:ind w:left="284"/>
        <w:jc w:val="both"/>
        <w:rPr>
          <w:rFonts w:ascii="Arial" w:hAnsi="Arial" w:cs="Arial"/>
          <w:sz w:val="20"/>
          <w:szCs w:val="20"/>
        </w:rPr>
      </w:pPr>
      <w:r w:rsidRPr="00E5019C">
        <w:rPr>
          <w:rFonts w:ascii="Arial" w:hAnsi="Arial" w:cs="Arial"/>
          <w:sz w:val="20"/>
          <w:szCs w:val="20"/>
        </w:rPr>
        <w:t>En</w:t>
      </w:r>
      <w:r w:rsidR="00990C83" w:rsidRPr="00E5019C">
        <w:rPr>
          <w:rFonts w:ascii="Arial" w:hAnsi="Arial" w:cs="Arial"/>
          <w:sz w:val="20"/>
          <w:szCs w:val="20"/>
        </w:rPr>
        <w:t xml:space="preserve"> consecuencia, al </w:t>
      </w:r>
      <w:r w:rsidR="00C95752">
        <w:rPr>
          <w:rFonts w:ascii="Arial" w:hAnsi="Arial" w:cs="Arial"/>
          <w:sz w:val="20"/>
          <w:szCs w:val="20"/>
        </w:rPr>
        <w:t xml:space="preserve">ser omiso </w:t>
      </w:r>
      <w:r w:rsidR="00990C83" w:rsidRPr="00E5019C">
        <w:rPr>
          <w:rFonts w:ascii="Arial" w:hAnsi="Arial" w:cs="Arial"/>
          <w:sz w:val="20"/>
          <w:szCs w:val="20"/>
        </w:rPr>
        <w:t>incumplió con lo dispuesto en el artículo 127 del Reglamento de Fiscalización</w:t>
      </w:r>
      <w:r w:rsidR="00C95752">
        <w:rPr>
          <w:rFonts w:ascii="Arial" w:hAnsi="Arial" w:cs="Arial"/>
          <w:sz w:val="20"/>
          <w:szCs w:val="20"/>
        </w:rPr>
        <w:t>.</w:t>
      </w:r>
    </w:p>
    <w:p w:rsidR="00C95752" w:rsidRPr="00C95752" w:rsidRDefault="00C95752" w:rsidP="00476839">
      <w:pPr>
        <w:jc w:val="both"/>
        <w:rPr>
          <w:rFonts w:ascii="Arial" w:hAnsi="Arial" w:cs="Arial"/>
          <w:sz w:val="20"/>
          <w:szCs w:val="20"/>
        </w:rPr>
      </w:pPr>
    </w:p>
    <w:p w:rsidR="00C95752"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proporcionar documentación soporte de gastos de medios impresos, por $122,047.94.”</w:t>
      </w:r>
    </w:p>
    <w:p w:rsidR="00990C83" w:rsidRDefault="00C95752" w:rsidP="00476839">
      <w:pPr>
        <w:pStyle w:val="Prrafodelista"/>
        <w:ind w:left="284"/>
        <w:jc w:val="both"/>
        <w:rPr>
          <w:rFonts w:ascii="Arial" w:hAnsi="Arial" w:cs="Arial"/>
          <w:sz w:val="20"/>
          <w:szCs w:val="20"/>
        </w:rPr>
      </w:pPr>
      <w:r>
        <w:rPr>
          <w:rFonts w:ascii="Arial" w:hAnsi="Arial" w:cs="Arial"/>
          <w:sz w:val="20"/>
          <w:szCs w:val="20"/>
        </w:rPr>
        <w:t>I</w:t>
      </w:r>
      <w:r w:rsidR="00990C83" w:rsidRPr="00E5019C">
        <w:rPr>
          <w:rFonts w:ascii="Arial" w:hAnsi="Arial" w:cs="Arial"/>
          <w:sz w:val="20"/>
          <w:szCs w:val="20"/>
        </w:rPr>
        <w:t>ncumplió con lo dispuesto en el artículo 127 del Reglamento de Fiscalización</w:t>
      </w:r>
      <w:r>
        <w:rPr>
          <w:rFonts w:ascii="Arial" w:hAnsi="Arial" w:cs="Arial"/>
          <w:sz w:val="20"/>
          <w:szCs w:val="20"/>
        </w:rPr>
        <w:t>.</w:t>
      </w:r>
    </w:p>
    <w:p w:rsidR="00C95752" w:rsidRPr="00E5019C" w:rsidRDefault="00C95752" w:rsidP="00476839">
      <w:pPr>
        <w:pStyle w:val="Prrafodelista"/>
        <w:ind w:left="284"/>
        <w:jc w:val="both"/>
        <w:rPr>
          <w:rFonts w:ascii="Arial" w:hAnsi="Arial" w:cs="Arial"/>
          <w:sz w:val="20"/>
          <w:szCs w:val="20"/>
        </w:rPr>
      </w:pPr>
    </w:p>
    <w:p w:rsidR="00990C83"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reportar gastos por concepto de espectaculares por un importe de $</w:t>
      </w:r>
      <w:r w:rsidR="00A12BFE" w:rsidRPr="00E5019C">
        <w:rPr>
          <w:rFonts w:ascii="Arial" w:hAnsi="Arial" w:cs="Arial"/>
          <w:sz w:val="20"/>
          <w:szCs w:val="20"/>
        </w:rPr>
        <w:t>540,000.00” En</w:t>
      </w:r>
      <w:r w:rsidR="00990C83" w:rsidRPr="00E5019C">
        <w:rPr>
          <w:rFonts w:ascii="Arial" w:hAnsi="Arial" w:cs="Arial"/>
          <w:sz w:val="20"/>
          <w:szCs w:val="20"/>
        </w:rPr>
        <w:t xml:space="preserve"> consecuencia al omitir</w:t>
      </w:r>
      <w:r>
        <w:rPr>
          <w:rFonts w:ascii="Arial" w:hAnsi="Arial" w:cs="Arial"/>
          <w:sz w:val="20"/>
          <w:szCs w:val="20"/>
        </w:rPr>
        <w:t>lo,</w:t>
      </w:r>
      <w:r w:rsidR="00990C83" w:rsidRPr="00E5019C">
        <w:rPr>
          <w:rFonts w:ascii="Arial" w:hAnsi="Arial" w:cs="Arial"/>
          <w:sz w:val="20"/>
          <w:szCs w:val="20"/>
        </w:rPr>
        <w:t xml:space="preserve"> incumplió con lo dispuesto en el 79 numeral 1, inciso b), fracción I de la Ley General de Partidos Políticos en relación con el artículo 127 del Reglamento de Fiscalización.</w:t>
      </w:r>
    </w:p>
    <w:p w:rsidR="00C95752" w:rsidRPr="00E5019C" w:rsidRDefault="00C95752" w:rsidP="00476839">
      <w:pPr>
        <w:pStyle w:val="Prrafodelista"/>
        <w:ind w:left="284"/>
        <w:jc w:val="both"/>
        <w:rPr>
          <w:rFonts w:ascii="Arial" w:hAnsi="Arial" w:cs="Arial"/>
          <w:sz w:val="20"/>
          <w:szCs w:val="20"/>
        </w:rPr>
      </w:pPr>
    </w:p>
    <w:p w:rsidR="00C95752"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reportar gastos por concepto de inserciones en prensa por $</w:t>
      </w:r>
      <w:r w:rsidR="00A12BFE" w:rsidRPr="00E5019C">
        <w:rPr>
          <w:rFonts w:ascii="Arial" w:hAnsi="Arial" w:cs="Arial"/>
          <w:sz w:val="20"/>
          <w:szCs w:val="20"/>
        </w:rPr>
        <w:t>78,000.00”</w:t>
      </w:r>
      <w:r>
        <w:rPr>
          <w:rFonts w:ascii="Arial" w:hAnsi="Arial" w:cs="Arial"/>
          <w:sz w:val="20"/>
          <w:szCs w:val="20"/>
        </w:rPr>
        <w:t>.</w:t>
      </w:r>
    </w:p>
    <w:p w:rsidR="00990C83" w:rsidRDefault="00C95752" w:rsidP="00476839">
      <w:pPr>
        <w:ind w:left="284"/>
        <w:jc w:val="both"/>
        <w:rPr>
          <w:rFonts w:ascii="Arial" w:hAnsi="Arial" w:cs="Arial"/>
          <w:sz w:val="20"/>
          <w:szCs w:val="20"/>
        </w:rPr>
      </w:pPr>
      <w:r>
        <w:rPr>
          <w:rFonts w:ascii="Arial" w:hAnsi="Arial" w:cs="Arial"/>
          <w:sz w:val="20"/>
          <w:szCs w:val="20"/>
        </w:rPr>
        <w:t>Con ello i</w:t>
      </w:r>
      <w:r w:rsidR="00990C83" w:rsidRPr="00C95752">
        <w:rPr>
          <w:rFonts w:ascii="Arial" w:hAnsi="Arial" w:cs="Arial"/>
          <w:sz w:val="20"/>
          <w:szCs w:val="20"/>
        </w:rPr>
        <w:t>ncumplió con lo dispuesto en el 79, numeral 1, inciso b), fracción I de la Ley General de Partidos Políticos en relación con el artículo 127 del Reglamento de Fiscalización.</w:t>
      </w:r>
    </w:p>
    <w:p w:rsidR="00C95752" w:rsidRPr="00C95752" w:rsidRDefault="00C95752" w:rsidP="00476839">
      <w:pPr>
        <w:jc w:val="both"/>
        <w:rPr>
          <w:rFonts w:ascii="Arial" w:hAnsi="Arial" w:cs="Arial"/>
          <w:sz w:val="20"/>
          <w:szCs w:val="20"/>
        </w:rPr>
      </w:pPr>
    </w:p>
    <w:p w:rsidR="004A6CFF"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reportar propaganda publicitaria consistente en espectaculares, propaganda en la vía pública y diarios, revistas y otros medios impresos por un monte de $13,000.00</w:t>
      </w:r>
      <w:r w:rsidR="004A6CFF">
        <w:rPr>
          <w:rFonts w:ascii="Arial" w:hAnsi="Arial" w:cs="Arial"/>
          <w:sz w:val="20"/>
          <w:szCs w:val="20"/>
        </w:rPr>
        <w:t>”.</w:t>
      </w:r>
    </w:p>
    <w:p w:rsidR="00990C83" w:rsidRDefault="004A6CFF" w:rsidP="00476839">
      <w:pPr>
        <w:pStyle w:val="Prrafodelista"/>
        <w:ind w:left="284"/>
        <w:jc w:val="both"/>
        <w:rPr>
          <w:rFonts w:ascii="Arial" w:hAnsi="Arial" w:cs="Arial"/>
          <w:sz w:val="20"/>
          <w:szCs w:val="20"/>
        </w:rPr>
      </w:pPr>
      <w:r>
        <w:rPr>
          <w:rFonts w:ascii="Arial" w:hAnsi="Arial" w:cs="Arial"/>
          <w:sz w:val="20"/>
          <w:szCs w:val="20"/>
        </w:rPr>
        <w:t>A</w:t>
      </w:r>
      <w:r w:rsidR="00990C83" w:rsidRPr="00E5019C">
        <w:rPr>
          <w:rFonts w:ascii="Arial" w:hAnsi="Arial" w:cs="Arial"/>
          <w:sz w:val="20"/>
          <w:szCs w:val="20"/>
        </w:rPr>
        <w:t xml:space="preserve">l omitir </w:t>
      </w:r>
      <w:r>
        <w:rPr>
          <w:rFonts w:ascii="Arial" w:hAnsi="Arial" w:cs="Arial"/>
          <w:sz w:val="20"/>
          <w:szCs w:val="20"/>
        </w:rPr>
        <w:t>el reporte el partido faltó a</w:t>
      </w:r>
      <w:r w:rsidR="00990C83" w:rsidRPr="00E5019C">
        <w:rPr>
          <w:rFonts w:ascii="Arial" w:hAnsi="Arial" w:cs="Arial"/>
          <w:sz w:val="20"/>
          <w:szCs w:val="20"/>
        </w:rPr>
        <w:t xml:space="preserve"> lo dispuesto en el 79, numeral 1, inciso b), fracción I de la Ley General de Partidos Políticos en relación con el artículo 127 del Reglamento de Fiscalización.</w:t>
      </w:r>
    </w:p>
    <w:p w:rsidR="004A6CFF" w:rsidRPr="00E5019C" w:rsidRDefault="004A6CFF" w:rsidP="00476839">
      <w:pPr>
        <w:pStyle w:val="Prrafodelista"/>
        <w:ind w:left="284"/>
        <w:jc w:val="both"/>
        <w:rPr>
          <w:rFonts w:ascii="Arial" w:hAnsi="Arial" w:cs="Arial"/>
          <w:sz w:val="20"/>
          <w:szCs w:val="20"/>
        </w:rPr>
      </w:pPr>
    </w:p>
    <w:p w:rsidR="00990C83" w:rsidRDefault="00C95752"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registrar gastos por concepto de pinta de una barda por un monto de $</w:t>
      </w:r>
      <w:r w:rsidR="00A12BFE" w:rsidRPr="00E5019C">
        <w:rPr>
          <w:rFonts w:ascii="Arial" w:hAnsi="Arial" w:cs="Arial"/>
          <w:sz w:val="20"/>
          <w:szCs w:val="20"/>
        </w:rPr>
        <w:t>1,837.50</w:t>
      </w:r>
      <w:r w:rsidR="004A6CFF">
        <w:rPr>
          <w:rFonts w:ascii="Arial" w:hAnsi="Arial" w:cs="Arial"/>
          <w:sz w:val="20"/>
          <w:szCs w:val="20"/>
        </w:rPr>
        <w:t>”</w:t>
      </w:r>
      <w:r w:rsidR="00A12BFE" w:rsidRPr="00E5019C">
        <w:rPr>
          <w:rFonts w:ascii="Arial" w:hAnsi="Arial" w:cs="Arial"/>
          <w:sz w:val="20"/>
          <w:szCs w:val="20"/>
        </w:rPr>
        <w:t xml:space="preserve">. </w:t>
      </w:r>
      <w:r w:rsidR="00A92353">
        <w:rPr>
          <w:rFonts w:ascii="Arial" w:hAnsi="Arial" w:cs="Arial"/>
          <w:sz w:val="20"/>
          <w:szCs w:val="20"/>
        </w:rPr>
        <w:t xml:space="preserve">Por lo que incumplió </w:t>
      </w:r>
      <w:r w:rsidR="00990C83" w:rsidRPr="00E5019C">
        <w:rPr>
          <w:rFonts w:ascii="Arial" w:hAnsi="Arial" w:cs="Arial"/>
          <w:sz w:val="20"/>
          <w:szCs w:val="20"/>
        </w:rPr>
        <w:t>con lo dispuesto en el 79, numeral 1, inciso b), fracción I de la Ley General de Partidos Políticos en relación con el artículo 127 del Reglamento de Fiscalización.</w:t>
      </w:r>
    </w:p>
    <w:p w:rsidR="004A6CFF" w:rsidRPr="004A6CFF" w:rsidRDefault="004A6CFF" w:rsidP="00476839">
      <w:pPr>
        <w:jc w:val="both"/>
        <w:rPr>
          <w:rFonts w:ascii="Arial" w:hAnsi="Arial" w:cs="Arial"/>
          <w:sz w:val="20"/>
          <w:szCs w:val="20"/>
        </w:rPr>
      </w:pPr>
    </w:p>
    <w:p w:rsidR="00A92353" w:rsidRDefault="004A6CFF"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registrar gastos por concepto de 2 bardas por un monto de $</w:t>
      </w:r>
      <w:r w:rsidR="00A12BFE" w:rsidRPr="00E5019C">
        <w:rPr>
          <w:rFonts w:ascii="Arial" w:hAnsi="Arial" w:cs="Arial"/>
          <w:sz w:val="20"/>
          <w:szCs w:val="20"/>
        </w:rPr>
        <w:t>1,575.00</w:t>
      </w:r>
      <w:r w:rsidR="00A92353">
        <w:rPr>
          <w:rFonts w:ascii="Arial" w:hAnsi="Arial" w:cs="Arial"/>
          <w:sz w:val="20"/>
          <w:szCs w:val="20"/>
        </w:rPr>
        <w:t>”</w:t>
      </w:r>
      <w:r w:rsidR="00A12BFE" w:rsidRPr="00E5019C">
        <w:rPr>
          <w:rFonts w:ascii="Arial" w:hAnsi="Arial" w:cs="Arial"/>
          <w:sz w:val="20"/>
          <w:szCs w:val="20"/>
        </w:rPr>
        <w:t>.</w:t>
      </w:r>
    </w:p>
    <w:p w:rsidR="00990C83" w:rsidRPr="00A92353" w:rsidRDefault="00A92353" w:rsidP="00476839">
      <w:pPr>
        <w:ind w:left="284"/>
        <w:jc w:val="both"/>
        <w:rPr>
          <w:rFonts w:ascii="Arial" w:hAnsi="Arial" w:cs="Arial"/>
          <w:sz w:val="20"/>
          <w:szCs w:val="20"/>
        </w:rPr>
      </w:pPr>
      <w:r>
        <w:rPr>
          <w:rFonts w:ascii="Arial" w:hAnsi="Arial" w:cs="Arial"/>
          <w:sz w:val="20"/>
          <w:szCs w:val="20"/>
        </w:rPr>
        <w:t>I</w:t>
      </w:r>
      <w:r w:rsidR="00990C83" w:rsidRPr="00A92353">
        <w:rPr>
          <w:rFonts w:ascii="Arial" w:hAnsi="Arial" w:cs="Arial"/>
          <w:sz w:val="20"/>
          <w:szCs w:val="20"/>
        </w:rPr>
        <w:t>ncumplió con lo dispuesto en el 79, numeral 1, inciso b), fracción I de la Ley General de Partidos Políticos en relación con el artículo 127 del Reglamento de Fiscalización</w:t>
      </w:r>
      <w:r w:rsidR="004A6CFF" w:rsidRPr="00A92353">
        <w:rPr>
          <w:rFonts w:ascii="Arial" w:hAnsi="Arial" w:cs="Arial"/>
          <w:sz w:val="20"/>
          <w:szCs w:val="20"/>
        </w:rPr>
        <w:t>.</w:t>
      </w:r>
    </w:p>
    <w:p w:rsidR="004A6CFF" w:rsidRPr="004A6CFF" w:rsidRDefault="004A6CFF" w:rsidP="00476839">
      <w:pPr>
        <w:jc w:val="both"/>
        <w:rPr>
          <w:rFonts w:ascii="Arial" w:hAnsi="Arial" w:cs="Arial"/>
          <w:sz w:val="20"/>
          <w:szCs w:val="20"/>
        </w:rPr>
      </w:pPr>
    </w:p>
    <w:p w:rsidR="00990C83" w:rsidRDefault="004A6CFF"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registrar gastos por concepto de propaganda móvil por un monto de $45,000.00”</w:t>
      </w:r>
      <w:r w:rsidR="009833AD">
        <w:rPr>
          <w:rFonts w:ascii="Arial" w:hAnsi="Arial" w:cs="Arial"/>
          <w:sz w:val="20"/>
          <w:szCs w:val="20"/>
        </w:rPr>
        <w:t>.</w:t>
      </w:r>
      <w:r w:rsidR="00990C83" w:rsidRPr="00E5019C">
        <w:rPr>
          <w:rFonts w:ascii="Arial" w:hAnsi="Arial" w:cs="Arial"/>
          <w:sz w:val="20"/>
          <w:szCs w:val="20"/>
        </w:rPr>
        <w:t xml:space="preserve"> </w:t>
      </w:r>
      <w:r w:rsidR="009833AD">
        <w:rPr>
          <w:rFonts w:ascii="Arial" w:hAnsi="Arial" w:cs="Arial"/>
          <w:sz w:val="20"/>
          <w:szCs w:val="20"/>
        </w:rPr>
        <w:t>Con ello</w:t>
      </w:r>
      <w:r w:rsidR="00990C83" w:rsidRPr="00E5019C">
        <w:rPr>
          <w:rFonts w:ascii="Arial" w:hAnsi="Arial" w:cs="Arial"/>
          <w:sz w:val="20"/>
          <w:szCs w:val="20"/>
        </w:rPr>
        <w:t xml:space="preserve"> incumplió con lo dispuesto en el 79, numeral 1, inciso b), fracción I de la Ley General de Partidos Políticos en relación con el artículo 127 del Reglamento de Fiscalización.</w:t>
      </w:r>
    </w:p>
    <w:p w:rsidR="009833AD" w:rsidRPr="00E5019C" w:rsidRDefault="009833AD" w:rsidP="00476839">
      <w:pPr>
        <w:pStyle w:val="Prrafodelista"/>
        <w:ind w:left="284"/>
        <w:jc w:val="both"/>
        <w:rPr>
          <w:rFonts w:ascii="Arial" w:hAnsi="Arial" w:cs="Arial"/>
          <w:sz w:val="20"/>
          <w:szCs w:val="20"/>
        </w:rPr>
      </w:pPr>
    </w:p>
    <w:p w:rsidR="009833AD" w:rsidRDefault="004A6CFF"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PRD omitió registrar gastos por concepto de promocionales en radio y televisión por un monto de $600,000.00”.</w:t>
      </w:r>
    </w:p>
    <w:p w:rsidR="00990C83" w:rsidRDefault="009833AD" w:rsidP="00476839">
      <w:pPr>
        <w:ind w:left="284"/>
        <w:jc w:val="both"/>
        <w:rPr>
          <w:rFonts w:ascii="Arial" w:hAnsi="Arial" w:cs="Arial"/>
          <w:sz w:val="20"/>
          <w:szCs w:val="20"/>
        </w:rPr>
      </w:pPr>
      <w:r>
        <w:rPr>
          <w:rFonts w:ascii="Arial" w:hAnsi="Arial" w:cs="Arial"/>
          <w:sz w:val="20"/>
          <w:szCs w:val="20"/>
        </w:rPr>
        <w:t>El partido</w:t>
      </w:r>
      <w:r w:rsidR="00990C83" w:rsidRPr="009833AD">
        <w:rPr>
          <w:rFonts w:ascii="Arial" w:hAnsi="Arial" w:cs="Arial"/>
          <w:sz w:val="20"/>
          <w:szCs w:val="20"/>
        </w:rPr>
        <w:t xml:space="preserve"> incumplió con lo dispuesto en el 79, numeral 1, inciso b), fracción I de la Ley General de Partidos Políticos en relación con el artículo 127 del Reglamento de Fiscalización</w:t>
      </w:r>
      <w:r w:rsidR="00A12BFE" w:rsidRPr="009833AD">
        <w:rPr>
          <w:rFonts w:ascii="Arial" w:hAnsi="Arial" w:cs="Arial"/>
          <w:sz w:val="20"/>
          <w:szCs w:val="20"/>
        </w:rPr>
        <w:t>.</w:t>
      </w:r>
    </w:p>
    <w:p w:rsidR="009833AD" w:rsidRPr="009833AD" w:rsidRDefault="009833AD" w:rsidP="00476839">
      <w:pPr>
        <w:ind w:left="284"/>
        <w:jc w:val="both"/>
        <w:rPr>
          <w:rFonts w:ascii="Arial" w:hAnsi="Arial" w:cs="Arial"/>
          <w:sz w:val="20"/>
          <w:szCs w:val="20"/>
        </w:rPr>
      </w:pPr>
    </w:p>
    <w:p w:rsidR="009833AD" w:rsidRDefault="004A6CFF" w:rsidP="00476839">
      <w:pPr>
        <w:pStyle w:val="Prrafodelista"/>
        <w:numPr>
          <w:ilvl w:val="0"/>
          <w:numId w:val="47"/>
        </w:numPr>
        <w:ind w:left="284" w:hanging="284"/>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omitió presentar documentos que ampararan el origen de los recursos por un monte de $193,761.08</w:t>
      </w:r>
      <w:r w:rsidR="009833AD">
        <w:rPr>
          <w:rFonts w:ascii="Arial" w:hAnsi="Arial" w:cs="Arial"/>
          <w:sz w:val="20"/>
          <w:szCs w:val="20"/>
        </w:rPr>
        <w:t>”</w:t>
      </w:r>
      <w:r w:rsidR="00990C83" w:rsidRPr="00E5019C">
        <w:rPr>
          <w:rFonts w:ascii="Arial" w:hAnsi="Arial" w:cs="Arial"/>
          <w:sz w:val="20"/>
          <w:szCs w:val="20"/>
        </w:rPr>
        <w:t>.</w:t>
      </w:r>
    </w:p>
    <w:p w:rsidR="00990C83" w:rsidRPr="00E5019C" w:rsidRDefault="009833AD" w:rsidP="00476839">
      <w:pPr>
        <w:pStyle w:val="Prrafodelista"/>
        <w:ind w:left="284"/>
        <w:jc w:val="both"/>
        <w:rPr>
          <w:rFonts w:ascii="Arial" w:hAnsi="Arial" w:cs="Arial"/>
          <w:sz w:val="20"/>
          <w:szCs w:val="20"/>
        </w:rPr>
      </w:pPr>
      <w:r>
        <w:rPr>
          <w:rFonts w:ascii="Arial" w:hAnsi="Arial" w:cs="Arial"/>
          <w:sz w:val="20"/>
          <w:szCs w:val="20"/>
        </w:rPr>
        <w:t>El s</w:t>
      </w:r>
      <w:r w:rsidR="00990C83" w:rsidRPr="00E5019C">
        <w:rPr>
          <w:rFonts w:ascii="Arial" w:hAnsi="Arial" w:cs="Arial"/>
          <w:sz w:val="20"/>
          <w:szCs w:val="20"/>
        </w:rPr>
        <w:t xml:space="preserve">ujeto </w:t>
      </w:r>
      <w:r>
        <w:rPr>
          <w:rFonts w:ascii="Arial" w:hAnsi="Arial" w:cs="Arial"/>
          <w:sz w:val="20"/>
          <w:szCs w:val="20"/>
        </w:rPr>
        <w:t>o</w:t>
      </w:r>
      <w:r w:rsidR="00990C83" w:rsidRPr="00E5019C">
        <w:rPr>
          <w:rFonts w:ascii="Arial" w:hAnsi="Arial" w:cs="Arial"/>
          <w:sz w:val="20"/>
          <w:szCs w:val="20"/>
        </w:rPr>
        <w:t>bligado incumplió con lo dispuesto en el artículo 96, numeral 1 del Reglamento de Fiscalización por un importe de $193,761.08</w:t>
      </w:r>
      <w:r w:rsidR="00A12BFE">
        <w:rPr>
          <w:rFonts w:ascii="Arial" w:hAnsi="Arial" w:cs="Arial"/>
          <w:sz w:val="20"/>
          <w:szCs w:val="20"/>
        </w:rPr>
        <w:t>.</w:t>
      </w:r>
    </w:p>
    <w:p w:rsidR="00990C83" w:rsidRDefault="00990C83" w:rsidP="00476839">
      <w:pPr>
        <w:pStyle w:val="Default"/>
        <w:contextualSpacing/>
        <w:rPr>
          <w:sz w:val="20"/>
          <w:szCs w:val="20"/>
        </w:rPr>
      </w:pPr>
    </w:p>
    <w:p w:rsidR="00A12BFE" w:rsidRDefault="00A12BFE" w:rsidP="00476839">
      <w:pPr>
        <w:pStyle w:val="Default"/>
        <w:contextualSpacing/>
        <w:rPr>
          <w:sz w:val="20"/>
          <w:szCs w:val="20"/>
        </w:rPr>
      </w:pPr>
    </w:p>
    <w:p w:rsidR="00990C83" w:rsidRPr="00E5019C" w:rsidRDefault="005C2DB9" w:rsidP="00476839">
      <w:pPr>
        <w:pStyle w:val="Default"/>
        <w:contextualSpacing/>
        <w:jc w:val="center"/>
        <w:rPr>
          <w:b/>
          <w:bCs/>
          <w:sz w:val="20"/>
          <w:szCs w:val="20"/>
        </w:rPr>
      </w:pPr>
      <w:r>
        <w:rPr>
          <w:b/>
          <w:bCs/>
          <w:sz w:val="20"/>
          <w:szCs w:val="20"/>
        </w:rPr>
        <w:t>Partido del Trabajo</w:t>
      </w:r>
    </w:p>
    <w:p w:rsidR="00990C83" w:rsidRPr="00E5019C" w:rsidRDefault="00990C83" w:rsidP="00476839">
      <w:pPr>
        <w:pStyle w:val="Default"/>
        <w:contextualSpacing/>
        <w:rPr>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Formales</w:t>
      </w:r>
    </w:p>
    <w:p w:rsidR="00990C83" w:rsidRDefault="00990C83" w:rsidP="00476839">
      <w:pPr>
        <w:pStyle w:val="Prrafodelista"/>
        <w:numPr>
          <w:ilvl w:val="0"/>
          <w:numId w:val="48"/>
        </w:numPr>
        <w:ind w:left="284" w:hanging="284"/>
        <w:jc w:val="both"/>
        <w:rPr>
          <w:rFonts w:ascii="Arial" w:hAnsi="Arial" w:cs="Arial"/>
          <w:bCs/>
          <w:sz w:val="20"/>
          <w:szCs w:val="20"/>
        </w:rPr>
      </w:pPr>
      <w:r w:rsidRPr="00E5019C">
        <w:rPr>
          <w:rFonts w:ascii="Arial" w:hAnsi="Arial" w:cs="Arial"/>
          <w:bCs/>
          <w:sz w:val="20"/>
          <w:szCs w:val="20"/>
        </w:rPr>
        <w:t>El sujeto obligado presentó un Informe de Campaña del primer y único periodo al cargo de Diputados Locales de forma extemporánea</w:t>
      </w:r>
      <w:r w:rsidR="009833AD">
        <w:rPr>
          <w:rFonts w:ascii="Arial" w:hAnsi="Arial" w:cs="Arial"/>
          <w:bCs/>
          <w:sz w:val="20"/>
          <w:szCs w:val="20"/>
        </w:rPr>
        <w:t>.</w:t>
      </w:r>
    </w:p>
    <w:p w:rsidR="00476839" w:rsidRPr="00E5019C" w:rsidRDefault="00476839" w:rsidP="00476839">
      <w:pPr>
        <w:pStyle w:val="Prrafodelista"/>
        <w:ind w:left="284"/>
        <w:jc w:val="both"/>
        <w:rPr>
          <w:rFonts w:ascii="Arial" w:hAnsi="Arial" w:cs="Arial"/>
          <w:bCs/>
          <w:sz w:val="20"/>
          <w:szCs w:val="20"/>
        </w:rPr>
      </w:pPr>
    </w:p>
    <w:p w:rsidR="00990C83" w:rsidRPr="00E5019C" w:rsidRDefault="00990C83" w:rsidP="00476839">
      <w:pPr>
        <w:pStyle w:val="Prrafodelista"/>
        <w:numPr>
          <w:ilvl w:val="0"/>
          <w:numId w:val="48"/>
        </w:numPr>
        <w:ind w:left="284" w:hanging="284"/>
        <w:jc w:val="both"/>
        <w:rPr>
          <w:rFonts w:ascii="Arial" w:hAnsi="Arial" w:cs="Arial"/>
          <w:bCs/>
          <w:sz w:val="20"/>
          <w:szCs w:val="20"/>
        </w:rPr>
      </w:pPr>
      <w:r w:rsidRPr="00E5019C">
        <w:rPr>
          <w:rFonts w:ascii="Arial" w:hAnsi="Arial" w:cs="Arial"/>
          <w:bCs/>
          <w:sz w:val="20"/>
          <w:szCs w:val="20"/>
        </w:rPr>
        <w:t>El sujeto obligado presentó 4 “Informes de Campaña” al cargo de Ayuntamientos de forma extemporánea</w:t>
      </w:r>
      <w:r w:rsidR="009833AD">
        <w:rPr>
          <w:rFonts w:ascii="Arial" w:hAnsi="Arial" w:cs="Arial"/>
          <w:bCs/>
          <w:sz w:val="20"/>
          <w:szCs w:val="20"/>
        </w:rPr>
        <w:t>.</w:t>
      </w:r>
    </w:p>
    <w:p w:rsidR="004158CC" w:rsidRDefault="009833AD" w:rsidP="00476839">
      <w:pPr>
        <w:ind w:left="284"/>
        <w:contextualSpacing/>
        <w:jc w:val="both"/>
        <w:rPr>
          <w:rFonts w:ascii="Arial" w:hAnsi="Arial" w:cs="Arial"/>
          <w:sz w:val="20"/>
          <w:szCs w:val="20"/>
        </w:rPr>
      </w:pPr>
      <w:r>
        <w:rPr>
          <w:rFonts w:ascii="Arial" w:hAnsi="Arial" w:cs="Arial"/>
          <w:sz w:val="20"/>
          <w:szCs w:val="20"/>
        </w:rPr>
        <w:lastRenderedPageBreak/>
        <w:t>Vulnerando con ello</w:t>
      </w:r>
      <w:r w:rsidR="00990C83" w:rsidRPr="00E5019C">
        <w:rPr>
          <w:rFonts w:ascii="Arial" w:hAnsi="Arial" w:cs="Arial"/>
          <w:sz w:val="20"/>
          <w:szCs w:val="20"/>
        </w:rPr>
        <w:t xml:space="preserve"> lo dispuesto en los artículos 79, numeral 1, inciso b), fracción III Ley General de Partidos Políticos.</w:t>
      </w:r>
    </w:p>
    <w:p w:rsidR="004158CC" w:rsidRDefault="004158CC" w:rsidP="00476839">
      <w:pPr>
        <w:ind w:left="284" w:hanging="284"/>
        <w:contextualSpacing/>
        <w:rPr>
          <w:rFonts w:ascii="Arial" w:hAnsi="Arial" w:cs="Arial"/>
          <w:sz w:val="20"/>
          <w:szCs w:val="20"/>
        </w:rPr>
      </w:pPr>
    </w:p>
    <w:p w:rsidR="00990C83" w:rsidRPr="005C2DB9" w:rsidRDefault="004158CC" w:rsidP="00476839">
      <w:pPr>
        <w:rPr>
          <w:rFonts w:ascii="Arial" w:hAnsi="Arial" w:cs="Arial"/>
          <w:b/>
          <w:bCs/>
          <w:i/>
          <w:iCs/>
          <w:sz w:val="20"/>
          <w:szCs w:val="20"/>
        </w:rPr>
      </w:pPr>
      <w:r w:rsidRPr="005C2DB9">
        <w:rPr>
          <w:rFonts w:ascii="Arial" w:hAnsi="Arial" w:cs="Arial"/>
          <w:b/>
          <w:bCs/>
          <w:i/>
          <w:iCs/>
          <w:sz w:val="20"/>
          <w:szCs w:val="20"/>
        </w:rPr>
        <w:t>Faltas Sustanciales</w:t>
      </w:r>
    </w:p>
    <w:p w:rsidR="009833AD" w:rsidRDefault="009833AD" w:rsidP="00476839">
      <w:pPr>
        <w:pStyle w:val="Prrafodelista"/>
        <w:numPr>
          <w:ilvl w:val="0"/>
          <w:numId w:val="49"/>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 xml:space="preserve">El </w:t>
      </w:r>
      <w:r>
        <w:rPr>
          <w:rFonts w:ascii="Arial" w:hAnsi="Arial" w:cs="Arial"/>
          <w:sz w:val="20"/>
          <w:szCs w:val="20"/>
        </w:rPr>
        <w:t>p</w:t>
      </w:r>
      <w:r w:rsidR="00990C83" w:rsidRPr="00E5019C">
        <w:rPr>
          <w:rFonts w:ascii="Arial" w:hAnsi="Arial" w:cs="Arial"/>
          <w:sz w:val="20"/>
          <w:szCs w:val="20"/>
        </w:rPr>
        <w:t xml:space="preserve">artido omitió </w:t>
      </w:r>
      <w:r>
        <w:rPr>
          <w:rFonts w:ascii="Arial" w:hAnsi="Arial" w:cs="Arial"/>
          <w:sz w:val="20"/>
          <w:szCs w:val="20"/>
        </w:rPr>
        <w:t>p</w:t>
      </w:r>
      <w:r w:rsidR="00990C83" w:rsidRPr="00E5019C">
        <w:rPr>
          <w:rFonts w:ascii="Arial" w:hAnsi="Arial" w:cs="Arial"/>
          <w:sz w:val="20"/>
          <w:szCs w:val="20"/>
        </w:rPr>
        <w:t>resentar documentación soporte correspondiente a pólizas de ingresos por $24,504.58</w:t>
      </w:r>
      <w:r w:rsidR="002F7FBF" w:rsidRPr="00E5019C">
        <w:rPr>
          <w:rFonts w:ascii="Arial" w:hAnsi="Arial" w:cs="Arial"/>
          <w:sz w:val="20"/>
          <w:szCs w:val="20"/>
        </w:rPr>
        <w:t>”.</w:t>
      </w:r>
    </w:p>
    <w:p w:rsidR="00990C83" w:rsidRDefault="002F7FBF" w:rsidP="00476839">
      <w:pPr>
        <w:pStyle w:val="Prrafodelista"/>
        <w:ind w:left="426"/>
        <w:jc w:val="both"/>
        <w:rPr>
          <w:rFonts w:ascii="Arial" w:hAnsi="Arial" w:cs="Arial"/>
          <w:sz w:val="20"/>
          <w:szCs w:val="20"/>
        </w:rPr>
      </w:pPr>
      <w:r w:rsidRPr="00E5019C">
        <w:rPr>
          <w:rFonts w:ascii="Arial" w:hAnsi="Arial" w:cs="Arial"/>
          <w:sz w:val="20"/>
          <w:szCs w:val="20"/>
        </w:rPr>
        <w:t>En</w:t>
      </w:r>
      <w:r w:rsidR="00990C83" w:rsidRPr="00E5019C">
        <w:rPr>
          <w:rFonts w:ascii="Arial" w:hAnsi="Arial" w:cs="Arial"/>
          <w:sz w:val="20"/>
          <w:szCs w:val="20"/>
        </w:rPr>
        <w:t xml:space="preserve"> consecuencia, incumplió con lo dispuesto en el artículo 96, numeral 1 del Reglamento de Fiscalización por un importe de $24,504.58.</w:t>
      </w:r>
    </w:p>
    <w:p w:rsidR="009833AD" w:rsidRPr="00E5019C" w:rsidRDefault="009833AD" w:rsidP="00476839">
      <w:pPr>
        <w:pStyle w:val="Prrafodelista"/>
        <w:ind w:left="426"/>
        <w:jc w:val="both"/>
        <w:rPr>
          <w:rFonts w:ascii="Arial" w:hAnsi="Arial" w:cs="Arial"/>
          <w:sz w:val="20"/>
          <w:szCs w:val="20"/>
        </w:rPr>
      </w:pPr>
    </w:p>
    <w:p w:rsidR="009833AD" w:rsidRDefault="009833AD" w:rsidP="00476839">
      <w:pPr>
        <w:pStyle w:val="Prrafodelista"/>
        <w:numPr>
          <w:ilvl w:val="0"/>
          <w:numId w:val="49"/>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 xml:space="preserve">El </w:t>
      </w:r>
      <w:r>
        <w:rPr>
          <w:rFonts w:ascii="Arial" w:hAnsi="Arial" w:cs="Arial"/>
          <w:sz w:val="20"/>
          <w:szCs w:val="20"/>
        </w:rPr>
        <w:t>p</w:t>
      </w:r>
      <w:r w:rsidR="00990C83" w:rsidRPr="00E5019C">
        <w:rPr>
          <w:rFonts w:ascii="Arial" w:hAnsi="Arial" w:cs="Arial"/>
          <w:sz w:val="20"/>
          <w:szCs w:val="20"/>
        </w:rPr>
        <w:t xml:space="preserve">artido omitió </w:t>
      </w:r>
      <w:r>
        <w:rPr>
          <w:rFonts w:ascii="Arial" w:hAnsi="Arial" w:cs="Arial"/>
          <w:sz w:val="20"/>
          <w:szCs w:val="20"/>
        </w:rPr>
        <w:t>p</w:t>
      </w:r>
      <w:r w:rsidR="00990C83" w:rsidRPr="00E5019C">
        <w:rPr>
          <w:rFonts w:ascii="Arial" w:hAnsi="Arial" w:cs="Arial"/>
          <w:sz w:val="20"/>
          <w:szCs w:val="20"/>
        </w:rPr>
        <w:t>resentar documentación soporte correspondiente a pólizas de ingresos por $235,500.29</w:t>
      </w:r>
      <w:r w:rsidR="002F7FBF" w:rsidRPr="00E5019C">
        <w:rPr>
          <w:rFonts w:ascii="Arial" w:hAnsi="Arial" w:cs="Arial"/>
          <w:sz w:val="20"/>
          <w:szCs w:val="20"/>
        </w:rPr>
        <w:t>”.</w:t>
      </w:r>
    </w:p>
    <w:p w:rsidR="00990C83" w:rsidRDefault="009833AD" w:rsidP="00476839">
      <w:pPr>
        <w:pStyle w:val="Prrafodelista"/>
        <w:ind w:left="426"/>
        <w:jc w:val="both"/>
        <w:rPr>
          <w:rFonts w:ascii="Arial" w:hAnsi="Arial" w:cs="Arial"/>
          <w:sz w:val="20"/>
          <w:szCs w:val="20"/>
        </w:rPr>
      </w:pPr>
      <w:r>
        <w:rPr>
          <w:rFonts w:ascii="Arial" w:hAnsi="Arial" w:cs="Arial"/>
          <w:sz w:val="20"/>
          <w:szCs w:val="20"/>
        </w:rPr>
        <w:t>Por lo que i</w:t>
      </w:r>
      <w:r w:rsidR="00990C83" w:rsidRPr="00E5019C">
        <w:rPr>
          <w:rFonts w:ascii="Arial" w:hAnsi="Arial" w:cs="Arial"/>
          <w:sz w:val="20"/>
          <w:szCs w:val="20"/>
        </w:rPr>
        <w:t>ncumplió con lo dispuesto en el artículo 96, numeral 1 del Reglamento de Fiscalización por un importe de $235,500.29.</w:t>
      </w:r>
    </w:p>
    <w:p w:rsidR="009833AD" w:rsidRPr="009833AD" w:rsidRDefault="009833AD" w:rsidP="00476839">
      <w:pPr>
        <w:jc w:val="both"/>
        <w:rPr>
          <w:rFonts w:ascii="Arial" w:hAnsi="Arial" w:cs="Arial"/>
          <w:sz w:val="20"/>
          <w:szCs w:val="20"/>
        </w:rPr>
      </w:pPr>
    </w:p>
    <w:p w:rsidR="009833AD" w:rsidRDefault="009833AD" w:rsidP="00476839">
      <w:pPr>
        <w:pStyle w:val="Prrafodelista"/>
        <w:numPr>
          <w:ilvl w:val="0"/>
          <w:numId w:val="49"/>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omitió presentar documentación soporte correspondiente a pólizas de egresos por $132,587.13</w:t>
      </w:r>
      <w:r w:rsidR="002F7FBF" w:rsidRPr="00E5019C">
        <w:rPr>
          <w:rFonts w:ascii="Arial" w:hAnsi="Arial" w:cs="Arial"/>
          <w:sz w:val="20"/>
          <w:szCs w:val="20"/>
        </w:rPr>
        <w:t>.”</w:t>
      </w:r>
    </w:p>
    <w:p w:rsidR="00990C83" w:rsidRDefault="002F7FBF" w:rsidP="00476839">
      <w:pPr>
        <w:pStyle w:val="Prrafodelista"/>
        <w:ind w:left="426"/>
        <w:jc w:val="both"/>
        <w:rPr>
          <w:rFonts w:ascii="Arial" w:hAnsi="Arial" w:cs="Arial"/>
          <w:sz w:val="20"/>
          <w:szCs w:val="20"/>
        </w:rPr>
      </w:pPr>
      <w:r w:rsidRPr="00E5019C">
        <w:rPr>
          <w:rFonts w:ascii="Arial" w:hAnsi="Arial" w:cs="Arial"/>
          <w:sz w:val="20"/>
          <w:szCs w:val="20"/>
        </w:rPr>
        <w:t>En</w:t>
      </w:r>
      <w:r w:rsidR="00990C83" w:rsidRPr="00E5019C">
        <w:rPr>
          <w:rFonts w:ascii="Arial" w:hAnsi="Arial" w:cs="Arial"/>
          <w:sz w:val="20"/>
          <w:szCs w:val="20"/>
        </w:rPr>
        <w:t xml:space="preserve"> consecuencia, incumplió con lo dispuesto en el artículo 127 del Reglamento de Fiscalización por un importe de $132,587.13</w:t>
      </w:r>
      <w:r>
        <w:rPr>
          <w:rFonts w:ascii="Arial" w:hAnsi="Arial" w:cs="Arial"/>
          <w:sz w:val="20"/>
          <w:szCs w:val="20"/>
        </w:rPr>
        <w:t>.</w:t>
      </w:r>
    </w:p>
    <w:p w:rsidR="009833AD" w:rsidRPr="009833AD" w:rsidRDefault="009833AD" w:rsidP="00476839">
      <w:pPr>
        <w:jc w:val="both"/>
        <w:rPr>
          <w:rFonts w:ascii="Arial" w:hAnsi="Arial" w:cs="Arial"/>
          <w:sz w:val="20"/>
          <w:szCs w:val="20"/>
        </w:rPr>
      </w:pPr>
    </w:p>
    <w:p w:rsidR="00990C83" w:rsidRPr="00E5019C" w:rsidRDefault="009833AD" w:rsidP="00476839">
      <w:pPr>
        <w:pStyle w:val="Prrafodelista"/>
        <w:numPr>
          <w:ilvl w:val="0"/>
          <w:numId w:val="49"/>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 xml:space="preserve">El </w:t>
      </w:r>
      <w:r>
        <w:rPr>
          <w:rFonts w:ascii="Arial" w:hAnsi="Arial" w:cs="Arial"/>
          <w:sz w:val="20"/>
          <w:szCs w:val="20"/>
        </w:rPr>
        <w:t>PRD</w:t>
      </w:r>
      <w:r w:rsidR="00990C83" w:rsidRPr="00E5019C">
        <w:rPr>
          <w:rFonts w:ascii="Arial" w:hAnsi="Arial" w:cs="Arial"/>
          <w:sz w:val="20"/>
          <w:szCs w:val="20"/>
        </w:rPr>
        <w:t xml:space="preserve"> omitió presentar documentación soporte correspondiente a pólizas de egresos por $911,705.39”</w:t>
      </w:r>
      <w:r>
        <w:rPr>
          <w:rFonts w:ascii="Arial" w:hAnsi="Arial" w:cs="Arial"/>
          <w:sz w:val="20"/>
          <w:szCs w:val="20"/>
        </w:rPr>
        <w:t>.</w:t>
      </w:r>
    </w:p>
    <w:p w:rsidR="00990C83" w:rsidRDefault="00990C83" w:rsidP="00476839">
      <w:pPr>
        <w:pStyle w:val="Prrafodelista"/>
        <w:ind w:left="426"/>
        <w:jc w:val="both"/>
        <w:rPr>
          <w:rFonts w:ascii="Arial" w:hAnsi="Arial" w:cs="Arial"/>
          <w:sz w:val="20"/>
          <w:szCs w:val="20"/>
        </w:rPr>
      </w:pPr>
      <w:r w:rsidRPr="00E5019C">
        <w:rPr>
          <w:rFonts w:ascii="Arial" w:hAnsi="Arial" w:cs="Arial"/>
          <w:sz w:val="20"/>
          <w:szCs w:val="20"/>
        </w:rPr>
        <w:t xml:space="preserve">El sujeto obligado incumplió </w:t>
      </w:r>
      <w:r w:rsidR="009833AD">
        <w:rPr>
          <w:rFonts w:ascii="Arial" w:hAnsi="Arial" w:cs="Arial"/>
          <w:sz w:val="20"/>
          <w:szCs w:val="20"/>
        </w:rPr>
        <w:t>c</w:t>
      </w:r>
      <w:r w:rsidRPr="00E5019C">
        <w:rPr>
          <w:rFonts w:ascii="Arial" w:hAnsi="Arial" w:cs="Arial"/>
          <w:sz w:val="20"/>
          <w:szCs w:val="20"/>
        </w:rPr>
        <w:t>on lo dispuesto en el 79, numeral 1, inciso b), fracción I de la Ley General de Partidos Políticos en relación con el artículo 127 del Reglamento de Fiscalización.</w:t>
      </w:r>
    </w:p>
    <w:p w:rsidR="009833AD" w:rsidRPr="009833AD" w:rsidRDefault="009833AD" w:rsidP="00476839">
      <w:pPr>
        <w:jc w:val="both"/>
        <w:rPr>
          <w:rFonts w:ascii="Arial" w:hAnsi="Arial" w:cs="Arial"/>
          <w:sz w:val="20"/>
          <w:szCs w:val="20"/>
        </w:rPr>
      </w:pPr>
    </w:p>
    <w:p w:rsidR="009833AD" w:rsidRDefault="009833AD" w:rsidP="00476839">
      <w:pPr>
        <w:pStyle w:val="Prrafodelista"/>
        <w:numPr>
          <w:ilvl w:val="0"/>
          <w:numId w:val="49"/>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Se detectó el rebase de topes de gastos de campaña de un candidato al cargo de Ayuntamiento, por lo que el PT incumplió con lo establecido en el artículo 443 inciso f) de la Ley General de Instituciones y Procedimientos Electorales</w:t>
      </w:r>
      <w:r>
        <w:rPr>
          <w:rFonts w:ascii="Arial" w:hAnsi="Arial" w:cs="Arial"/>
          <w:sz w:val="20"/>
          <w:szCs w:val="20"/>
        </w:rPr>
        <w:t>”.</w:t>
      </w:r>
    </w:p>
    <w:p w:rsidR="00990C83" w:rsidRPr="00E5019C" w:rsidRDefault="009833AD" w:rsidP="00476839">
      <w:pPr>
        <w:pStyle w:val="Prrafodelista"/>
        <w:ind w:left="426"/>
        <w:jc w:val="both"/>
        <w:rPr>
          <w:rFonts w:ascii="Arial" w:hAnsi="Arial" w:cs="Arial"/>
          <w:sz w:val="20"/>
          <w:szCs w:val="20"/>
        </w:rPr>
      </w:pPr>
      <w:r>
        <w:rPr>
          <w:rFonts w:ascii="Arial" w:hAnsi="Arial" w:cs="Arial"/>
          <w:sz w:val="20"/>
          <w:szCs w:val="20"/>
        </w:rPr>
        <w:t>E</w:t>
      </w:r>
      <w:r w:rsidR="00990C83" w:rsidRPr="00E5019C">
        <w:rPr>
          <w:rFonts w:ascii="Arial" w:hAnsi="Arial" w:cs="Arial"/>
          <w:sz w:val="20"/>
          <w:szCs w:val="20"/>
        </w:rPr>
        <w:t>l partido incumplió con lo dispuesto en el artículo 443, numeral 1, inciso f) de la Ley General de Instituciones y Procedimientos Electorales, por un importe de $122,699.22.</w:t>
      </w:r>
    </w:p>
    <w:p w:rsidR="00990C83" w:rsidRDefault="00990C83" w:rsidP="00476839">
      <w:pPr>
        <w:pStyle w:val="Default"/>
        <w:contextualSpacing/>
        <w:rPr>
          <w:sz w:val="20"/>
          <w:szCs w:val="20"/>
        </w:rPr>
      </w:pPr>
    </w:p>
    <w:p w:rsidR="004158CC" w:rsidRDefault="004158CC" w:rsidP="00476839">
      <w:pPr>
        <w:pStyle w:val="Default"/>
        <w:contextualSpacing/>
        <w:rPr>
          <w:sz w:val="20"/>
          <w:szCs w:val="20"/>
        </w:rPr>
      </w:pPr>
    </w:p>
    <w:p w:rsidR="00990C83" w:rsidRPr="00E5019C" w:rsidRDefault="005C2DB9" w:rsidP="00476839">
      <w:pPr>
        <w:pStyle w:val="Default"/>
        <w:contextualSpacing/>
        <w:jc w:val="center"/>
        <w:rPr>
          <w:b/>
          <w:bCs/>
          <w:sz w:val="20"/>
          <w:szCs w:val="20"/>
        </w:rPr>
      </w:pPr>
      <w:r>
        <w:rPr>
          <w:b/>
          <w:bCs/>
          <w:sz w:val="20"/>
          <w:szCs w:val="20"/>
        </w:rPr>
        <w:t>Partido Verde Ecologista de México</w:t>
      </w:r>
    </w:p>
    <w:p w:rsidR="00990C83" w:rsidRPr="00E5019C" w:rsidRDefault="00990C83" w:rsidP="00476839">
      <w:pPr>
        <w:pStyle w:val="Default"/>
        <w:contextualSpacing/>
        <w:rPr>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 Sustanciales</w:t>
      </w:r>
    </w:p>
    <w:p w:rsidR="00087D29" w:rsidRDefault="00087D29" w:rsidP="00476839">
      <w:pPr>
        <w:pStyle w:val="Prrafodelista"/>
        <w:numPr>
          <w:ilvl w:val="0"/>
          <w:numId w:val="50"/>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no reportó el gasto por la propaganda observada, derivado del procedimiento de monitoreo de espectaculares por un monto de $420,000.00.”</w:t>
      </w:r>
    </w:p>
    <w:p w:rsidR="00990C83" w:rsidRPr="00E5019C" w:rsidRDefault="00990C83" w:rsidP="00476839">
      <w:pPr>
        <w:pStyle w:val="Prrafodelista"/>
        <w:ind w:left="426"/>
        <w:jc w:val="both"/>
        <w:rPr>
          <w:rFonts w:ascii="Arial" w:hAnsi="Arial" w:cs="Arial"/>
          <w:sz w:val="20"/>
          <w:szCs w:val="20"/>
        </w:rPr>
      </w:pPr>
      <w:r w:rsidRPr="00E5019C">
        <w:rPr>
          <w:rFonts w:ascii="Arial" w:hAnsi="Arial" w:cs="Arial"/>
          <w:sz w:val="20"/>
          <w:szCs w:val="20"/>
        </w:rPr>
        <w:t>En consecuencia, al omitir</w:t>
      </w:r>
      <w:r w:rsidR="00087D29">
        <w:rPr>
          <w:rFonts w:ascii="Arial" w:hAnsi="Arial" w:cs="Arial"/>
          <w:sz w:val="20"/>
          <w:szCs w:val="20"/>
        </w:rPr>
        <w:t>lo</w:t>
      </w:r>
      <w:r w:rsidRPr="00E5019C">
        <w:rPr>
          <w:rFonts w:ascii="Arial" w:hAnsi="Arial" w:cs="Arial"/>
          <w:sz w:val="20"/>
          <w:szCs w:val="20"/>
        </w:rPr>
        <w:t xml:space="preserve"> incumplió con lo dispuesto en el 79, numeral 1, inciso b), fracción I de la Ley General de Partidos Políticos en relación con el artículo 127 del Reglamento de Fiscalización.</w:t>
      </w:r>
    </w:p>
    <w:p w:rsidR="004158CC" w:rsidRDefault="004158CC" w:rsidP="00476839">
      <w:pPr>
        <w:contextualSpacing/>
        <w:jc w:val="both"/>
        <w:rPr>
          <w:rFonts w:ascii="Arial" w:hAnsi="Arial" w:cs="Arial"/>
          <w:b/>
          <w:sz w:val="20"/>
          <w:szCs w:val="20"/>
        </w:rPr>
      </w:pPr>
    </w:p>
    <w:p w:rsidR="004158CC" w:rsidRDefault="004158CC" w:rsidP="00476839">
      <w:pPr>
        <w:contextualSpacing/>
        <w:jc w:val="both"/>
        <w:rPr>
          <w:rFonts w:ascii="Arial" w:hAnsi="Arial" w:cs="Arial"/>
          <w:b/>
          <w:sz w:val="20"/>
          <w:szCs w:val="20"/>
        </w:rPr>
      </w:pPr>
    </w:p>
    <w:p w:rsidR="00990C83" w:rsidRDefault="005C2DB9" w:rsidP="00476839">
      <w:pPr>
        <w:contextualSpacing/>
        <w:jc w:val="center"/>
        <w:rPr>
          <w:rFonts w:ascii="Arial" w:hAnsi="Arial" w:cs="Arial"/>
          <w:b/>
          <w:sz w:val="20"/>
          <w:szCs w:val="20"/>
        </w:rPr>
      </w:pPr>
      <w:r>
        <w:rPr>
          <w:rFonts w:ascii="Arial" w:hAnsi="Arial" w:cs="Arial"/>
          <w:b/>
          <w:sz w:val="20"/>
          <w:szCs w:val="20"/>
        </w:rPr>
        <w:t>Partido Movimiento Ciudadano</w:t>
      </w:r>
    </w:p>
    <w:p w:rsidR="004158CC" w:rsidRPr="00E5019C" w:rsidRDefault="004158CC" w:rsidP="00476839">
      <w:pPr>
        <w:contextualSpacing/>
        <w:jc w:val="both"/>
        <w:rPr>
          <w:rFonts w:ascii="Arial" w:hAnsi="Arial" w:cs="Arial"/>
          <w:b/>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Formales</w:t>
      </w:r>
    </w:p>
    <w:p w:rsidR="00087D29" w:rsidRDefault="00087D29" w:rsidP="00476839">
      <w:pPr>
        <w:pStyle w:val="Prrafodelista"/>
        <w:numPr>
          <w:ilvl w:val="0"/>
          <w:numId w:val="51"/>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El partido present</w:t>
      </w:r>
      <w:r>
        <w:rPr>
          <w:rFonts w:ascii="Arial" w:hAnsi="Arial" w:cs="Arial"/>
          <w:sz w:val="20"/>
          <w:szCs w:val="20"/>
        </w:rPr>
        <w:t>ó</w:t>
      </w:r>
      <w:r w:rsidR="00990C83" w:rsidRPr="00E5019C">
        <w:rPr>
          <w:rFonts w:ascii="Arial" w:hAnsi="Arial" w:cs="Arial"/>
          <w:sz w:val="20"/>
          <w:szCs w:val="20"/>
        </w:rPr>
        <w:t xml:space="preserve"> 23 informes fuera de los plazos establecidos</w:t>
      </w:r>
      <w:r>
        <w:rPr>
          <w:rFonts w:ascii="Arial" w:hAnsi="Arial" w:cs="Arial"/>
          <w:sz w:val="20"/>
          <w:szCs w:val="20"/>
        </w:rPr>
        <w:t>”.</w:t>
      </w:r>
    </w:p>
    <w:p w:rsidR="00990C83" w:rsidRDefault="00990C83" w:rsidP="00476839">
      <w:pPr>
        <w:pStyle w:val="Prrafodelista"/>
        <w:ind w:left="426"/>
        <w:jc w:val="both"/>
        <w:rPr>
          <w:rFonts w:ascii="Arial" w:hAnsi="Arial" w:cs="Arial"/>
          <w:sz w:val="20"/>
          <w:szCs w:val="20"/>
        </w:rPr>
      </w:pPr>
      <w:r w:rsidRPr="00E5019C">
        <w:rPr>
          <w:rFonts w:ascii="Arial" w:hAnsi="Arial" w:cs="Arial"/>
          <w:sz w:val="20"/>
          <w:szCs w:val="20"/>
        </w:rPr>
        <w:t>Tal situación constituye, a juicio de la Unidad Técnica de Fiscalización, un incumplimiento a lo establecido en el artículo 79, numeral 1, inciso b), fracción III, de la Ley General de Partidos Políticos</w:t>
      </w:r>
      <w:r w:rsidR="00087D29">
        <w:rPr>
          <w:rFonts w:ascii="Arial" w:hAnsi="Arial" w:cs="Arial"/>
          <w:sz w:val="20"/>
          <w:szCs w:val="20"/>
        </w:rPr>
        <w:t>.</w:t>
      </w:r>
    </w:p>
    <w:p w:rsidR="00087D29" w:rsidRPr="00E5019C" w:rsidRDefault="00087D29" w:rsidP="00476839">
      <w:pPr>
        <w:pStyle w:val="Prrafodelista"/>
        <w:ind w:left="426"/>
        <w:jc w:val="both"/>
        <w:rPr>
          <w:rFonts w:ascii="Arial" w:hAnsi="Arial" w:cs="Arial"/>
          <w:sz w:val="20"/>
          <w:szCs w:val="20"/>
        </w:rPr>
      </w:pPr>
    </w:p>
    <w:p w:rsidR="00087D29" w:rsidRDefault="00087D29" w:rsidP="00476839">
      <w:pPr>
        <w:pStyle w:val="Prrafodelista"/>
        <w:numPr>
          <w:ilvl w:val="0"/>
          <w:numId w:val="51"/>
        </w:numPr>
        <w:ind w:left="426" w:hanging="426"/>
        <w:jc w:val="both"/>
        <w:rPr>
          <w:rFonts w:ascii="Arial" w:hAnsi="Arial" w:cs="Arial"/>
          <w:sz w:val="20"/>
          <w:szCs w:val="20"/>
        </w:rPr>
      </w:pPr>
      <w:r>
        <w:rPr>
          <w:rFonts w:ascii="Arial" w:hAnsi="Arial" w:cs="Arial"/>
          <w:sz w:val="20"/>
          <w:szCs w:val="20"/>
        </w:rPr>
        <w:t>“</w:t>
      </w:r>
      <w:r w:rsidR="00990C83" w:rsidRPr="00E5019C">
        <w:rPr>
          <w:rFonts w:ascii="Arial" w:hAnsi="Arial" w:cs="Arial"/>
          <w:sz w:val="20"/>
          <w:szCs w:val="20"/>
        </w:rPr>
        <w:t>MC presentó 98 Informes de Campaña, 86 en tiempo y forma y, 12 extemporáneos, correspondientes al Proceso Electoral Local Ordinario 2014</w:t>
      </w:r>
      <w:r>
        <w:rPr>
          <w:rFonts w:ascii="Arial" w:hAnsi="Arial" w:cs="Arial"/>
          <w:sz w:val="20"/>
          <w:szCs w:val="20"/>
        </w:rPr>
        <w:t xml:space="preserve"> </w:t>
      </w:r>
      <w:r w:rsidR="00990C83" w:rsidRPr="00E5019C">
        <w:rPr>
          <w:rFonts w:ascii="Arial" w:hAnsi="Arial" w:cs="Arial"/>
          <w:sz w:val="20"/>
          <w:szCs w:val="20"/>
        </w:rPr>
        <w:t>-</w:t>
      </w:r>
      <w:r>
        <w:rPr>
          <w:rFonts w:ascii="Arial" w:hAnsi="Arial" w:cs="Arial"/>
          <w:sz w:val="20"/>
          <w:szCs w:val="20"/>
        </w:rPr>
        <w:t xml:space="preserve"> </w:t>
      </w:r>
      <w:r w:rsidR="00990C83" w:rsidRPr="00E5019C">
        <w:rPr>
          <w:rFonts w:ascii="Arial" w:hAnsi="Arial" w:cs="Arial"/>
          <w:sz w:val="20"/>
          <w:szCs w:val="20"/>
        </w:rPr>
        <w:t>2015, mismos que fueron revisados en primera instancia para detectar errores y omisiones técnicas generales.”</w:t>
      </w:r>
    </w:p>
    <w:p w:rsidR="00990C83" w:rsidRDefault="00990C83" w:rsidP="00476839">
      <w:pPr>
        <w:pStyle w:val="Prrafodelista"/>
        <w:ind w:left="426"/>
        <w:jc w:val="both"/>
        <w:rPr>
          <w:rFonts w:ascii="Arial" w:hAnsi="Arial" w:cs="Arial"/>
          <w:sz w:val="20"/>
          <w:szCs w:val="20"/>
        </w:rPr>
      </w:pPr>
      <w:r w:rsidRPr="00E5019C">
        <w:rPr>
          <w:rFonts w:ascii="Arial" w:hAnsi="Arial" w:cs="Arial"/>
          <w:sz w:val="20"/>
          <w:szCs w:val="20"/>
        </w:rPr>
        <w:t>Tal situación constituye, a juicio de la Unidad Técnica de Fiscalización, un incumplimiento a lo establecido en el artículo 79, numeral 1, inciso b), fracción III, de la Ley General de Partidos Políticos.</w:t>
      </w:r>
    </w:p>
    <w:p w:rsidR="00087D29" w:rsidRDefault="00087D29" w:rsidP="00476839">
      <w:pPr>
        <w:pStyle w:val="Prrafodelista"/>
        <w:ind w:left="426"/>
        <w:jc w:val="both"/>
        <w:rPr>
          <w:rFonts w:ascii="Arial" w:hAnsi="Arial" w:cs="Arial"/>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lastRenderedPageBreak/>
        <w:t>Faltas Sustanciales</w:t>
      </w:r>
    </w:p>
    <w:p w:rsidR="00087D29" w:rsidRDefault="00AD3A14" w:rsidP="00476839">
      <w:pPr>
        <w:pStyle w:val="Prrafodelista"/>
        <w:numPr>
          <w:ilvl w:val="0"/>
          <w:numId w:val="52"/>
        </w:numPr>
        <w:ind w:left="426" w:hanging="426"/>
        <w:jc w:val="both"/>
        <w:rPr>
          <w:rFonts w:ascii="Arial" w:hAnsi="Arial" w:cs="Arial"/>
          <w:sz w:val="20"/>
          <w:szCs w:val="20"/>
        </w:rPr>
      </w:pPr>
      <w:r>
        <w:rPr>
          <w:rFonts w:ascii="Arial" w:hAnsi="Arial" w:cs="Arial"/>
          <w:sz w:val="20"/>
          <w:szCs w:val="20"/>
        </w:rPr>
        <w:t>“</w:t>
      </w:r>
      <w:r w:rsidR="00292F59" w:rsidRPr="00E5019C">
        <w:rPr>
          <w:rFonts w:ascii="Arial" w:hAnsi="Arial" w:cs="Arial"/>
          <w:sz w:val="20"/>
          <w:szCs w:val="20"/>
        </w:rPr>
        <w:t>Los sujetos obligados omitieron</w:t>
      </w:r>
      <w:r w:rsidR="00990C83" w:rsidRPr="00E5019C">
        <w:rPr>
          <w:rFonts w:ascii="Arial" w:hAnsi="Arial" w:cs="Arial"/>
          <w:sz w:val="20"/>
          <w:szCs w:val="20"/>
        </w:rPr>
        <w:t xml:space="preserve"> presentar 2 “Informe de Campaña” al cargo de Diputados Locales”.</w:t>
      </w:r>
    </w:p>
    <w:p w:rsidR="00990C83" w:rsidRDefault="00990C83" w:rsidP="00476839">
      <w:pPr>
        <w:pStyle w:val="Prrafodelista"/>
        <w:ind w:left="426"/>
        <w:jc w:val="both"/>
        <w:rPr>
          <w:rFonts w:ascii="Arial" w:hAnsi="Arial" w:cs="Arial"/>
          <w:sz w:val="20"/>
          <w:szCs w:val="20"/>
        </w:rPr>
      </w:pPr>
      <w:r w:rsidRPr="00E5019C">
        <w:rPr>
          <w:rFonts w:ascii="Arial" w:hAnsi="Arial" w:cs="Arial"/>
          <w:sz w:val="20"/>
          <w:szCs w:val="20"/>
        </w:rPr>
        <w:t>En consecuencia, el sujeto obligado incumplió con lo dispuesto en el artículo 79, numeral 1, inciso b), fracción III de la Ley General de Partidos Políticos</w:t>
      </w:r>
      <w:r w:rsidR="00292F59">
        <w:rPr>
          <w:rFonts w:ascii="Arial" w:hAnsi="Arial" w:cs="Arial"/>
          <w:sz w:val="20"/>
          <w:szCs w:val="20"/>
        </w:rPr>
        <w:t>.</w:t>
      </w:r>
    </w:p>
    <w:p w:rsidR="00087D29" w:rsidRPr="00E5019C" w:rsidRDefault="00087D29" w:rsidP="00476839">
      <w:pPr>
        <w:pStyle w:val="Prrafodelista"/>
        <w:ind w:left="426"/>
        <w:jc w:val="both"/>
        <w:rPr>
          <w:rFonts w:ascii="Arial" w:hAnsi="Arial" w:cs="Arial"/>
          <w:sz w:val="20"/>
          <w:szCs w:val="20"/>
        </w:rPr>
      </w:pPr>
    </w:p>
    <w:p w:rsidR="00AD3A14" w:rsidRDefault="00AD3A14" w:rsidP="00476839">
      <w:pPr>
        <w:pStyle w:val="Prrafodelista"/>
        <w:numPr>
          <w:ilvl w:val="0"/>
          <w:numId w:val="52"/>
        </w:numPr>
        <w:ind w:left="426" w:hanging="426"/>
        <w:jc w:val="both"/>
        <w:rPr>
          <w:rFonts w:ascii="Arial" w:hAnsi="Arial" w:cs="Arial"/>
          <w:bCs/>
          <w:sz w:val="20"/>
          <w:szCs w:val="20"/>
        </w:rPr>
      </w:pPr>
      <w:r>
        <w:rPr>
          <w:rFonts w:ascii="Arial" w:hAnsi="Arial" w:cs="Arial"/>
          <w:bCs/>
          <w:sz w:val="20"/>
          <w:szCs w:val="20"/>
        </w:rPr>
        <w:t>“</w:t>
      </w:r>
      <w:r w:rsidR="00990C83" w:rsidRPr="00292F59">
        <w:rPr>
          <w:rFonts w:ascii="Arial" w:hAnsi="Arial" w:cs="Arial"/>
          <w:bCs/>
          <w:sz w:val="20"/>
          <w:szCs w:val="20"/>
        </w:rPr>
        <w:t>El partido omitió presentar soporte documental respecto de pólizas de ingresos por un monte de $54,425.00”.</w:t>
      </w:r>
    </w:p>
    <w:p w:rsidR="00990C83" w:rsidRDefault="00AD3A14" w:rsidP="00476839">
      <w:pPr>
        <w:pStyle w:val="Prrafodelista"/>
        <w:ind w:left="426"/>
        <w:jc w:val="both"/>
        <w:rPr>
          <w:rFonts w:ascii="Arial" w:hAnsi="Arial" w:cs="Arial"/>
          <w:bCs/>
          <w:sz w:val="20"/>
          <w:szCs w:val="20"/>
        </w:rPr>
      </w:pPr>
      <w:r>
        <w:rPr>
          <w:rFonts w:ascii="Arial" w:hAnsi="Arial" w:cs="Arial"/>
          <w:bCs/>
          <w:sz w:val="20"/>
          <w:szCs w:val="20"/>
        </w:rPr>
        <w:t xml:space="preserve">Al hacerlo </w:t>
      </w:r>
      <w:r w:rsidR="00990C83" w:rsidRPr="00292F59">
        <w:rPr>
          <w:rFonts w:ascii="Arial" w:hAnsi="Arial" w:cs="Arial"/>
          <w:bCs/>
          <w:sz w:val="20"/>
          <w:szCs w:val="20"/>
        </w:rPr>
        <w:t xml:space="preserve">incumplió con lo dispuesto en el artículo 96, numeral 1 del Reglamento de </w:t>
      </w:r>
      <w:r>
        <w:rPr>
          <w:rFonts w:ascii="Arial" w:hAnsi="Arial" w:cs="Arial"/>
          <w:bCs/>
          <w:sz w:val="20"/>
          <w:szCs w:val="20"/>
        </w:rPr>
        <w:t>F</w:t>
      </w:r>
      <w:r w:rsidR="00990C83" w:rsidRPr="00292F59">
        <w:rPr>
          <w:rFonts w:ascii="Arial" w:hAnsi="Arial" w:cs="Arial"/>
          <w:bCs/>
          <w:sz w:val="20"/>
          <w:szCs w:val="20"/>
        </w:rPr>
        <w:t>iscalización</w:t>
      </w:r>
      <w:r w:rsidR="00292F59" w:rsidRPr="00292F59">
        <w:rPr>
          <w:rFonts w:ascii="Arial" w:hAnsi="Arial" w:cs="Arial"/>
          <w:bCs/>
          <w:sz w:val="20"/>
          <w:szCs w:val="20"/>
        </w:rPr>
        <w:t>.</w:t>
      </w:r>
    </w:p>
    <w:p w:rsidR="00087D29" w:rsidRPr="00087D29" w:rsidRDefault="00087D29" w:rsidP="00476839">
      <w:pPr>
        <w:rPr>
          <w:rFonts w:ascii="Arial" w:hAnsi="Arial" w:cs="Arial"/>
          <w:bCs/>
          <w:sz w:val="20"/>
          <w:szCs w:val="20"/>
        </w:rPr>
      </w:pPr>
    </w:p>
    <w:p w:rsidR="00AD3A14" w:rsidRDefault="00AD3A14" w:rsidP="00476839">
      <w:pPr>
        <w:pStyle w:val="Prrafodelista"/>
        <w:numPr>
          <w:ilvl w:val="0"/>
          <w:numId w:val="52"/>
        </w:numPr>
        <w:ind w:left="426" w:hanging="426"/>
        <w:rPr>
          <w:rFonts w:ascii="Arial" w:hAnsi="Arial" w:cs="Arial"/>
          <w:bCs/>
          <w:sz w:val="20"/>
          <w:szCs w:val="20"/>
        </w:rPr>
      </w:pPr>
      <w:r>
        <w:rPr>
          <w:rFonts w:ascii="Arial" w:hAnsi="Arial" w:cs="Arial"/>
          <w:bCs/>
          <w:sz w:val="20"/>
          <w:szCs w:val="20"/>
        </w:rPr>
        <w:t>“</w:t>
      </w:r>
      <w:r w:rsidR="00990C83" w:rsidRPr="00292F59">
        <w:rPr>
          <w:rFonts w:ascii="Arial" w:hAnsi="Arial" w:cs="Arial"/>
          <w:bCs/>
          <w:sz w:val="20"/>
          <w:szCs w:val="20"/>
        </w:rPr>
        <w:t>El partido omitió presentar soporte documental respecto de pólizas de ingresos por un monte de $203,077.99”.</w:t>
      </w:r>
    </w:p>
    <w:p w:rsidR="00990C83" w:rsidRDefault="00AD3A14" w:rsidP="00476839">
      <w:pPr>
        <w:pStyle w:val="Prrafodelista"/>
        <w:ind w:left="426"/>
        <w:rPr>
          <w:rFonts w:ascii="Arial" w:hAnsi="Arial" w:cs="Arial"/>
          <w:bCs/>
          <w:sz w:val="20"/>
          <w:szCs w:val="20"/>
        </w:rPr>
      </w:pPr>
      <w:r>
        <w:rPr>
          <w:rFonts w:ascii="Arial" w:hAnsi="Arial" w:cs="Arial"/>
          <w:bCs/>
          <w:sz w:val="20"/>
          <w:szCs w:val="20"/>
        </w:rPr>
        <w:t>I</w:t>
      </w:r>
      <w:r w:rsidR="00990C83" w:rsidRPr="00292F59">
        <w:rPr>
          <w:rFonts w:ascii="Arial" w:hAnsi="Arial" w:cs="Arial"/>
          <w:bCs/>
          <w:sz w:val="20"/>
          <w:szCs w:val="20"/>
        </w:rPr>
        <w:t>ncumplió con lo dispuesto en el artículo 96, numeral 1 del Reglamento de Fiscalización.</w:t>
      </w:r>
    </w:p>
    <w:p w:rsidR="00087D29" w:rsidRPr="00087D29" w:rsidRDefault="00087D29" w:rsidP="00476839">
      <w:pPr>
        <w:rPr>
          <w:rFonts w:ascii="Arial" w:hAnsi="Arial" w:cs="Arial"/>
          <w:bCs/>
          <w:sz w:val="20"/>
          <w:szCs w:val="20"/>
        </w:rPr>
      </w:pPr>
    </w:p>
    <w:p w:rsidR="00AD3A14" w:rsidRDefault="00AD3A14" w:rsidP="00476839">
      <w:pPr>
        <w:pStyle w:val="Prrafodelista"/>
        <w:numPr>
          <w:ilvl w:val="0"/>
          <w:numId w:val="52"/>
        </w:numPr>
        <w:ind w:left="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presentar documentación soporte respecto de pólizas de egresos por un monto de 335,060.17</w:t>
      </w:r>
      <w:r>
        <w:rPr>
          <w:rFonts w:ascii="Arial" w:hAnsi="Arial" w:cs="Arial"/>
          <w:bCs/>
          <w:sz w:val="20"/>
          <w:szCs w:val="20"/>
        </w:rPr>
        <w:t>”</w:t>
      </w:r>
      <w:r w:rsidR="00990C83" w:rsidRPr="00E5019C">
        <w:rPr>
          <w:rFonts w:ascii="Arial" w:hAnsi="Arial" w:cs="Arial"/>
          <w:bCs/>
          <w:sz w:val="20"/>
          <w:szCs w:val="20"/>
        </w:rPr>
        <w:t>.</w:t>
      </w:r>
    </w:p>
    <w:p w:rsidR="00990C83" w:rsidRDefault="00AD3A14"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 xml:space="preserve">l Partido Movimiento Ciudadano incumplió con lo dispuesto en el </w:t>
      </w:r>
      <w:r w:rsidR="00292F59" w:rsidRPr="00E5019C">
        <w:rPr>
          <w:rFonts w:ascii="Arial" w:hAnsi="Arial" w:cs="Arial"/>
          <w:bCs/>
          <w:sz w:val="20"/>
          <w:szCs w:val="20"/>
        </w:rPr>
        <w:t>artículo,</w:t>
      </w:r>
      <w:r w:rsidR="00990C83" w:rsidRPr="00E5019C">
        <w:rPr>
          <w:rFonts w:ascii="Arial" w:hAnsi="Arial" w:cs="Arial"/>
          <w:bCs/>
          <w:sz w:val="20"/>
          <w:szCs w:val="20"/>
        </w:rPr>
        <w:t xml:space="preserve"> así como 127 del Reglamento de Fiscalización.</w:t>
      </w:r>
    </w:p>
    <w:p w:rsidR="00087D29" w:rsidRPr="00087D29" w:rsidRDefault="00087D29" w:rsidP="00476839">
      <w:pPr>
        <w:jc w:val="both"/>
        <w:rPr>
          <w:rFonts w:ascii="Arial" w:hAnsi="Arial" w:cs="Arial"/>
          <w:bCs/>
          <w:sz w:val="20"/>
          <w:szCs w:val="20"/>
        </w:rPr>
      </w:pPr>
    </w:p>
    <w:p w:rsidR="00AD3A14" w:rsidRDefault="00AD3A14" w:rsidP="00476839">
      <w:pPr>
        <w:pStyle w:val="Prrafodelista"/>
        <w:numPr>
          <w:ilvl w:val="0"/>
          <w:numId w:val="52"/>
        </w:numPr>
        <w:ind w:left="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presentar soporte documental respecto de pólizas de egresos por un monte de $241,474.37”.</w:t>
      </w:r>
    </w:p>
    <w:p w:rsidR="00990C83" w:rsidRDefault="00AD3A14"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 xml:space="preserve">l Partido Movimiento Ciudadano incumplió con lo dispuesto en el </w:t>
      </w:r>
      <w:r w:rsidR="00292F59" w:rsidRPr="00E5019C">
        <w:rPr>
          <w:rFonts w:ascii="Arial" w:hAnsi="Arial" w:cs="Arial"/>
          <w:bCs/>
          <w:sz w:val="20"/>
          <w:szCs w:val="20"/>
        </w:rPr>
        <w:t>artículo,</w:t>
      </w:r>
      <w:r w:rsidR="00990C83" w:rsidRPr="00E5019C">
        <w:rPr>
          <w:rFonts w:ascii="Arial" w:hAnsi="Arial" w:cs="Arial"/>
          <w:bCs/>
          <w:sz w:val="20"/>
          <w:szCs w:val="20"/>
        </w:rPr>
        <w:t xml:space="preserve"> así como 127 del Reglamento de Fiscalización.</w:t>
      </w:r>
    </w:p>
    <w:p w:rsidR="00087D29" w:rsidRPr="00087D29" w:rsidRDefault="00087D29" w:rsidP="00476839">
      <w:pPr>
        <w:jc w:val="both"/>
        <w:rPr>
          <w:rFonts w:ascii="Arial" w:hAnsi="Arial" w:cs="Arial"/>
          <w:bCs/>
          <w:sz w:val="20"/>
          <w:szCs w:val="20"/>
        </w:rPr>
      </w:pPr>
    </w:p>
    <w:p w:rsidR="00AD3A14" w:rsidRDefault="00AD3A14" w:rsidP="00476839">
      <w:pPr>
        <w:pStyle w:val="Prrafodelista"/>
        <w:numPr>
          <w:ilvl w:val="0"/>
          <w:numId w:val="52"/>
        </w:numPr>
        <w:ind w:left="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Movimiento Ciudadano omitió reportar el gasto por los conceptos observados en el evento de cierre de campaña por un monto de 313,870.84 ($248,000.15 y $64,870.69)”.</w:t>
      </w:r>
    </w:p>
    <w:p w:rsidR="00990C83" w:rsidRDefault="00AD3A14"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l Partido Movimiento Ciudadano, incumplió con lo dispuesto en el artículo 79, numeral 1, inciso b), fracción I de la Ley General de Partidos Políticos en relación con el artículo 127 del Reglamento de Fiscalización.</w:t>
      </w:r>
    </w:p>
    <w:p w:rsidR="00087D29" w:rsidRPr="00087D29" w:rsidRDefault="00087D29" w:rsidP="00476839">
      <w:pPr>
        <w:jc w:val="both"/>
        <w:rPr>
          <w:rFonts w:ascii="Arial" w:hAnsi="Arial" w:cs="Arial"/>
          <w:bCs/>
          <w:sz w:val="20"/>
          <w:szCs w:val="20"/>
        </w:rPr>
      </w:pPr>
    </w:p>
    <w:p w:rsidR="00AD3A14" w:rsidRDefault="00AD3A14" w:rsidP="00476839">
      <w:pPr>
        <w:pStyle w:val="Prrafodelista"/>
        <w:numPr>
          <w:ilvl w:val="0"/>
          <w:numId w:val="52"/>
        </w:numPr>
        <w:ind w:left="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reportar el gasto por concepto de espectaculares por un monto de $80,000.00 ($248,000.15 y $64,870.69)</w:t>
      </w:r>
      <w:r w:rsidR="00292F59" w:rsidRPr="00E5019C">
        <w:rPr>
          <w:rFonts w:ascii="Arial" w:hAnsi="Arial" w:cs="Arial"/>
          <w:bCs/>
          <w:sz w:val="20"/>
          <w:szCs w:val="20"/>
        </w:rPr>
        <w:t>”.</w:t>
      </w:r>
    </w:p>
    <w:p w:rsidR="00990C83" w:rsidRPr="00E5019C" w:rsidRDefault="00AD3A14" w:rsidP="00476839">
      <w:pPr>
        <w:pStyle w:val="Prrafodelista"/>
        <w:ind w:left="426"/>
        <w:jc w:val="both"/>
        <w:rPr>
          <w:rFonts w:ascii="Arial" w:hAnsi="Arial" w:cs="Arial"/>
          <w:bCs/>
          <w:sz w:val="20"/>
          <w:szCs w:val="20"/>
        </w:rPr>
      </w:pPr>
      <w:r>
        <w:rPr>
          <w:rFonts w:ascii="Arial" w:hAnsi="Arial" w:cs="Arial"/>
          <w:bCs/>
          <w:sz w:val="20"/>
          <w:szCs w:val="20"/>
        </w:rPr>
        <w:t>I</w:t>
      </w:r>
      <w:r w:rsidR="00990C83" w:rsidRPr="00E5019C">
        <w:rPr>
          <w:rFonts w:ascii="Arial" w:hAnsi="Arial" w:cs="Arial"/>
          <w:bCs/>
          <w:sz w:val="20"/>
          <w:szCs w:val="20"/>
        </w:rPr>
        <w:t>ncumplió con lo dispuesto en el artículo 79, numeral 1, inciso b), fracción I de la Ley General de Partidos Políticos en relación con el artículo 127 del Reglamento de Fiscalización</w:t>
      </w:r>
      <w:r w:rsidR="00292F59">
        <w:rPr>
          <w:rFonts w:ascii="Arial" w:hAnsi="Arial" w:cs="Arial"/>
          <w:bCs/>
          <w:sz w:val="20"/>
          <w:szCs w:val="20"/>
        </w:rPr>
        <w:t>.</w:t>
      </w:r>
    </w:p>
    <w:p w:rsidR="00990C83" w:rsidRDefault="00990C83" w:rsidP="00476839">
      <w:pPr>
        <w:pStyle w:val="Default"/>
        <w:contextualSpacing/>
        <w:rPr>
          <w:sz w:val="20"/>
          <w:szCs w:val="20"/>
        </w:rPr>
      </w:pPr>
    </w:p>
    <w:p w:rsidR="00292F59" w:rsidRDefault="00292F59" w:rsidP="00476839">
      <w:pPr>
        <w:pStyle w:val="Default"/>
        <w:contextualSpacing/>
        <w:rPr>
          <w:sz w:val="20"/>
          <w:szCs w:val="20"/>
        </w:rPr>
      </w:pPr>
    </w:p>
    <w:p w:rsidR="00990C83" w:rsidRPr="00E5019C" w:rsidRDefault="005C2DB9" w:rsidP="00476839">
      <w:pPr>
        <w:pStyle w:val="Default"/>
        <w:contextualSpacing/>
        <w:jc w:val="center"/>
        <w:rPr>
          <w:b/>
          <w:bCs/>
          <w:sz w:val="20"/>
          <w:szCs w:val="20"/>
        </w:rPr>
      </w:pPr>
      <w:r>
        <w:rPr>
          <w:b/>
          <w:bCs/>
          <w:sz w:val="20"/>
          <w:szCs w:val="20"/>
        </w:rPr>
        <w:t>Partido Nueva Alianza</w:t>
      </w:r>
    </w:p>
    <w:p w:rsidR="00990C83" w:rsidRPr="00E5019C" w:rsidRDefault="00990C83" w:rsidP="00476839">
      <w:pPr>
        <w:pStyle w:val="Default"/>
        <w:contextualSpacing/>
        <w:rPr>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 Sustancial</w:t>
      </w:r>
    </w:p>
    <w:p w:rsidR="00AD3A14" w:rsidRDefault="00AD3A14" w:rsidP="00476839">
      <w:pPr>
        <w:pStyle w:val="Prrafodelista"/>
        <w:numPr>
          <w:ilvl w:val="0"/>
          <w:numId w:val="53"/>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 xml:space="preserve">El partido omitió reportar el gasto realizado por concepto de un templete, por un monto de $6,000.00 </w:t>
      </w:r>
      <w:r>
        <w:rPr>
          <w:rFonts w:ascii="Arial" w:hAnsi="Arial" w:cs="Arial"/>
          <w:bCs/>
          <w:sz w:val="20"/>
          <w:szCs w:val="20"/>
        </w:rPr>
        <w:t>visitas de verificación”</w:t>
      </w:r>
      <w:r w:rsidR="00990C83" w:rsidRPr="00E5019C">
        <w:rPr>
          <w:rFonts w:ascii="Arial" w:hAnsi="Arial" w:cs="Arial"/>
          <w:bCs/>
          <w:sz w:val="20"/>
          <w:szCs w:val="20"/>
        </w:rPr>
        <w:t>.</w:t>
      </w:r>
    </w:p>
    <w:p w:rsidR="00990C83" w:rsidRPr="00E5019C" w:rsidRDefault="00AD3A14"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l Partido Nueva Alianza incumplió con lo dispuesto en el 79, numeral 1, inciso b), fracción I de la Ley General de Partidos Políticos en relación con el artículo 127 del Reglamento de Fiscalización</w:t>
      </w:r>
      <w:r w:rsidR="00292F59">
        <w:rPr>
          <w:rFonts w:ascii="Arial" w:hAnsi="Arial" w:cs="Arial"/>
          <w:bCs/>
          <w:sz w:val="20"/>
          <w:szCs w:val="20"/>
        </w:rPr>
        <w:t>.</w:t>
      </w:r>
    </w:p>
    <w:p w:rsidR="00990C83" w:rsidRDefault="00990C83" w:rsidP="00476839">
      <w:pPr>
        <w:pStyle w:val="Default"/>
        <w:contextualSpacing/>
        <w:rPr>
          <w:sz w:val="20"/>
          <w:szCs w:val="20"/>
        </w:rPr>
      </w:pPr>
    </w:p>
    <w:p w:rsidR="005C2DB9" w:rsidRPr="00E5019C" w:rsidRDefault="005C2DB9" w:rsidP="00476839">
      <w:pPr>
        <w:pStyle w:val="Default"/>
        <w:contextualSpacing/>
        <w:rPr>
          <w:sz w:val="20"/>
          <w:szCs w:val="20"/>
        </w:rPr>
      </w:pPr>
    </w:p>
    <w:p w:rsidR="00990C83" w:rsidRPr="00E5019C" w:rsidRDefault="005C2DB9" w:rsidP="00476839">
      <w:pPr>
        <w:pStyle w:val="Default"/>
        <w:contextualSpacing/>
        <w:jc w:val="center"/>
        <w:rPr>
          <w:sz w:val="20"/>
          <w:szCs w:val="20"/>
        </w:rPr>
      </w:pPr>
      <w:r>
        <w:rPr>
          <w:b/>
          <w:bCs/>
          <w:sz w:val="20"/>
          <w:szCs w:val="20"/>
        </w:rPr>
        <w:t>Partido Morena</w:t>
      </w:r>
    </w:p>
    <w:p w:rsidR="00990C83" w:rsidRPr="00E5019C" w:rsidRDefault="00990C83" w:rsidP="00476839">
      <w:pPr>
        <w:pStyle w:val="Default"/>
        <w:contextualSpacing/>
        <w:rPr>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Formales</w:t>
      </w:r>
    </w:p>
    <w:p w:rsidR="00245A87" w:rsidRDefault="00245A87" w:rsidP="00476839">
      <w:pPr>
        <w:pStyle w:val="Prrafodelista"/>
        <w:numPr>
          <w:ilvl w:val="0"/>
          <w:numId w:val="54"/>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presentar 77 Informes de Campaña, aún y cuando éstos contaron con registros en SIF.”</w:t>
      </w:r>
    </w:p>
    <w:p w:rsidR="00990C83" w:rsidRDefault="00990C83" w:rsidP="00476839">
      <w:pPr>
        <w:pStyle w:val="Prrafodelista"/>
        <w:ind w:left="426"/>
        <w:jc w:val="both"/>
        <w:rPr>
          <w:rFonts w:ascii="Arial" w:hAnsi="Arial" w:cs="Arial"/>
          <w:bCs/>
          <w:sz w:val="20"/>
          <w:szCs w:val="20"/>
        </w:rPr>
      </w:pPr>
      <w:r w:rsidRPr="00E5019C">
        <w:rPr>
          <w:rFonts w:ascii="Arial" w:hAnsi="Arial" w:cs="Arial"/>
          <w:bCs/>
          <w:sz w:val="20"/>
          <w:szCs w:val="20"/>
        </w:rPr>
        <w:t>Tal incumplimiento vulnera lo establecido en el artículo 79, inciso b), fracción III, de la Ley General de Partidos Políticos, en relación con los artículos 37, numeral 1 y 244, numeral 1del Reglamento de Fiscalización.</w:t>
      </w:r>
    </w:p>
    <w:p w:rsidR="00245A87" w:rsidRPr="00245A87" w:rsidRDefault="00245A87" w:rsidP="00476839">
      <w:pPr>
        <w:jc w:val="both"/>
        <w:rPr>
          <w:rFonts w:ascii="Arial" w:hAnsi="Arial" w:cs="Arial"/>
          <w:bCs/>
          <w:sz w:val="20"/>
          <w:szCs w:val="20"/>
        </w:rPr>
      </w:pPr>
    </w:p>
    <w:p w:rsidR="00245A87" w:rsidRDefault="00245A87" w:rsidP="00476839">
      <w:pPr>
        <w:pStyle w:val="Prrafodelista"/>
        <w:numPr>
          <w:ilvl w:val="0"/>
          <w:numId w:val="54"/>
        </w:numPr>
        <w:ind w:left="426" w:hanging="426"/>
        <w:jc w:val="both"/>
        <w:rPr>
          <w:rFonts w:ascii="Arial" w:hAnsi="Arial" w:cs="Arial"/>
          <w:bCs/>
          <w:sz w:val="20"/>
          <w:szCs w:val="20"/>
        </w:rPr>
      </w:pPr>
      <w:r>
        <w:rPr>
          <w:rFonts w:ascii="Arial" w:hAnsi="Arial" w:cs="Arial"/>
          <w:bCs/>
          <w:sz w:val="20"/>
          <w:szCs w:val="20"/>
        </w:rPr>
        <w:lastRenderedPageBreak/>
        <w:t>“</w:t>
      </w:r>
      <w:r w:rsidR="00990C83" w:rsidRPr="00E5019C">
        <w:rPr>
          <w:rFonts w:ascii="Arial" w:hAnsi="Arial" w:cs="Arial"/>
          <w:bCs/>
          <w:sz w:val="20"/>
          <w:szCs w:val="20"/>
        </w:rPr>
        <w:t>Se presentaron 15 informes fuera de los plazos establecidos.”</w:t>
      </w:r>
    </w:p>
    <w:p w:rsidR="00990C83" w:rsidRDefault="00245A87" w:rsidP="00476839">
      <w:pPr>
        <w:pStyle w:val="Prrafodelista"/>
        <w:ind w:left="426"/>
        <w:jc w:val="both"/>
        <w:rPr>
          <w:rFonts w:ascii="Arial" w:hAnsi="Arial" w:cs="Arial"/>
          <w:bCs/>
          <w:sz w:val="20"/>
          <w:szCs w:val="20"/>
        </w:rPr>
      </w:pPr>
      <w:r>
        <w:rPr>
          <w:rFonts w:ascii="Arial" w:hAnsi="Arial" w:cs="Arial"/>
          <w:bCs/>
          <w:sz w:val="20"/>
          <w:szCs w:val="20"/>
        </w:rPr>
        <w:t>Esto</w:t>
      </w:r>
      <w:r w:rsidR="00990C83" w:rsidRPr="00E5019C">
        <w:rPr>
          <w:rFonts w:ascii="Arial" w:hAnsi="Arial" w:cs="Arial"/>
          <w:bCs/>
          <w:sz w:val="20"/>
          <w:szCs w:val="20"/>
        </w:rPr>
        <w:t xml:space="preserve"> constituye, a juicio de la Unidad Técnica de Fiscalización, un incumplimiento a lo establecido en el artículo 79, numeral 1, inciso b), fracción III, de la Ley General de Partidos Políticos; por lo que se hace del conocimiento del Consejo General del Instituto Nacional Electoral, para efectos de lo establecido en el artículo 456, numeral 1, incisos a) de la Ley General de Instituciones y Procedimientos Electorales.</w:t>
      </w:r>
    </w:p>
    <w:p w:rsidR="00245A87" w:rsidRPr="00E5019C" w:rsidRDefault="00245A87" w:rsidP="00476839">
      <w:pPr>
        <w:pStyle w:val="Prrafodelista"/>
        <w:ind w:left="426"/>
        <w:jc w:val="both"/>
        <w:rPr>
          <w:rFonts w:ascii="Arial" w:hAnsi="Arial" w:cs="Arial"/>
          <w:bCs/>
          <w:sz w:val="20"/>
          <w:szCs w:val="20"/>
        </w:rPr>
      </w:pPr>
    </w:p>
    <w:p w:rsidR="00245A87" w:rsidRDefault="00245A87" w:rsidP="00476839">
      <w:pPr>
        <w:pStyle w:val="Prrafodelista"/>
        <w:numPr>
          <w:ilvl w:val="0"/>
          <w:numId w:val="54"/>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Se presentaron 20 informes fuera de los plazos establecidos.”</w:t>
      </w:r>
    </w:p>
    <w:p w:rsidR="00990C83" w:rsidRDefault="00245A87" w:rsidP="00476839">
      <w:pPr>
        <w:pStyle w:val="Prrafodelista"/>
        <w:ind w:left="426"/>
        <w:jc w:val="both"/>
        <w:rPr>
          <w:rFonts w:ascii="Arial" w:hAnsi="Arial" w:cs="Arial"/>
          <w:bCs/>
          <w:sz w:val="20"/>
          <w:szCs w:val="20"/>
        </w:rPr>
      </w:pPr>
      <w:r>
        <w:rPr>
          <w:rFonts w:ascii="Arial" w:hAnsi="Arial" w:cs="Arial"/>
          <w:bCs/>
          <w:sz w:val="20"/>
          <w:szCs w:val="20"/>
        </w:rPr>
        <w:t xml:space="preserve">Lo que </w:t>
      </w:r>
      <w:r w:rsidR="00990C83" w:rsidRPr="00E5019C">
        <w:rPr>
          <w:rFonts w:ascii="Arial" w:hAnsi="Arial" w:cs="Arial"/>
          <w:bCs/>
          <w:sz w:val="20"/>
          <w:szCs w:val="20"/>
        </w:rPr>
        <w:t>constituye, incumplimiento a lo establecido en el artículo 79, numeral 1, inciso b), fracción III, de la Ley General de Partidos Políticos; por lo que se hace del conocimiento del Consejo General del Instituto Nacional Electoral, para efectos de lo establecido en el artículo 456, numeral 1, incisos a) de la Ley General de Instituciones y Procedimientos Electorales.</w:t>
      </w:r>
    </w:p>
    <w:p w:rsidR="00292F59" w:rsidRPr="00E5019C" w:rsidRDefault="00292F59" w:rsidP="00476839">
      <w:pPr>
        <w:pStyle w:val="Prrafodelista"/>
        <w:ind w:left="426"/>
        <w:jc w:val="both"/>
        <w:rPr>
          <w:rFonts w:ascii="Arial" w:hAnsi="Arial" w:cs="Arial"/>
          <w:bCs/>
          <w:sz w:val="20"/>
          <w:szCs w:val="20"/>
        </w:rPr>
      </w:pPr>
    </w:p>
    <w:p w:rsidR="00990C83" w:rsidRPr="00245A87" w:rsidRDefault="00990C83" w:rsidP="00476839">
      <w:pPr>
        <w:rPr>
          <w:rFonts w:ascii="Arial" w:hAnsi="Arial" w:cs="Arial"/>
          <w:b/>
          <w:bCs/>
          <w:i/>
          <w:iCs/>
          <w:sz w:val="20"/>
          <w:szCs w:val="20"/>
        </w:rPr>
      </w:pPr>
      <w:r w:rsidRPr="00245A87">
        <w:rPr>
          <w:rFonts w:ascii="Arial" w:hAnsi="Arial" w:cs="Arial"/>
          <w:b/>
          <w:bCs/>
          <w:i/>
          <w:iCs/>
          <w:sz w:val="20"/>
          <w:szCs w:val="20"/>
        </w:rPr>
        <w:t>Faltas Sustanciales</w:t>
      </w:r>
    </w:p>
    <w:p w:rsidR="00245A87" w:rsidRDefault="00245A87" w:rsidP="00476839">
      <w:pPr>
        <w:pStyle w:val="Prrafodelista"/>
        <w:numPr>
          <w:ilvl w:val="0"/>
          <w:numId w:val="55"/>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Omisión de presentar 4 Informes de Campaña de los candidatos al cargo de Diputado Local (Sin Registros en SIF y sin Informe).”</w:t>
      </w:r>
    </w:p>
    <w:p w:rsidR="00990C83" w:rsidRDefault="00990C83" w:rsidP="00476839">
      <w:pPr>
        <w:pStyle w:val="Prrafodelista"/>
        <w:ind w:left="426"/>
        <w:jc w:val="both"/>
        <w:rPr>
          <w:rFonts w:ascii="Arial" w:hAnsi="Arial" w:cs="Arial"/>
          <w:bCs/>
          <w:sz w:val="20"/>
          <w:szCs w:val="20"/>
        </w:rPr>
      </w:pPr>
      <w:r w:rsidRPr="00E5019C">
        <w:rPr>
          <w:rFonts w:ascii="Arial" w:hAnsi="Arial" w:cs="Arial"/>
          <w:bCs/>
          <w:sz w:val="20"/>
          <w:szCs w:val="20"/>
        </w:rPr>
        <w:t>En consecuencia, al omitir presentar 4 Informes de Campaña para el cargo de Diputados Locales, el sujeto obligado incumplió con lo dispuesto en el artículo 79, numeral 1, inciso b), fracción III de la Ley General de Partidos Políticos.</w:t>
      </w:r>
    </w:p>
    <w:p w:rsidR="00245A87" w:rsidRPr="00245A87" w:rsidRDefault="00245A87" w:rsidP="00476839">
      <w:pPr>
        <w:jc w:val="both"/>
        <w:rPr>
          <w:rFonts w:ascii="Arial" w:hAnsi="Arial" w:cs="Arial"/>
          <w:bCs/>
          <w:sz w:val="20"/>
          <w:szCs w:val="20"/>
        </w:rPr>
      </w:pPr>
    </w:p>
    <w:p w:rsidR="00245A87" w:rsidRDefault="00245A87" w:rsidP="00476839">
      <w:pPr>
        <w:pStyle w:val="Prrafodelista"/>
        <w:numPr>
          <w:ilvl w:val="0"/>
          <w:numId w:val="55"/>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Omisión de presentar 7 Informes de Campaña de los candidatos al cargo de Ayuntamiento (Sin Registros en SIF y sin Informe).”</w:t>
      </w:r>
    </w:p>
    <w:p w:rsidR="00990C83" w:rsidRDefault="00245A87"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l sujeto obligado incumplió con lo dispuesto en el artículo 79, numeral 1, inciso b), fracción III de la Ley General de Partidos Políticos</w:t>
      </w:r>
      <w:r w:rsidR="00292F59">
        <w:rPr>
          <w:rFonts w:ascii="Arial" w:hAnsi="Arial" w:cs="Arial"/>
          <w:bCs/>
          <w:sz w:val="20"/>
          <w:szCs w:val="20"/>
        </w:rPr>
        <w:t>.</w:t>
      </w:r>
    </w:p>
    <w:p w:rsidR="00245A87" w:rsidRPr="00E5019C" w:rsidRDefault="00245A87" w:rsidP="00476839">
      <w:pPr>
        <w:pStyle w:val="Prrafodelista"/>
        <w:ind w:left="426"/>
        <w:jc w:val="both"/>
        <w:rPr>
          <w:rFonts w:ascii="Arial" w:hAnsi="Arial" w:cs="Arial"/>
          <w:bCs/>
          <w:sz w:val="20"/>
          <w:szCs w:val="20"/>
        </w:rPr>
      </w:pPr>
    </w:p>
    <w:p w:rsidR="00245A87" w:rsidRDefault="00245A87" w:rsidP="00476839">
      <w:pPr>
        <w:pStyle w:val="Prrafodelista"/>
        <w:numPr>
          <w:ilvl w:val="0"/>
          <w:numId w:val="55"/>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 xml:space="preserve">Morena omitió reportar gastos por concepto de 5 espectaculares, en beneficio de </w:t>
      </w:r>
      <w:r>
        <w:rPr>
          <w:rFonts w:ascii="Arial" w:hAnsi="Arial" w:cs="Arial"/>
          <w:bCs/>
          <w:sz w:val="20"/>
          <w:szCs w:val="20"/>
        </w:rPr>
        <w:t>D</w:t>
      </w:r>
      <w:r w:rsidR="00990C83" w:rsidRPr="00E5019C">
        <w:rPr>
          <w:rFonts w:ascii="Arial" w:hAnsi="Arial" w:cs="Arial"/>
          <w:bCs/>
          <w:sz w:val="20"/>
          <w:szCs w:val="20"/>
        </w:rPr>
        <w:t xml:space="preserve">iputados y </w:t>
      </w:r>
      <w:r>
        <w:rPr>
          <w:rFonts w:ascii="Arial" w:hAnsi="Arial" w:cs="Arial"/>
          <w:bCs/>
          <w:sz w:val="20"/>
          <w:szCs w:val="20"/>
        </w:rPr>
        <w:t>A</w:t>
      </w:r>
      <w:r w:rsidR="00990C83" w:rsidRPr="00E5019C">
        <w:rPr>
          <w:rFonts w:ascii="Arial" w:hAnsi="Arial" w:cs="Arial"/>
          <w:bCs/>
          <w:sz w:val="20"/>
          <w:szCs w:val="20"/>
        </w:rPr>
        <w:t>yuntamientos, por un importe de $100,000.”</w:t>
      </w:r>
    </w:p>
    <w:p w:rsidR="00990C83" w:rsidRDefault="00245A87" w:rsidP="00476839">
      <w:pPr>
        <w:pStyle w:val="Prrafodelista"/>
        <w:ind w:left="426"/>
        <w:jc w:val="both"/>
        <w:rPr>
          <w:rFonts w:ascii="Arial" w:hAnsi="Arial" w:cs="Arial"/>
          <w:bCs/>
          <w:sz w:val="20"/>
          <w:szCs w:val="20"/>
        </w:rPr>
      </w:pPr>
      <w:r>
        <w:rPr>
          <w:rFonts w:ascii="Arial" w:hAnsi="Arial" w:cs="Arial"/>
          <w:bCs/>
          <w:sz w:val="20"/>
          <w:szCs w:val="20"/>
        </w:rPr>
        <w:t>E</w:t>
      </w:r>
      <w:r w:rsidR="00990C83" w:rsidRPr="00E5019C">
        <w:rPr>
          <w:rFonts w:ascii="Arial" w:hAnsi="Arial" w:cs="Arial"/>
          <w:bCs/>
          <w:sz w:val="20"/>
          <w:szCs w:val="20"/>
        </w:rPr>
        <w:t>l Partido Morena incumplió con lo dispuesto en el 79, numeral 1, inciso b), fracción I de la Ley General de Partidos Políticos en relación con el artículo 127 del Reglamento de Fiscalización</w:t>
      </w:r>
      <w:r w:rsidR="00292F59">
        <w:rPr>
          <w:rFonts w:ascii="Arial" w:hAnsi="Arial" w:cs="Arial"/>
          <w:bCs/>
          <w:sz w:val="20"/>
          <w:szCs w:val="20"/>
        </w:rPr>
        <w:t>.</w:t>
      </w:r>
    </w:p>
    <w:p w:rsidR="00245A87" w:rsidRPr="00E5019C" w:rsidRDefault="00245A87" w:rsidP="00476839">
      <w:pPr>
        <w:pStyle w:val="Prrafodelista"/>
        <w:ind w:left="426"/>
        <w:jc w:val="both"/>
        <w:rPr>
          <w:rFonts w:ascii="Arial" w:hAnsi="Arial" w:cs="Arial"/>
          <w:bCs/>
          <w:sz w:val="20"/>
          <w:szCs w:val="20"/>
        </w:rPr>
      </w:pPr>
    </w:p>
    <w:p w:rsidR="00245A87" w:rsidRDefault="00245A87" w:rsidP="00476839">
      <w:pPr>
        <w:pStyle w:val="Prrafodelista"/>
        <w:numPr>
          <w:ilvl w:val="0"/>
          <w:numId w:val="55"/>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Producción de 2 spots de Gastos de radio y televisión, no reportados en beneficio de diputados y ayuntamientos, por un importe de $901,200.00</w:t>
      </w:r>
      <w:r>
        <w:rPr>
          <w:rFonts w:ascii="Arial" w:hAnsi="Arial" w:cs="Arial"/>
          <w:bCs/>
          <w:sz w:val="20"/>
          <w:szCs w:val="20"/>
        </w:rPr>
        <w:t>”.</w:t>
      </w:r>
    </w:p>
    <w:p w:rsidR="00990C83" w:rsidRPr="00E5019C" w:rsidRDefault="002F7FBF" w:rsidP="00476839">
      <w:pPr>
        <w:pStyle w:val="Prrafodelista"/>
        <w:ind w:left="426"/>
        <w:jc w:val="both"/>
        <w:rPr>
          <w:rFonts w:ascii="Arial" w:hAnsi="Arial" w:cs="Arial"/>
          <w:bCs/>
          <w:sz w:val="20"/>
          <w:szCs w:val="20"/>
        </w:rPr>
      </w:pPr>
      <w:r w:rsidRPr="00E5019C">
        <w:rPr>
          <w:rFonts w:ascii="Arial" w:hAnsi="Arial" w:cs="Arial"/>
          <w:bCs/>
          <w:sz w:val="20"/>
          <w:szCs w:val="20"/>
        </w:rPr>
        <w:t>E</w:t>
      </w:r>
      <w:r w:rsidR="00990C83" w:rsidRPr="00E5019C">
        <w:rPr>
          <w:rFonts w:ascii="Arial" w:hAnsi="Arial" w:cs="Arial"/>
          <w:bCs/>
          <w:sz w:val="20"/>
          <w:szCs w:val="20"/>
        </w:rPr>
        <w:t>l sujeto obligado incumplió con lo dispuesto en el 79, numeral 1, inciso b), fracción I de la Ley General de Partidos Políticos en relación con el artículo 127 del Reglamento de Fiscalización.</w:t>
      </w:r>
    </w:p>
    <w:p w:rsidR="00990C83" w:rsidRDefault="00990C83" w:rsidP="00476839">
      <w:pPr>
        <w:pStyle w:val="Default"/>
        <w:contextualSpacing/>
        <w:rPr>
          <w:sz w:val="20"/>
          <w:szCs w:val="20"/>
        </w:rPr>
      </w:pPr>
    </w:p>
    <w:p w:rsidR="00292F59" w:rsidRDefault="00292F59" w:rsidP="00476839">
      <w:pPr>
        <w:pStyle w:val="Default"/>
        <w:contextualSpacing/>
        <w:rPr>
          <w:sz w:val="20"/>
          <w:szCs w:val="20"/>
        </w:rPr>
      </w:pPr>
    </w:p>
    <w:p w:rsidR="00990C83" w:rsidRPr="00E5019C" w:rsidRDefault="005C2DB9" w:rsidP="00476839">
      <w:pPr>
        <w:pStyle w:val="Default"/>
        <w:contextualSpacing/>
        <w:jc w:val="center"/>
        <w:rPr>
          <w:sz w:val="20"/>
          <w:szCs w:val="20"/>
        </w:rPr>
      </w:pPr>
      <w:r>
        <w:rPr>
          <w:b/>
          <w:bCs/>
          <w:sz w:val="20"/>
          <w:szCs w:val="20"/>
        </w:rPr>
        <w:t>Partido Humanista</w:t>
      </w:r>
    </w:p>
    <w:p w:rsidR="00990C83" w:rsidRPr="00E5019C" w:rsidRDefault="00990C83" w:rsidP="00476839">
      <w:pPr>
        <w:pStyle w:val="Default"/>
        <w:contextualSpacing/>
        <w:rPr>
          <w:sz w:val="20"/>
          <w:szCs w:val="20"/>
        </w:rPr>
      </w:pPr>
    </w:p>
    <w:p w:rsidR="00990C83" w:rsidRPr="00292F59" w:rsidRDefault="00990C83" w:rsidP="00476839">
      <w:pPr>
        <w:rPr>
          <w:rFonts w:ascii="Arial" w:hAnsi="Arial" w:cs="Arial"/>
          <w:bCs/>
          <w:i/>
          <w:iCs/>
          <w:sz w:val="20"/>
          <w:szCs w:val="20"/>
        </w:rPr>
      </w:pPr>
      <w:r w:rsidRPr="005C2DB9">
        <w:rPr>
          <w:rFonts w:ascii="Arial" w:hAnsi="Arial" w:cs="Arial"/>
          <w:b/>
          <w:bCs/>
          <w:i/>
          <w:iCs/>
          <w:sz w:val="20"/>
          <w:szCs w:val="20"/>
        </w:rPr>
        <w:t>Faltas Sustanciales</w:t>
      </w:r>
    </w:p>
    <w:p w:rsidR="00245A87" w:rsidRDefault="00245A87" w:rsidP="00476839">
      <w:pPr>
        <w:pStyle w:val="Prrafodelista"/>
        <w:numPr>
          <w:ilvl w:val="0"/>
          <w:numId w:val="56"/>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Humanista omitió reportar la erogación realizada por concepto de 2 espectaculares genéricos, que beneficiaron a diputados federales, diputados locales y ayuntamientos, por un importe de $40,000.00</w:t>
      </w:r>
      <w:r>
        <w:rPr>
          <w:rFonts w:ascii="Arial" w:hAnsi="Arial" w:cs="Arial"/>
          <w:bCs/>
          <w:sz w:val="20"/>
          <w:szCs w:val="20"/>
        </w:rPr>
        <w:t>”.</w:t>
      </w:r>
    </w:p>
    <w:p w:rsidR="00990C83" w:rsidRPr="00E5019C" w:rsidRDefault="00270E11" w:rsidP="00476839">
      <w:pPr>
        <w:pStyle w:val="Prrafodelista"/>
        <w:ind w:left="426"/>
        <w:jc w:val="both"/>
        <w:rPr>
          <w:rFonts w:ascii="Arial" w:hAnsi="Arial" w:cs="Arial"/>
          <w:bCs/>
          <w:sz w:val="20"/>
          <w:szCs w:val="20"/>
        </w:rPr>
      </w:pPr>
      <w:r>
        <w:rPr>
          <w:rFonts w:ascii="Arial" w:hAnsi="Arial" w:cs="Arial"/>
          <w:bCs/>
          <w:sz w:val="20"/>
          <w:szCs w:val="20"/>
        </w:rPr>
        <w:t>El</w:t>
      </w:r>
      <w:r w:rsidR="00990C83" w:rsidRPr="00E5019C">
        <w:rPr>
          <w:rFonts w:ascii="Arial" w:hAnsi="Arial" w:cs="Arial"/>
          <w:bCs/>
          <w:sz w:val="20"/>
          <w:szCs w:val="20"/>
        </w:rPr>
        <w:t xml:space="preserve"> Partido Humanista incumplió con lo dispuesto en el 79, numeral 1, inciso b), fracción I de la Ley General de Partidos Políticos en relación con el artículo 127 del Reglamento de Fiscalización.</w:t>
      </w:r>
    </w:p>
    <w:p w:rsidR="00270E11" w:rsidRDefault="00270E11" w:rsidP="00476839">
      <w:pPr>
        <w:pStyle w:val="Prrafodelista"/>
        <w:numPr>
          <w:ilvl w:val="0"/>
          <w:numId w:val="56"/>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 xml:space="preserve">El partido omitió reportar el gasto por una casa de campaña, la cual beneficio a la candidata Mónica Cruz Islas del </w:t>
      </w:r>
      <w:r>
        <w:rPr>
          <w:rFonts w:ascii="Arial" w:hAnsi="Arial" w:cs="Arial"/>
          <w:bCs/>
          <w:sz w:val="20"/>
          <w:szCs w:val="20"/>
        </w:rPr>
        <w:t>d</w:t>
      </w:r>
      <w:r w:rsidR="00990C83" w:rsidRPr="00E5019C">
        <w:rPr>
          <w:rFonts w:ascii="Arial" w:hAnsi="Arial" w:cs="Arial"/>
          <w:bCs/>
          <w:sz w:val="20"/>
          <w:szCs w:val="20"/>
        </w:rPr>
        <w:t>istrito 28 Amecameca, por un monto de $30,000.”</w:t>
      </w:r>
    </w:p>
    <w:p w:rsidR="00990C83" w:rsidRDefault="00990C83" w:rsidP="00476839">
      <w:pPr>
        <w:pStyle w:val="Prrafodelista"/>
        <w:ind w:left="426"/>
        <w:jc w:val="both"/>
        <w:rPr>
          <w:rFonts w:ascii="Arial" w:hAnsi="Arial" w:cs="Arial"/>
          <w:bCs/>
          <w:sz w:val="20"/>
          <w:szCs w:val="20"/>
        </w:rPr>
      </w:pPr>
      <w:r w:rsidRPr="00E5019C">
        <w:rPr>
          <w:rFonts w:ascii="Arial" w:hAnsi="Arial" w:cs="Arial"/>
          <w:bCs/>
          <w:sz w:val="20"/>
          <w:szCs w:val="20"/>
        </w:rPr>
        <w:t>En consecuencia, al omitir reportar el gasto por una casa de campaña, el sujeto obligado incumplió con lo dispuesto en el 79, numeral 1, inciso b), fracción I de la Ley General de Partidos Políticos en relación con el artículo 127 del Reglamento de Fiscalización.</w:t>
      </w:r>
    </w:p>
    <w:p w:rsidR="00292F59" w:rsidRPr="00E5019C" w:rsidRDefault="00292F59" w:rsidP="00476839">
      <w:pPr>
        <w:pStyle w:val="Prrafodelista"/>
        <w:jc w:val="both"/>
        <w:rPr>
          <w:rFonts w:ascii="Arial" w:hAnsi="Arial" w:cs="Arial"/>
          <w:bCs/>
          <w:sz w:val="20"/>
          <w:szCs w:val="20"/>
        </w:rPr>
      </w:pPr>
    </w:p>
    <w:p w:rsidR="00990C83" w:rsidRDefault="005C2DB9" w:rsidP="00476839">
      <w:pPr>
        <w:ind w:firstLine="426"/>
        <w:contextualSpacing/>
        <w:jc w:val="both"/>
        <w:rPr>
          <w:rFonts w:ascii="Arial" w:hAnsi="Arial" w:cs="Arial"/>
          <w:sz w:val="20"/>
          <w:szCs w:val="20"/>
        </w:rPr>
      </w:pPr>
      <w:r>
        <w:rPr>
          <w:rFonts w:ascii="Arial" w:hAnsi="Arial" w:cs="Arial"/>
          <w:sz w:val="20"/>
          <w:szCs w:val="20"/>
        </w:rPr>
        <w:t>S</w:t>
      </w:r>
      <w:r w:rsidR="00990C83" w:rsidRPr="00E5019C">
        <w:rPr>
          <w:rFonts w:ascii="Arial" w:hAnsi="Arial" w:cs="Arial"/>
          <w:sz w:val="20"/>
          <w:szCs w:val="20"/>
        </w:rPr>
        <w:t xml:space="preserve">e considera que las infracciones deben calificarse como </w:t>
      </w:r>
      <w:r w:rsidR="00990C83" w:rsidRPr="00E5019C">
        <w:rPr>
          <w:rFonts w:ascii="Arial" w:hAnsi="Arial" w:cs="Arial"/>
          <w:b/>
          <w:bCs/>
          <w:sz w:val="20"/>
          <w:szCs w:val="20"/>
        </w:rPr>
        <w:t>GRAVES ORDINARIAS</w:t>
      </w:r>
      <w:r w:rsidR="00990C83" w:rsidRPr="00E5019C">
        <w:rPr>
          <w:rFonts w:ascii="Arial" w:hAnsi="Arial" w:cs="Arial"/>
          <w:sz w:val="20"/>
          <w:szCs w:val="20"/>
        </w:rPr>
        <w:t>.</w:t>
      </w:r>
    </w:p>
    <w:p w:rsidR="005C2DB9" w:rsidRPr="00E5019C" w:rsidRDefault="005C2DB9" w:rsidP="00476839">
      <w:pPr>
        <w:contextualSpacing/>
        <w:jc w:val="both"/>
        <w:rPr>
          <w:rFonts w:ascii="Arial" w:hAnsi="Arial" w:cs="Arial"/>
          <w:sz w:val="20"/>
          <w:szCs w:val="20"/>
        </w:rPr>
      </w:pPr>
    </w:p>
    <w:p w:rsidR="00270E11" w:rsidRDefault="00270E11" w:rsidP="00476839">
      <w:pPr>
        <w:pStyle w:val="Prrafodelista"/>
        <w:numPr>
          <w:ilvl w:val="0"/>
          <w:numId w:val="56"/>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Humanista omitió reportar la erogación realizada por concepto de la producción de 2 mensajes de radio y 2 mensajes para televisión, por un monto total de $901,320.00.”</w:t>
      </w:r>
    </w:p>
    <w:p w:rsidR="00990C83" w:rsidRPr="00E5019C" w:rsidRDefault="00270E11" w:rsidP="00476839">
      <w:pPr>
        <w:pStyle w:val="Prrafodelista"/>
        <w:ind w:left="426"/>
        <w:jc w:val="both"/>
        <w:rPr>
          <w:rFonts w:ascii="Arial" w:hAnsi="Arial" w:cs="Arial"/>
          <w:bCs/>
          <w:sz w:val="20"/>
          <w:szCs w:val="20"/>
        </w:rPr>
      </w:pPr>
      <w:r>
        <w:rPr>
          <w:rFonts w:ascii="Arial" w:hAnsi="Arial" w:cs="Arial"/>
          <w:bCs/>
          <w:sz w:val="20"/>
          <w:szCs w:val="20"/>
        </w:rPr>
        <w:lastRenderedPageBreak/>
        <w:t>El p</w:t>
      </w:r>
      <w:r w:rsidR="00990C83" w:rsidRPr="00E5019C">
        <w:rPr>
          <w:rFonts w:ascii="Arial" w:hAnsi="Arial" w:cs="Arial"/>
          <w:bCs/>
          <w:sz w:val="20"/>
          <w:szCs w:val="20"/>
        </w:rPr>
        <w:t>artido incumplió con lo dispuesto en el 79, numeral 1, inciso b), fracción I de la Ley General de Partidos Políticos en relación con el artículo 127 del Reglamento de Fiscalización.</w:t>
      </w:r>
    </w:p>
    <w:p w:rsidR="00990C83" w:rsidRDefault="00990C83" w:rsidP="00476839">
      <w:pPr>
        <w:pStyle w:val="Default"/>
        <w:contextualSpacing/>
        <w:rPr>
          <w:sz w:val="20"/>
          <w:szCs w:val="20"/>
        </w:rPr>
      </w:pPr>
    </w:p>
    <w:p w:rsidR="00292F59" w:rsidRDefault="00292F59" w:rsidP="00476839">
      <w:pPr>
        <w:pStyle w:val="Default"/>
        <w:contextualSpacing/>
        <w:rPr>
          <w:sz w:val="20"/>
          <w:szCs w:val="20"/>
        </w:rPr>
      </w:pPr>
    </w:p>
    <w:p w:rsidR="00990C83" w:rsidRPr="00E5019C" w:rsidRDefault="005C2DB9" w:rsidP="00476839">
      <w:pPr>
        <w:pStyle w:val="Default"/>
        <w:contextualSpacing/>
        <w:jc w:val="center"/>
        <w:rPr>
          <w:sz w:val="20"/>
          <w:szCs w:val="20"/>
        </w:rPr>
      </w:pPr>
      <w:r>
        <w:rPr>
          <w:b/>
          <w:bCs/>
          <w:sz w:val="20"/>
          <w:szCs w:val="20"/>
        </w:rPr>
        <w:t>Partido Encuentro Social</w:t>
      </w:r>
    </w:p>
    <w:p w:rsidR="00990C83" w:rsidRPr="00E5019C" w:rsidRDefault="00990C83" w:rsidP="00476839">
      <w:pPr>
        <w:pStyle w:val="Default"/>
        <w:contextualSpacing/>
        <w:rPr>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Sustanciales</w:t>
      </w:r>
    </w:p>
    <w:p w:rsidR="001E719C" w:rsidRDefault="001E719C" w:rsidP="00476839">
      <w:pPr>
        <w:pStyle w:val="Prrafodelista"/>
        <w:numPr>
          <w:ilvl w:val="0"/>
          <w:numId w:val="57"/>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reportar el gasto por concepto de casa de campaña por un importe de $30,000.00.”</w:t>
      </w:r>
    </w:p>
    <w:p w:rsidR="00990C83" w:rsidRDefault="001E719C" w:rsidP="00476839">
      <w:pPr>
        <w:pStyle w:val="Prrafodelista"/>
        <w:ind w:left="426"/>
        <w:jc w:val="both"/>
        <w:rPr>
          <w:rFonts w:ascii="Arial" w:hAnsi="Arial" w:cs="Arial"/>
          <w:bCs/>
          <w:sz w:val="20"/>
          <w:szCs w:val="20"/>
        </w:rPr>
      </w:pPr>
      <w:r>
        <w:rPr>
          <w:rFonts w:ascii="Arial" w:hAnsi="Arial" w:cs="Arial"/>
          <w:bCs/>
          <w:sz w:val="20"/>
          <w:szCs w:val="20"/>
        </w:rPr>
        <w:t>El</w:t>
      </w:r>
      <w:r w:rsidR="00990C83" w:rsidRPr="00E5019C">
        <w:rPr>
          <w:rFonts w:ascii="Arial" w:hAnsi="Arial" w:cs="Arial"/>
          <w:bCs/>
          <w:sz w:val="20"/>
          <w:szCs w:val="20"/>
        </w:rPr>
        <w:t xml:space="preserve"> Partido Encuentro Social incumplió con lo dispuesto en el 79, numeral 1, inciso b), fracción I de la Ley General de Partidos Políticos en relación con el artículo 127 del Reglamento de Fiscalización.</w:t>
      </w:r>
    </w:p>
    <w:p w:rsidR="001E719C" w:rsidRPr="00E5019C" w:rsidRDefault="001E719C" w:rsidP="00476839">
      <w:pPr>
        <w:pStyle w:val="Prrafodelista"/>
        <w:ind w:left="426"/>
        <w:jc w:val="both"/>
        <w:rPr>
          <w:rFonts w:ascii="Arial" w:hAnsi="Arial" w:cs="Arial"/>
          <w:bCs/>
          <w:sz w:val="20"/>
          <w:szCs w:val="20"/>
        </w:rPr>
      </w:pPr>
    </w:p>
    <w:p w:rsidR="001E719C" w:rsidRDefault="001E719C" w:rsidP="00476839">
      <w:pPr>
        <w:pStyle w:val="Prrafodelista"/>
        <w:numPr>
          <w:ilvl w:val="0"/>
          <w:numId w:val="57"/>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reportar el gasto correspondiente a propaganda consistente en 250 bardas y 4 mantas, derivado del procedimiento de Monitoreo de espectaculares, propaganda en la vía pública y diarios, revistas y otros medios impresos por un monto de $88,100.00.”</w:t>
      </w:r>
    </w:p>
    <w:p w:rsidR="00990C83" w:rsidRDefault="001E719C" w:rsidP="00476839">
      <w:pPr>
        <w:pStyle w:val="Prrafodelista"/>
        <w:ind w:left="426"/>
        <w:jc w:val="both"/>
        <w:rPr>
          <w:rFonts w:ascii="Arial" w:hAnsi="Arial" w:cs="Arial"/>
          <w:bCs/>
          <w:sz w:val="20"/>
          <w:szCs w:val="20"/>
        </w:rPr>
      </w:pPr>
      <w:r>
        <w:rPr>
          <w:rFonts w:ascii="Arial" w:hAnsi="Arial" w:cs="Arial"/>
          <w:bCs/>
          <w:sz w:val="20"/>
          <w:szCs w:val="20"/>
        </w:rPr>
        <w:t>El sujeto obligado</w:t>
      </w:r>
      <w:r w:rsidR="00990C83" w:rsidRPr="00E5019C">
        <w:rPr>
          <w:rFonts w:ascii="Arial" w:hAnsi="Arial" w:cs="Arial"/>
          <w:bCs/>
          <w:sz w:val="20"/>
          <w:szCs w:val="20"/>
        </w:rPr>
        <w:t xml:space="preserve"> incumplió con lo dispuesto en el 79, numeral 1, inciso b), fracción I de la Ley General de Partidos Políticos en relación con el artículo 127 del Reglamento de Fiscalización.</w:t>
      </w:r>
    </w:p>
    <w:p w:rsidR="001E719C" w:rsidRPr="001E719C" w:rsidRDefault="001E719C" w:rsidP="00476839">
      <w:pPr>
        <w:jc w:val="both"/>
        <w:rPr>
          <w:rFonts w:ascii="Arial" w:hAnsi="Arial" w:cs="Arial"/>
          <w:bCs/>
          <w:sz w:val="20"/>
          <w:szCs w:val="20"/>
        </w:rPr>
      </w:pPr>
    </w:p>
    <w:p w:rsidR="001E719C" w:rsidRDefault="001E719C" w:rsidP="00476839">
      <w:pPr>
        <w:pStyle w:val="Prrafodelista"/>
        <w:numPr>
          <w:ilvl w:val="0"/>
          <w:numId w:val="57"/>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omitió reportar gastos de producción de mensajes en radio y tv por un monto de $872,320.00</w:t>
      </w:r>
      <w:r>
        <w:rPr>
          <w:rFonts w:ascii="Arial" w:hAnsi="Arial" w:cs="Arial"/>
          <w:bCs/>
          <w:sz w:val="20"/>
          <w:szCs w:val="20"/>
        </w:rPr>
        <w:t>”.</w:t>
      </w:r>
    </w:p>
    <w:p w:rsidR="00990C83" w:rsidRPr="00E5019C" w:rsidRDefault="001E719C" w:rsidP="00476839">
      <w:pPr>
        <w:pStyle w:val="Prrafodelista"/>
        <w:ind w:left="426"/>
        <w:jc w:val="both"/>
        <w:rPr>
          <w:rFonts w:ascii="Arial" w:hAnsi="Arial" w:cs="Arial"/>
          <w:bCs/>
          <w:sz w:val="20"/>
          <w:szCs w:val="20"/>
        </w:rPr>
      </w:pPr>
      <w:r>
        <w:rPr>
          <w:rFonts w:ascii="Arial" w:hAnsi="Arial" w:cs="Arial"/>
          <w:bCs/>
          <w:sz w:val="20"/>
          <w:szCs w:val="20"/>
        </w:rPr>
        <w:t xml:space="preserve">Se </w:t>
      </w:r>
      <w:r w:rsidR="00990C83" w:rsidRPr="00E5019C">
        <w:rPr>
          <w:rFonts w:ascii="Arial" w:hAnsi="Arial" w:cs="Arial"/>
          <w:bCs/>
          <w:sz w:val="20"/>
          <w:szCs w:val="20"/>
        </w:rPr>
        <w:t>incumplió con lo dispuesto en el 79, numeral 1, inciso b), fracción I de la Ley General de Partidos Políticos en relación con el artículo 127 del Reglamento de Fiscalización</w:t>
      </w:r>
      <w:r w:rsidR="00292F59">
        <w:rPr>
          <w:rFonts w:ascii="Arial" w:hAnsi="Arial" w:cs="Arial"/>
          <w:bCs/>
          <w:sz w:val="20"/>
          <w:szCs w:val="20"/>
        </w:rPr>
        <w:t>.</w:t>
      </w:r>
    </w:p>
    <w:p w:rsidR="00990C83" w:rsidRDefault="00990C83" w:rsidP="00476839">
      <w:pPr>
        <w:pStyle w:val="Default"/>
        <w:contextualSpacing/>
        <w:rPr>
          <w:sz w:val="20"/>
          <w:szCs w:val="20"/>
        </w:rPr>
      </w:pPr>
    </w:p>
    <w:p w:rsidR="00292F59" w:rsidRDefault="00292F59" w:rsidP="00476839">
      <w:pPr>
        <w:pStyle w:val="Default"/>
        <w:contextualSpacing/>
        <w:rPr>
          <w:sz w:val="20"/>
          <w:szCs w:val="20"/>
        </w:rPr>
      </w:pPr>
    </w:p>
    <w:p w:rsidR="00990C83" w:rsidRPr="00E5019C" w:rsidRDefault="005C2DB9" w:rsidP="00476839">
      <w:pPr>
        <w:pStyle w:val="Default"/>
        <w:contextualSpacing/>
        <w:jc w:val="center"/>
        <w:rPr>
          <w:sz w:val="20"/>
          <w:szCs w:val="20"/>
        </w:rPr>
      </w:pPr>
      <w:r>
        <w:rPr>
          <w:b/>
          <w:bCs/>
          <w:sz w:val="20"/>
          <w:szCs w:val="20"/>
        </w:rPr>
        <w:t>Partido Futuro Democrático</w:t>
      </w:r>
    </w:p>
    <w:p w:rsidR="00990C83" w:rsidRPr="00E5019C" w:rsidRDefault="00990C83" w:rsidP="00476839">
      <w:pPr>
        <w:pStyle w:val="Default"/>
        <w:contextualSpacing/>
        <w:rPr>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Formales</w:t>
      </w:r>
    </w:p>
    <w:p w:rsidR="00990C83" w:rsidRDefault="001E719C" w:rsidP="00476839">
      <w:pPr>
        <w:pStyle w:val="Prrafodelista"/>
        <w:numPr>
          <w:ilvl w:val="0"/>
          <w:numId w:val="58"/>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partido presentó de manera extemporánea dos informes de Campaña correspondientes al Proceso Electoral Local Ordinario 2014-2015.”</w:t>
      </w:r>
    </w:p>
    <w:p w:rsidR="001E719C" w:rsidRPr="001E719C" w:rsidRDefault="001E719C" w:rsidP="00476839">
      <w:pPr>
        <w:jc w:val="both"/>
        <w:rPr>
          <w:rFonts w:ascii="Arial" w:hAnsi="Arial" w:cs="Arial"/>
          <w:bCs/>
          <w:sz w:val="20"/>
          <w:szCs w:val="20"/>
        </w:rPr>
      </w:pPr>
    </w:p>
    <w:p w:rsidR="00292F59" w:rsidRDefault="001E719C" w:rsidP="00476839">
      <w:pPr>
        <w:pStyle w:val="Prrafodelista"/>
        <w:numPr>
          <w:ilvl w:val="0"/>
          <w:numId w:val="58"/>
        </w:numPr>
        <w:ind w:left="426" w:hanging="426"/>
        <w:jc w:val="both"/>
        <w:rPr>
          <w:rFonts w:ascii="Arial" w:hAnsi="Arial" w:cs="Arial"/>
          <w:bCs/>
          <w:sz w:val="20"/>
          <w:szCs w:val="20"/>
        </w:rPr>
      </w:pPr>
      <w:r>
        <w:rPr>
          <w:rFonts w:ascii="Arial" w:hAnsi="Arial" w:cs="Arial"/>
          <w:bCs/>
          <w:sz w:val="20"/>
          <w:szCs w:val="20"/>
        </w:rPr>
        <w:t>“</w:t>
      </w:r>
      <w:r w:rsidR="00990C83" w:rsidRPr="00292F59">
        <w:rPr>
          <w:rFonts w:ascii="Arial" w:hAnsi="Arial" w:cs="Arial"/>
          <w:bCs/>
          <w:sz w:val="20"/>
          <w:szCs w:val="20"/>
        </w:rPr>
        <w:t>Los candidatos al cargo de Ayuntamiento, Ciro Antonio González Dávila y Leonardo Colindres Hernández, presentaron fuera de tiempo el informe de Campaña correspondiente al Proceso electoral Local Ordinario 2014-2015.”</w:t>
      </w:r>
      <w:r w:rsidR="00292F59">
        <w:rPr>
          <w:rFonts w:ascii="Arial" w:hAnsi="Arial" w:cs="Arial"/>
          <w:bCs/>
          <w:sz w:val="20"/>
          <w:szCs w:val="20"/>
        </w:rPr>
        <w:t xml:space="preserve"> </w:t>
      </w:r>
    </w:p>
    <w:p w:rsidR="00990C83" w:rsidRPr="00292F59" w:rsidRDefault="00292F59" w:rsidP="00476839">
      <w:pPr>
        <w:pStyle w:val="Prrafodelista"/>
        <w:ind w:left="426"/>
        <w:jc w:val="both"/>
        <w:rPr>
          <w:rFonts w:ascii="Arial" w:hAnsi="Arial" w:cs="Arial"/>
          <w:bCs/>
          <w:sz w:val="20"/>
          <w:szCs w:val="20"/>
        </w:rPr>
      </w:pPr>
      <w:r>
        <w:rPr>
          <w:rFonts w:ascii="Arial" w:hAnsi="Arial" w:cs="Arial"/>
          <w:bCs/>
          <w:sz w:val="20"/>
          <w:szCs w:val="20"/>
        </w:rPr>
        <w:t>E</w:t>
      </w:r>
      <w:r w:rsidR="00990C83" w:rsidRPr="00292F59">
        <w:rPr>
          <w:rFonts w:ascii="Arial" w:hAnsi="Arial" w:cs="Arial"/>
          <w:bCs/>
          <w:sz w:val="20"/>
          <w:szCs w:val="20"/>
        </w:rPr>
        <w:t>l instituto político en comento vulneró lo dispuesto en los artículos 79, numeral 1, inciso b), fracción III Ley General de Partidos Políticos.</w:t>
      </w:r>
    </w:p>
    <w:p w:rsidR="00292F59" w:rsidRDefault="00292F59" w:rsidP="00476839">
      <w:pPr>
        <w:contextualSpacing/>
        <w:jc w:val="both"/>
        <w:rPr>
          <w:rFonts w:ascii="Arial" w:hAnsi="Arial" w:cs="Arial"/>
          <w:bCs/>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Sustanciales</w:t>
      </w:r>
    </w:p>
    <w:p w:rsidR="001E719C" w:rsidRDefault="001E719C" w:rsidP="00476839">
      <w:pPr>
        <w:pStyle w:val="Prrafodelista"/>
        <w:numPr>
          <w:ilvl w:val="0"/>
          <w:numId w:val="59"/>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El P</w:t>
      </w:r>
      <w:r>
        <w:rPr>
          <w:rFonts w:ascii="Arial" w:hAnsi="Arial" w:cs="Arial"/>
          <w:bCs/>
          <w:sz w:val="20"/>
          <w:szCs w:val="20"/>
        </w:rPr>
        <w:t>F</w:t>
      </w:r>
      <w:r w:rsidR="00990C83" w:rsidRPr="00E5019C">
        <w:rPr>
          <w:rFonts w:ascii="Arial" w:hAnsi="Arial" w:cs="Arial"/>
          <w:bCs/>
          <w:sz w:val="20"/>
          <w:szCs w:val="20"/>
        </w:rPr>
        <w:t>D omitió presentar la documentación soporte que corresponde a gastos de candidatos al cargo de Diputado Local, por un monto de $17,448.60</w:t>
      </w:r>
      <w:r>
        <w:rPr>
          <w:rFonts w:ascii="Arial" w:hAnsi="Arial" w:cs="Arial"/>
          <w:bCs/>
          <w:sz w:val="20"/>
          <w:szCs w:val="20"/>
        </w:rPr>
        <w:t>”.</w:t>
      </w:r>
    </w:p>
    <w:p w:rsidR="00990C83" w:rsidRDefault="001E719C" w:rsidP="00476839">
      <w:pPr>
        <w:pStyle w:val="Prrafodelista"/>
        <w:ind w:left="426"/>
        <w:jc w:val="both"/>
        <w:rPr>
          <w:rFonts w:ascii="Arial" w:hAnsi="Arial" w:cs="Arial"/>
          <w:bCs/>
          <w:sz w:val="20"/>
          <w:szCs w:val="20"/>
        </w:rPr>
      </w:pPr>
      <w:r>
        <w:rPr>
          <w:rFonts w:ascii="Arial" w:hAnsi="Arial" w:cs="Arial"/>
          <w:bCs/>
          <w:sz w:val="20"/>
          <w:szCs w:val="20"/>
        </w:rPr>
        <w:t xml:space="preserve">Al ser omiso </w:t>
      </w:r>
      <w:r w:rsidR="00990C83" w:rsidRPr="00E5019C">
        <w:rPr>
          <w:rFonts w:ascii="Arial" w:hAnsi="Arial" w:cs="Arial"/>
          <w:bCs/>
          <w:sz w:val="20"/>
          <w:szCs w:val="20"/>
        </w:rPr>
        <w:t xml:space="preserve">incumplió con lo dispuesto en el </w:t>
      </w:r>
      <w:r w:rsidR="00292F59" w:rsidRPr="00E5019C">
        <w:rPr>
          <w:rFonts w:ascii="Arial" w:hAnsi="Arial" w:cs="Arial"/>
          <w:bCs/>
          <w:sz w:val="20"/>
          <w:szCs w:val="20"/>
        </w:rPr>
        <w:t>artículo,</w:t>
      </w:r>
      <w:r w:rsidR="00990C83" w:rsidRPr="00E5019C">
        <w:rPr>
          <w:rFonts w:ascii="Arial" w:hAnsi="Arial" w:cs="Arial"/>
          <w:bCs/>
          <w:sz w:val="20"/>
          <w:szCs w:val="20"/>
        </w:rPr>
        <w:t xml:space="preserve"> así como 127 del Reglamento de Fiscalización.</w:t>
      </w:r>
    </w:p>
    <w:p w:rsidR="00292F59" w:rsidRDefault="00292F59" w:rsidP="00476839">
      <w:pPr>
        <w:jc w:val="both"/>
        <w:rPr>
          <w:rFonts w:ascii="Arial" w:hAnsi="Arial" w:cs="Arial"/>
          <w:bCs/>
          <w:sz w:val="20"/>
          <w:szCs w:val="20"/>
        </w:rPr>
      </w:pPr>
    </w:p>
    <w:p w:rsidR="00292F59" w:rsidRDefault="00292F59" w:rsidP="00476839">
      <w:pPr>
        <w:jc w:val="both"/>
        <w:rPr>
          <w:rFonts w:ascii="Arial" w:hAnsi="Arial" w:cs="Arial"/>
          <w:bCs/>
          <w:sz w:val="20"/>
          <w:szCs w:val="20"/>
        </w:rPr>
      </w:pPr>
    </w:p>
    <w:p w:rsidR="00990C83" w:rsidRDefault="005C2DB9" w:rsidP="00476839">
      <w:pPr>
        <w:contextualSpacing/>
        <w:jc w:val="center"/>
        <w:rPr>
          <w:rFonts w:ascii="Arial" w:hAnsi="Arial" w:cs="Arial"/>
          <w:b/>
          <w:bCs/>
          <w:sz w:val="20"/>
          <w:szCs w:val="20"/>
        </w:rPr>
      </w:pPr>
      <w:r>
        <w:rPr>
          <w:rFonts w:ascii="Arial" w:hAnsi="Arial" w:cs="Arial"/>
          <w:b/>
          <w:bCs/>
          <w:sz w:val="20"/>
          <w:szCs w:val="20"/>
        </w:rPr>
        <w:t xml:space="preserve">Coalición </w:t>
      </w:r>
      <w:r w:rsidR="00990C83" w:rsidRPr="00E5019C">
        <w:rPr>
          <w:rFonts w:ascii="Arial" w:hAnsi="Arial" w:cs="Arial"/>
          <w:b/>
          <w:bCs/>
          <w:sz w:val="20"/>
          <w:szCs w:val="20"/>
        </w:rPr>
        <w:t>PRI-PVEM</w:t>
      </w:r>
    </w:p>
    <w:p w:rsidR="00292F59" w:rsidRPr="00E5019C" w:rsidRDefault="00292F59" w:rsidP="00476839">
      <w:pPr>
        <w:contextualSpacing/>
        <w:rPr>
          <w:rFonts w:ascii="Arial" w:hAnsi="Arial" w:cs="Arial"/>
          <w:b/>
          <w:bCs/>
          <w:sz w:val="20"/>
          <w:szCs w:val="20"/>
        </w:rPr>
      </w:pPr>
    </w:p>
    <w:p w:rsidR="00990C83" w:rsidRPr="005C2DB9" w:rsidRDefault="00990C83" w:rsidP="00476839">
      <w:pPr>
        <w:rPr>
          <w:rFonts w:ascii="Arial" w:hAnsi="Arial" w:cs="Arial"/>
          <w:b/>
          <w:bCs/>
          <w:i/>
          <w:iCs/>
          <w:sz w:val="20"/>
          <w:szCs w:val="20"/>
        </w:rPr>
      </w:pPr>
      <w:r w:rsidRPr="005C2DB9">
        <w:rPr>
          <w:rFonts w:ascii="Arial" w:hAnsi="Arial" w:cs="Arial"/>
          <w:b/>
          <w:bCs/>
          <w:i/>
          <w:iCs/>
          <w:sz w:val="20"/>
          <w:szCs w:val="20"/>
        </w:rPr>
        <w:t>Faltas Sustanciales</w:t>
      </w:r>
    </w:p>
    <w:p w:rsidR="001E719C" w:rsidRDefault="001E719C" w:rsidP="00476839">
      <w:pPr>
        <w:pStyle w:val="Prrafodelista"/>
        <w:numPr>
          <w:ilvl w:val="0"/>
          <w:numId w:val="60"/>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La Coalición no reportó gastos por $723,890.00 (163,890.00+560,000.00) que benefician directamente a candidatos postulados por la Coalición PRI-PVEM, al cargo de Diputados Locales</w:t>
      </w:r>
      <w:r>
        <w:rPr>
          <w:rFonts w:ascii="Arial" w:hAnsi="Arial" w:cs="Arial"/>
          <w:bCs/>
          <w:sz w:val="20"/>
          <w:szCs w:val="20"/>
        </w:rPr>
        <w:t>”</w:t>
      </w:r>
      <w:r w:rsidR="00990C83" w:rsidRPr="00E5019C">
        <w:rPr>
          <w:rFonts w:ascii="Arial" w:hAnsi="Arial" w:cs="Arial"/>
          <w:bCs/>
          <w:sz w:val="20"/>
          <w:szCs w:val="20"/>
        </w:rPr>
        <w:t>.</w:t>
      </w:r>
    </w:p>
    <w:p w:rsidR="00990C83" w:rsidRPr="00E5019C" w:rsidRDefault="001E719C" w:rsidP="00476839">
      <w:pPr>
        <w:pStyle w:val="Prrafodelista"/>
        <w:ind w:left="426"/>
        <w:jc w:val="both"/>
        <w:rPr>
          <w:rFonts w:ascii="Arial" w:hAnsi="Arial" w:cs="Arial"/>
          <w:bCs/>
          <w:sz w:val="20"/>
          <w:szCs w:val="20"/>
        </w:rPr>
      </w:pPr>
      <w:r>
        <w:rPr>
          <w:rFonts w:ascii="Arial" w:hAnsi="Arial" w:cs="Arial"/>
          <w:sz w:val="20"/>
          <w:szCs w:val="20"/>
        </w:rPr>
        <w:t>Con ello</w:t>
      </w:r>
      <w:r w:rsidR="00990C83" w:rsidRPr="00E5019C">
        <w:rPr>
          <w:rFonts w:ascii="Arial" w:hAnsi="Arial" w:cs="Arial"/>
          <w:sz w:val="20"/>
          <w:szCs w:val="20"/>
        </w:rPr>
        <w:t xml:space="preserve"> vulneró lo dispuesto en el artículo 79, numeral 1, inciso b), fracción I de la Ley General de Partidos Políticos en relación con el artículo 127 del Reglamento de Fiscalización</w:t>
      </w:r>
      <w:r w:rsidR="00292F59">
        <w:rPr>
          <w:rFonts w:ascii="Arial" w:hAnsi="Arial" w:cs="Arial"/>
          <w:sz w:val="20"/>
          <w:szCs w:val="20"/>
        </w:rPr>
        <w:t>.</w:t>
      </w:r>
    </w:p>
    <w:p w:rsidR="00990C83" w:rsidRPr="00292F59" w:rsidRDefault="001E719C" w:rsidP="00476839">
      <w:pPr>
        <w:pStyle w:val="Prrafodelista"/>
        <w:numPr>
          <w:ilvl w:val="0"/>
          <w:numId w:val="60"/>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 xml:space="preserve">La </w:t>
      </w:r>
      <w:r>
        <w:rPr>
          <w:rFonts w:ascii="Arial" w:hAnsi="Arial" w:cs="Arial"/>
          <w:bCs/>
          <w:sz w:val="20"/>
          <w:szCs w:val="20"/>
        </w:rPr>
        <w:t>C</w:t>
      </w:r>
      <w:r w:rsidR="00990C83" w:rsidRPr="00E5019C">
        <w:rPr>
          <w:rFonts w:ascii="Arial" w:hAnsi="Arial" w:cs="Arial"/>
          <w:bCs/>
          <w:sz w:val="20"/>
          <w:szCs w:val="20"/>
        </w:rPr>
        <w:t>oalición omitió reportar gastos por concepto de globos y equipo de sonido por $8,650.00</w:t>
      </w:r>
      <w:r>
        <w:rPr>
          <w:rFonts w:ascii="Arial" w:hAnsi="Arial" w:cs="Arial"/>
          <w:bCs/>
          <w:sz w:val="20"/>
          <w:szCs w:val="20"/>
        </w:rPr>
        <w:t>”</w:t>
      </w:r>
      <w:r w:rsidR="00990C83" w:rsidRPr="00E5019C">
        <w:rPr>
          <w:rFonts w:ascii="Arial" w:hAnsi="Arial" w:cs="Arial"/>
          <w:bCs/>
          <w:sz w:val="20"/>
          <w:szCs w:val="20"/>
        </w:rPr>
        <w:t xml:space="preserve">. </w:t>
      </w:r>
      <w:r>
        <w:rPr>
          <w:rFonts w:ascii="Arial" w:hAnsi="Arial" w:cs="Arial"/>
          <w:sz w:val="20"/>
          <w:szCs w:val="20"/>
        </w:rPr>
        <w:t xml:space="preserve">Incumplió con </w:t>
      </w:r>
      <w:r w:rsidR="00990C83" w:rsidRPr="00E5019C">
        <w:rPr>
          <w:rFonts w:ascii="Arial" w:hAnsi="Arial" w:cs="Arial"/>
          <w:sz w:val="20"/>
          <w:szCs w:val="20"/>
        </w:rPr>
        <w:t>el artículo 79, numeral 1, inciso b), fracción I de la Ley General de Partidos Políticos en relación con el artículo 127 del Reglamento de Fiscalización</w:t>
      </w:r>
      <w:r w:rsidR="00292F59">
        <w:rPr>
          <w:rFonts w:ascii="Arial" w:hAnsi="Arial" w:cs="Arial"/>
          <w:sz w:val="20"/>
          <w:szCs w:val="20"/>
        </w:rPr>
        <w:t>.</w:t>
      </w:r>
    </w:p>
    <w:p w:rsidR="00292F59" w:rsidRDefault="00292F59" w:rsidP="00476839">
      <w:pPr>
        <w:pStyle w:val="Prrafodelista"/>
        <w:rPr>
          <w:rFonts w:ascii="Arial" w:hAnsi="Arial" w:cs="Arial"/>
          <w:sz w:val="20"/>
          <w:szCs w:val="20"/>
        </w:rPr>
      </w:pPr>
    </w:p>
    <w:p w:rsidR="00990C83" w:rsidRDefault="00990C83" w:rsidP="00476839">
      <w:pPr>
        <w:contextualSpacing/>
        <w:jc w:val="center"/>
        <w:rPr>
          <w:rFonts w:ascii="Arial" w:hAnsi="Arial" w:cs="Arial"/>
          <w:b/>
          <w:bCs/>
          <w:sz w:val="20"/>
          <w:szCs w:val="20"/>
        </w:rPr>
      </w:pPr>
      <w:r w:rsidRPr="00E5019C">
        <w:rPr>
          <w:rFonts w:ascii="Arial" w:hAnsi="Arial" w:cs="Arial"/>
          <w:b/>
          <w:bCs/>
          <w:sz w:val="20"/>
          <w:szCs w:val="20"/>
        </w:rPr>
        <w:lastRenderedPageBreak/>
        <w:t xml:space="preserve">Coalición </w:t>
      </w:r>
      <w:r w:rsidR="00C761CB">
        <w:rPr>
          <w:rFonts w:ascii="Arial" w:hAnsi="Arial" w:cs="Arial"/>
          <w:b/>
          <w:bCs/>
          <w:sz w:val="20"/>
          <w:szCs w:val="20"/>
        </w:rPr>
        <w:t>F</w:t>
      </w:r>
      <w:r w:rsidRPr="00E5019C">
        <w:rPr>
          <w:rFonts w:ascii="Arial" w:hAnsi="Arial" w:cs="Arial"/>
          <w:b/>
          <w:bCs/>
          <w:sz w:val="20"/>
          <w:szCs w:val="20"/>
        </w:rPr>
        <w:t xml:space="preserve">lexible entre el </w:t>
      </w:r>
      <w:r w:rsidR="005C2DB9">
        <w:rPr>
          <w:rFonts w:ascii="Arial" w:hAnsi="Arial" w:cs="Arial"/>
          <w:b/>
          <w:bCs/>
          <w:sz w:val="20"/>
          <w:szCs w:val="20"/>
        </w:rPr>
        <w:t>PAN</w:t>
      </w:r>
      <w:r w:rsidRPr="00E5019C">
        <w:rPr>
          <w:rFonts w:ascii="Arial" w:hAnsi="Arial" w:cs="Arial"/>
          <w:b/>
          <w:bCs/>
          <w:sz w:val="20"/>
          <w:szCs w:val="20"/>
        </w:rPr>
        <w:t xml:space="preserve"> y el P</w:t>
      </w:r>
      <w:r w:rsidR="005C2DB9">
        <w:rPr>
          <w:rFonts w:ascii="Arial" w:hAnsi="Arial" w:cs="Arial"/>
          <w:b/>
          <w:bCs/>
          <w:sz w:val="20"/>
          <w:szCs w:val="20"/>
        </w:rPr>
        <w:t>T</w:t>
      </w:r>
      <w:r w:rsidRPr="00E5019C">
        <w:rPr>
          <w:rFonts w:ascii="Arial" w:hAnsi="Arial" w:cs="Arial"/>
          <w:b/>
          <w:bCs/>
          <w:sz w:val="20"/>
          <w:szCs w:val="20"/>
        </w:rPr>
        <w:t>, denominada “El Estado de México nos Une”</w:t>
      </w:r>
    </w:p>
    <w:p w:rsidR="00292F59" w:rsidRPr="00E5019C" w:rsidRDefault="00292F59" w:rsidP="00476839">
      <w:pPr>
        <w:contextualSpacing/>
        <w:rPr>
          <w:rFonts w:ascii="Arial" w:hAnsi="Arial" w:cs="Arial"/>
          <w:b/>
          <w:bCs/>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Formales</w:t>
      </w:r>
    </w:p>
    <w:p w:rsidR="0040766B" w:rsidRDefault="00C761CB" w:rsidP="00476839">
      <w:pPr>
        <w:pStyle w:val="Prrafodelista"/>
        <w:numPr>
          <w:ilvl w:val="0"/>
          <w:numId w:val="63"/>
        </w:numPr>
        <w:ind w:left="426" w:hanging="426"/>
        <w:jc w:val="both"/>
        <w:rPr>
          <w:rFonts w:ascii="Arial" w:hAnsi="Arial" w:cs="Arial"/>
          <w:bCs/>
          <w:sz w:val="20"/>
          <w:szCs w:val="20"/>
        </w:rPr>
      </w:pPr>
      <w:r>
        <w:rPr>
          <w:rFonts w:ascii="Arial" w:hAnsi="Arial" w:cs="Arial"/>
          <w:bCs/>
          <w:sz w:val="20"/>
          <w:szCs w:val="20"/>
        </w:rPr>
        <w:t>“</w:t>
      </w:r>
      <w:r w:rsidR="00990C83" w:rsidRPr="00E5019C">
        <w:rPr>
          <w:rFonts w:ascii="Arial" w:hAnsi="Arial" w:cs="Arial"/>
          <w:bCs/>
          <w:sz w:val="20"/>
          <w:szCs w:val="20"/>
        </w:rPr>
        <w:t>COA Flexible PAN-PT present</w:t>
      </w:r>
      <w:r>
        <w:rPr>
          <w:rFonts w:ascii="Arial" w:hAnsi="Arial" w:cs="Arial"/>
          <w:bCs/>
          <w:sz w:val="20"/>
          <w:szCs w:val="20"/>
        </w:rPr>
        <w:t>ó</w:t>
      </w:r>
      <w:r w:rsidR="00990C83" w:rsidRPr="00E5019C">
        <w:rPr>
          <w:rFonts w:ascii="Arial" w:hAnsi="Arial" w:cs="Arial"/>
          <w:bCs/>
          <w:sz w:val="20"/>
          <w:szCs w:val="20"/>
        </w:rPr>
        <w:t xml:space="preserve"> informes extemporáneos de 23 candidatos a cargo de Ayuntamientos</w:t>
      </w:r>
      <w:r w:rsidR="0040766B">
        <w:rPr>
          <w:rFonts w:ascii="Arial" w:hAnsi="Arial" w:cs="Arial"/>
          <w:bCs/>
          <w:sz w:val="20"/>
          <w:szCs w:val="20"/>
        </w:rPr>
        <w:t>”.</w:t>
      </w:r>
    </w:p>
    <w:p w:rsidR="00990C83" w:rsidRPr="00E5019C" w:rsidRDefault="00990C83" w:rsidP="00476839">
      <w:pPr>
        <w:pStyle w:val="Prrafodelista"/>
        <w:ind w:left="426"/>
        <w:jc w:val="both"/>
        <w:rPr>
          <w:rFonts w:ascii="Arial" w:hAnsi="Arial" w:cs="Arial"/>
          <w:bCs/>
          <w:sz w:val="20"/>
          <w:szCs w:val="20"/>
        </w:rPr>
      </w:pPr>
      <w:r w:rsidRPr="00E5019C">
        <w:rPr>
          <w:rFonts w:ascii="Arial" w:hAnsi="Arial" w:cs="Arial"/>
          <w:bCs/>
          <w:sz w:val="20"/>
          <w:szCs w:val="20"/>
        </w:rPr>
        <w:t>Tal incumplimiento vulnera lo establecido en el artículo 79, inciso b), fracción III, de la Ley General de Partidos Políticos.</w:t>
      </w:r>
    </w:p>
    <w:p w:rsidR="00292F59" w:rsidRDefault="00292F59" w:rsidP="00476839">
      <w:pPr>
        <w:contextualSpacing/>
        <w:rPr>
          <w:rFonts w:ascii="Arial" w:hAnsi="Arial" w:cs="Arial"/>
          <w:bCs/>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Sustanciales</w:t>
      </w:r>
    </w:p>
    <w:p w:rsidR="0040766B" w:rsidRDefault="0040766B" w:rsidP="00476839">
      <w:pPr>
        <w:pStyle w:val="Prrafodelista"/>
        <w:numPr>
          <w:ilvl w:val="0"/>
          <w:numId w:val="61"/>
        </w:numPr>
        <w:ind w:left="426" w:hanging="426"/>
        <w:jc w:val="both"/>
        <w:rPr>
          <w:rFonts w:ascii="Arial" w:hAnsi="Arial" w:cs="Arial"/>
          <w:bCs/>
          <w:sz w:val="20"/>
          <w:szCs w:val="20"/>
        </w:rPr>
      </w:pPr>
      <w:r>
        <w:rPr>
          <w:rFonts w:ascii="Arial" w:hAnsi="Arial" w:cs="Arial"/>
          <w:bCs/>
          <w:sz w:val="20"/>
          <w:szCs w:val="20"/>
        </w:rPr>
        <w:t>“</w:t>
      </w:r>
      <w:r w:rsidR="00990C83" w:rsidRPr="0040766B">
        <w:rPr>
          <w:rFonts w:ascii="Arial" w:hAnsi="Arial" w:cs="Arial"/>
          <w:bCs/>
          <w:sz w:val="20"/>
          <w:szCs w:val="20"/>
        </w:rPr>
        <w:t>COA Flexible PAN-PT omitió presentar documentación soporte correspondiente a pólizas de ingresos por $505,797.02</w:t>
      </w:r>
      <w:r>
        <w:rPr>
          <w:rFonts w:ascii="Arial" w:hAnsi="Arial" w:cs="Arial"/>
          <w:bCs/>
          <w:sz w:val="20"/>
          <w:szCs w:val="20"/>
        </w:rPr>
        <w:t>”.</w:t>
      </w:r>
    </w:p>
    <w:p w:rsidR="00990C83" w:rsidRPr="0040766B" w:rsidRDefault="00990C83" w:rsidP="00476839">
      <w:pPr>
        <w:pStyle w:val="Prrafodelista"/>
        <w:ind w:left="426"/>
        <w:jc w:val="both"/>
        <w:rPr>
          <w:rFonts w:ascii="Arial" w:hAnsi="Arial" w:cs="Arial"/>
          <w:bCs/>
          <w:sz w:val="20"/>
          <w:szCs w:val="20"/>
        </w:rPr>
      </w:pPr>
      <w:r w:rsidRPr="0040766B">
        <w:rPr>
          <w:rFonts w:ascii="Arial" w:hAnsi="Arial" w:cs="Arial"/>
          <w:sz w:val="20"/>
          <w:szCs w:val="20"/>
        </w:rPr>
        <w:t>En consecuencia, al omitir presentar documentación soporte por pólizas de ingresos, el Sujeto Obligado incumplió con lo dispuesto en el artículo 96, numeral 1 del Reglamento de Fiscalización por un importe de $505,797.02</w:t>
      </w:r>
      <w:r w:rsidR="0040766B" w:rsidRPr="0040766B">
        <w:rPr>
          <w:rFonts w:ascii="Arial" w:hAnsi="Arial" w:cs="Arial"/>
          <w:sz w:val="20"/>
          <w:szCs w:val="20"/>
        </w:rPr>
        <w:t>.</w:t>
      </w:r>
    </w:p>
    <w:p w:rsidR="0040766B" w:rsidRPr="0040766B" w:rsidRDefault="0040766B" w:rsidP="00476839">
      <w:pPr>
        <w:pStyle w:val="Prrafodelista"/>
        <w:ind w:left="426"/>
        <w:jc w:val="both"/>
        <w:rPr>
          <w:rFonts w:ascii="Arial" w:hAnsi="Arial" w:cs="Arial"/>
          <w:bCs/>
          <w:sz w:val="20"/>
          <w:szCs w:val="20"/>
        </w:rPr>
      </w:pPr>
    </w:p>
    <w:p w:rsidR="0040766B" w:rsidRPr="0040766B" w:rsidRDefault="0040766B" w:rsidP="00476839">
      <w:pPr>
        <w:pStyle w:val="Prrafodelista"/>
        <w:numPr>
          <w:ilvl w:val="0"/>
          <w:numId w:val="61"/>
        </w:numPr>
        <w:ind w:left="426" w:hanging="426"/>
        <w:jc w:val="both"/>
        <w:rPr>
          <w:rFonts w:ascii="Arial" w:hAnsi="Arial" w:cs="Arial"/>
          <w:bCs/>
          <w:sz w:val="20"/>
          <w:szCs w:val="20"/>
        </w:rPr>
      </w:pPr>
      <w:r>
        <w:rPr>
          <w:rFonts w:ascii="Arial" w:hAnsi="Arial" w:cs="Arial"/>
          <w:sz w:val="20"/>
          <w:szCs w:val="20"/>
        </w:rPr>
        <w:t>“</w:t>
      </w:r>
      <w:r w:rsidR="00990C83" w:rsidRPr="0040766B">
        <w:rPr>
          <w:rFonts w:ascii="Arial" w:hAnsi="Arial" w:cs="Arial"/>
          <w:sz w:val="20"/>
          <w:szCs w:val="20"/>
        </w:rPr>
        <w:t>COA Flexible PAN-PT omitió registrar pólizas de egresos con documentación soporte por $3, 782,908.75</w:t>
      </w:r>
      <w:r>
        <w:rPr>
          <w:rFonts w:ascii="Arial" w:hAnsi="Arial" w:cs="Arial"/>
          <w:sz w:val="20"/>
          <w:szCs w:val="20"/>
        </w:rPr>
        <w:t>”.</w:t>
      </w:r>
    </w:p>
    <w:p w:rsidR="00990C83" w:rsidRPr="0040766B" w:rsidRDefault="0040766B" w:rsidP="00476839">
      <w:pPr>
        <w:pStyle w:val="Prrafodelista"/>
        <w:ind w:left="426"/>
        <w:jc w:val="both"/>
        <w:rPr>
          <w:rFonts w:ascii="Arial" w:hAnsi="Arial" w:cs="Arial"/>
          <w:bCs/>
          <w:sz w:val="20"/>
          <w:szCs w:val="20"/>
        </w:rPr>
      </w:pPr>
      <w:r>
        <w:rPr>
          <w:rFonts w:ascii="Arial" w:hAnsi="Arial" w:cs="Arial"/>
          <w:sz w:val="20"/>
          <w:szCs w:val="20"/>
        </w:rPr>
        <w:t>A</w:t>
      </w:r>
      <w:r w:rsidR="00990C83" w:rsidRPr="0040766B">
        <w:rPr>
          <w:rFonts w:ascii="Arial" w:hAnsi="Arial" w:cs="Arial"/>
          <w:sz w:val="20"/>
          <w:szCs w:val="20"/>
        </w:rPr>
        <w:t xml:space="preserve">l no presentar la documentación soporte incumplió con lo dispuesto en el </w:t>
      </w:r>
      <w:r w:rsidRPr="0040766B">
        <w:rPr>
          <w:rFonts w:ascii="Arial" w:hAnsi="Arial" w:cs="Arial"/>
          <w:sz w:val="20"/>
          <w:szCs w:val="20"/>
        </w:rPr>
        <w:t>artículo,</w:t>
      </w:r>
      <w:r w:rsidR="00990C83" w:rsidRPr="0040766B">
        <w:rPr>
          <w:rFonts w:ascii="Arial" w:hAnsi="Arial" w:cs="Arial"/>
          <w:sz w:val="20"/>
          <w:szCs w:val="20"/>
        </w:rPr>
        <w:t xml:space="preserve"> así como 127 del Reglamento de Fiscalización por un importe de $3, 782,908.75</w:t>
      </w:r>
    </w:p>
    <w:p w:rsidR="0040766B" w:rsidRPr="0040766B" w:rsidRDefault="0040766B" w:rsidP="00476839">
      <w:pPr>
        <w:jc w:val="both"/>
        <w:rPr>
          <w:rFonts w:ascii="Arial" w:hAnsi="Arial" w:cs="Arial"/>
          <w:bCs/>
          <w:sz w:val="20"/>
          <w:szCs w:val="20"/>
        </w:rPr>
      </w:pPr>
    </w:p>
    <w:p w:rsidR="00990C83" w:rsidRPr="0040766B" w:rsidRDefault="0040766B" w:rsidP="00476839">
      <w:pPr>
        <w:pStyle w:val="Prrafodelista"/>
        <w:numPr>
          <w:ilvl w:val="0"/>
          <w:numId w:val="61"/>
        </w:numPr>
        <w:ind w:left="426" w:hanging="426"/>
        <w:jc w:val="both"/>
        <w:rPr>
          <w:rFonts w:ascii="Arial" w:hAnsi="Arial" w:cs="Arial"/>
          <w:sz w:val="20"/>
          <w:szCs w:val="20"/>
        </w:rPr>
      </w:pPr>
      <w:r>
        <w:rPr>
          <w:rFonts w:ascii="Arial" w:hAnsi="Arial" w:cs="Arial"/>
          <w:sz w:val="20"/>
          <w:szCs w:val="20"/>
        </w:rPr>
        <w:t>“</w:t>
      </w:r>
      <w:r w:rsidR="00990C83" w:rsidRPr="0040766B">
        <w:rPr>
          <w:rFonts w:ascii="Arial" w:hAnsi="Arial" w:cs="Arial"/>
          <w:sz w:val="20"/>
          <w:szCs w:val="20"/>
        </w:rPr>
        <w:t>Derivado del monitoreo del PAN, se procede registrar gastos por un monto de $14,387.50, los cuales serán acumulados a los topes de gastos. En consecuencia, al omitir reportar gastos por mantas, muros y espectaculares, el Partido Coalición “El Estado de México nos uno” incumplió con lo dispuesto en el 79, numeral 1, inciso b), fracción I de la Ley General de Partidos Políticos en relación con el artículo 127 del Reglamento de Fiscalización.</w:t>
      </w:r>
    </w:p>
    <w:p w:rsidR="00292F59" w:rsidRDefault="00292F59" w:rsidP="00476839">
      <w:pPr>
        <w:pStyle w:val="Prrafodelista"/>
        <w:rPr>
          <w:rFonts w:ascii="Arial" w:hAnsi="Arial" w:cs="Arial"/>
          <w:i/>
          <w:iCs/>
          <w:sz w:val="20"/>
          <w:szCs w:val="20"/>
        </w:rPr>
      </w:pPr>
    </w:p>
    <w:p w:rsidR="00292F59" w:rsidRDefault="00292F59" w:rsidP="00476839">
      <w:pPr>
        <w:pStyle w:val="Prrafodelista"/>
        <w:rPr>
          <w:rFonts w:ascii="Arial" w:hAnsi="Arial" w:cs="Arial"/>
          <w:i/>
          <w:iCs/>
          <w:sz w:val="20"/>
          <w:szCs w:val="20"/>
        </w:rPr>
      </w:pPr>
    </w:p>
    <w:p w:rsidR="00476839" w:rsidRPr="00E5019C" w:rsidRDefault="00476839" w:rsidP="00476839">
      <w:pPr>
        <w:pStyle w:val="Prrafodelista"/>
        <w:rPr>
          <w:rFonts w:ascii="Arial" w:hAnsi="Arial" w:cs="Arial"/>
          <w:i/>
          <w:iCs/>
          <w:sz w:val="20"/>
          <w:szCs w:val="20"/>
        </w:rPr>
      </w:pPr>
    </w:p>
    <w:p w:rsidR="00990C83" w:rsidRDefault="00990C83" w:rsidP="00476839">
      <w:pPr>
        <w:contextualSpacing/>
        <w:jc w:val="center"/>
        <w:rPr>
          <w:rFonts w:ascii="Arial" w:hAnsi="Arial" w:cs="Arial"/>
          <w:b/>
          <w:bCs/>
          <w:sz w:val="20"/>
          <w:szCs w:val="20"/>
        </w:rPr>
      </w:pPr>
      <w:r w:rsidRPr="00E5019C">
        <w:rPr>
          <w:rFonts w:ascii="Arial" w:hAnsi="Arial" w:cs="Arial"/>
          <w:b/>
          <w:bCs/>
          <w:sz w:val="20"/>
          <w:szCs w:val="20"/>
        </w:rPr>
        <w:t xml:space="preserve">Coalición </w:t>
      </w:r>
      <w:r w:rsidR="0040766B">
        <w:rPr>
          <w:rFonts w:ascii="Arial" w:hAnsi="Arial" w:cs="Arial"/>
          <w:b/>
          <w:bCs/>
          <w:sz w:val="20"/>
          <w:szCs w:val="20"/>
        </w:rPr>
        <w:t>P</w:t>
      </w:r>
      <w:r w:rsidRPr="00E5019C">
        <w:rPr>
          <w:rFonts w:ascii="Arial" w:hAnsi="Arial" w:cs="Arial"/>
          <w:b/>
          <w:bCs/>
          <w:sz w:val="20"/>
          <w:szCs w:val="20"/>
        </w:rPr>
        <w:t xml:space="preserve">arcial entre </w:t>
      </w:r>
      <w:r w:rsidR="005C2DB9">
        <w:rPr>
          <w:rFonts w:ascii="Arial" w:hAnsi="Arial" w:cs="Arial"/>
          <w:b/>
          <w:bCs/>
          <w:sz w:val="20"/>
          <w:szCs w:val="20"/>
        </w:rPr>
        <w:t>el PRI</w:t>
      </w:r>
      <w:r w:rsidRPr="00E5019C">
        <w:rPr>
          <w:rFonts w:ascii="Arial" w:hAnsi="Arial" w:cs="Arial"/>
          <w:b/>
          <w:bCs/>
          <w:sz w:val="20"/>
          <w:szCs w:val="20"/>
        </w:rPr>
        <w:t xml:space="preserve">, </w:t>
      </w:r>
      <w:r w:rsidR="005C2DB9">
        <w:rPr>
          <w:rFonts w:ascii="Arial" w:hAnsi="Arial" w:cs="Arial"/>
          <w:b/>
          <w:bCs/>
          <w:sz w:val="20"/>
          <w:szCs w:val="20"/>
        </w:rPr>
        <w:t>PVEM</w:t>
      </w:r>
      <w:r w:rsidRPr="00E5019C">
        <w:rPr>
          <w:rFonts w:ascii="Arial" w:hAnsi="Arial" w:cs="Arial"/>
          <w:b/>
          <w:bCs/>
          <w:sz w:val="20"/>
          <w:szCs w:val="20"/>
        </w:rPr>
        <w:t xml:space="preserve"> y </w:t>
      </w:r>
      <w:r w:rsidR="005C2DB9">
        <w:rPr>
          <w:rFonts w:ascii="Arial" w:hAnsi="Arial" w:cs="Arial"/>
          <w:b/>
          <w:bCs/>
          <w:sz w:val="20"/>
          <w:szCs w:val="20"/>
        </w:rPr>
        <w:t>NA</w:t>
      </w:r>
    </w:p>
    <w:p w:rsidR="00292F59" w:rsidRPr="00E5019C" w:rsidRDefault="00292F59" w:rsidP="00476839">
      <w:pPr>
        <w:contextualSpacing/>
        <w:jc w:val="both"/>
        <w:rPr>
          <w:rFonts w:ascii="Arial" w:hAnsi="Arial" w:cs="Arial"/>
          <w:sz w:val="20"/>
          <w:szCs w:val="20"/>
        </w:rPr>
      </w:pPr>
    </w:p>
    <w:p w:rsidR="00990C83" w:rsidRPr="005C2DB9" w:rsidRDefault="00292F59" w:rsidP="00476839">
      <w:pPr>
        <w:rPr>
          <w:rFonts w:ascii="Arial" w:hAnsi="Arial" w:cs="Arial"/>
          <w:b/>
          <w:bCs/>
          <w:i/>
          <w:iCs/>
          <w:sz w:val="20"/>
          <w:szCs w:val="20"/>
        </w:rPr>
      </w:pPr>
      <w:r w:rsidRPr="005C2DB9">
        <w:rPr>
          <w:rFonts w:ascii="Arial" w:hAnsi="Arial" w:cs="Arial"/>
          <w:b/>
          <w:bCs/>
          <w:i/>
          <w:iCs/>
          <w:sz w:val="20"/>
          <w:szCs w:val="20"/>
        </w:rPr>
        <w:t>Faltas Sustanciales</w:t>
      </w:r>
    </w:p>
    <w:p w:rsidR="00990C83" w:rsidRPr="0040766B" w:rsidRDefault="0040766B" w:rsidP="00476839">
      <w:pPr>
        <w:pStyle w:val="Prrafodelista"/>
        <w:numPr>
          <w:ilvl w:val="0"/>
          <w:numId w:val="62"/>
        </w:numPr>
        <w:ind w:left="426" w:hanging="426"/>
        <w:jc w:val="both"/>
        <w:rPr>
          <w:rFonts w:ascii="Arial" w:hAnsi="Arial" w:cs="Arial"/>
          <w:sz w:val="20"/>
          <w:szCs w:val="20"/>
        </w:rPr>
      </w:pPr>
      <w:r>
        <w:rPr>
          <w:rFonts w:ascii="Arial" w:hAnsi="Arial" w:cs="Arial"/>
          <w:sz w:val="20"/>
          <w:szCs w:val="20"/>
        </w:rPr>
        <w:t>“</w:t>
      </w:r>
      <w:r w:rsidR="00990C83" w:rsidRPr="0040766B">
        <w:rPr>
          <w:rFonts w:ascii="Arial" w:hAnsi="Arial" w:cs="Arial"/>
          <w:sz w:val="20"/>
          <w:szCs w:val="20"/>
        </w:rPr>
        <w:t>La Coalición no reportó gastos por $1,589,890.00 ($209,890.00 + $1,380,000.00) que benefician directamente a candidatos postulados por la Coalición PRI-PVEM-NA, al cargo de Ayuntamientos</w:t>
      </w:r>
      <w:r>
        <w:rPr>
          <w:rFonts w:ascii="Arial" w:hAnsi="Arial" w:cs="Arial"/>
          <w:sz w:val="20"/>
          <w:szCs w:val="20"/>
        </w:rPr>
        <w:t>”.</w:t>
      </w:r>
    </w:p>
    <w:p w:rsidR="0040766B" w:rsidRPr="0040766B" w:rsidRDefault="0040766B" w:rsidP="00476839">
      <w:pPr>
        <w:pStyle w:val="Prrafodelista"/>
        <w:ind w:left="426"/>
        <w:jc w:val="both"/>
        <w:rPr>
          <w:rFonts w:ascii="Arial" w:hAnsi="Arial" w:cs="Arial"/>
          <w:sz w:val="20"/>
          <w:szCs w:val="20"/>
        </w:rPr>
      </w:pPr>
    </w:p>
    <w:p w:rsidR="00990C83" w:rsidRPr="0040766B" w:rsidRDefault="0040766B" w:rsidP="00476839">
      <w:pPr>
        <w:pStyle w:val="Prrafodelista"/>
        <w:numPr>
          <w:ilvl w:val="0"/>
          <w:numId w:val="62"/>
        </w:numPr>
        <w:ind w:left="426" w:hanging="426"/>
        <w:jc w:val="both"/>
        <w:rPr>
          <w:rFonts w:ascii="Arial" w:hAnsi="Arial" w:cs="Arial"/>
          <w:sz w:val="20"/>
          <w:szCs w:val="20"/>
        </w:rPr>
      </w:pPr>
      <w:r>
        <w:rPr>
          <w:rFonts w:ascii="Arial" w:hAnsi="Arial" w:cs="Arial"/>
          <w:sz w:val="20"/>
          <w:szCs w:val="20"/>
        </w:rPr>
        <w:t>“</w:t>
      </w:r>
      <w:r w:rsidR="00990C83" w:rsidRPr="0040766B">
        <w:rPr>
          <w:rFonts w:ascii="Arial" w:hAnsi="Arial" w:cs="Arial"/>
          <w:sz w:val="20"/>
          <w:szCs w:val="20"/>
        </w:rPr>
        <w:t>La Coalición no reportó gastos por $14,600.00 que benefician directamente a la candidata Rosalba Pineda Ramírez, al cargo de Ayuntamientos</w:t>
      </w:r>
      <w:r>
        <w:rPr>
          <w:rFonts w:ascii="Arial" w:hAnsi="Arial" w:cs="Arial"/>
          <w:sz w:val="20"/>
          <w:szCs w:val="20"/>
        </w:rPr>
        <w:t>”.</w:t>
      </w:r>
    </w:p>
    <w:p w:rsidR="00990C83" w:rsidRPr="0040766B" w:rsidRDefault="00990C83" w:rsidP="00476839">
      <w:pPr>
        <w:ind w:left="426"/>
        <w:contextualSpacing/>
        <w:jc w:val="both"/>
        <w:rPr>
          <w:rFonts w:ascii="Arial" w:hAnsi="Arial" w:cs="Arial"/>
          <w:sz w:val="20"/>
          <w:szCs w:val="20"/>
        </w:rPr>
      </w:pPr>
      <w:r w:rsidRPr="0040766B">
        <w:rPr>
          <w:rFonts w:ascii="Arial" w:hAnsi="Arial" w:cs="Arial"/>
          <w:sz w:val="20"/>
          <w:szCs w:val="20"/>
        </w:rPr>
        <w:t>Los sujetos obligados incumplieron con lo dispuesto en el 79, numeral 1, inciso b), fracción I de la Ley General de Partidos Políticos en relación con el artículo 127 del Reglamento de Fiscalización</w:t>
      </w:r>
      <w:r w:rsidR="00292F59" w:rsidRPr="0040766B">
        <w:rPr>
          <w:rFonts w:ascii="Arial" w:hAnsi="Arial" w:cs="Arial"/>
          <w:sz w:val="20"/>
          <w:szCs w:val="20"/>
        </w:rPr>
        <w:t>.</w:t>
      </w:r>
    </w:p>
    <w:p w:rsidR="00990C83" w:rsidRPr="00E5019C" w:rsidRDefault="00990C83" w:rsidP="00476839">
      <w:pPr>
        <w:contextualSpacing/>
        <w:rPr>
          <w:rFonts w:ascii="Arial" w:hAnsi="Arial" w:cs="Arial"/>
          <w:bCs/>
          <w:sz w:val="20"/>
          <w:szCs w:val="20"/>
        </w:rPr>
      </w:pPr>
    </w:p>
    <w:p w:rsidR="00990C83" w:rsidRPr="00E5019C" w:rsidRDefault="00990C83" w:rsidP="00476839">
      <w:pPr>
        <w:contextualSpacing/>
        <w:rPr>
          <w:rFonts w:ascii="Arial" w:hAnsi="Arial" w:cs="Arial"/>
          <w:sz w:val="20"/>
          <w:szCs w:val="20"/>
        </w:rPr>
      </w:pPr>
    </w:p>
    <w:p w:rsidR="001C4552" w:rsidRDefault="001C4552">
      <w:pPr>
        <w:rPr>
          <w:rStyle w:val="Ttulodellibro"/>
          <w:rFonts w:ascii="Arial" w:hAnsi="Arial" w:cs="Arial"/>
          <w:b/>
          <w:i/>
          <w:color w:val="auto"/>
          <w:sz w:val="24"/>
          <w:szCs w:val="24"/>
        </w:rPr>
      </w:pPr>
      <w:r>
        <w:rPr>
          <w:rStyle w:val="Ttulodellibro"/>
          <w:rFonts w:ascii="Arial" w:hAnsi="Arial" w:cs="Arial"/>
          <w:b/>
          <w:i/>
          <w:color w:val="auto"/>
          <w:sz w:val="24"/>
          <w:szCs w:val="24"/>
        </w:rPr>
        <w:br w:type="page"/>
      </w:r>
    </w:p>
    <w:p w:rsidR="00990C83" w:rsidRPr="00574EC3" w:rsidRDefault="00990C83" w:rsidP="00476839">
      <w:pPr>
        <w:pStyle w:val="Sinespaciado"/>
        <w:rPr>
          <w:rStyle w:val="Ttulodellibro"/>
          <w:rFonts w:ascii="Arial" w:hAnsi="Arial" w:cs="Arial"/>
          <w:b/>
          <w:i/>
          <w:color w:val="auto"/>
          <w:sz w:val="24"/>
          <w:szCs w:val="24"/>
        </w:rPr>
      </w:pPr>
      <w:r w:rsidRPr="00574EC3">
        <w:rPr>
          <w:rStyle w:val="Ttulodellibro"/>
          <w:rFonts w:ascii="Arial" w:hAnsi="Arial" w:cs="Arial"/>
          <w:b/>
          <w:i/>
          <w:color w:val="auto"/>
          <w:sz w:val="24"/>
          <w:szCs w:val="24"/>
        </w:rPr>
        <w:lastRenderedPageBreak/>
        <w:t>ANEXO 5</w:t>
      </w:r>
      <w:r w:rsidR="00574EC3">
        <w:rPr>
          <w:rStyle w:val="Ttulodellibro"/>
          <w:rFonts w:ascii="Arial" w:hAnsi="Arial" w:cs="Arial"/>
          <w:b/>
          <w:i/>
          <w:color w:val="auto"/>
          <w:sz w:val="24"/>
          <w:szCs w:val="24"/>
        </w:rPr>
        <w:t>.</w:t>
      </w:r>
      <w:r w:rsidRPr="00574EC3">
        <w:rPr>
          <w:rStyle w:val="Ttulodellibro"/>
          <w:rFonts w:ascii="Arial" w:hAnsi="Arial" w:cs="Arial"/>
          <w:b/>
          <w:i/>
          <w:color w:val="auto"/>
          <w:sz w:val="24"/>
          <w:szCs w:val="24"/>
        </w:rPr>
        <w:t xml:space="preserve"> PRECAMPAÑA GOBERNADOR 2011</w:t>
      </w:r>
      <w:r w:rsidR="00574EC3">
        <w:rPr>
          <w:rStyle w:val="Ttulodellibro"/>
          <w:rFonts w:ascii="Arial" w:hAnsi="Arial" w:cs="Arial"/>
          <w:b/>
          <w:i/>
          <w:color w:val="auto"/>
          <w:sz w:val="24"/>
          <w:szCs w:val="24"/>
        </w:rPr>
        <w:t>.</w:t>
      </w:r>
    </w:p>
    <w:p w:rsidR="00292F59" w:rsidRPr="00E5019C" w:rsidRDefault="00292F59" w:rsidP="00476839">
      <w:pPr>
        <w:contextualSpacing/>
        <w:jc w:val="center"/>
        <w:rPr>
          <w:rFonts w:ascii="Arial" w:hAnsi="Arial" w:cs="Arial"/>
          <w:b/>
          <w:sz w:val="20"/>
          <w:szCs w:val="20"/>
        </w:rPr>
      </w:pPr>
    </w:p>
    <w:p w:rsidR="00990C83" w:rsidRPr="00E5019C" w:rsidRDefault="00990C83" w:rsidP="00476839">
      <w:pPr>
        <w:pStyle w:val="Default"/>
        <w:contextualSpacing/>
        <w:jc w:val="both"/>
        <w:rPr>
          <w:bCs/>
          <w:sz w:val="20"/>
          <w:szCs w:val="20"/>
        </w:rPr>
      </w:pPr>
      <w:r w:rsidRPr="00E5019C">
        <w:rPr>
          <w:bCs/>
          <w:sz w:val="20"/>
          <w:szCs w:val="20"/>
        </w:rPr>
        <w:t xml:space="preserve">I. Conclusiones finales de la revisión a los informes de ingresos y gastos de precampaña al cargo de Gobernador, presentados por </w:t>
      </w:r>
      <w:r w:rsidRPr="00E5019C">
        <w:rPr>
          <w:b/>
          <w:bCs/>
          <w:sz w:val="20"/>
          <w:szCs w:val="20"/>
        </w:rPr>
        <w:t>PARTIDO ACCIÓN NACIONAL</w:t>
      </w:r>
      <w:r w:rsidRPr="00E5019C">
        <w:rPr>
          <w:bCs/>
          <w:sz w:val="20"/>
          <w:szCs w:val="20"/>
        </w:rPr>
        <w:t xml:space="preserve">, correspondientes al Proceso Electoral Local Ordinario 2016-2017 en el </w:t>
      </w:r>
      <w:r w:rsidR="00574EC3">
        <w:rPr>
          <w:bCs/>
          <w:sz w:val="20"/>
          <w:szCs w:val="20"/>
        </w:rPr>
        <w:t>E</w:t>
      </w:r>
      <w:r w:rsidRPr="00E5019C">
        <w:rPr>
          <w:bCs/>
          <w:sz w:val="20"/>
          <w:szCs w:val="20"/>
        </w:rPr>
        <w:t xml:space="preserve">stado de Estado de México. </w:t>
      </w:r>
    </w:p>
    <w:p w:rsidR="00990C83" w:rsidRDefault="00990C83" w:rsidP="00476839">
      <w:pPr>
        <w:pStyle w:val="Default"/>
        <w:contextualSpacing/>
        <w:rPr>
          <w:sz w:val="20"/>
          <w:szCs w:val="20"/>
        </w:rPr>
      </w:pPr>
    </w:p>
    <w:p w:rsidR="00990C83" w:rsidRPr="00A57605" w:rsidRDefault="00990C83" w:rsidP="00476839">
      <w:pPr>
        <w:pStyle w:val="Default"/>
        <w:contextualSpacing/>
        <w:jc w:val="center"/>
        <w:rPr>
          <w:b/>
          <w:caps/>
          <w:sz w:val="20"/>
          <w:szCs w:val="20"/>
        </w:rPr>
      </w:pPr>
      <w:r w:rsidRPr="00A57605">
        <w:rPr>
          <w:b/>
          <w:caps/>
          <w:sz w:val="20"/>
          <w:szCs w:val="20"/>
        </w:rPr>
        <w:t>6 Faltas Formales (Conclusiones 3,5,6,7,8 y 9)</w:t>
      </w:r>
    </w:p>
    <w:p w:rsidR="00990C83" w:rsidRPr="00E5019C" w:rsidRDefault="00990C83" w:rsidP="00476839">
      <w:pPr>
        <w:pStyle w:val="Default"/>
        <w:contextualSpacing/>
        <w:rPr>
          <w:sz w:val="20"/>
          <w:szCs w:val="20"/>
        </w:rPr>
      </w:pPr>
    </w:p>
    <w:p w:rsidR="00990C83" w:rsidRPr="00F81BBD" w:rsidRDefault="00990C83" w:rsidP="00476839">
      <w:pPr>
        <w:pStyle w:val="Default"/>
        <w:contextualSpacing/>
        <w:rPr>
          <w:b/>
          <w:bCs/>
          <w:sz w:val="20"/>
          <w:szCs w:val="20"/>
          <w:u w:val="single"/>
        </w:rPr>
      </w:pPr>
      <w:r w:rsidRPr="00F81BBD">
        <w:rPr>
          <w:b/>
          <w:bCs/>
          <w:sz w:val="20"/>
          <w:szCs w:val="20"/>
          <w:u w:val="single"/>
        </w:rPr>
        <w:t xml:space="preserve">Aportaciones de Militantes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3.PAN/MEX. El sujeto obligado omitió presentar el material y las muestras del contenido de los servicios de programación y manejo de pauta para medios digitales. </w:t>
      </w:r>
    </w:p>
    <w:p w:rsidR="00990C83" w:rsidRPr="00E5019C" w:rsidRDefault="00990C83" w:rsidP="00476839">
      <w:pPr>
        <w:pStyle w:val="Default"/>
        <w:contextualSpacing/>
        <w:rPr>
          <w:sz w:val="20"/>
          <w:szCs w:val="20"/>
        </w:rPr>
      </w:pPr>
    </w:p>
    <w:p w:rsidR="00990C83" w:rsidRPr="00F81BBD" w:rsidRDefault="00990C83" w:rsidP="00476839">
      <w:pPr>
        <w:pStyle w:val="Default"/>
        <w:contextualSpacing/>
        <w:rPr>
          <w:b/>
          <w:bCs/>
          <w:sz w:val="20"/>
          <w:szCs w:val="20"/>
          <w:u w:val="single"/>
        </w:rPr>
      </w:pPr>
      <w:r w:rsidRPr="00F81BBD">
        <w:rPr>
          <w:b/>
          <w:bCs/>
          <w:sz w:val="20"/>
          <w:szCs w:val="20"/>
          <w:u w:val="single"/>
        </w:rPr>
        <w:t>Gastos</w:t>
      </w:r>
    </w:p>
    <w:p w:rsidR="00990C83" w:rsidRPr="00E5019C" w:rsidRDefault="00990C83" w:rsidP="00476839">
      <w:pPr>
        <w:pStyle w:val="Default"/>
        <w:contextualSpacing/>
        <w:rPr>
          <w:b/>
          <w:bCs/>
          <w:sz w:val="20"/>
          <w:szCs w:val="20"/>
        </w:rPr>
      </w:pPr>
    </w:p>
    <w:p w:rsidR="00990C83" w:rsidRPr="00E5019C" w:rsidRDefault="00990C83" w:rsidP="00476839">
      <w:pPr>
        <w:pStyle w:val="Default"/>
        <w:contextualSpacing/>
        <w:jc w:val="both"/>
        <w:rPr>
          <w:sz w:val="20"/>
          <w:szCs w:val="20"/>
        </w:rPr>
      </w:pPr>
      <w:r w:rsidRPr="00E5019C">
        <w:rPr>
          <w:sz w:val="20"/>
          <w:szCs w:val="20"/>
        </w:rPr>
        <w:t>5.PAN/MEX. El sujeto obligado omitió presentar las evidencias fotográficas de salones rentados por un monto de $19,488.00.</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6.PAN/MEX. El sujeto obligado presentó comprobantes de gastos sin la totalidad de requisitos fiscales (complemento INE), por un importe de $19,488.00.</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7.PAN/MEX. El sujeto obligado reportó 2 domicilios utilizados como casa de precampaña de los precandidatos José Luis Durán Reveles y Josefina Vázquez Mota de forma extemporánea.</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8.PAN/MEX. El sujeto obligado omitió realizar el registro contable de los gastos por el uso o goce temporal del inmueble utilizado como casa de precampaña por un precandidato, la cual fue valuada en $5,000.00.</w:t>
      </w:r>
    </w:p>
    <w:p w:rsidR="00990C83" w:rsidRPr="00E5019C" w:rsidRDefault="00990C83" w:rsidP="00476839">
      <w:pPr>
        <w:pStyle w:val="Default"/>
        <w:contextualSpacing/>
        <w:jc w:val="both"/>
        <w:rPr>
          <w:sz w:val="20"/>
          <w:szCs w:val="20"/>
        </w:rPr>
      </w:pPr>
    </w:p>
    <w:p w:rsidR="00990C83" w:rsidRPr="00292F59" w:rsidRDefault="00990C83" w:rsidP="00476839">
      <w:pPr>
        <w:pStyle w:val="Default"/>
        <w:contextualSpacing/>
        <w:jc w:val="center"/>
        <w:rPr>
          <w:b/>
          <w:caps/>
          <w:sz w:val="20"/>
          <w:szCs w:val="20"/>
        </w:rPr>
      </w:pPr>
      <w:r w:rsidRPr="00292F59">
        <w:rPr>
          <w:b/>
          <w:caps/>
          <w:sz w:val="20"/>
          <w:szCs w:val="20"/>
        </w:rPr>
        <w:t>6 Faltas Sustanciales (Conclusiones 10, 11, 13, 14, 15 y 16)</w:t>
      </w:r>
    </w:p>
    <w:p w:rsidR="00990C83" w:rsidRPr="00E5019C" w:rsidRDefault="00990C83" w:rsidP="00476839">
      <w:pPr>
        <w:pStyle w:val="Default"/>
        <w:contextualSpacing/>
        <w:jc w:val="both"/>
        <w:rPr>
          <w:sz w:val="20"/>
          <w:szCs w:val="20"/>
        </w:rPr>
      </w:pPr>
    </w:p>
    <w:p w:rsidR="00990C83" w:rsidRPr="00F81BBD" w:rsidRDefault="00990C83" w:rsidP="00476839">
      <w:pPr>
        <w:pStyle w:val="Default"/>
        <w:contextualSpacing/>
        <w:rPr>
          <w:sz w:val="20"/>
          <w:szCs w:val="20"/>
          <w:u w:val="single"/>
        </w:rPr>
      </w:pPr>
      <w:r w:rsidRPr="00F81BBD">
        <w:rPr>
          <w:b/>
          <w:bCs/>
          <w:sz w:val="20"/>
          <w:szCs w:val="20"/>
          <w:u w:val="single"/>
        </w:rPr>
        <w:t xml:space="preserve">Monitoreo </w:t>
      </w:r>
    </w:p>
    <w:p w:rsidR="00990C83" w:rsidRPr="00E5019C" w:rsidRDefault="00990C83" w:rsidP="00476839">
      <w:pPr>
        <w:pStyle w:val="Default"/>
        <w:contextualSpacing/>
        <w:rPr>
          <w:b/>
          <w:bCs/>
          <w:sz w:val="20"/>
          <w:szCs w:val="20"/>
        </w:rPr>
      </w:pPr>
      <w:r w:rsidRPr="00E5019C">
        <w:rPr>
          <w:b/>
          <w:bCs/>
          <w:sz w:val="20"/>
          <w:szCs w:val="20"/>
        </w:rPr>
        <w:t xml:space="preserve">Páginas de Internet y Redes Sociales.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10.PAN/MEX. El sujeto obligado omitió reportar la producción de un video, el cual fue valuado en $80,040.00.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Producción de Radio y Televisión.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11.PAN/MEX. El sujeto obligado omitió reportar gastos por concepto de producción de spots que benefician a los 11 precandidatos, los cuales fueron valuados en $590,440.00.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Sistema Integral de Fiscalización </w:t>
      </w:r>
    </w:p>
    <w:p w:rsidR="00990C83" w:rsidRPr="00E5019C" w:rsidRDefault="00990C83" w:rsidP="00476839">
      <w:pPr>
        <w:pStyle w:val="Default"/>
        <w:contextualSpacing/>
        <w:jc w:val="both"/>
        <w:rPr>
          <w:sz w:val="20"/>
          <w:szCs w:val="20"/>
        </w:rPr>
      </w:pPr>
      <w:r w:rsidRPr="00E5019C">
        <w:rPr>
          <w:b/>
          <w:bCs/>
          <w:sz w:val="20"/>
          <w:szCs w:val="20"/>
        </w:rPr>
        <w:t xml:space="preserve">Registro de Operaciones Fuera de Tiempo </w:t>
      </w:r>
    </w:p>
    <w:p w:rsidR="00990C83" w:rsidRPr="00E5019C" w:rsidRDefault="00990C83" w:rsidP="00476839">
      <w:pPr>
        <w:pStyle w:val="Default"/>
        <w:contextualSpacing/>
        <w:jc w:val="both"/>
        <w:rPr>
          <w:b/>
          <w:bCs/>
          <w:sz w:val="20"/>
          <w:szCs w:val="20"/>
        </w:rPr>
      </w:pPr>
      <w:r w:rsidRPr="00E5019C">
        <w:rPr>
          <w:b/>
          <w:bCs/>
          <w:sz w:val="20"/>
          <w:szCs w:val="20"/>
        </w:rPr>
        <w:t xml:space="preserve">Periodo Normal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13.PAN/MEX. El sujeto obligado realizó extemporáneamente 20 registros contables dentro del periodo normal, por un importe de $572,004.16.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Periodo de Corrección </w:t>
      </w:r>
    </w:p>
    <w:p w:rsidR="00990C83" w:rsidRPr="00E5019C" w:rsidRDefault="00990C83" w:rsidP="00476839">
      <w:pPr>
        <w:pStyle w:val="Default"/>
        <w:contextualSpacing/>
        <w:jc w:val="both"/>
        <w:rPr>
          <w:sz w:val="20"/>
          <w:szCs w:val="20"/>
        </w:rPr>
      </w:pPr>
      <w:r w:rsidRPr="00E5019C">
        <w:rPr>
          <w:sz w:val="20"/>
          <w:szCs w:val="20"/>
        </w:rPr>
        <w:t xml:space="preserve">14.PAN/MEX. El sujeto obligado no realizó 22 registros contables dentro del periodo normal. Estos registros fueron efectuados como resultado de las observaciones formuladas por la UTF en el oficio de errores y omisiones por un importe de $133,656.00, en el periodo de corrección. </w:t>
      </w:r>
    </w:p>
    <w:p w:rsidR="00990C83" w:rsidRDefault="00990C83" w:rsidP="00476839">
      <w:pPr>
        <w:pStyle w:val="Default"/>
        <w:contextualSpacing/>
        <w:jc w:val="both"/>
        <w:rPr>
          <w:sz w:val="20"/>
          <w:szCs w:val="20"/>
        </w:rPr>
      </w:pPr>
    </w:p>
    <w:p w:rsidR="001C4552" w:rsidRDefault="001C4552" w:rsidP="00476839">
      <w:pPr>
        <w:pStyle w:val="Default"/>
        <w:contextualSpacing/>
        <w:jc w:val="both"/>
        <w:rPr>
          <w:sz w:val="20"/>
          <w:szCs w:val="20"/>
        </w:rPr>
      </w:pPr>
    </w:p>
    <w:p w:rsidR="001C4552" w:rsidRDefault="001C4552" w:rsidP="00476839">
      <w:pPr>
        <w:pStyle w:val="Default"/>
        <w:contextualSpacing/>
        <w:jc w:val="both"/>
        <w:rPr>
          <w:sz w:val="20"/>
          <w:szCs w:val="20"/>
        </w:rPr>
      </w:pPr>
    </w:p>
    <w:p w:rsidR="001C4552" w:rsidRPr="00E5019C" w:rsidRDefault="001C4552" w:rsidP="00476839">
      <w:pPr>
        <w:pStyle w:val="Default"/>
        <w:contextualSpacing/>
        <w:jc w:val="both"/>
        <w:rPr>
          <w:sz w:val="20"/>
          <w:szCs w:val="20"/>
        </w:rPr>
      </w:pPr>
    </w:p>
    <w:p w:rsidR="00990C83" w:rsidRPr="00F81BBD" w:rsidRDefault="00990C83" w:rsidP="00476839">
      <w:pPr>
        <w:pStyle w:val="Default"/>
        <w:contextualSpacing/>
        <w:jc w:val="both"/>
        <w:rPr>
          <w:b/>
          <w:bCs/>
          <w:sz w:val="20"/>
          <w:szCs w:val="20"/>
          <w:u w:val="single"/>
        </w:rPr>
      </w:pPr>
      <w:r w:rsidRPr="00F81BBD">
        <w:rPr>
          <w:b/>
          <w:bCs/>
          <w:sz w:val="20"/>
          <w:szCs w:val="20"/>
          <w:u w:val="single"/>
        </w:rPr>
        <w:lastRenderedPageBreak/>
        <w:t xml:space="preserve">Aportaciones de Militantes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15.PAN/MEX. El sujeto obligado incumplió con la obligación de recibir a través de cheque o transferencia electrónica mediante la cual se identifique el número de cuenta y nombre del aportante dos aportaciones de militantes en efectivo superiores a 90 UMA, por un importe de $85,000.00.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16.PAN/MEX. El sujeto obligado reportó gastos en la contabilidad de la operación ordinaria del partido y no en los informes de precampaña, no obstante que benefician directamente a los precandidatos a gobernador, por $16,311.50.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Cs/>
          <w:sz w:val="20"/>
          <w:szCs w:val="20"/>
        </w:rPr>
      </w:pPr>
      <w:r w:rsidRPr="00E5019C">
        <w:rPr>
          <w:bCs/>
          <w:sz w:val="20"/>
          <w:szCs w:val="20"/>
        </w:rPr>
        <w:t xml:space="preserve">Conclusiones de la revisión a los informes de ingresos y gastos de precampaña al cargo de Gobernador y presentado por el </w:t>
      </w:r>
      <w:r w:rsidRPr="00E5019C">
        <w:rPr>
          <w:b/>
          <w:bCs/>
          <w:sz w:val="20"/>
          <w:szCs w:val="20"/>
        </w:rPr>
        <w:t>PARTIDO REVOLUCIONARIO INSTITUCIONAL</w:t>
      </w:r>
      <w:r w:rsidRPr="00E5019C">
        <w:rPr>
          <w:bCs/>
          <w:sz w:val="20"/>
          <w:szCs w:val="20"/>
        </w:rPr>
        <w:t xml:space="preserve"> correspondiente al Proceso Electoral Local Ordinario 2016-2017 en el Estado de México.</w:t>
      </w:r>
    </w:p>
    <w:p w:rsidR="00990C83" w:rsidRPr="00E5019C" w:rsidRDefault="00990C83" w:rsidP="00476839">
      <w:pPr>
        <w:pStyle w:val="Default"/>
        <w:contextualSpacing/>
        <w:jc w:val="both"/>
        <w:rPr>
          <w:sz w:val="20"/>
          <w:szCs w:val="20"/>
        </w:rPr>
      </w:pPr>
    </w:p>
    <w:p w:rsidR="001C4552" w:rsidRDefault="001C4552" w:rsidP="00476839">
      <w:pPr>
        <w:pStyle w:val="Default"/>
        <w:contextualSpacing/>
        <w:jc w:val="center"/>
        <w:rPr>
          <w:b/>
          <w:caps/>
          <w:sz w:val="20"/>
          <w:szCs w:val="20"/>
        </w:rPr>
      </w:pPr>
    </w:p>
    <w:p w:rsidR="00990C83" w:rsidRPr="00292F59" w:rsidRDefault="00990C83" w:rsidP="00476839">
      <w:pPr>
        <w:pStyle w:val="Default"/>
        <w:contextualSpacing/>
        <w:jc w:val="center"/>
        <w:rPr>
          <w:b/>
          <w:caps/>
          <w:sz w:val="20"/>
          <w:szCs w:val="20"/>
        </w:rPr>
      </w:pPr>
      <w:r w:rsidRPr="00292F59">
        <w:rPr>
          <w:b/>
          <w:caps/>
          <w:sz w:val="20"/>
          <w:szCs w:val="20"/>
        </w:rPr>
        <w:t xml:space="preserve">4 FALTAS FORMALES </w:t>
      </w:r>
      <w:r w:rsidR="00292F59" w:rsidRPr="00292F59">
        <w:rPr>
          <w:b/>
          <w:caps/>
          <w:sz w:val="20"/>
          <w:szCs w:val="20"/>
        </w:rPr>
        <w:t xml:space="preserve">(Conclusiones </w:t>
      </w:r>
      <w:r w:rsidRPr="00292F59">
        <w:rPr>
          <w:b/>
          <w:caps/>
          <w:sz w:val="20"/>
          <w:szCs w:val="20"/>
        </w:rPr>
        <w:t>2, 3, 6 y 8</w:t>
      </w:r>
      <w:r w:rsidR="00292F59" w:rsidRPr="00292F59">
        <w:rPr>
          <w:b/>
          <w:caps/>
          <w:sz w:val="20"/>
          <w:szCs w:val="20"/>
        </w:rPr>
        <w:t>)</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 PRI/MEX. El sujeto obligado omitió presentar la información correspondiente al formato de origen de los recursos de precampaña.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3. PRI/MEX. El sujeto obligado presentó el inventario de activo fijo sin reportar los bienes otorgados en comodato para la precampaña.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6. PRI/MEX. El sujeto obligado presentó 18 avisos de contratación de forma extemporánea por $7,675,651.48.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8. PRI/MEX. El sujeto obligado reportó la agenda de eventos de actividades del precandidato de forma extemporánea. </w:t>
      </w:r>
    </w:p>
    <w:p w:rsidR="00574EC3" w:rsidRPr="00E5019C" w:rsidRDefault="00574EC3" w:rsidP="00476839">
      <w:pPr>
        <w:pStyle w:val="Default"/>
        <w:contextualSpacing/>
        <w:jc w:val="both"/>
        <w:rPr>
          <w:sz w:val="20"/>
          <w:szCs w:val="20"/>
        </w:rPr>
      </w:pPr>
    </w:p>
    <w:p w:rsidR="001C4552" w:rsidRDefault="001C4552"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4 FALTAS </w:t>
      </w:r>
      <w:r w:rsidRPr="00A57605">
        <w:rPr>
          <w:b/>
          <w:caps/>
          <w:sz w:val="20"/>
          <w:szCs w:val="20"/>
        </w:rPr>
        <w:t xml:space="preserve">SUSTANCIALES </w:t>
      </w:r>
      <w:r w:rsidR="00A57605" w:rsidRPr="00A57605">
        <w:rPr>
          <w:b/>
          <w:caps/>
          <w:sz w:val="20"/>
          <w:szCs w:val="20"/>
        </w:rPr>
        <w:t xml:space="preserve">(Conclusiones </w:t>
      </w:r>
      <w:r w:rsidRPr="00A57605">
        <w:rPr>
          <w:b/>
          <w:caps/>
          <w:sz w:val="20"/>
          <w:szCs w:val="20"/>
        </w:rPr>
        <w:t>12, 14, 15 y 16</w:t>
      </w:r>
      <w:r w:rsidR="00A57605" w:rsidRPr="00A57605">
        <w:rPr>
          <w:b/>
          <w:caps/>
          <w:sz w:val="20"/>
          <w:szCs w:val="20"/>
        </w:rPr>
        <w:t>)</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12. PRI/MEX. El sujeto obligado realizó extemporáneamente 29 registros contables dentro del periodo normal por $ 18,721,312.45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14. PRI/MEX El sujeto obligado reportó gastos en la contabilidad de la operación ordinaria del partido y no en el informe de precampaña, no obstante que benefician directamente al precandidato a </w:t>
      </w:r>
      <w:r w:rsidR="00587486">
        <w:rPr>
          <w:sz w:val="20"/>
          <w:szCs w:val="20"/>
        </w:rPr>
        <w:t>G</w:t>
      </w:r>
      <w:r w:rsidRPr="00E5019C">
        <w:rPr>
          <w:sz w:val="20"/>
          <w:szCs w:val="20"/>
        </w:rPr>
        <w:t xml:space="preserve">obernador, por $385,999.83 ($47,096.00+$162,420.00+$176,483.83).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15. PRI/MEX. El sujeto obligado registró de forma extemporánea la realización de 7 eventos de precampaña antes de su realización.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16. PRI/MEX. La autoridad electoral tuvo conocimiento de 23 eventos con posterioridad a la fecha de su realización.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Cs/>
          <w:sz w:val="20"/>
          <w:szCs w:val="20"/>
        </w:rPr>
      </w:pPr>
      <w:r w:rsidRPr="00E5019C">
        <w:rPr>
          <w:bCs/>
          <w:sz w:val="20"/>
          <w:szCs w:val="20"/>
        </w:rPr>
        <w:t xml:space="preserve">Conclusiones finales de la revisión a los informes de ingresos y gastos de precampaña al cargo de Gobernador y presentado por el </w:t>
      </w:r>
      <w:r w:rsidRPr="00E5019C">
        <w:rPr>
          <w:b/>
          <w:bCs/>
          <w:sz w:val="20"/>
          <w:szCs w:val="20"/>
        </w:rPr>
        <w:t>PARTIDO DE LA REVOLUCION DEMOCRÁTICA</w:t>
      </w:r>
      <w:r w:rsidRPr="00E5019C">
        <w:rPr>
          <w:bCs/>
          <w:sz w:val="20"/>
          <w:szCs w:val="20"/>
        </w:rPr>
        <w:t xml:space="preserve"> correspondiente al Proceso Electoral Local Ordinario 2016-2017 en el Estado de México.</w:t>
      </w:r>
    </w:p>
    <w:p w:rsidR="00990C83" w:rsidRPr="00E5019C" w:rsidRDefault="00990C83" w:rsidP="00476839">
      <w:pPr>
        <w:pStyle w:val="Default"/>
        <w:contextualSpacing/>
        <w:jc w:val="both"/>
        <w:rPr>
          <w:sz w:val="20"/>
          <w:szCs w:val="20"/>
        </w:rPr>
      </w:pPr>
    </w:p>
    <w:p w:rsidR="00A57605" w:rsidRDefault="00A57605"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10 FALTAS FORMALES </w:t>
      </w:r>
      <w:r w:rsidR="00A57605">
        <w:rPr>
          <w:b/>
          <w:sz w:val="20"/>
          <w:szCs w:val="20"/>
        </w:rPr>
        <w:t xml:space="preserve">(CONCLUSIONES </w:t>
      </w:r>
      <w:r w:rsidRPr="00E5019C">
        <w:rPr>
          <w:b/>
          <w:sz w:val="20"/>
          <w:szCs w:val="20"/>
        </w:rPr>
        <w:t>2,3,4,6,10,12,13,14,18 y 20</w:t>
      </w:r>
      <w:r w:rsidR="00A57605">
        <w:rPr>
          <w:b/>
          <w:sz w:val="20"/>
          <w:szCs w:val="20"/>
        </w:rPr>
        <w:t>)</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2.PRD/MEX. El sujeto obligado omitió presentar el informe de gastos de propaganda del precandidato José Eduardo Neri Rodríguez.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3.PRD/MEX. El sujeto obligado omitió presentar el inventario de activo fijo del precandidato José Eduardo Neri Rodríguez.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4.PRD/MEX. El sujeto obligado omitió presentar de un precandidato, la relación de proveedores con operaciones superiores a 500 UMA.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6.PRD/MEX. El sujeto obligado presentó en el informe de ingresos aportaciones de militantes por -$22,943.34; esta cifra es resultado de un movimiento erróneo de reclasificación de aportaciones en efectivo por $150,000.00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10.PRD/MEX. El sujeto obligado presentó el control de folios de simpatizantes en efectivo, el cual no coincide con los montos registrados contablemente por $3,700.00.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12.PRD/MEX. El sujeto obligado omitió presentar contratos de prestación de servicios y las muestras correspondientes por un importe de $1,047,132.00.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13.PRD/MEX. El sujeto obligado omitió presentar 16 archivos XML de los gastos registrados por un importe de $316,285.26. </w:t>
      </w:r>
    </w:p>
    <w:p w:rsidR="00990C83" w:rsidRPr="00E5019C" w:rsidRDefault="00990C83" w:rsidP="00476839">
      <w:pPr>
        <w:pStyle w:val="Default"/>
        <w:contextualSpacing/>
        <w:rPr>
          <w:sz w:val="20"/>
          <w:szCs w:val="20"/>
        </w:rPr>
      </w:pPr>
    </w:p>
    <w:p w:rsidR="00990C83" w:rsidRPr="00F81BBD" w:rsidRDefault="00990C83" w:rsidP="00476839">
      <w:pPr>
        <w:pStyle w:val="Default"/>
        <w:contextualSpacing/>
        <w:rPr>
          <w:b/>
          <w:bCs/>
          <w:sz w:val="20"/>
          <w:szCs w:val="20"/>
          <w:u w:val="single"/>
        </w:rPr>
      </w:pPr>
      <w:r w:rsidRPr="00F81BBD">
        <w:rPr>
          <w:b/>
          <w:bCs/>
          <w:sz w:val="20"/>
          <w:szCs w:val="20"/>
          <w:u w:val="single"/>
        </w:rPr>
        <w:t xml:space="preserve">Gastos No Reportados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14.PRD/MEX. El sujeto obligado omitió reportar gastos por concepto del uso o goce temporal del inmueble utilizado por un precandidato como casa de precampaña, la cual fue valuada en $5,000.00.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rPr>
          <w:b/>
          <w:bCs/>
          <w:sz w:val="20"/>
          <w:szCs w:val="20"/>
        </w:rPr>
      </w:pPr>
      <w:r w:rsidRPr="00E5019C">
        <w:rPr>
          <w:b/>
          <w:bCs/>
          <w:sz w:val="20"/>
          <w:szCs w:val="20"/>
        </w:rPr>
        <w:t xml:space="preserve">Bancos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18.PRD/MEX. El sujeto obligado omitió presentar los estados de cuenta o detalle de movimientos y conciliaciones bancarias de una cuenta de un precandidato, de enero a marzo de 2017.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rPr>
          <w:b/>
          <w:bCs/>
          <w:sz w:val="20"/>
          <w:szCs w:val="20"/>
        </w:rPr>
      </w:pPr>
      <w:r w:rsidRPr="00E5019C">
        <w:rPr>
          <w:b/>
          <w:bCs/>
          <w:sz w:val="20"/>
          <w:szCs w:val="20"/>
        </w:rPr>
        <w:t xml:space="preserve">Confirmaciones con Terceros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rPr>
          <w:sz w:val="20"/>
          <w:szCs w:val="20"/>
        </w:rPr>
      </w:pPr>
      <w:r w:rsidRPr="00E5019C">
        <w:rPr>
          <w:sz w:val="20"/>
          <w:szCs w:val="20"/>
        </w:rPr>
        <w:t xml:space="preserve">20.PRD/MEX. El sujeto obligado omitió presentar el acuse de recibo de un oficio de la UTF, dirigido a un proveedor para confirmar las operaciones realizadas. </w:t>
      </w:r>
    </w:p>
    <w:p w:rsidR="00990C83" w:rsidRPr="00E5019C" w:rsidRDefault="00990C83" w:rsidP="00476839">
      <w:pPr>
        <w:pStyle w:val="Default"/>
        <w:contextualSpacing/>
        <w:jc w:val="both"/>
        <w:rPr>
          <w:sz w:val="20"/>
          <w:szCs w:val="20"/>
        </w:rPr>
      </w:pPr>
    </w:p>
    <w:p w:rsidR="00A57605" w:rsidRDefault="00A57605"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7 FALTAS SUSTANCIALES </w:t>
      </w:r>
      <w:r w:rsidR="00A57605">
        <w:rPr>
          <w:b/>
          <w:sz w:val="20"/>
          <w:szCs w:val="20"/>
        </w:rPr>
        <w:t xml:space="preserve">(CONCLUSIONES </w:t>
      </w:r>
      <w:r w:rsidRPr="00E5019C">
        <w:rPr>
          <w:b/>
          <w:sz w:val="20"/>
          <w:szCs w:val="20"/>
        </w:rPr>
        <w:t>8, 9, 15, 16, 17, 19 y 21</w:t>
      </w:r>
      <w:r w:rsidR="00A57605">
        <w:rPr>
          <w:b/>
          <w:sz w:val="20"/>
          <w:szCs w:val="20"/>
        </w:rPr>
        <w:t>)</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8.PRD/MEX. El sujeto obligado incumplió con la obligación de recibir a través de cheque o transferencia electrónica mediante la cual se identifique el número de cuenta y nombre del aportante de tres aportaciones de simpatizantes en efectivo superiores a 90 UMA, por un importe de $390,000.00.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9.PRD/MEX. El sujeto obligado omitió rechazar una aportación en efectivo de una persona impedida por la normatividad electoral, por un importe de $400,000.00. </w:t>
      </w:r>
    </w:p>
    <w:p w:rsidR="00574EC3" w:rsidRDefault="00574EC3" w:rsidP="00476839">
      <w:pPr>
        <w:pStyle w:val="Default"/>
        <w:contextualSpacing/>
        <w:jc w:val="both"/>
        <w:rPr>
          <w:b/>
          <w:bCs/>
          <w:sz w:val="20"/>
          <w:szCs w:val="20"/>
        </w:rPr>
      </w:pPr>
    </w:p>
    <w:p w:rsidR="00990C83" w:rsidRPr="00F81BBD" w:rsidRDefault="00990C83" w:rsidP="00476839">
      <w:pPr>
        <w:pStyle w:val="Default"/>
        <w:contextualSpacing/>
        <w:jc w:val="both"/>
        <w:rPr>
          <w:sz w:val="20"/>
          <w:szCs w:val="20"/>
          <w:u w:val="single"/>
        </w:rPr>
      </w:pPr>
      <w:r w:rsidRPr="00F81BBD">
        <w:rPr>
          <w:b/>
          <w:bCs/>
          <w:sz w:val="20"/>
          <w:szCs w:val="20"/>
          <w:u w:val="single"/>
        </w:rPr>
        <w:t>Gastos No Reportados</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15.PRD/MEX. El sujeto obligado omitió reportar gastos por concepto de publicidad colocada en páginas de internet de dos precandidatos, los cuales fueron valuados en $23,987.78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16.PRD/MEX. El sujeto obligado omitió reportar gastos por concepto de renta de espectaculares que benefician a cuatro precandidatos, los cuales fueron valuados en $462,028.00. </w:t>
      </w:r>
    </w:p>
    <w:p w:rsidR="00990C83" w:rsidRPr="00E5019C" w:rsidRDefault="00990C83" w:rsidP="00476839">
      <w:pPr>
        <w:pStyle w:val="Default"/>
        <w:contextualSpacing/>
        <w:jc w:val="both"/>
        <w:rPr>
          <w:sz w:val="20"/>
          <w:szCs w:val="20"/>
        </w:rPr>
      </w:pPr>
    </w:p>
    <w:p w:rsidR="001C4552" w:rsidRDefault="001C4552" w:rsidP="00476839">
      <w:pPr>
        <w:pStyle w:val="Default"/>
        <w:contextualSpacing/>
        <w:jc w:val="both"/>
        <w:rPr>
          <w:b/>
          <w:bCs/>
          <w:sz w:val="20"/>
          <w:szCs w:val="20"/>
          <w:u w:val="single"/>
        </w:rPr>
      </w:pPr>
    </w:p>
    <w:p w:rsidR="001C4552" w:rsidRDefault="001C4552" w:rsidP="00476839">
      <w:pPr>
        <w:pStyle w:val="Default"/>
        <w:contextualSpacing/>
        <w:jc w:val="both"/>
        <w:rPr>
          <w:b/>
          <w:bCs/>
          <w:sz w:val="20"/>
          <w:szCs w:val="20"/>
          <w:u w:val="single"/>
        </w:rPr>
      </w:pPr>
    </w:p>
    <w:p w:rsidR="00990C83" w:rsidRPr="00E5019C" w:rsidRDefault="00990C83" w:rsidP="00476839">
      <w:pPr>
        <w:pStyle w:val="Default"/>
        <w:contextualSpacing/>
        <w:jc w:val="both"/>
        <w:rPr>
          <w:b/>
          <w:bCs/>
          <w:sz w:val="20"/>
          <w:szCs w:val="20"/>
        </w:rPr>
      </w:pPr>
      <w:r w:rsidRPr="00F81BBD">
        <w:rPr>
          <w:b/>
          <w:bCs/>
          <w:sz w:val="20"/>
          <w:szCs w:val="20"/>
          <w:u w:val="single"/>
        </w:rPr>
        <w:lastRenderedPageBreak/>
        <w:t>Monitoreo IEEM</w:t>
      </w:r>
      <w:r w:rsidRPr="00E5019C">
        <w:rPr>
          <w:b/>
          <w:bCs/>
          <w:sz w:val="20"/>
          <w:szCs w:val="20"/>
        </w:rPr>
        <w:t xml:space="preserve"> (convenio con el INE)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17.PRD/MEX. El sujeto obligado omitió reportar gastos por concepto de 41 lonas, 187 bardas y 63 calcomanías, los cuales fueron valuados en $224,986.57.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Registro Nacional de Proveedores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19.PRD/MEX. El sujeto obligado contrató servicios con un proveedor que no se encuentra inscrito en el RNP, por un importe de $4,219.00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Sistema Integral de Fiscalización </w:t>
      </w:r>
    </w:p>
    <w:p w:rsidR="00990C83" w:rsidRPr="00E5019C" w:rsidRDefault="00990C83" w:rsidP="00476839">
      <w:pPr>
        <w:pStyle w:val="Default"/>
        <w:contextualSpacing/>
        <w:jc w:val="both"/>
        <w:rPr>
          <w:b/>
          <w:bCs/>
          <w:sz w:val="20"/>
          <w:szCs w:val="20"/>
        </w:rPr>
      </w:pPr>
      <w:r w:rsidRPr="00E5019C">
        <w:rPr>
          <w:b/>
          <w:bCs/>
          <w:sz w:val="20"/>
          <w:szCs w:val="20"/>
        </w:rPr>
        <w:t xml:space="preserve">Periodo Normal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21.PRD/MEX. El sujeto obligado realizó extemporáneamente 204 registros contables dentro del periodo normal, por un importe de $5,527,009.79.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Conclusiones de la revisión a los informes de ingresos y gastos de precampaña al cargo de Gobernador y presentados por el </w:t>
      </w:r>
      <w:r w:rsidRPr="00E5019C">
        <w:rPr>
          <w:b/>
          <w:sz w:val="20"/>
          <w:szCs w:val="20"/>
        </w:rPr>
        <w:t>PARTIDO DEL TRABAJO</w:t>
      </w:r>
      <w:r w:rsidRPr="00E5019C">
        <w:rPr>
          <w:sz w:val="20"/>
          <w:szCs w:val="20"/>
        </w:rPr>
        <w:t xml:space="preserve"> correspondiente al Proceso Electoral Local Ordinario 2016-2017 en el Estado de México.</w:t>
      </w:r>
    </w:p>
    <w:p w:rsidR="00990C83" w:rsidRPr="00E5019C" w:rsidRDefault="00990C83" w:rsidP="00476839">
      <w:pPr>
        <w:pStyle w:val="Default"/>
        <w:contextualSpacing/>
        <w:jc w:val="both"/>
        <w:rPr>
          <w:sz w:val="20"/>
          <w:szCs w:val="20"/>
        </w:rPr>
      </w:pPr>
    </w:p>
    <w:p w:rsidR="00A57605" w:rsidRDefault="00A57605" w:rsidP="00476839">
      <w:pPr>
        <w:pStyle w:val="Default"/>
        <w:contextualSpacing/>
        <w:jc w:val="center"/>
        <w:rPr>
          <w:b/>
          <w:sz w:val="20"/>
          <w:szCs w:val="20"/>
        </w:rPr>
      </w:pPr>
    </w:p>
    <w:p w:rsidR="00A57605" w:rsidRDefault="00A57605"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8 FALTAS FORMALES </w:t>
      </w:r>
      <w:r w:rsidR="00A57605">
        <w:rPr>
          <w:b/>
          <w:sz w:val="20"/>
          <w:szCs w:val="20"/>
        </w:rPr>
        <w:t xml:space="preserve">(CONCLUSIONES </w:t>
      </w:r>
      <w:r w:rsidRPr="00E5019C">
        <w:rPr>
          <w:b/>
          <w:sz w:val="20"/>
          <w:szCs w:val="20"/>
        </w:rPr>
        <w:t>4,5,6,10,13,18,22 y 23</w:t>
      </w:r>
      <w:r w:rsidR="00A57605">
        <w:rPr>
          <w:b/>
          <w:sz w:val="20"/>
          <w:szCs w:val="20"/>
        </w:rPr>
        <w:t>)</w:t>
      </w:r>
    </w:p>
    <w:p w:rsidR="00990C83" w:rsidRPr="00E5019C" w:rsidRDefault="00990C83" w:rsidP="00476839">
      <w:pPr>
        <w:pStyle w:val="Default"/>
        <w:contextualSpacing/>
        <w:jc w:val="both"/>
        <w:rPr>
          <w:sz w:val="20"/>
          <w:szCs w:val="20"/>
        </w:rPr>
      </w:pPr>
    </w:p>
    <w:p w:rsidR="00990C83" w:rsidRPr="001E309F" w:rsidRDefault="00990C83" w:rsidP="00476839">
      <w:pPr>
        <w:pStyle w:val="Default"/>
        <w:contextualSpacing/>
        <w:jc w:val="both"/>
        <w:rPr>
          <w:b/>
          <w:bCs/>
          <w:sz w:val="20"/>
          <w:szCs w:val="20"/>
          <w:u w:val="single"/>
        </w:rPr>
      </w:pPr>
      <w:r w:rsidRPr="001E309F">
        <w:rPr>
          <w:b/>
          <w:bCs/>
          <w:sz w:val="20"/>
          <w:szCs w:val="20"/>
          <w:u w:val="single"/>
        </w:rPr>
        <w:t>Gastos</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4.PT/MEX. El sujeto obligado omitió presentar el formato de origen de los recursos con los nombres de los aportantes, montos y tipo de aportación</w:t>
      </w:r>
      <w:r w:rsidRPr="00E5019C">
        <w:rPr>
          <w:b/>
          <w:bCs/>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5.PT/MEX. El sujeto obligado omitió presentar el informe de los gastos de propaganda</w:t>
      </w:r>
      <w:r w:rsidRPr="00E5019C">
        <w:rPr>
          <w:b/>
          <w:bCs/>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6.PT/MEX. El sujeto obligado omitió presentar el inventario del activo fijo por las adquisiciones o aportaciones de uso o goce temporal</w:t>
      </w:r>
      <w:r w:rsidRPr="00E5019C">
        <w:rPr>
          <w:b/>
          <w:bCs/>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10.PT/MEX. El sujeto obligado omitió los kárdex correspondientes a gastos por concepto de propaganda utilitaria por un monto de $509,934.95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13.PT/MEX. El sujeto obligado omitió adjuntar el contrato de prestación de servicios respecto a gastos de producción de propaganda para radio y televisión por un monto de $98,600.00</w:t>
      </w:r>
      <w:r w:rsidRPr="00E5019C">
        <w:rPr>
          <w:b/>
          <w:bCs/>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Cuentas de Balance </w:t>
      </w:r>
    </w:p>
    <w:p w:rsidR="00990C83" w:rsidRPr="00E5019C" w:rsidRDefault="00990C83" w:rsidP="00476839">
      <w:pPr>
        <w:pStyle w:val="Default"/>
        <w:contextualSpacing/>
        <w:jc w:val="both"/>
        <w:rPr>
          <w:b/>
          <w:bCs/>
          <w:sz w:val="20"/>
          <w:szCs w:val="20"/>
        </w:rPr>
      </w:pPr>
      <w:r w:rsidRPr="00E5019C">
        <w:rPr>
          <w:b/>
          <w:bCs/>
          <w:sz w:val="20"/>
          <w:szCs w:val="20"/>
        </w:rPr>
        <w:t xml:space="preserve">Bancos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18.PT/MEX. El sujeto obligado omitió presentar los estados de cuenta o detalle de movimientos bancarios, así como sus respectivas conciliaciones mensuales. </w:t>
      </w:r>
    </w:p>
    <w:p w:rsidR="00990C83" w:rsidRPr="00E5019C" w:rsidRDefault="00990C83" w:rsidP="00476839">
      <w:pPr>
        <w:pStyle w:val="Default"/>
        <w:contextualSpacing/>
        <w:jc w:val="both"/>
        <w:rPr>
          <w:sz w:val="20"/>
          <w:szCs w:val="20"/>
        </w:rPr>
      </w:pPr>
    </w:p>
    <w:p w:rsidR="00574EC3" w:rsidRDefault="00574EC3" w:rsidP="00476839">
      <w:pPr>
        <w:pStyle w:val="Default"/>
        <w:contextualSpacing/>
        <w:jc w:val="both"/>
        <w:rPr>
          <w:b/>
          <w:bCs/>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Agendas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22.PT/MEX. El sujeto obligado reportó la agenda de eventos de actividades del precandidato de forma extemporánea. </w:t>
      </w:r>
    </w:p>
    <w:p w:rsidR="00990C83" w:rsidRPr="00E5019C" w:rsidRDefault="00990C83" w:rsidP="00476839">
      <w:pPr>
        <w:pStyle w:val="Default"/>
        <w:contextualSpacing/>
        <w:jc w:val="both"/>
        <w:rPr>
          <w:sz w:val="20"/>
          <w:szCs w:val="20"/>
        </w:rPr>
      </w:pPr>
    </w:p>
    <w:p w:rsidR="001E309F" w:rsidRDefault="001E309F" w:rsidP="00476839">
      <w:pPr>
        <w:rPr>
          <w:rFonts w:ascii="Arial" w:hAnsi="Arial" w:cs="Arial"/>
          <w:b/>
          <w:bCs/>
          <w:color w:val="000000"/>
          <w:sz w:val="20"/>
          <w:szCs w:val="20"/>
          <w:lang w:val="es-ES"/>
        </w:rPr>
      </w:pPr>
      <w:r>
        <w:rPr>
          <w:b/>
          <w:bCs/>
          <w:sz w:val="20"/>
          <w:szCs w:val="20"/>
        </w:rPr>
        <w:br w:type="page"/>
      </w:r>
    </w:p>
    <w:p w:rsidR="00990C83" w:rsidRPr="00E5019C" w:rsidRDefault="00990C83" w:rsidP="00476839">
      <w:pPr>
        <w:pStyle w:val="Default"/>
        <w:contextualSpacing/>
        <w:jc w:val="both"/>
        <w:rPr>
          <w:b/>
          <w:bCs/>
          <w:sz w:val="20"/>
          <w:szCs w:val="20"/>
        </w:rPr>
      </w:pPr>
      <w:r w:rsidRPr="00E5019C">
        <w:rPr>
          <w:b/>
          <w:bCs/>
          <w:sz w:val="20"/>
          <w:szCs w:val="20"/>
        </w:rPr>
        <w:lastRenderedPageBreak/>
        <w:t xml:space="preserve">Confirmaciones con Terceros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23.PT/MEX. El sujeto obligado omitió presentar el acuse de recibo de un oficio de la UTF, dirigido a una aportante para confirmar las operaciones realizadas. </w:t>
      </w:r>
    </w:p>
    <w:p w:rsidR="00990C83" w:rsidRPr="00E5019C" w:rsidRDefault="00990C83" w:rsidP="00476839">
      <w:pPr>
        <w:pStyle w:val="Default"/>
        <w:contextualSpacing/>
        <w:jc w:val="both"/>
        <w:rPr>
          <w:sz w:val="20"/>
          <w:szCs w:val="20"/>
        </w:rPr>
      </w:pPr>
    </w:p>
    <w:p w:rsidR="00A57605" w:rsidRDefault="00A57605" w:rsidP="00476839">
      <w:pPr>
        <w:pStyle w:val="Default"/>
        <w:contextualSpacing/>
        <w:jc w:val="center"/>
        <w:rPr>
          <w:b/>
          <w:sz w:val="20"/>
          <w:szCs w:val="20"/>
        </w:rPr>
      </w:pPr>
    </w:p>
    <w:p w:rsidR="00A57605" w:rsidRDefault="00A57605"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13 FALTAS SUSTANCIALES </w:t>
      </w:r>
      <w:r w:rsidR="00A57605">
        <w:rPr>
          <w:b/>
          <w:sz w:val="20"/>
          <w:szCs w:val="20"/>
        </w:rPr>
        <w:t xml:space="preserve">(CONCLUSIONES </w:t>
      </w:r>
      <w:r w:rsidRPr="00E5019C">
        <w:rPr>
          <w:b/>
          <w:sz w:val="20"/>
          <w:szCs w:val="20"/>
        </w:rPr>
        <w:t xml:space="preserve">7, 8, 14, 15, 16, 17, 21, 19, 20, 9, 11, </w:t>
      </w:r>
      <w:r w:rsidR="002F7FBF" w:rsidRPr="00E5019C">
        <w:rPr>
          <w:b/>
          <w:sz w:val="20"/>
          <w:szCs w:val="20"/>
        </w:rPr>
        <w:t>12, y</w:t>
      </w:r>
      <w:r w:rsidRPr="00E5019C">
        <w:rPr>
          <w:b/>
          <w:sz w:val="20"/>
          <w:szCs w:val="20"/>
        </w:rPr>
        <w:t xml:space="preserve"> 24</w:t>
      </w:r>
      <w:r w:rsidR="00A57605">
        <w:rPr>
          <w:b/>
          <w:sz w:val="20"/>
          <w:szCs w:val="20"/>
        </w:rPr>
        <w:t>)</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rPr>
          <w:sz w:val="20"/>
          <w:szCs w:val="20"/>
        </w:rPr>
      </w:pPr>
      <w:r w:rsidRPr="00E5019C">
        <w:rPr>
          <w:b/>
          <w:bCs/>
          <w:sz w:val="20"/>
          <w:szCs w:val="20"/>
        </w:rPr>
        <w:t xml:space="preserve">Concentradora </w:t>
      </w:r>
    </w:p>
    <w:p w:rsidR="00990C83" w:rsidRPr="00E5019C" w:rsidRDefault="00990C83" w:rsidP="00476839">
      <w:pPr>
        <w:pStyle w:val="Default"/>
        <w:contextualSpacing/>
        <w:rPr>
          <w:sz w:val="20"/>
          <w:szCs w:val="20"/>
        </w:rPr>
      </w:pPr>
      <w:r w:rsidRPr="00E5019C">
        <w:rPr>
          <w:b/>
          <w:bCs/>
          <w:sz w:val="20"/>
          <w:szCs w:val="20"/>
        </w:rPr>
        <w:t xml:space="preserve">Ingresos </w:t>
      </w:r>
    </w:p>
    <w:p w:rsidR="00990C83" w:rsidRPr="00E5019C" w:rsidRDefault="00990C83" w:rsidP="00476839">
      <w:pPr>
        <w:pStyle w:val="Default"/>
        <w:contextualSpacing/>
        <w:rPr>
          <w:b/>
          <w:bCs/>
          <w:sz w:val="20"/>
          <w:szCs w:val="20"/>
        </w:rPr>
      </w:pPr>
      <w:r w:rsidRPr="00E5019C">
        <w:rPr>
          <w:b/>
          <w:bCs/>
          <w:sz w:val="20"/>
          <w:szCs w:val="20"/>
        </w:rPr>
        <w:t xml:space="preserve">Aportaciones de Simpatizantes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7.PT/MEX. El sujeto obligado incumplió con la obligación de recibir a través de cheque nominativo o transferencia electrónica aportaciones en efectivo superiores a 90 UMA, por un monto de $18,810.00.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8.PT/MEX. El sujeto obligado omitió adjuntar los contratos de comodato, las cotizaciones y las muestras respecto a las aportaciones de simpatizantes en especie por un monto de $66,000.00.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Registro Nacional de Proveedores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14.PT/MEX. El sujeto obligado contrató con el proveedor </w:t>
      </w:r>
      <w:proofErr w:type="spellStart"/>
      <w:r w:rsidRPr="00E5019C">
        <w:rPr>
          <w:sz w:val="20"/>
          <w:szCs w:val="20"/>
        </w:rPr>
        <w:t>Diggy</w:t>
      </w:r>
      <w:proofErr w:type="spellEnd"/>
      <w:r w:rsidRPr="00E5019C">
        <w:rPr>
          <w:sz w:val="20"/>
          <w:szCs w:val="20"/>
        </w:rPr>
        <w:t xml:space="preserve"> Publicidad y </w:t>
      </w:r>
      <w:proofErr w:type="spellStart"/>
      <w:r w:rsidRPr="00E5019C">
        <w:rPr>
          <w:sz w:val="20"/>
          <w:szCs w:val="20"/>
        </w:rPr>
        <w:t>Mercadotecni</w:t>
      </w:r>
      <w:proofErr w:type="spellEnd"/>
      <w:r w:rsidRPr="00E5019C">
        <w:rPr>
          <w:sz w:val="20"/>
          <w:szCs w:val="20"/>
        </w:rPr>
        <w:t>, S.A. de C.V. el cual no está inscrito en el Registro Nacional de Proveedores por un monto de $98,600.00</w:t>
      </w:r>
      <w:r w:rsidRPr="00E5019C">
        <w:rPr>
          <w:b/>
          <w:bCs/>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Procedimientos Adicionales </w:t>
      </w:r>
    </w:p>
    <w:p w:rsidR="00990C83" w:rsidRPr="00E5019C" w:rsidRDefault="00990C83" w:rsidP="00476839">
      <w:pPr>
        <w:pStyle w:val="Default"/>
        <w:contextualSpacing/>
        <w:jc w:val="both"/>
        <w:rPr>
          <w:b/>
          <w:bCs/>
          <w:sz w:val="20"/>
          <w:szCs w:val="20"/>
        </w:rPr>
      </w:pPr>
      <w:r w:rsidRPr="00E5019C">
        <w:rPr>
          <w:b/>
          <w:bCs/>
          <w:sz w:val="20"/>
          <w:szCs w:val="20"/>
        </w:rPr>
        <w:t xml:space="preserve">Eventos Públicos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15.PT/MEX. El sujeto obligado omitió reportar gastos por concepto de alquiler de diversos salones: San Javier, San Isidro, Club de Golf de la Hacienda Atizapán de Zaragoza, así como de sillas, tablones, mesas, camiones, camionetas, edecanes, equipo de sonido, gorras, lonas, mantas, banda de viento, entre otros, los cuales fueron valuados en $1,897,841.90.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Monitoreos </w:t>
      </w:r>
    </w:p>
    <w:p w:rsidR="00990C83" w:rsidRPr="00E5019C" w:rsidRDefault="00990C83" w:rsidP="00476839">
      <w:pPr>
        <w:pStyle w:val="Default"/>
        <w:contextualSpacing/>
        <w:jc w:val="both"/>
        <w:rPr>
          <w:b/>
          <w:bCs/>
          <w:sz w:val="20"/>
          <w:szCs w:val="20"/>
        </w:rPr>
      </w:pPr>
      <w:r w:rsidRPr="00E5019C">
        <w:rPr>
          <w:b/>
          <w:bCs/>
          <w:sz w:val="20"/>
          <w:szCs w:val="20"/>
        </w:rPr>
        <w:t xml:space="preserve">Páginas de Internet y Redes Sociales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16.PT/MEX. El sujeto obligado omitió reportar el registro contable por concepto lonas, mantas, propaganda pagada Facebook, gorras, videos publicitarios, banderas con el logo del PT, guitarras autografiadas por Fernando Delgadillo, entre otros, los cuales fueron valuados en $599,827.91.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Espectaculares y Propaganda Colocada en la Vía Pública </w:t>
      </w:r>
    </w:p>
    <w:p w:rsidR="00990C83" w:rsidRPr="00E5019C" w:rsidRDefault="00990C83" w:rsidP="00476839">
      <w:pPr>
        <w:pStyle w:val="Default"/>
        <w:contextualSpacing/>
        <w:jc w:val="both"/>
        <w:rPr>
          <w:sz w:val="20"/>
          <w:szCs w:val="20"/>
        </w:rPr>
      </w:pPr>
      <w:r w:rsidRPr="00E5019C">
        <w:rPr>
          <w:sz w:val="20"/>
          <w:szCs w:val="20"/>
        </w:rPr>
        <w:t xml:space="preserve">17.PT/MEX. El sujeto obligado omitió reportar gastos por concepto de 13 mantas, 12 muros y 21 espectaculares, los cuales fueron valuados en $701,278.00.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1E309F">
        <w:rPr>
          <w:b/>
          <w:bCs/>
          <w:sz w:val="20"/>
          <w:szCs w:val="20"/>
          <w:u w:val="single"/>
        </w:rPr>
        <w:t>Monitoreo IEEM</w:t>
      </w:r>
      <w:r w:rsidRPr="00E5019C">
        <w:rPr>
          <w:b/>
          <w:bCs/>
          <w:sz w:val="20"/>
          <w:szCs w:val="20"/>
        </w:rPr>
        <w:t xml:space="preserve"> (convenio con el INE)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21.PT/MEX. El PT omitió reportar gastos por concepto de 33 espectaculares, 14 lonas, 52 bardas, 5 calcomanías y 10 pendones; los cuales fueron valuados en $1,141,586.62.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Sistema Integral de Fiscalización </w:t>
      </w:r>
    </w:p>
    <w:p w:rsidR="00990C83" w:rsidRPr="00E5019C" w:rsidRDefault="00990C83" w:rsidP="00476839">
      <w:pPr>
        <w:pStyle w:val="Default"/>
        <w:contextualSpacing/>
        <w:jc w:val="both"/>
        <w:rPr>
          <w:sz w:val="20"/>
          <w:szCs w:val="20"/>
        </w:rPr>
      </w:pPr>
      <w:r w:rsidRPr="00E5019C">
        <w:rPr>
          <w:b/>
          <w:bCs/>
          <w:sz w:val="20"/>
          <w:szCs w:val="20"/>
        </w:rPr>
        <w:t xml:space="preserve">Registro de Operaciones Fuera de Tiempo </w:t>
      </w:r>
    </w:p>
    <w:p w:rsidR="00990C83" w:rsidRPr="00E5019C" w:rsidRDefault="00990C83" w:rsidP="00476839">
      <w:pPr>
        <w:pStyle w:val="Default"/>
        <w:contextualSpacing/>
        <w:jc w:val="both"/>
        <w:rPr>
          <w:b/>
          <w:bCs/>
          <w:sz w:val="20"/>
          <w:szCs w:val="20"/>
        </w:rPr>
      </w:pPr>
      <w:r w:rsidRPr="00E5019C">
        <w:rPr>
          <w:b/>
          <w:bCs/>
          <w:sz w:val="20"/>
          <w:szCs w:val="20"/>
        </w:rPr>
        <w:t xml:space="preserve">Periodo Normal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19.PT/MEX. El sujeto obligado realizó extemporáneamente 16 registros contables, dentro el periodo normal, por $3,235,553.86. </w:t>
      </w:r>
    </w:p>
    <w:p w:rsidR="00990C83" w:rsidRPr="00E5019C" w:rsidRDefault="00990C83" w:rsidP="00476839">
      <w:pPr>
        <w:pStyle w:val="Default"/>
        <w:contextualSpacing/>
        <w:jc w:val="both"/>
        <w:rPr>
          <w:sz w:val="20"/>
          <w:szCs w:val="20"/>
        </w:rPr>
      </w:pPr>
    </w:p>
    <w:p w:rsidR="001E309F" w:rsidRDefault="001E309F" w:rsidP="00476839">
      <w:pPr>
        <w:pStyle w:val="Default"/>
        <w:contextualSpacing/>
        <w:jc w:val="both"/>
        <w:rPr>
          <w:b/>
          <w:bCs/>
          <w:sz w:val="20"/>
          <w:szCs w:val="20"/>
        </w:rPr>
      </w:pPr>
    </w:p>
    <w:p w:rsidR="00990C83" w:rsidRPr="00E5019C" w:rsidRDefault="00990C83" w:rsidP="00476839">
      <w:pPr>
        <w:pStyle w:val="Default"/>
        <w:contextualSpacing/>
        <w:jc w:val="both"/>
        <w:rPr>
          <w:b/>
          <w:bCs/>
          <w:sz w:val="20"/>
          <w:szCs w:val="20"/>
        </w:rPr>
      </w:pPr>
      <w:r w:rsidRPr="00E5019C">
        <w:rPr>
          <w:b/>
          <w:bCs/>
          <w:sz w:val="20"/>
          <w:szCs w:val="20"/>
        </w:rPr>
        <w:lastRenderedPageBreak/>
        <w:t xml:space="preserve">Periodos de Corrección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20.PT/MEX. El sujeto obligado no realizó 6 registros contables dentro del periodo normal. Estos registros fueron efectuados como resultado de las observaciones formuladas por la UTF en el oficio de errores y omisiones por un importe de $104,989.83, en el periodo de corrección.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b/>
          <w:bCs/>
          <w:sz w:val="20"/>
          <w:szCs w:val="20"/>
        </w:rPr>
        <w:t xml:space="preserve">Gastos </w:t>
      </w:r>
    </w:p>
    <w:p w:rsidR="00990C83" w:rsidRPr="00E5019C" w:rsidRDefault="00990C83" w:rsidP="00476839">
      <w:pPr>
        <w:pStyle w:val="Default"/>
        <w:contextualSpacing/>
        <w:jc w:val="both"/>
        <w:rPr>
          <w:b/>
          <w:bCs/>
          <w:sz w:val="20"/>
          <w:szCs w:val="20"/>
        </w:rPr>
      </w:pPr>
      <w:r w:rsidRPr="00E5019C">
        <w:rPr>
          <w:b/>
          <w:bCs/>
          <w:sz w:val="20"/>
          <w:szCs w:val="20"/>
        </w:rPr>
        <w:t xml:space="preserve">Propaganda Utilitaria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9.PT/MEX. El sujeto obligado omitió presentar los avisos de contratación correspondiente a gastos por concepto de propaganda utilitaria por un monto de $509,934.95. </w:t>
      </w:r>
    </w:p>
    <w:p w:rsidR="00990C83" w:rsidRPr="00E5019C" w:rsidRDefault="00990C83" w:rsidP="00476839">
      <w:pPr>
        <w:pStyle w:val="Default"/>
        <w:contextualSpacing/>
        <w:jc w:val="both"/>
        <w:rPr>
          <w:sz w:val="20"/>
          <w:szCs w:val="20"/>
        </w:rPr>
      </w:pPr>
      <w:r w:rsidRPr="00E5019C">
        <w:rPr>
          <w:sz w:val="20"/>
          <w:szCs w:val="20"/>
        </w:rPr>
        <w:t>MORENA</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Operativos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11.PT/MEX. El sujeto obligado omitió presentar los avisos de contratación correspondiente a gastos operativos por un monto de $414,034.56.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b/>
          <w:bCs/>
          <w:sz w:val="20"/>
          <w:szCs w:val="20"/>
        </w:rPr>
      </w:pPr>
      <w:r w:rsidRPr="00E5019C">
        <w:rPr>
          <w:b/>
          <w:bCs/>
          <w:sz w:val="20"/>
          <w:szCs w:val="20"/>
        </w:rPr>
        <w:t xml:space="preserve">Producción de Propaganda en Radio y Televisión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12.PT/MEX. El sujeto obligado omitió el aviso de contratación respecto a gastos de producción de propaganda para radio y televisión por un monto de $98,600.00</w:t>
      </w:r>
      <w:r w:rsidRPr="00E5019C">
        <w:rPr>
          <w:b/>
          <w:bCs/>
          <w:sz w:val="20"/>
          <w:szCs w:val="20"/>
        </w:rPr>
        <w:t xml:space="preserve">. </w:t>
      </w:r>
    </w:p>
    <w:p w:rsidR="00990C83" w:rsidRPr="00E5019C" w:rsidRDefault="00990C83" w:rsidP="00476839">
      <w:pPr>
        <w:pStyle w:val="Default"/>
        <w:contextualSpacing/>
        <w:jc w:val="both"/>
        <w:rPr>
          <w:b/>
          <w:bCs/>
          <w:sz w:val="20"/>
          <w:szCs w:val="20"/>
        </w:rPr>
      </w:pPr>
      <w:r w:rsidRPr="00E5019C">
        <w:rPr>
          <w:b/>
          <w:bCs/>
          <w:sz w:val="20"/>
          <w:szCs w:val="20"/>
        </w:rPr>
        <w:t xml:space="preserve">Eventos realizados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24.PT/MEX. La autoridad electoral tuvo conocimiento de cuatro eventos con posterioridad a la fecha de su realización. </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bCs/>
          <w:sz w:val="20"/>
          <w:szCs w:val="20"/>
        </w:rPr>
      </w:pPr>
      <w:r w:rsidRPr="00E5019C">
        <w:rPr>
          <w:bCs/>
          <w:sz w:val="20"/>
          <w:szCs w:val="20"/>
        </w:rPr>
        <w:t xml:space="preserve">Conclusiones de la revisión a los informes de ingresos y gastos de precampaña al cargo de Gobernador y presentados por </w:t>
      </w:r>
      <w:r w:rsidRPr="00E5019C">
        <w:rPr>
          <w:b/>
          <w:bCs/>
          <w:sz w:val="20"/>
          <w:szCs w:val="20"/>
        </w:rPr>
        <w:t>MORENA</w:t>
      </w:r>
      <w:r w:rsidRPr="00E5019C">
        <w:rPr>
          <w:bCs/>
          <w:sz w:val="20"/>
          <w:szCs w:val="20"/>
        </w:rPr>
        <w:t xml:space="preserve"> correspondiente al Proceso Electoral Local Ordinario 2016-2017 en el Estado de México</w:t>
      </w:r>
    </w:p>
    <w:p w:rsidR="00990C83" w:rsidRPr="00E5019C" w:rsidRDefault="00990C83" w:rsidP="00476839">
      <w:pPr>
        <w:pStyle w:val="Default"/>
        <w:contextualSpacing/>
        <w:rPr>
          <w:sz w:val="20"/>
          <w:szCs w:val="20"/>
        </w:rPr>
      </w:pPr>
    </w:p>
    <w:p w:rsidR="00A57605" w:rsidRDefault="00A57605"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9 FALTAS FORMALES </w:t>
      </w:r>
      <w:r w:rsidR="00424D47">
        <w:rPr>
          <w:b/>
          <w:sz w:val="20"/>
          <w:szCs w:val="20"/>
        </w:rPr>
        <w:t xml:space="preserve">(CONCLUSIONES </w:t>
      </w:r>
      <w:r w:rsidRPr="00E5019C">
        <w:rPr>
          <w:b/>
          <w:sz w:val="20"/>
          <w:szCs w:val="20"/>
        </w:rPr>
        <w:t>2,4,6,7,8,9,14,15 y 19</w:t>
      </w:r>
      <w:r w:rsidR="00424D47">
        <w:rPr>
          <w:b/>
          <w:sz w:val="20"/>
          <w:szCs w:val="20"/>
        </w:rPr>
        <w:t>)</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 MORENA/MEX. El sujeto obligado omitió presentar la relación de proveedores con operaciones mayores a 500 y 5,000 UMA y los expedientes de los proveedores con operaciones mayores a 5,000 UMA.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4. MORENA/MEX. El sujeto obligado omitió presentar el recibo interno de una transferencia en efectivo proveniente del Comité Ejecutivo Estatal a la contabilidad de la precandidata Delfina Gómez Álvarez.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6. MORENA/MEX. El sujeto obligado omitió presentar los permisos de colocación de lonas que benefician a la precandidata Delfina Gómez Álvarez.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7. MORENA/MEX. El sujeto obligado omitió presentar los permisos para la pinta de bardas de la precandidata Delfina Gómez Álvarez.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8. MORENA/MEX. El sujeto obligado omitió presentar las relaciones de las inserciones publicadas en prensa.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9. MORENA/MEX. El sujeto obligado reportó la agenda de eventos de actividades de la precandidata Delfina Gómez Álvarez de forma extemporánea.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14. MORENA/MEX. El sujeto obligado omitió presentar el contrato de apertura y las tarjetas de firmas de la cuenta bancaria abierta para el manejo de recursos de la precandidata Delfina Gómez Álvarez. </w:t>
      </w:r>
    </w:p>
    <w:p w:rsidR="00990C83" w:rsidRPr="00E5019C" w:rsidRDefault="00990C83" w:rsidP="00476839">
      <w:pPr>
        <w:pStyle w:val="Default"/>
        <w:contextualSpacing/>
        <w:jc w:val="both"/>
        <w:rPr>
          <w:sz w:val="20"/>
          <w:szCs w:val="20"/>
        </w:rPr>
      </w:pPr>
      <w:r w:rsidRPr="00E5019C">
        <w:rPr>
          <w:sz w:val="20"/>
          <w:szCs w:val="20"/>
        </w:rPr>
        <w:lastRenderedPageBreak/>
        <w:t xml:space="preserve">15. MORENA/MEX. El sujeto obligado omitió presentar los estados de cuenta y conciliaciones bancarias de la cuenta bancaria de la precandidata Delfina Gómez Álvarez, así como las conciliaciones de la cuenta bancaria de la precandidata Alma América Rivera </w:t>
      </w:r>
      <w:proofErr w:type="spellStart"/>
      <w:r w:rsidRPr="00E5019C">
        <w:rPr>
          <w:sz w:val="20"/>
          <w:szCs w:val="20"/>
        </w:rPr>
        <w:t>Tavizón</w:t>
      </w:r>
      <w:proofErr w:type="spellEnd"/>
      <w:r w:rsidRPr="00E5019C">
        <w:rPr>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19. MORENA/MEX. El sujeto obligado omitió presentar los archivos XML de tres operaciones. </w:t>
      </w:r>
    </w:p>
    <w:p w:rsidR="00990C83" w:rsidRPr="00E5019C" w:rsidRDefault="00990C83" w:rsidP="00476839">
      <w:pPr>
        <w:pStyle w:val="Default"/>
        <w:contextualSpacing/>
        <w:jc w:val="both"/>
        <w:rPr>
          <w:sz w:val="20"/>
          <w:szCs w:val="20"/>
        </w:rPr>
      </w:pPr>
    </w:p>
    <w:p w:rsidR="00424D47" w:rsidRDefault="00424D47" w:rsidP="00476839">
      <w:pPr>
        <w:pStyle w:val="Default"/>
        <w:contextualSpacing/>
        <w:jc w:val="center"/>
        <w:rPr>
          <w:b/>
          <w:sz w:val="20"/>
          <w:szCs w:val="20"/>
        </w:rPr>
      </w:pPr>
    </w:p>
    <w:p w:rsidR="00424D47" w:rsidRDefault="00424D47" w:rsidP="00476839">
      <w:pPr>
        <w:pStyle w:val="Default"/>
        <w:contextualSpacing/>
        <w:jc w:val="center"/>
        <w:rPr>
          <w:b/>
          <w:sz w:val="20"/>
          <w:szCs w:val="20"/>
        </w:rPr>
      </w:pPr>
    </w:p>
    <w:p w:rsidR="00990C83" w:rsidRPr="00E5019C" w:rsidRDefault="00990C83" w:rsidP="00476839">
      <w:pPr>
        <w:pStyle w:val="Default"/>
        <w:contextualSpacing/>
        <w:jc w:val="center"/>
        <w:rPr>
          <w:b/>
          <w:sz w:val="20"/>
          <w:szCs w:val="20"/>
        </w:rPr>
      </w:pPr>
      <w:r w:rsidRPr="00E5019C">
        <w:rPr>
          <w:b/>
          <w:sz w:val="20"/>
          <w:szCs w:val="20"/>
        </w:rPr>
        <w:t xml:space="preserve">9 FALTAS SUSTANCIALES </w:t>
      </w:r>
      <w:r w:rsidR="00424D47">
        <w:rPr>
          <w:b/>
          <w:sz w:val="20"/>
          <w:szCs w:val="20"/>
        </w:rPr>
        <w:t xml:space="preserve">(CONCLUSIONES </w:t>
      </w:r>
      <w:r w:rsidRPr="00E5019C">
        <w:rPr>
          <w:b/>
          <w:sz w:val="20"/>
          <w:szCs w:val="20"/>
        </w:rPr>
        <w:t>11, 12, 13, 20, 21, 17, 18, 10 y 22</w:t>
      </w:r>
      <w:r w:rsidR="00424D47">
        <w:rPr>
          <w:b/>
          <w:sz w:val="20"/>
          <w:szCs w:val="20"/>
        </w:rPr>
        <w:t>)</w:t>
      </w:r>
    </w:p>
    <w:p w:rsidR="00990C83" w:rsidRPr="00E5019C" w:rsidRDefault="00990C83" w:rsidP="00476839">
      <w:pPr>
        <w:pStyle w:val="Default"/>
        <w:contextualSpacing/>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11. MORENA/MEX. El sujeto obligado omitió presentar los avisos de contratación de operaciones realizadas con 21 proveedores por $18,401,407.41.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12. MORENA/MEX. El sujeto obligado omitió reportar gastos por concepto de 4,437 banderas, 12,200 banderines, 2,290 playeras, 230 camisas y 2,390 gorras, 14 camiones sanitarios y un dron, los cuales fueron valuados en $ 1,299,691.20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13. MORENA/MEX. El sujeto obligado omitió reportar propaganda por concepto de perifoneo, el cual fue valuado por $4,640.00.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20. MORENA/MEX. El sujeto obligado omitió reportar los 124 testigos correspondientes a la propaganda genérica detectada por el IEEM, los cuales fueron valuados en $34,704.01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21. MORENA/MEX. El sujeto obligado omitió reportar gastos por concepto de 52 camisas, 1 playera, 2 gorras y 2 sudaderas detectados en los eventos y plazas públicas, valuados en $19,363.96.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17. MORENA/MEX. El sujeto obligado realizó extemporáneamente 56 registros contables dentro del periodo normal por $47,238,401.24.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18. MORENA/MEX. El sujeto obligado omitió realizar 10 registros contables en periodo normal. Esto registros fueron efectuados como resultado de las observaciones realizadas por la UTF en el oficio de errores y omisiones, por un importe de $ 2´743,727.66.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10. MORENA/MEX. El sujeto obligado omitió presentar la agenda de actos públicos de la precandidata C. Alma América Rivas </w:t>
      </w:r>
      <w:proofErr w:type="spellStart"/>
      <w:r w:rsidRPr="00E5019C">
        <w:rPr>
          <w:sz w:val="20"/>
          <w:szCs w:val="20"/>
        </w:rPr>
        <w:t>Tavizón</w:t>
      </w:r>
      <w:proofErr w:type="spellEnd"/>
      <w:r w:rsidRPr="00E5019C">
        <w:rPr>
          <w:sz w:val="20"/>
          <w:szCs w:val="20"/>
        </w:rPr>
        <w:t xml:space="preserve">. </w:t>
      </w:r>
    </w:p>
    <w:p w:rsidR="00990C83" w:rsidRPr="00E5019C" w:rsidRDefault="00990C83" w:rsidP="00476839">
      <w:pPr>
        <w:pStyle w:val="Default"/>
        <w:contextualSpacing/>
        <w:jc w:val="both"/>
        <w:rPr>
          <w:sz w:val="20"/>
          <w:szCs w:val="20"/>
        </w:rPr>
      </w:pPr>
    </w:p>
    <w:p w:rsidR="00990C83" w:rsidRPr="00E5019C" w:rsidRDefault="00990C83" w:rsidP="00476839">
      <w:pPr>
        <w:pStyle w:val="Default"/>
        <w:contextualSpacing/>
        <w:jc w:val="both"/>
        <w:rPr>
          <w:sz w:val="20"/>
          <w:szCs w:val="20"/>
        </w:rPr>
      </w:pPr>
      <w:r w:rsidRPr="00E5019C">
        <w:rPr>
          <w:sz w:val="20"/>
          <w:szCs w:val="20"/>
        </w:rPr>
        <w:t xml:space="preserve">22. MORENA/MEX. La autoridad electoral tuvo conocimiento de 47 eventos con posterioridad a la fecha de su realización. </w:t>
      </w:r>
    </w:p>
    <w:p w:rsidR="00990C83" w:rsidRPr="00E5019C" w:rsidRDefault="00990C83" w:rsidP="00476839">
      <w:pPr>
        <w:pStyle w:val="Default"/>
        <w:contextualSpacing/>
        <w:jc w:val="both"/>
        <w:rPr>
          <w:sz w:val="20"/>
          <w:szCs w:val="20"/>
        </w:rPr>
      </w:pPr>
    </w:p>
    <w:p w:rsidR="00990C83" w:rsidRPr="00E5019C" w:rsidRDefault="00990C83" w:rsidP="00476839">
      <w:pPr>
        <w:contextualSpacing/>
        <w:rPr>
          <w:rFonts w:ascii="Arial" w:hAnsi="Arial" w:cs="Arial"/>
          <w:sz w:val="20"/>
          <w:szCs w:val="20"/>
        </w:rPr>
      </w:pPr>
    </w:p>
    <w:p w:rsidR="00990C83" w:rsidRPr="00E5019C" w:rsidRDefault="00990C83" w:rsidP="00476839">
      <w:pPr>
        <w:contextualSpacing/>
        <w:rPr>
          <w:rFonts w:ascii="Arial" w:hAnsi="Arial" w:cs="Arial"/>
          <w:sz w:val="20"/>
          <w:szCs w:val="20"/>
        </w:rPr>
      </w:pPr>
    </w:p>
    <w:p w:rsidR="00990C83" w:rsidRPr="00E5019C" w:rsidRDefault="00990C83" w:rsidP="00476839">
      <w:pPr>
        <w:contextualSpacing/>
        <w:rPr>
          <w:rFonts w:ascii="Arial" w:hAnsi="Arial" w:cs="Arial"/>
          <w:sz w:val="20"/>
          <w:szCs w:val="20"/>
        </w:rPr>
      </w:pPr>
    </w:p>
    <w:p w:rsidR="00424D47" w:rsidRDefault="00424D47" w:rsidP="00476839">
      <w:pPr>
        <w:rPr>
          <w:rFonts w:ascii="Arial" w:hAnsi="Arial" w:cs="Arial"/>
          <w:b/>
          <w:sz w:val="20"/>
          <w:szCs w:val="20"/>
        </w:rPr>
      </w:pPr>
      <w:r>
        <w:rPr>
          <w:rFonts w:ascii="Arial" w:hAnsi="Arial" w:cs="Arial"/>
          <w:b/>
          <w:sz w:val="20"/>
          <w:szCs w:val="20"/>
        </w:rPr>
        <w:br w:type="page"/>
      </w:r>
    </w:p>
    <w:p w:rsidR="00990C83" w:rsidRPr="00574EC3" w:rsidRDefault="00990C83" w:rsidP="00476839">
      <w:pPr>
        <w:pStyle w:val="Sinespaciado"/>
        <w:rPr>
          <w:rStyle w:val="Ttulodellibro"/>
          <w:i/>
          <w:color w:val="auto"/>
          <w:sz w:val="24"/>
          <w:szCs w:val="24"/>
        </w:rPr>
      </w:pPr>
      <w:r w:rsidRPr="00574EC3">
        <w:rPr>
          <w:rStyle w:val="Ttulodellibro"/>
          <w:rFonts w:ascii="Arial" w:hAnsi="Arial" w:cs="Arial"/>
          <w:b/>
          <w:i/>
          <w:color w:val="auto"/>
          <w:sz w:val="24"/>
          <w:szCs w:val="24"/>
        </w:rPr>
        <w:lastRenderedPageBreak/>
        <w:t>ANEXO 6</w:t>
      </w:r>
      <w:r w:rsidR="00574EC3">
        <w:rPr>
          <w:rStyle w:val="Ttulodellibro"/>
          <w:rFonts w:ascii="Arial" w:hAnsi="Arial" w:cs="Arial"/>
          <w:b/>
          <w:i/>
          <w:color w:val="auto"/>
          <w:sz w:val="24"/>
          <w:szCs w:val="24"/>
        </w:rPr>
        <w:t>.</w:t>
      </w:r>
      <w:r w:rsidRPr="00574EC3">
        <w:rPr>
          <w:rStyle w:val="Ttulodellibro"/>
          <w:rFonts w:ascii="Arial" w:hAnsi="Arial" w:cs="Arial"/>
          <w:b/>
          <w:i/>
          <w:color w:val="auto"/>
          <w:sz w:val="24"/>
          <w:szCs w:val="24"/>
        </w:rPr>
        <w:t xml:space="preserve"> INFRACCIONES DE CAMPAÑA GOBERNADOR 2017</w:t>
      </w:r>
      <w:r w:rsidR="00574EC3">
        <w:rPr>
          <w:rStyle w:val="Ttulodellibro"/>
          <w:rFonts w:ascii="Arial" w:hAnsi="Arial" w:cs="Arial"/>
          <w:b/>
          <w:i/>
          <w:color w:val="auto"/>
          <w:sz w:val="24"/>
          <w:szCs w:val="24"/>
        </w:rPr>
        <w:t>.</w:t>
      </w:r>
    </w:p>
    <w:p w:rsidR="00424D47" w:rsidRDefault="00424D47" w:rsidP="00476839">
      <w:pPr>
        <w:contextualSpacing/>
        <w:jc w:val="center"/>
        <w:rPr>
          <w:rFonts w:ascii="Arial" w:hAnsi="Arial" w:cs="Arial"/>
          <w:b/>
          <w:sz w:val="20"/>
          <w:szCs w:val="20"/>
        </w:rPr>
      </w:pPr>
    </w:p>
    <w:p w:rsidR="00424D47" w:rsidRDefault="00424D47" w:rsidP="00476839">
      <w:pPr>
        <w:contextualSpacing/>
        <w:jc w:val="center"/>
        <w:rPr>
          <w:rFonts w:ascii="Arial" w:hAnsi="Arial" w:cs="Arial"/>
          <w:b/>
          <w:sz w:val="20"/>
          <w:szCs w:val="20"/>
        </w:rPr>
      </w:pPr>
    </w:p>
    <w:p w:rsidR="00424D47" w:rsidRPr="00E5019C" w:rsidRDefault="00424D47" w:rsidP="00476839">
      <w:pPr>
        <w:contextualSpacing/>
        <w:jc w:val="center"/>
        <w:rPr>
          <w:rFonts w:ascii="Arial" w:hAnsi="Arial" w:cs="Arial"/>
          <w:b/>
          <w:sz w:val="20"/>
          <w:szCs w:val="20"/>
        </w:rPr>
      </w:pPr>
    </w:p>
    <w:p w:rsidR="00990C83" w:rsidRDefault="00574EC3" w:rsidP="00476839">
      <w:pPr>
        <w:contextualSpacing/>
        <w:jc w:val="center"/>
        <w:rPr>
          <w:rFonts w:ascii="Arial" w:hAnsi="Arial" w:cs="Arial"/>
          <w:b/>
          <w:sz w:val="20"/>
          <w:szCs w:val="20"/>
        </w:rPr>
      </w:pPr>
      <w:r>
        <w:rPr>
          <w:rFonts w:ascii="Arial" w:hAnsi="Arial" w:cs="Arial"/>
          <w:b/>
          <w:sz w:val="20"/>
          <w:szCs w:val="20"/>
        </w:rPr>
        <w:t>Partido Acción Nacional</w:t>
      </w:r>
    </w:p>
    <w:p w:rsidR="00424D47" w:rsidRPr="00E5019C" w:rsidRDefault="00424D47" w:rsidP="00476839">
      <w:pPr>
        <w:contextualSpacing/>
        <w:jc w:val="center"/>
        <w:rPr>
          <w:rFonts w:ascii="Arial" w:hAnsi="Arial" w:cs="Arial"/>
          <w:b/>
          <w:sz w:val="20"/>
          <w:szCs w:val="20"/>
        </w:rPr>
      </w:pPr>
    </w:p>
    <w:p w:rsidR="00990C83" w:rsidRPr="007A2F40" w:rsidRDefault="00990C83" w:rsidP="00476839">
      <w:pPr>
        <w:contextualSpacing/>
        <w:rPr>
          <w:rFonts w:ascii="Arial" w:hAnsi="Arial" w:cs="Arial"/>
          <w:b/>
          <w:sz w:val="20"/>
          <w:szCs w:val="20"/>
          <w:u w:val="single"/>
        </w:rPr>
      </w:pPr>
      <w:r w:rsidRPr="007A2F40">
        <w:rPr>
          <w:rFonts w:ascii="Arial" w:hAnsi="Arial" w:cs="Arial"/>
          <w:b/>
          <w:sz w:val="20"/>
          <w:szCs w:val="20"/>
          <w:u w:val="single"/>
        </w:rPr>
        <w:t>10 FALTAS FORMALES</w:t>
      </w:r>
    </w:p>
    <w:p w:rsidR="00990C83" w:rsidRPr="00E5019C" w:rsidRDefault="00990C83" w:rsidP="00476839">
      <w:pPr>
        <w:pStyle w:val="Prrafodelista"/>
        <w:ind w:left="357"/>
        <w:jc w:val="both"/>
        <w:rPr>
          <w:rFonts w:ascii="Arial" w:hAnsi="Arial" w:cs="Arial"/>
          <w:b/>
          <w:bCs/>
          <w:sz w:val="20"/>
          <w:szCs w:val="20"/>
        </w:rPr>
      </w:pPr>
    </w:p>
    <w:p w:rsidR="00990C83" w:rsidRPr="00E5019C" w:rsidRDefault="00990C83" w:rsidP="00476839">
      <w:pPr>
        <w:pStyle w:val="Prrafodelista"/>
        <w:numPr>
          <w:ilvl w:val="0"/>
          <w:numId w:val="65"/>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presentar las relaciones detalladas de gastos en espectaculares, relación detallada de bardas y propaganda colocada en páginas de internet con la totalidad de los requisitos establecidos en la normatividad.</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Tal situación incumple con lo establecido en el artículo 246, numeral 1, incisos b), c) y e) del RF.</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pStyle w:val="Prrafodelista"/>
        <w:numPr>
          <w:ilvl w:val="0"/>
          <w:numId w:val="65"/>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presentar </w:t>
      </w:r>
      <w:r w:rsidRPr="00E5019C">
        <w:rPr>
          <w:rFonts w:ascii="Arial" w:hAnsi="Arial" w:cs="Arial"/>
          <w:sz w:val="20"/>
          <w:szCs w:val="20"/>
        </w:rPr>
        <w:t>nueve expedientes de proveedores con operaciones mayores a las 5,000 UMA establecidos en la normativa</w:t>
      </w:r>
      <w:r w:rsidRPr="00E5019C">
        <w:rPr>
          <w:rFonts w:ascii="Arial" w:hAnsi="Arial" w:cs="Arial"/>
          <w:bCs/>
          <w:sz w:val="20"/>
          <w:szCs w:val="20"/>
        </w:rPr>
        <w:t>.</w:t>
      </w:r>
    </w:p>
    <w:p w:rsidR="00990C83" w:rsidRPr="00E5019C" w:rsidRDefault="00990C83" w:rsidP="00476839">
      <w:pPr>
        <w:contextualSpacing/>
        <w:jc w:val="both"/>
        <w:rPr>
          <w:rFonts w:ascii="Arial" w:hAnsi="Arial" w:cs="Arial"/>
          <w:sz w:val="20"/>
          <w:szCs w:val="20"/>
          <w:lang w:val="es-MX"/>
        </w:rPr>
      </w:pPr>
    </w:p>
    <w:p w:rsidR="00990C83" w:rsidRPr="00E5019C" w:rsidRDefault="00990C83" w:rsidP="00476839">
      <w:pPr>
        <w:contextualSpacing/>
        <w:jc w:val="both"/>
        <w:rPr>
          <w:rFonts w:ascii="Arial" w:hAnsi="Arial" w:cs="Arial"/>
          <w:b/>
          <w:bCs/>
          <w:sz w:val="20"/>
          <w:szCs w:val="20"/>
          <w:shd w:val="clear" w:color="auto" w:fill="FAFAF8"/>
        </w:rPr>
      </w:pPr>
      <w:r w:rsidRPr="00E5019C">
        <w:rPr>
          <w:rFonts w:ascii="Arial" w:hAnsi="Arial" w:cs="Arial"/>
          <w:b/>
          <w:bCs/>
          <w:sz w:val="20"/>
          <w:szCs w:val="20"/>
          <w:shd w:val="clear" w:color="auto" w:fill="FAFAF8"/>
        </w:rPr>
        <w:t>Propaganda</w:t>
      </w:r>
    </w:p>
    <w:p w:rsidR="00990C83" w:rsidRPr="00E5019C" w:rsidRDefault="00990C83" w:rsidP="00476839">
      <w:pPr>
        <w:contextualSpacing/>
        <w:jc w:val="both"/>
        <w:rPr>
          <w:rFonts w:ascii="Arial" w:hAnsi="Arial" w:cs="Arial"/>
          <w:b/>
          <w:bCs/>
          <w:sz w:val="20"/>
          <w:szCs w:val="20"/>
          <w:shd w:val="clear" w:color="auto" w:fill="FAFAF8"/>
        </w:rPr>
      </w:pPr>
    </w:p>
    <w:p w:rsidR="00990C83" w:rsidRPr="00E5019C" w:rsidRDefault="00990C83" w:rsidP="00476839">
      <w:pPr>
        <w:contextualSpacing/>
        <w:jc w:val="both"/>
        <w:rPr>
          <w:rFonts w:ascii="Arial" w:hAnsi="Arial" w:cs="Arial"/>
          <w:b/>
          <w:bCs/>
          <w:sz w:val="20"/>
          <w:szCs w:val="20"/>
          <w:shd w:val="clear" w:color="auto" w:fill="FAFAF8"/>
        </w:rPr>
      </w:pPr>
      <w:r w:rsidRPr="00E5019C">
        <w:rPr>
          <w:rFonts w:ascii="Arial" w:hAnsi="Arial" w:cs="Arial"/>
          <w:b/>
          <w:bCs/>
          <w:sz w:val="20"/>
          <w:szCs w:val="20"/>
          <w:shd w:val="clear" w:color="auto" w:fill="FAFAF8"/>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6"/>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presentó de manera extemporánea </w:t>
      </w:r>
      <w:r w:rsidRPr="00E5019C">
        <w:rPr>
          <w:rFonts w:ascii="Arial" w:hAnsi="Arial" w:cs="Arial"/>
          <w:sz w:val="20"/>
          <w:szCs w:val="20"/>
        </w:rPr>
        <w:t>tres avisos de contratación de en tiempo, por un importe de $93,542.40.</w:t>
      </w:r>
    </w:p>
    <w:p w:rsidR="00990C83" w:rsidRPr="00E5019C" w:rsidRDefault="00990C83"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Segundo periodo</w:t>
      </w:r>
    </w:p>
    <w:p w:rsidR="00990C83" w:rsidRPr="00E5019C" w:rsidRDefault="00990C83" w:rsidP="00476839">
      <w:pPr>
        <w:contextualSpacing/>
        <w:jc w:val="both"/>
        <w:rPr>
          <w:rFonts w:ascii="Arial" w:hAnsi="Arial" w:cs="Arial"/>
          <w:b/>
          <w:sz w:val="20"/>
          <w:szCs w:val="20"/>
        </w:rPr>
      </w:pPr>
    </w:p>
    <w:p w:rsidR="00990C83" w:rsidRPr="00E5019C" w:rsidRDefault="00990C83" w:rsidP="00476839">
      <w:pPr>
        <w:pStyle w:val="Prrafodelista"/>
        <w:numPr>
          <w:ilvl w:val="0"/>
          <w:numId w:val="66"/>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presentar </w:t>
      </w:r>
      <w:r w:rsidRPr="00E5019C">
        <w:rPr>
          <w:rFonts w:ascii="Arial" w:hAnsi="Arial" w:cs="Arial"/>
          <w:sz w:val="20"/>
          <w:szCs w:val="20"/>
        </w:rPr>
        <w:t>los permisos de autorizaciones para la colocación de lonas o mantas y la copia de la credencial de elector o identificación oficial vigente de quien otorga el permiso, por un importe de $2,791,435.14.</w:t>
      </w:r>
    </w:p>
    <w:p w:rsidR="00990C83" w:rsidRPr="00E5019C" w:rsidRDefault="00990C83" w:rsidP="00476839">
      <w:pPr>
        <w:contextualSpacing/>
        <w:jc w:val="both"/>
        <w:rPr>
          <w:rFonts w:ascii="Arial" w:hAnsi="Arial" w:cs="Arial"/>
          <w:sz w:val="20"/>
          <w:szCs w:val="20"/>
          <w:lang w:val="es-MX"/>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7"/>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w:t>
      </w:r>
      <w:r w:rsidRPr="00E5019C">
        <w:rPr>
          <w:rFonts w:ascii="Arial" w:eastAsia="Times New Roman" w:hAnsi="Arial" w:cs="Arial"/>
          <w:bCs/>
          <w:sz w:val="20"/>
          <w:szCs w:val="20"/>
          <w:lang w:val="es-ES" w:eastAsia="es-ES"/>
        </w:rPr>
        <w:t>propaganda utilitaria elaborada con material distinto al textil, por un importe de $27,840.00</w:t>
      </w:r>
      <w:r w:rsidRPr="00E5019C">
        <w:rPr>
          <w:rFonts w:ascii="Arial" w:hAnsi="Arial" w:cs="Arial"/>
          <w:sz w:val="20"/>
          <w:szCs w:val="20"/>
        </w:rPr>
        <w:t>.</w:t>
      </w:r>
    </w:p>
    <w:p w:rsidR="00990C83" w:rsidRPr="00E5019C" w:rsidRDefault="00990C83" w:rsidP="00476839">
      <w:pPr>
        <w:pStyle w:val="Prrafodelista"/>
        <w:ind w:left="360"/>
        <w:jc w:val="both"/>
        <w:rPr>
          <w:rFonts w:ascii="Arial" w:hAnsi="Arial" w:cs="Arial"/>
          <w:bCs/>
          <w:sz w:val="20"/>
          <w:szCs w:val="20"/>
        </w:rPr>
      </w:pPr>
    </w:p>
    <w:p w:rsidR="00990C83" w:rsidRPr="00E5019C" w:rsidRDefault="00990C83" w:rsidP="00476839">
      <w:pPr>
        <w:contextualSpacing/>
        <w:jc w:val="both"/>
        <w:rPr>
          <w:rFonts w:ascii="Arial" w:hAnsi="Arial" w:cs="Arial"/>
          <w:b/>
          <w:sz w:val="20"/>
          <w:szCs w:val="20"/>
          <w:lang w:val="es-MX"/>
        </w:rPr>
      </w:pPr>
      <w:r w:rsidRPr="00E5019C">
        <w:rPr>
          <w:rFonts w:ascii="Arial" w:hAnsi="Arial" w:cs="Arial"/>
          <w:b/>
          <w:sz w:val="20"/>
          <w:szCs w:val="20"/>
          <w:lang w:val="es-MX"/>
        </w:rPr>
        <w:t>Eventos.</w:t>
      </w:r>
    </w:p>
    <w:p w:rsidR="00990C83" w:rsidRPr="00E5019C" w:rsidRDefault="00990C83" w:rsidP="00476839">
      <w:pPr>
        <w:pStyle w:val="Prrafodelista"/>
        <w:numPr>
          <w:ilvl w:val="0"/>
          <w:numId w:val="68"/>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presentar las cartas de invitación de 11 eventos bajo el estatus de no oneroso.</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Avisos de contratación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9"/>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w:t>
      </w:r>
      <w:r w:rsidRPr="00E5019C">
        <w:rPr>
          <w:rFonts w:ascii="Arial" w:eastAsia="Times New Roman" w:hAnsi="Arial" w:cs="Arial"/>
          <w:bCs/>
          <w:sz w:val="20"/>
          <w:szCs w:val="20"/>
          <w:lang w:val="es-ES" w:eastAsia="es-ES"/>
        </w:rPr>
        <w:t xml:space="preserve">presentar 38 avisos de contratación </w:t>
      </w:r>
      <w:r w:rsidRPr="00E5019C">
        <w:rPr>
          <w:rFonts w:ascii="Arial" w:hAnsi="Arial" w:cs="Arial"/>
          <w:bCs/>
          <w:sz w:val="20"/>
          <w:szCs w:val="20"/>
        </w:rPr>
        <w:t>(21+16+1).</w:t>
      </w:r>
      <w:r w:rsidRPr="00E5019C">
        <w:rPr>
          <w:rFonts w:ascii="Arial" w:eastAsia="Times New Roman" w:hAnsi="Arial" w:cs="Arial"/>
          <w:bCs/>
          <w:sz w:val="20"/>
          <w:szCs w:val="20"/>
          <w:lang w:val="es-ES" w:eastAsia="es-ES"/>
        </w:rPr>
        <w:t xml:space="preserve"> en un plazo máximo de tres días</w:t>
      </w:r>
      <w:r w:rsidRPr="00E5019C">
        <w:rPr>
          <w:rFonts w:ascii="Arial" w:hAnsi="Arial" w:cs="Arial"/>
          <w:bCs/>
          <w:sz w:val="20"/>
          <w:szCs w:val="20"/>
        </w:rPr>
        <w: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9"/>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w:t>
      </w:r>
      <w:r w:rsidRPr="00E5019C">
        <w:rPr>
          <w:rFonts w:ascii="Arial" w:eastAsia="Times New Roman" w:hAnsi="Arial" w:cs="Arial"/>
          <w:bCs/>
          <w:sz w:val="20"/>
          <w:szCs w:val="20"/>
          <w:lang w:val="es-ES" w:eastAsia="es-ES"/>
        </w:rPr>
        <w:t>presentar 4 avisos de contratación, en un plazo máximo de tres días</w:t>
      </w:r>
      <w:r w:rsidRPr="00E5019C">
        <w:rPr>
          <w:rFonts w:ascii="Arial" w:hAnsi="Arial" w:cs="Arial"/>
          <w:bCs/>
          <w:sz w:val="20"/>
          <w:szCs w:val="20"/>
        </w:rPr>
        <w:t xml:space="preserve"> por un importe de $6,930,081.70.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9"/>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w:t>
      </w:r>
      <w:r w:rsidRPr="00E5019C">
        <w:rPr>
          <w:rFonts w:ascii="Arial" w:eastAsia="Times New Roman" w:hAnsi="Arial" w:cs="Arial"/>
          <w:bCs/>
          <w:sz w:val="20"/>
          <w:szCs w:val="20"/>
          <w:lang w:val="es-ES" w:eastAsia="es-ES"/>
        </w:rPr>
        <w:t>5 avisos de contratación con fechas distintas al documento base por un importe de $1,935,135.92.</w:t>
      </w:r>
    </w:p>
    <w:p w:rsidR="00990C83" w:rsidRPr="00E5019C" w:rsidRDefault="00990C83" w:rsidP="00476839">
      <w:pPr>
        <w:autoSpaceDE w:val="0"/>
        <w:autoSpaceDN w:val="0"/>
        <w:adjustRightInd w:val="0"/>
        <w:contextualSpacing/>
        <w:jc w:val="both"/>
        <w:rPr>
          <w:rFonts w:ascii="Arial" w:hAnsi="Arial" w:cs="Arial"/>
          <w:sz w:val="20"/>
          <w:szCs w:val="20"/>
        </w:rPr>
      </w:pPr>
    </w:p>
    <w:p w:rsidR="00574EC3" w:rsidRDefault="00574EC3" w:rsidP="00476839">
      <w:pPr>
        <w:rPr>
          <w:rFonts w:ascii="Arial" w:hAnsi="Arial" w:cs="Arial"/>
          <w:b/>
          <w:bCs/>
          <w:sz w:val="20"/>
          <w:szCs w:val="20"/>
          <w:lang w:val="es-ES"/>
        </w:rPr>
      </w:pPr>
      <w:r>
        <w:rPr>
          <w:b/>
          <w:bCs/>
          <w:sz w:val="20"/>
          <w:szCs w:val="20"/>
        </w:rPr>
        <w:br w:type="page"/>
      </w:r>
    </w:p>
    <w:p w:rsidR="00990C83" w:rsidRPr="00E5019C" w:rsidRDefault="00990C83" w:rsidP="00476839">
      <w:pPr>
        <w:pStyle w:val="Default"/>
        <w:contextualSpacing/>
        <w:jc w:val="both"/>
        <w:rPr>
          <w:b/>
          <w:bCs/>
          <w:color w:val="auto"/>
          <w:sz w:val="20"/>
          <w:szCs w:val="20"/>
        </w:rPr>
      </w:pPr>
      <w:r w:rsidRPr="00E5019C">
        <w:rPr>
          <w:b/>
          <w:bCs/>
          <w:color w:val="auto"/>
          <w:sz w:val="20"/>
          <w:szCs w:val="20"/>
        </w:rPr>
        <w:lastRenderedPageBreak/>
        <w:t>Cuenta concentradora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Default"/>
        <w:contextualSpacing/>
        <w:jc w:val="both"/>
        <w:rPr>
          <w:b/>
          <w:bCs/>
          <w:color w:val="auto"/>
          <w:sz w:val="20"/>
          <w:szCs w:val="20"/>
        </w:rPr>
      </w:pPr>
      <w:r w:rsidRPr="00E5019C">
        <w:rPr>
          <w:b/>
          <w:bCs/>
          <w:color w:val="auto"/>
          <w:sz w:val="20"/>
          <w:szCs w:val="20"/>
        </w:rPr>
        <w:t>Ingresos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Transferencias en especie del CEN, CEE y de otros órganos de los partidos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9"/>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w:t>
      </w:r>
      <w:r w:rsidRPr="00E5019C">
        <w:rPr>
          <w:rFonts w:ascii="Arial" w:eastAsia="Times New Roman" w:hAnsi="Arial" w:cs="Arial"/>
          <w:bCs/>
          <w:sz w:val="20"/>
          <w:szCs w:val="20"/>
          <w:lang w:val="es-ES" w:eastAsia="es-ES"/>
        </w:rPr>
        <w:t>presentar 2 recibos de aportación y la copia del documento que acredite la propiedad del bien otorgado en comodato, por un importe de $112,920.00</w:t>
      </w:r>
      <w:r w:rsidRPr="00E5019C">
        <w:rPr>
          <w:rFonts w:ascii="Arial" w:hAnsi="Arial" w:cs="Arial"/>
          <w:bCs/>
          <w:sz w:val="20"/>
          <w:szCs w:val="20"/>
        </w:rPr>
        <w:t>.</w:t>
      </w:r>
    </w:p>
    <w:p w:rsidR="00990C83" w:rsidRPr="00E5019C" w:rsidRDefault="00990C83" w:rsidP="00476839">
      <w:pPr>
        <w:contextualSpacing/>
        <w:jc w:val="both"/>
        <w:rPr>
          <w:rFonts w:ascii="Arial" w:hAnsi="Arial" w:cs="Arial"/>
          <w:bCs/>
          <w:sz w:val="20"/>
          <w:szCs w:val="20"/>
          <w:lang w:val="es-MX"/>
        </w:rPr>
      </w:pPr>
    </w:p>
    <w:p w:rsidR="00424D47" w:rsidRDefault="00424D47" w:rsidP="00476839">
      <w:pPr>
        <w:contextualSpacing/>
        <w:jc w:val="both"/>
        <w:rPr>
          <w:rFonts w:ascii="Arial" w:hAnsi="Arial" w:cs="Arial"/>
          <w:b/>
          <w:sz w:val="20"/>
          <w:szCs w:val="20"/>
          <w:lang w:val="es-MX"/>
        </w:rPr>
      </w:pPr>
    </w:p>
    <w:p w:rsidR="00990C83" w:rsidRPr="007A2F40" w:rsidRDefault="00990C83" w:rsidP="00476839">
      <w:pPr>
        <w:contextualSpacing/>
        <w:jc w:val="both"/>
        <w:rPr>
          <w:rFonts w:ascii="Arial" w:hAnsi="Arial" w:cs="Arial"/>
          <w:b/>
          <w:sz w:val="20"/>
          <w:szCs w:val="20"/>
          <w:u w:val="single"/>
          <w:lang w:val="es-MX"/>
        </w:rPr>
      </w:pPr>
      <w:r w:rsidRPr="007A2F40">
        <w:rPr>
          <w:rFonts w:ascii="Arial" w:hAnsi="Arial" w:cs="Arial"/>
          <w:b/>
          <w:sz w:val="20"/>
          <w:szCs w:val="20"/>
          <w:u w:val="single"/>
          <w:lang w:val="es-MX"/>
        </w:rPr>
        <w:t>FALTAS SUSTANCIALES</w:t>
      </w: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Procedimientos adicionales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Agenda</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de manera extemporánea 10 eventos que no cumplieron con la antelación de siete días, a su realización.</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de manera extemporánea 53 eventos de manera posterior a su celebración.</w:t>
      </w:r>
    </w:p>
    <w:p w:rsidR="00990C83" w:rsidRPr="00E5019C" w:rsidRDefault="00990C83" w:rsidP="00476839">
      <w:pPr>
        <w:contextualSpacing/>
        <w:jc w:val="both"/>
        <w:rPr>
          <w:rFonts w:ascii="Arial" w:hAnsi="Arial" w:cs="Arial"/>
          <w:b/>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Segundo periodo</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de manera extemporánea </w:t>
      </w:r>
      <w:r w:rsidRPr="00E5019C">
        <w:rPr>
          <w:rFonts w:ascii="Arial" w:eastAsia="Times New Roman" w:hAnsi="Arial" w:cs="Arial"/>
          <w:sz w:val="20"/>
          <w:szCs w:val="20"/>
          <w:lang w:val="es-ES" w:eastAsia="es-ES"/>
        </w:rPr>
        <w:t xml:space="preserve">63 </w:t>
      </w:r>
      <w:r w:rsidRPr="00E5019C">
        <w:rPr>
          <w:rFonts w:ascii="Arial" w:hAnsi="Arial" w:cs="Arial"/>
          <w:bCs/>
          <w:sz w:val="20"/>
          <w:szCs w:val="20"/>
        </w:rPr>
        <w:t>eventos que no cumplieron con la antelación de siete días, a su realización.</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de manera extemporánea </w:t>
      </w:r>
      <w:r w:rsidRPr="00E5019C">
        <w:rPr>
          <w:rFonts w:ascii="Arial" w:eastAsia="Times New Roman" w:hAnsi="Arial" w:cs="Arial"/>
          <w:sz w:val="20"/>
          <w:szCs w:val="20"/>
          <w:lang w:val="es-ES" w:eastAsia="es-ES"/>
        </w:rPr>
        <w:t xml:space="preserve">49 </w:t>
      </w:r>
      <w:r w:rsidRPr="00E5019C">
        <w:rPr>
          <w:rFonts w:ascii="Arial" w:hAnsi="Arial" w:cs="Arial"/>
          <w:bCs/>
          <w:sz w:val="20"/>
          <w:szCs w:val="20"/>
        </w:rPr>
        <w:t>eventos el mismo día de su celebración.</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pStyle w:val="Default"/>
        <w:contextualSpacing/>
        <w:jc w:val="both"/>
        <w:rPr>
          <w:b/>
          <w:bCs/>
          <w:color w:val="auto"/>
          <w:sz w:val="20"/>
          <w:szCs w:val="20"/>
        </w:rPr>
      </w:pPr>
      <w:r w:rsidRPr="00E5019C">
        <w:rPr>
          <w:b/>
          <w:bCs/>
          <w:color w:val="auto"/>
          <w:sz w:val="20"/>
          <w:szCs w:val="20"/>
        </w:rPr>
        <w:t>Eventos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Primer Periodo</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por concepto de propaganda y gastos operativos como animadores, dos bandas de viento, box lunch, carpas, equipos de sonido, equipos de videograbación, lonas, renta de salón, templetes y vallas móviles, a favor del candidato, valuados en $</w:t>
      </w:r>
      <w:r w:rsidRPr="00E5019C">
        <w:rPr>
          <w:rFonts w:ascii="Arial" w:eastAsia="Times New Roman" w:hAnsi="Arial" w:cs="Arial"/>
          <w:sz w:val="20"/>
          <w:szCs w:val="20"/>
          <w:lang w:val="es-ES" w:eastAsia="es-ES"/>
        </w:rPr>
        <w:t>1,047,052.78.</w:t>
      </w: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cinco eventos con extemporaneidad de hasta 22 días.</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autoSpaceDE w:val="0"/>
        <w:autoSpaceDN w:val="0"/>
        <w:adjustRightInd w:val="0"/>
        <w:contextualSpacing/>
        <w:jc w:val="both"/>
        <w:rPr>
          <w:rFonts w:ascii="Arial" w:eastAsia="Times New Roman" w:hAnsi="Arial" w:cs="Arial"/>
          <w:b/>
          <w:bCs/>
          <w:sz w:val="20"/>
          <w:szCs w:val="20"/>
          <w:lang w:eastAsia="es-ES"/>
        </w:rPr>
      </w:pPr>
      <w:r w:rsidRPr="00E5019C">
        <w:rPr>
          <w:rFonts w:ascii="Arial" w:eastAsia="Times New Roman" w:hAnsi="Arial" w:cs="Arial"/>
          <w:b/>
          <w:bCs/>
          <w:sz w:val="20"/>
          <w:szCs w:val="20"/>
          <w:lang w:eastAsia="es-ES"/>
        </w:rPr>
        <w:t>Segundo periodo</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operativos y de propaganda, a favor del candidato, valuados en </w:t>
      </w:r>
      <w:r w:rsidRPr="00E5019C">
        <w:rPr>
          <w:rFonts w:ascii="Arial" w:hAnsi="Arial" w:cs="Arial"/>
          <w:sz w:val="20"/>
          <w:szCs w:val="20"/>
        </w:rPr>
        <w:t>$7,148,562.76</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E5019C" w:rsidRDefault="00990C83" w:rsidP="00476839">
      <w:pPr>
        <w:pStyle w:val="Prrafodelista"/>
        <w:numPr>
          <w:ilvl w:val="0"/>
          <w:numId w:val="70"/>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operativos y de propaganda, a favor de la candidata, valuados en </w:t>
      </w:r>
      <w:r w:rsidRPr="00E5019C">
        <w:rPr>
          <w:rFonts w:ascii="Arial" w:hAnsi="Arial" w:cs="Arial"/>
          <w:sz w:val="20"/>
          <w:szCs w:val="20"/>
        </w:rPr>
        <w:t>$607,012.28</w:t>
      </w:r>
      <w:r w:rsidRPr="00E5019C">
        <w:rPr>
          <w:rFonts w:ascii="Arial" w:hAnsi="Arial" w:cs="Arial"/>
          <w:bCs/>
          <w:sz w:val="20"/>
          <w:szCs w:val="20"/>
        </w:rPr>
        <w:t>.</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pStyle w:val="Prrafodelista"/>
        <w:autoSpaceDE w:val="0"/>
        <w:autoSpaceDN w:val="0"/>
        <w:adjustRightInd w:val="0"/>
        <w:ind w:left="360"/>
        <w:jc w:val="both"/>
        <w:rPr>
          <w:rFonts w:ascii="Arial" w:hAnsi="Arial" w:cs="Arial"/>
          <w:b/>
          <w:sz w:val="20"/>
          <w:szCs w:val="20"/>
        </w:rPr>
      </w:pPr>
    </w:p>
    <w:p w:rsidR="00990C83" w:rsidRPr="00E5019C" w:rsidRDefault="00990C83" w:rsidP="00476839">
      <w:pPr>
        <w:pStyle w:val="Prrafodelista"/>
        <w:numPr>
          <w:ilvl w:val="0"/>
          <w:numId w:val="71"/>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operativos y de propaganda, a favor de la candidata, valuados en </w:t>
      </w:r>
      <w:r w:rsidRPr="00E5019C">
        <w:rPr>
          <w:rFonts w:ascii="Arial" w:hAnsi="Arial" w:cs="Arial"/>
          <w:sz w:val="20"/>
          <w:szCs w:val="20"/>
        </w:rPr>
        <w:t>$1,382,539.26</w:t>
      </w:r>
      <w:r w:rsidRPr="00E5019C">
        <w:rPr>
          <w:rFonts w:ascii="Arial" w:hAnsi="Arial" w:cs="Arial"/>
          <w:bCs/>
          <w:sz w:val="20"/>
          <w:szCs w:val="20"/>
        </w:rPr>
        <w:t>.</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E5019C" w:rsidRDefault="00990C83" w:rsidP="00476839">
      <w:pPr>
        <w:pStyle w:val="Prrafodelista"/>
        <w:numPr>
          <w:ilvl w:val="0"/>
          <w:numId w:val="72"/>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los gastos operativos y de propaganda, a favor de la candidata, valuados en </w:t>
      </w:r>
      <w:r w:rsidRPr="00E5019C">
        <w:rPr>
          <w:rFonts w:ascii="Arial" w:hAnsi="Arial" w:cs="Arial"/>
          <w:sz w:val="20"/>
          <w:szCs w:val="20"/>
        </w:rPr>
        <w:t>$533,261.98.</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ind w:right="618"/>
        <w:contextualSpacing/>
        <w:jc w:val="both"/>
        <w:rPr>
          <w:rFonts w:ascii="Arial" w:hAnsi="Arial" w:cs="Arial"/>
          <w:b/>
          <w:sz w:val="20"/>
          <w:szCs w:val="20"/>
        </w:rPr>
      </w:pPr>
      <w:r w:rsidRPr="00E5019C">
        <w:rPr>
          <w:rFonts w:ascii="Arial" w:hAnsi="Arial" w:cs="Arial"/>
          <w:b/>
          <w:sz w:val="20"/>
          <w:szCs w:val="20"/>
        </w:rPr>
        <w:lastRenderedPageBreak/>
        <w:t xml:space="preserve">Recorridos en avenidas y plazas públicas </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2"/>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operativos y de propaganda, a favor del candidato, valuados en </w:t>
      </w:r>
      <w:r w:rsidRPr="00E5019C">
        <w:rPr>
          <w:rFonts w:ascii="Arial" w:hAnsi="Arial" w:cs="Arial"/>
          <w:sz w:val="20"/>
          <w:szCs w:val="20"/>
        </w:rPr>
        <w:t>$214,960.76</w:t>
      </w:r>
      <w:r w:rsidRPr="00E5019C">
        <w:rPr>
          <w:rFonts w:ascii="Arial" w:hAnsi="Arial" w:cs="Arial"/>
          <w:b/>
          <w:bCs/>
          <w:sz w:val="20"/>
          <w:szCs w:val="20"/>
        </w:rPr>
        <w:t>.</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Monitoreos.</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b/>
          <w:bCs/>
          <w:sz w:val="20"/>
          <w:szCs w:val="20"/>
        </w:rPr>
        <w:t>Espectaculares y propaganda colocada en la vía pública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SIMEI</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2"/>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los gastos por concepto de (553) panorámicos, (527) bardas y muros, (63) mantas y vinilonas (menores a 12 </w:t>
      </w:r>
      <w:proofErr w:type="spellStart"/>
      <w:r w:rsidRPr="00E5019C">
        <w:rPr>
          <w:rFonts w:ascii="Arial" w:hAnsi="Arial" w:cs="Arial"/>
          <w:bCs/>
          <w:sz w:val="20"/>
          <w:szCs w:val="20"/>
        </w:rPr>
        <w:t>mts</w:t>
      </w:r>
      <w:proofErr w:type="spellEnd"/>
      <w:r w:rsidRPr="00E5019C">
        <w:rPr>
          <w:rFonts w:ascii="Arial" w:hAnsi="Arial" w:cs="Arial"/>
          <w:bCs/>
          <w:sz w:val="20"/>
          <w:szCs w:val="20"/>
        </w:rPr>
        <w:t xml:space="preserve">.) </w:t>
      </w:r>
      <w:r w:rsidRPr="00E5019C">
        <w:rPr>
          <w:rFonts w:ascii="Arial" w:eastAsia="Times New Roman" w:hAnsi="Arial" w:cs="Arial"/>
          <w:bCs/>
          <w:sz w:val="20"/>
          <w:szCs w:val="20"/>
          <w:lang w:val="es-ES" w:eastAsia="es-ES"/>
        </w:rPr>
        <w:t>valuados en $24,061,341.77</w:t>
      </w:r>
      <w:r w:rsidRPr="00E5019C">
        <w:rPr>
          <w:rFonts w:ascii="Arial" w:hAnsi="Arial" w:cs="Arial"/>
          <w:bCs/>
          <w:sz w:val="20"/>
          <w:szCs w:val="20"/>
        </w:rPr>
        <w:t>.</w:t>
      </w:r>
    </w:p>
    <w:p w:rsidR="00990C83" w:rsidRPr="00E5019C" w:rsidRDefault="00990C83" w:rsidP="00476839">
      <w:pPr>
        <w:autoSpaceDE w:val="0"/>
        <w:autoSpaceDN w:val="0"/>
        <w:adjustRightInd w:val="0"/>
        <w:contextualSpacing/>
        <w:jc w:val="both"/>
        <w:rPr>
          <w:rFonts w:ascii="Arial" w:hAnsi="Arial" w:cs="Arial"/>
          <w:b/>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Realizados por el IEEM</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2"/>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3,354 testigos correspondientes a la propaganda detectada en el monitoreo, los cuales fueron valuados en $13,834,187.58.</w:t>
      </w:r>
    </w:p>
    <w:p w:rsidR="00990C83" w:rsidRPr="00E5019C" w:rsidRDefault="00990C83" w:rsidP="00476839">
      <w:pPr>
        <w:contextualSpacing/>
        <w:jc w:val="both"/>
        <w:rPr>
          <w:rFonts w:ascii="Arial" w:hAnsi="Arial" w:cs="Arial"/>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Páginas de Internet y Redes sociales</w:t>
      </w:r>
    </w:p>
    <w:p w:rsidR="00990C83" w:rsidRPr="00E5019C" w:rsidRDefault="00990C83"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3"/>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reportar gastos operativos y de propaganda, a favor de la candidata, valuados en </w:t>
      </w:r>
      <w:r w:rsidRPr="00E5019C">
        <w:rPr>
          <w:rFonts w:ascii="Arial" w:hAnsi="Arial" w:cs="Arial"/>
          <w:sz w:val="20"/>
          <w:szCs w:val="20"/>
        </w:rPr>
        <w:t>$3,915,134.65.</w:t>
      </w:r>
    </w:p>
    <w:p w:rsidR="00990C83" w:rsidRPr="00E5019C" w:rsidRDefault="00990C83" w:rsidP="00476839">
      <w:pPr>
        <w:pStyle w:val="Prrafodelista"/>
        <w:ind w:left="360"/>
        <w:jc w:val="both"/>
        <w:rPr>
          <w:rFonts w:ascii="Arial" w:hAnsi="Arial" w:cs="Arial"/>
          <w:bCs/>
          <w:sz w:val="20"/>
          <w:szCs w:val="20"/>
        </w:rPr>
      </w:pPr>
    </w:p>
    <w:p w:rsidR="00990C83" w:rsidRDefault="00990C83" w:rsidP="00476839">
      <w:pPr>
        <w:autoSpaceDE w:val="0"/>
        <w:autoSpaceDN w:val="0"/>
        <w:adjustRightInd w:val="0"/>
        <w:contextualSpacing/>
        <w:jc w:val="both"/>
        <w:rPr>
          <w:rFonts w:ascii="Arial" w:hAnsi="Arial" w:cs="Arial"/>
          <w:sz w:val="20"/>
          <w:szCs w:val="20"/>
        </w:rPr>
      </w:pPr>
    </w:p>
    <w:p w:rsidR="001C4552" w:rsidRPr="00E5019C" w:rsidRDefault="001C4552"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Default"/>
        <w:contextualSpacing/>
        <w:jc w:val="both"/>
        <w:rPr>
          <w:b/>
          <w:bCs/>
          <w:color w:val="auto"/>
          <w:sz w:val="20"/>
          <w:szCs w:val="20"/>
        </w:rPr>
      </w:pPr>
      <w:r w:rsidRPr="00E5019C">
        <w:rPr>
          <w:b/>
          <w:bCs/>
          <w:color w:val="auto"/>
          <w:sz w:val="20"/>
          <w:szCs w:val="20"/>
        </w:rPr>
        <w:t>Sistema Integral de Fiscalización</w:t>
      </w:r>
    </w:p>
    <w:p w:rsidR="00990C83" w:rsidRPr="00E5019C" w:rsidRDefault="00990C83" w:rsidP="00476839">
      <w:pPr>
        <w:contextualSpacing/>
        <w:jc w:val="both"/>
        <w:rPr>
          <w:rFonts w:ascii="Arial" w:hAnsi="Arial" w:cs="Arial"/>
          <w:b/>
          <w:bCs/>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Primer periodo</w:t>
      </w:r>
    </w:p>
    <w:p w:rsidR="00990C83" w:rsidRPr="00E5019C" w:rsidRDefault="00990C83" w:rsidP="00476839">
      <w:pPr>
        <w:contextualSpacing/>
        <w:jc w:val="both"/>
        <w:rPr>
          <w:rFonts w:ascii="Arial" w:hAnsi="Arial" w:cs="Arial"/>
          <w:b/>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Normal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3"/>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omitió registrar 31 operaciones en un plazo máximo de tres días por un importe de </w:t>
      </w:r>
      <w:r w:rsidRPr="00E5019C">
        <w:rPr>
          <w:rFonts w:ascii="Arial" w:eastAsia="Times New Roman" w:hAnsi="Arial" w:cs="Arial"/>
          <w:sz w:val="20"/>
          <w:szCs w:val="20"/>
          <w:lang w:val="es-ES" w:eastAsia="es-ES"/>
        </w:rPr>
        <w:t xml:space="preserve">$57,650,947.13. </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3"/>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7 operaciones </w:t>
      </w:r>
      <w:r w:rsidRPr="00E5019C">
        <w:rPr>
          <w:rFonts w:ascii="Arial" w:eastAsia="Times New Roman" w:hAnsi="Arial" w:cs="Arial"/>
          <w:sz w:val="20"/>
          <w:szCs w:val="20"/>
          <w:lang w:val="es-ES" w:eastAsia="es-ES"/>
        </w:rPr>
        <w:t>que exceden los tres días posteriores a la fecha de operación registrando incorrectamente la fecha de operación consignada en la documentación comprobatoria</w:t>
      </w:r>
      <w:r w:rsidRPr="00E5019C">
        <w:rPr>
          <w:rFonts w:ascii="Arial" w:hAnsi="Arial" w:cs="Arial"/>
          <w:bCs/>
          <w:sz w:val="20"/>
          <w:szCs w:val="20"/>
        </w:rPr>
        <w:t xml:space="preserve"> por $</w:t>
      </w:r>
      <w:r w:rsidRPr="00E5019C">
        <w:rPr>
          <w:rFonts w:ascii="Arial" w:hAnsi="Arial" w:cs="Arial"/>
          <w:sz w:val="20"/>
          <w:szCs w:val="20"/>
          <w:lang w:val="es-ES" w:eastAsia="es-ES"/>
        </w:rPr>
        <w:t>37,972,501.82</w:t>
      </w:r>
      <w:r w:rsidRPr="00E5019C">
        <w:rPr>
          <w:rFonts w:ascii="Arial" w:hAnsi="Arial" w:cs="Arial"/>
          <w:bCs/>
          <w:sz w:val="20"/>
          <w:szCs w:val="20"/>
        </w:rPr>
        <w:t>.</w:t>
      </w:r>
    </w:p>
    <w:p w:rsidR="00990C83" w:rsidRPr="00E5019C" w:rsidRDefault="00990C83" w:rsidP="00476839">
      <w:pPr>
        <w:contextualSpacing/>
        <w:jc w:val="both"/>
        <w:rPr>
          <w:rFonts w:ascii="Arial" w:eastAsia="Times New Roman" w:hAnsi="Arial" w:cs="Arial"/>
          <w:b/>
          <w:bCs/>
          <w:sz w:val="20"/>
          <w:szCs w:val="20"/>
          <w:lang w:eastAsia="es-ES"/>
        </w:rPr>
      </w:pPr>
    </w:p>
    <w:p w:rsidR="00990C83" w:rsidRPr="00E5019C" w:rsidRDefault="00990C83" w:rsidP="00476839">
      <w:pPr>
        <w:contextualSpacing/>
        <w:jc w:val="both"/>
        <w:rPr>
          <w:rFonts w:ascii="Arial" w:eastAsia="Times New Roman" w:hAnsi="Arial" w:cs="Arial"/>
          <w:b/>
          <w:bCs/>
          <w:sz w:val="20"/>
          <w:szCs w:val="20"/>
          <w:lang w:eastAsia="es-ES"/>
        </w:rPr>
      </w:pPr>
      <w:r w:rsidRPr="00E5019C">
        <w:rPr>
          <w:rFonts w:ascii="Arial" w:eastAsia="Times New Roman" w:hAnsi="Arial" w:cs="Arial"/>
          <w:b/>
          <w:bCs/>
          <w:sz w:val="20"/>
          <w:szCs w:val="20"/>
          <w:lang w:eastAsia="es-ES"/>
        </w:rPr>
        <w:t>Periodo de ajuste</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4"/>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2 operaciones de manera extemporánea por </w:t>
      </w:r>
      <w:r w:rsidRPr="00E5019C">
        <w:rPr>
          <w:rFonts w:ascii="Arial" w:hAnsi="Arial" w:cs="Arial"/>
          <w:sz w:val="20"/>
          <w:szCs w:val="20"/>
          <w:lang w:val="es-ES" w:eastAsia="es-ES"/>
        </w:rPr>
        <w:t>$2,729,999.62</w:t>
      </w:r>
      <w:r w:rsidRPr="00E5019C">
        <w:rPr>
          <w:rFonts w:ascii="Arial" w:hAnsi="Arial" w:cs="Arial"/>
          <w:bCs/>
          <w:sz w:val="20"/>
          <w:szCs w:val="20"/>
        </w:rPr>
        <w: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4"/>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33 operaciones de manera extemporánea por un importe de </w:t>
      </w:r>
      <w:r w:rsidRPr="00E5019C">
        <w:rPr>
          <w:rFonts w:ascii="Arial" w:hAnsi="Arial" w:cs="Arial"/>
          <w:sz w:val="20"/>
          <w:szCs w:val="20"/>
          <w:lang w:val="es-ES" w:eastAsia="es-ES"/>
        </w:rPr>
        <w:t>$17,992,319.11</w:t>
      </w:r>
      <w:r w:rsidRPr="00E5019C">
        <w:rPr>
          <w:rFonts w:ascii="Arial" w:hAnsi="Arial" w:cs="Arial"/>
          <w:bCs/>
          <w:sz w:val="20"/>
          <w:szCs w:val="20"/>
        </w:rPr>
        <w:t>.</w:t>
      </w:r>
    </w:p>
    <w:p w:rsidR="00990C83" w:rsidRPr="00E5019C" w:rsidRDefault="00990C83" w:rsidP="00476839">
      <w:pPr>
        <w:contextualSpacing/>
        <w:jc w:val="both"/>
        <w:rPr>
          <w:rFonts w:ascii="Arial" w:hAnsi="Arial" w:cs="Arial"/>
          <w:bCs/>
          <w:sz w:val="20"/>
          <w:szCs w:val="20"/>
          <w:lang w:val="es-MX"/>
        </w:rPr>
      </w:pPr>
    </w:p>
    <w:p w:rsidR="00990C83" w:rsidRPr="00E5019C" w:rsidRDefault="00990C83" w:rsidP="00476839">
      <w:pPr>
        <w:pStyle w:val="Prrafodelista"/>
        <w:numPr>
          <w:ilvl w:val="0"/>
          <w:numId w:val="75"/>
        </w:numPr>
        <w:jc w:val="both"/>
        <w:rPr>
          <w:rFonts w:ascii="Arial" w:hAnsi="Arial" w:cs="Arial"/>
          <w:bCs/>
          <w:sz w:val="20"/>
          <w:szCs w:val="20"/>
        </w:rPr>
      </w:pPr>
      <w:r w:rsidRPr="00E5019C">
        <w:rPr>
          <w:rFonts w:ascii="Arial" w:hAnsi="Arial" w:cs="Arial"/>
          <w:sz w:val="20"/>
          <w:szCs w:val="20"/>
        </w:rPr>
        <w:lastRenderedPageBreak/>
        <w:t>PAN/MEX</w:t>
      </w:r>
      <w:r w:rsidRPr="00E5019C">
        <w:rPr>
          <w:rFonts w:ascii="Arial" w:hAnsi="Arial" w:cs="Arial"/>
          <w:bCs/>
          <w:sz w:val="20"/>
          <w:szCs w:val="20"/>
        </w:rPr>
        <w:t xml:space="preserve"> El sujeto obligado registró 12 operaciones de manera extemporánea por un importe de </w:t>
      </w:r>
      <w:r w:rsidRPr="00E5019C">
        <w:rPr>
          <w:rFonts w:ascii="Arial" w:hAnsi="Arial" w:cs="Arial"/>
          <w:sz w:val="20"/>
          <w:szCs w:val="20"/>
          <w:lang w:val="es-ES" w:eastAsia="es-ES"/>
        </w:rPr>
        <w:t>$2,198,409.70</w:t>
      </w:r>
      <w:r w:rsidRPr="00E5019C">
        <w:rPr>
          <w:rFonts w:ascii="Arial" w:hAnsi="Arial" w:cs="Arial"/>
          <w:bCs/>
          <w:sz w:val="20"/>
          <w:szCs w:val="20"/>
        </w:rPr>
        <w:t>.</w:t>
      </w:r>
    </w:p>
    <w:p w:rsidR="00990C83" w:rsidRPr="00E5019C" w:rsidRDefault="00990C83" w:rsidP="00476839">
      <w:pPr>
        <w:contextualSpacing/>
        <w:jc w:val="both"/>
        <w:rPr>
          <w:rFonts w:ascii="Arial" w:eastAsia="Times New Roman" w:hAnsi="Arial" w:cs="Arial"/>
          <w:b/>
          <w:bCs/>
          <w:sz w:val="20"/>
          <w:szCs w:val="20"/>
          <w:lang w:eastAsia="es-ES"/>
        </w:rPr>
      </w:pPr>
    </w:p>
    <w:p w:rsidR="00990C83" w:rsidRPr="00E5019C" w:rsidRDefault="00990C83" w:rsidP="00476839">
      <w:pPr>
        <w:pStyle w:val="Prrafodelista"/>
        <w:numPr>
          <w:ilvl w:val="0"/>
          <w:numId w:val="75"/>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7 operaciones de manera extemporánea por un importe de </w:t>
      </w:r>
      <w:r w:rsidRPr="00E5019C">
        <w:rPr>
          <w:rFonts w:ascii="Arial" w:hAnsi="Arial" w:cs="Arial"/>
          <w:sz w:val="20"/>
          <w:szCs w:val="20"/>
          <w:lang w:val="es-ES" w:eastAsia="es-ES"/>
        </w:rPr>
        <w:t>$15,731.059.74</w:t>
      </w:r>
      <w:r w:rsidRPr="00E5019C">
        <w:rPr>
          <w:rFonts w:ascii="Arial" w:hAnsi="Arial" w:cs="Arial"/>
          <w:bCs/>
          <w:sz w:val="20"/>
          <w:szCs w:val="20"/>
        </w:rPr>
        <w: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5"/>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33 operaciones de manera extemporánea por un importe de </w:t>
      </w:r>
      <w:r w:rsidRPr="00E5019C">
        <w:rPr>
          <w:rFonts w:ascii="Arial" w:hAnsi="Arial" w:cs="Arial"/>
          <w:sz w:val="20"/>
          <w:szCs w:val="20"/>
          <w:lang w:val="es-ES" w:eastAsia="es-ES"/>
        </w:rPr>
        <w:t>$58,539,195.32</w:t>
      </w:r>
      <w:r w:rsidRPr="00E5019C">
        <w:rPr>
          <w:rFonts w:ascii="Arial" w:hAnsi="Arial" w:cs="Arial"/>
          <w:bCs/>
          <w:sz w:val="20"/>
          <w:szCs w:val="20"/>
        </w:rPr>
        <w:t>.</w:t>
      </w:r>
    </w:p>
    <w:p w:rsidR="00990C83" w:rsidRPr="00E5019C" w:rsidRDefault="00990C83" w:rsidP="00476839">
      <w:pPr>
        <w:contextualSpacing/>
        <w:jc w:val="both"/>
        <w:rPr>
          <w:rFonts w:ascii="Arial" w:eastAsia="Times New Roman" w:hAnsi="Arial" w:cs="Arial"/>
          <w:b/>
          <w:bCs/>
          <w:sz w:val="20"/>
          <w:szCs w:val="20"/>
          <w:lang w:eastAsia="es-ES"/>
        </w:rPr>
      </w:pPr>
    </w:p>
    <w:p w:rsidR="00990C83" w:rsidRPr="00E5019C" w:rsidRDefault="00990C83" w:rsidP="00476839">
      <w:pPr>
        <w:contextualSpacing/>
        <w:jc w:val="both"/>
        <w:rPr>
          <w:rFonts w:ascii="Arial" w:eastAsia="Times New Roman" w:hAnsi="Arial" w:cs="Arial"/>
          <w:b/>
          <w:bCs/>
          <w:sz w:val="20"/>
          <w:szCs w:val="20"/>
          <w:lang w:eastAsia="es-ES"/>
        </w:rPr>
      </w:pPr>
      <w:r w:rsidRPr="00E5019C">
        <w:rPr>
          <w:rFonts w:ascii="Arial" w:eastAsia="Times New Roman" w:hAnsi="Arial" w:cs="Arial"/>
          <w:b/>
          <w:bCs/>
          <w:sz w:val="20"/>
          <w:szCs w:val="20"/>
          <w:lang w:eastAsia="es-ES"/>
        </w:rPr>
        <w:t>Periodo de ajuste</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5"/>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62 operaciones de manera extemporánea por un importe de </w:t>
      </w:r>
      <w:r w:rsidRPr="00E5019C">
        <w:rPr>
          <w:rFonts w:ascii="Arial" w:hAnsi="Arial" w:cs="Arial"/>
          <w:sz w:val="20"/>
          <w:szCs w:val="20"/>
          <w:lang w:val="es-ES" w:eastAsia="es-ES"/>
        </w:rPr>
        <w:t>$281,278.12</w:t>
      </w:r>
      <w:r w:rsidRPr="00E5019C">
        <w:rPr>
          <w:rFonts w:ascii="Arial" w:hAnsi="Arial" w:cs="Arial"/>
          <w:bCs/>
          <w:sz w:val="20"/>
          <w:szCs w:val="20"/>
        </w:rPr>
        <w:t>.</w:t>
      </w:r>
    </w:p>
    <w:p w:rsidR="00990C83" w:rsidRPr="00E5019C" w:rsidRDefault="00990C83" w:rsidP="00476839">
      <w:pPr>
        <w:contextualSpacing/>
        <w:jc w:val="both"/>
        <w:rPr>
          <w:rFonts w:ascii="Arial" w:hAnsi="Arial" w:cs="Arial"/>
          <w:bCs/>
          <w:sz w:val="20"/>
          <w:szCs w:val="20"/>
        </w:rPr>
      </w:pPr>
    </w:p>
    <w:p w:rsidR="00424D47" w:rsidRDefault="00424D47" w:rsidP="00476839">
      <w:pPr>
        <w:contextualSpacing/>
        <w:jc w:val="both"/>
        <w:rPr>
          <w:rFonts w:ascii="Arial" w:hAnsi="Arial" w:cs="Arial"/>
          <w:b/>
          <w:sz w:val="20"/>
          <w:szCs w:val="20"/>
        </w:rPr>
      </w:pPr>
    </w:p>
    <w:p w:rsidR="00424D47" w:rsidRDefault="00424D47" w:rsidP="00476839">
      <w:pPr>
        <w:contextualSpacing/>
        <w:jc w:val="both"/>
        <w:rPr>
          <w:rFonts w:ascii="Arial" w:hAnsi="Arial" w:cs="Arial"/>
          <w:b/>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 xml:space="preserve">Sistema Integral de </w:t>
      </w:r>
      <w:r w:rsidR="007A2F40">
        <w:rPr>
          <w:rFonts w:ascii="Arial" w:hAnsi="Arial" w:cs="Arial"/>
          <w:b/>
          <w:sz w:val="20"/>
          <w:szCs w:val="20"/>
        </w:rPr>
        <w:t>F</w:t>
      </w:r>
      <w:r w:rsidRPr="00E5019C">
        <w:rPr>
          <w:rFonts w:ascii="Arial" w:hAnsi="Arial" w:cs="Arial"/>
          <w:b/>
          <w:sz w:val="20"/>
          <w:szCs w:val="20"/>
        </w:rPr>
        <w:t>iscalización.</w:t>
      </w:r>
    </w:p>
    <w:p w:rsidR="00990C83" w:rsidRPr="00E5019C" w:rsidRDefault="00990C83" w:rsidP="00476839">
      <w:pPr>
        <w:contextualSpacing/>
        <w:jc w:val="both"/>
        <w:rPr>
          <w:rFonts w:ascii="Arial" w:hAnsi="Arial" w:cs="Arial"/>
          <w:b/>
          <w:sz w:val="20"/>
          <w:szCs w:val="20"/>
        </w:rPr>
      </w:pPr>
    </w:p>
    <w:p w:rsidR="00990C83" w:rsidRPr="00E5019C" w:rsidRDefault="00990C83" w:rsidP="00476839">
      <w:pPr>
        <w:contextualSpacing/>
        <w:jc w:val="both"/>
        <w:rPr>
          <w:rFonts w:ascii="Arial" w:hAnsi="Arial" w:cs="Arial"/>
          <w:b/>
          <w:sz w:val="20"/>
          <w:szCs w:val="20"/>
        </w:rPr>
      </w:pPr>
      <w:r w:rsidRPr="00E5019C">
        <w:rPr>
          <w:rFonts w:ascii="Arial" w:hAnsi="Arial" w:cs="Arial"/>
          <w:b/>
          <w:sz w:val="20"/>
          <w:szCs w:val="20"/>
        </w:rPr>
        <w:t>Operaciones extemporáneas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sz w:val="20"/>
          <w:szCs w:val="20"/>
        </w:rPr>
      </w:pPr>
      <w:r w:rsidRPr="00E5019C">
        <w:rPr>
          <w:rFonts w:ascii="Arial" w:hAnsi="Arial" w:cs="Arial"/>
          <w:b/>
          <w:sz w:val="20"/>
          <w:szCs w:val="20"/>
        </w:rPr>
        <w:t>Periodo normal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6"/>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11 operaciones de manera extemporánea por $10,652,189.36 dentro del mismo periodo en que se realizaron</w:t>
      </w:r>
      <w:r w:rsidRPr="00E5019C">
        <w:rPr>
          <w:rFonts w:ascii="Arial" w:eastAsia="Times New Roman" w:hAnsi="Arial" w:cs="Arial"/>
          <w:bCs/>
          <w:noProof/>
          <w:sz w:val="20"/>
          <w:szCs w:val="20"/>
          <w:lang w:val="es-ES" w:eastAsia="es-MX"/>
        </w:rPr>
        <w: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76"/>
        </w:numPr>
        <w:jc w:val="both"/>
        <w:rPr>
          <w:rFonts w:ascii="Arial" w:hAnsi="Arial" w:cs="Arial"/>
          <w:bCs/>
          <w:sz w:val="20"/>
          <w:szCs w:val="20"/>
        </w:rPr>
      </w:pPr>
      <w:r w:rsidRPr="00E5019C">
        <w:rPr>
          <w:rFonts w:ascii="Arial" w:hAnsi="Arial" w:cs="Arial"/>
          <w:sz w:val="20"/>
          <w:szCs w:val="20"/>
        </w:rPr>
        <w:t>PAN/MEX</w:t>
      </w:r>
      <w:r w:rsidRPr="00E5019C">
        <w:rPr>
          <w:rFonts w:ascii="Arial" w:hAnsi="Arial" w:cs="Arial"/>
          <w:bCs/>
          <w:sz w:val="20"/>
          <w:szCs w:val="20"/>
        </w:rPr>
        <w:t xml:space="preserve"> El sujeto obligado registró 167 operaciones de manera extemporánea por $168,527,506.58 dentro del mismo periodo en que se realizaron</w:t>
      </w:r>
      <w:r w:rsidRPr="00E5019C">
        <w:rPr>
          <w:rFonts w:ascii="Arial" w:eastAsia="Times New Roman" w:hAnsi="Arial" w:cs="Arial"/>
          <w:bCs/>
          <w:noProof/>
          <w:sz w:val="20"/>
          <w:szCs w:val="20"/>
          <w:lang w:val="es-ES" w:eastAsia="es-MX"/>
        </w:rPr>
        <w:t>.</w:t>
      </w:r>
    </w:p>
    <w:p w:rsidR="00990C83" w:rsidRPr="00E5019C" w:rsidRDefault="00990C83" w:rsidP="00476839">
      <w:pPr>
        <w:contextualSpacing/>
        <w:jc w:val="both"/>
        <w:rPr>
          <w:rFonts w:ascii="Arial" w:eastAsia="Calibri" w:hAnsi="Arial" w:cs="Arial"/>
          <w:bCs/>
          <w:sz w:val="20"/>
          <w:szCs w:val="20"/>
          <w:lang w:val="es-MX"/>
        </w:rPr>
      </w:pPr>
    </w:p>
    <w:p w:rsidR="00990C83" w:rsidRPr="00E5019C" w:rsidRDefault="00990C83" w:rsidP="00476839">
      <w:pPr>
        <w:contextualSpacing/>
        <w:jc w:val="both"/>
        <w:rPr>
          <w:rFonts w:ascii="Arial" w:eastAsia="Calibri" w:hAnsi="Arial" w:cs="Arial"/>
          <w:b/>
          <w:bCs/>
          <w:sz w:val="20"/>
          <w:szCs w:val="20"/>
          <w:lang w:val="es-MX"/>
        </w:rPr>
      </w:pPr>
      <w:r w:rsidRPr="00E5019C">
        <w:rPr>
          <w:rFonts w:ascii="Arial" w:eastAsia="Calibri" w:hAnsi="Arial" w:cs="Arial"/>
          <w:b/>
          <w:bCs/>
          <w:sz w:val="20"/>
          <w:szCs w:val="20"/>
          <w:lang w:val="es-MX"/>
        </w:rPr>
        <w:t>Jornada Electoral.</w:t>
      </w:r>
    </w:p>
    <w:p w:rsidR="00990C83" w:rsidRPr="00E5019C" w:rsidRDefault="00990C83" w:rsidP="00476839">
      <w:pPr>
        <w:contextualSpacing/>
        <w:jc w:val="both"/>
        <w:rPr>
          <w:rFonts w:ascii="Arial" w:eastAsia="Calibri" w:hAnsi="Arial" w:cs="Arial"/>
          <w:bCs/>
          <w:sz w:val="20"/>
          <w:szCs w:val="20"/>
          <w:lang w:val="es-MX"/>
        </w:rPr>
      </w:pPr>
    </w:p>
    <w:p w:rsidR="00990C83" w:rsidRPr="00E5019C" w:rsidRDefault="00990C83" w:rsidP="00476839">
      <w:pPr>
        <w:autoSpaceDE w:val="0"/>
        <w:autoSpaceDN w:val="0"/>
        <w:adjustRightInd w:val="0"/>
        <w:contextualSpacing/>
        <w:jc w:val="both"/>
        <w:rPr>
          <w:rFonts w:ascii="Arial" w:hAnsi="Arial" w:cs="Arial"/>
          <w:color w:val="000000"/>
          <w:sz w:val="20"/>
          <w:szCs w:val="20"/>
        </w:rPr>
      </w:pPr>
      <w:r w:rsidRPr="00E5019C">
        <w:rPr>
          <w:rFonts w:ascii="Arial" w:hAnsi="Arial" w:cs="Arial"/>
          <w:iCs/>
          <w:color w:val="000000"/>
          <w:sz w:val="20"/>
          <w:szCs w:val="20"/>
        </w:rPr>
        <w:t>44. PAN/MEX. El sujeto obligado omitió reportar gastos por concepto de representantes de casilla</w:t>
      </w:r>
      <w:r w:rsidRPr="00E5019C">
        <w:rPr>
          <w:rFonts w:ascii="Arial" w:hAnsi="Arial" w:cs="Arial"/>
          <w:color w:val="000000"/>
          <w:sz w:val="20"/>
          <w:szCs w:val="20"/>
        </w:rPr>
        <w:t xml:space="preserve">. </w:t>
      </w:r>
    </w:p>
    <w:p w:rsidR="00990C83" w:rsidRPr="00E5019C" w:rsidRDefault="00990C83" w:rsidP="00476839">
      <w:pPr>
        <w:autoSpaceDE w:val="0"/>
        <w:autoSpaceDN w:val="0"/>
        <w:adjustRightInd w:val="0"/>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iCs/>
          <w:color w:val="000000"/>
          <w:sz w:val="20"/>
          <w:szCs w:val="20"/>
        </w:rPr>
        <w:t>A efecto de contar con certeza respecto de los gastos realizados el día de la Jornada Electoral se considera necesario el inicio de un procedimiento oficioso.</w:t>
      </w:r>
    </w:p>
    <w:p w:rsidR="00990C83" w:rsidRPr="00E5019C" w:rsidRDefault="00990C83" w:rsidP="00476839">
      <w:pPr>
        <w:contextualSpacing/>
        <w:jc w:val="both"/>
        <w:rPr>
          <w:rFonts w:ascii="Arial" w:hAnsi="Arial" w:cs="Arial"/>
          <w:bCs/>
          <w:sz w:val="20"/>
          <w:szCs w:val="20"/>
          <w:lang w:val="es-MX"/>
        </w:rPr>
      </w:pPr>
    </w:p>
    <w:p w:rsidR="00424D47" w:rsidRDefault="00424D47" w:rsidP="00476839">
      <w:pPr>
        <w:contextualSpacing/>
        <w:jc w:val="center"/>
        <w:rPr>
          <w:rFonts w:ascii="Arial" w:hAnsi="Arial" w:cs="Arial"/>
          <w:b/>
          <w:sz w:val="20"/>
          <w:szCs w:val="20"/>
        </w:rPr>
      </w:pPr>
    </w:p>
    <w:p w:rsidR="00424D47" w:rsidRDefault="00424D47" w:rsidP="00476839">
      <w:pPr>
        <w:contextualSpacing/>
        <w:jc w:val="center"/>
        <w:rPr>
          <w:rFonts w:ascii="Arial" w:hAnsi="Arial" w:cs="Arial"/>
          <w:b/>
          <w:sz w:val="20"/>
          <w:szCs w:val="20"/>
        </w:rPr>
      </w:pPr>
    </w:p>
    <w:p w:rsidR="00990C83" w:rsidRDefault="00574EC3" w:rsidP="00476839">
      <w:pPr>
        <w:contextualSpacing/>
        <w:jc w:val="center"/>
        <w:rPr>
          <w:rFonts w:ascii="Arial" w:hAnsi="Arial" w:cs="Arial"/>
          <w:b/>
          <w:sz w:val="20"/>
          <w:szCs w:val="20"/>
        </w:rPr>
      </w:pPr>
      <w:r>
        <w:rPr>
          <w:rFonts w:ascii="Arial" w:hAnsi="Arial" w:cs="Arial"/>
          <w:b/>
          <w:sz w:val="20"/>
          <w:szCs w:val="20"/>
        </w:rPr>
        <w:t>Partido de la Revolución Democrática</w:t>
      </w:r>
    </w:p>
    <w:p w:rsidR="00424D47" w:rsidRPr="00E5019C" w:rsidRDefault="00424D47" w:rsidP="00476839">
      <w:pPr>
        <w:contextualSpacing/>
        <w:jc w:val="center"/>
        <w:rPr>
          <w:rFonts w:ascii="Arial" w:hAnsi="Arial" w:cs="Arial"/>
          <w:sz w:val="20"/>
          <w:szCs w:val="20"/>
          <w:lang w:val="es-MX"/>
        </w:rPr>
      </w:pPr>
    </w:p>
    <w:p w:rsidR="00990C83" w:rsidRPr="007A2F40" w:rsidRDefault="00990C83" w:rsidP="00476839">
      <w:pPr>
        <w:contextualSpacing/>
        <w:rPr>
          <w:rFonts w:ascii="Arial" w:hAnsi="Arial" w:cs="Arial"/>
          <w:b/>
          <w:sz w:val="20"/>
          <w:szCs w:val="20"/>
          <w:u w:val="single"/>
        </w:rPr>
      </w:pPr>
      <w:r w:rsidRPr="007A2F40">
        <w:rPr>
          <w:rFonts w:ascii="Arial" w:hAnsi="Arial" w:cs="Arial"/>
          <w:b/>
          <w:sz w:val="20"/>
          <w:szCs w:val="20"/>
          <w:u w:val="single"/>
        </w:rPr>
        <w:t xml:space="preserve">6 FALTAS FORMALES </w:t>
      </w:r>
    </w:p>
    <w:p w:rsidR="00990C83" w:rsidRPr="00E5019C" w:rsidRDefault="00990C83" w:rsidP="00476839">
      <w:pPr>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 PRD/MEX El sujeto obligado omitió presentar la muestra por concepto de publicidad colocada en internet por $928,000.00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6. PRD/MEX El sujeto obligado omitió presentar 1 archivo XML de los gastos registrados por un importe de $9,280.00.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Gastos Operativos</w:t>
      </w:r>
    </w:p>
    <w:p w:rsidR="00990C83" w:rsidRDefault="00990C83" w:rsidP="00476839">
      <w:pPr>
        <w:contextualSpacing/>
        <w:jc w:val="both"/>
        <w:rPr>
          <w:rFonts w:ascii="Arial" w:hAnsi="Arial" w:cs="Arial"/>
          <w:sz w:val="20"/>
          <w:szCs w:val="20"/>
        </w:rPr>
      </w:pPr>
      <w:r w:rsidRPr="00E5019C">
        <w:rPr>
          <w:rFonts w:ascii="Arial" w:hAnsi="Arial" w:cs="Arial"/>
          <w:sz w:val="20"/>
          <w:szCs w:val="20"/>
        </w:rPr>
        <w:t>7. PRD/MEX El sujeto obligado omitió presentar el formato “REL-VIAPAS-GOB”.</w:t>
      </w:r>
    </w:p>
    <w:p w:rsidR="007A2F40" w:rsidRPr="00E5019C" w:rsidRDefault="007A2F40" w:rsidP="00476839">
      <w:pPr>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Producción de los mensajes para radio y T.V.</w:t>
      </w:r>
    </w:p>
    <w:p w:rsidR="00990C83" w:rsidRPr="00E5019C" w:rsidRDefault="00990C83" w:rsidP="00476839">
      <w:pPr>
        <w:pStyle w:val="Prrafodelista"/>
        <w:numPr>
          <w:ilvl w:val="0"/>
          <w:numId w:val="67"/>
        </w:numPr>
        <w:autoSpaceDE w:val="0"/>
        <w:autoSpaceDN w:val="0"/>
        <w:adjustRightInd w:val="0"/>
        <w:jc w:val="both"/>
        <w:rPr>
          <w:rFonts w:ascii="Arial" w:hAnsi="Arial" w:cs="Arial"/>
          <w:sz w:val="20"/>
          <w:szCs w:val="20"/>
        </w:rPr>
      </w:pPr>
      <w:r w:rsidRPr="00E5019C">
        <w:rPr>
          <w:rFonts w:ascii="Arial" w:hAnsi="Arial" w:cs="Arial"/>
          <w:sz w:val="20"/>
          <w:szCs w:val="20"/>
        </w:rPr>
        <w:t>PRD/MEX El sujeto obligado presentó un cheque que carece de la leyenda para abono en cuenta del beneficiario por $230,395.00.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Avisos de contratación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38. PRD/MEX El sujeto obligado presentó 22 (21+1) avisos de contratación de gastos de forma extemporánea por $22,708,175.90 (22,477,567.90 + 230,608.00)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69"/>
        </w:numPr>
        <w:autoSpaceDE w:val="0"/>
        <w:autoSpaceDN w:val="0"/>
        <w:adjustRightInd w:val="0"/>
        <w:jc w:val="both"/>
        <w:rPr>
          <w:rFonts w:ascii="Arial" w:hAnsi="Arial" w:cs="Arial"/>
          <w:sz w:val="20"/>
          <w:szCs w:val="20"/>
        </w:rPr>
      </w:pPr>
      <w:r w:rsidRPr="00E5019C">
        <w:rPr>
          <w:rFonts w:ascii="Arial" w:hAnsi="Arial" w:cs="Arial"/>
          <w:sz w:val="20"/>
          <w:szCs w:val="20"/>
        </w:rPr>
        <w:t>PRD/MEX El sujeto obligado presentó 36 (35+1) avisos de contratación de gastos de forma extemporánea por $7,620,853.66 (7,440,567.96 + 180,285.70).</w:t>
      </w:r>
    </w:p>
    <w:p w:rsidR="00990C83" w:rsidRPr="00E5019C" w:rsidRDefault="00990C83" w:rsidP="00476839">
      <w:pPr>
        <w:autoSpaceDE w:val="0"/>
        <w:autoSpaceDN w:val="0"/>
        <w:adjustRightInd w:val="0"/>
        <w:contextualSpacing/>
        <w:jc w:val="both"/>
        <w:rPr>
          <w:rFonts w:ascii="Arial" w:hAnsi="Arial" w:cs="Arial"/>
          <w:sz w:val="20"/>
          <w:szCs w:val="20"/>
        </w:rPr>
      </w:pPr>
    </w:p>
    <w:p w:rsidR="00424D47" w:rsidRDefault="00424D47" w:rsidP="00476839">
      <w:pPr>
        <w:pStyle w:val="Prrafodelista"/>
        <w:autoSpaceDE w:val="0"/>
        <w:autoSpaceDN w:val="0"/>
        <w:adjustRightInd w:val="0"/>
        <w:ind w:left="1080"/>
        <w:jc w:val="both"/>
        <w:rPr>
          <w:rFonts w:ascii="Arial" w:hAnsi="Arial" w:cs="Arial"/>
          <w:sz w:val="20"/>
          <w:szCs w:val="20"/>
        </w:rPr>
      </w:pPr>
    </w:p>
    <w:p w:rsidR="00990C83" w:rsidRPr="007A2F40" w:rsidRDefault="00990C83" w:rsidP="00476839">
      <w:pPr>
        <w:contextualSpacing/>
        <w:rPr>
          <w:rFonts w:ascii="Arial" w:hAnsi="Arial" w:cs="Arial"/>
          <w:b/>
          <w:sz w:val="20"/>
          <w:szCs w:val="20"/>
          <w:u w:val="single"/>
        </w:rPr>
      </w:pPr>
      <w:r w:rsidRPr="007A2F40">
        <w:rPr>
          <w:rFonts w:ascii="Arial" w:hAnsi="Arial" w:cs="Arial"/>
          <w:b/>
          <w:sz w:val="20"/>
          <w:szCs w:val="20"/>
          <w:u w:val="single"/>
        </w:rPr>
        <w:t>FALTAS SUSTANCIALES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Aportaciones de simpatizantes</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 PRD/MEX El sujeto obligado omitió rechazar la aportación de una persona no identificada consistente en un depósito o transferencia, por un importe de</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$200,000.00.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 exhibida en salas de cine</w:t>
      </w:r>
    </w:p>
    <w:p w:rsidR="00990C83" w:rsidRPr="00E5019C" w:rsidRDefault="00990C83" w:rsidP="00476839">
      <w:pPr>
        <w:pStyle w:val="Prrafodelista"/>
        <w:numPr>
          <w:ilvl w:val="0"/>
          <w:numId w:val="66"/>
        </w:numPr>
        <w:autoSpaceDE w:val="0"/>
        <w:autoSpaceDN w:val="0"/>
        <w:adjustRightInd w:val="0"/>
        <w:jc w:val="both"/>
        <w:rPr>
          <w:rFonts w:ascii="Arial" w:hAnsi="Arial" w:cs="Arial"/>
          <w:sz w:val="20"/>
          <w:szCs w:val="20"/>
        </w:rPr>
      </w:pPr>
      <w:r w:rsidRPr="00E5019C">
        <w:rPr>
          <w:rFonts w:ascii="Arial" w:hAnsi="Arial" w:cs="Arial"/>
          <w:sz w:val="20"/>
          <w:szCs w:val="20"/>
        </w:rPr>
        <w:t>PRD/MEX El sujeto obligado omitió reportar gastos realizados por concepto de un anuncio promocional para sala de cine, el cual fue valuado en $135,800.00.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Casas de campaña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10. PRD/MEX El sujeto obligado omitió reportar gastos por concepto de vinilonas, escritorios, equipos de cómputo, gorras y playeras, valuados en $34,929.49.</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14. PRD/MEX El sujeto obligado omitió reportar gastos de propaganda utilitaria y gastos operativos como servicio de arrendamiento de camioneta de carga utilitaria, perifoneo, equipo de audio, servicio de dron, arrendamiento de camioneta, renta de enlonado, valuados en $320,600.80.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16. PRD/MEX El sujeto obligado omitió reportar gastos por concepto de escenario, vinilonas, alimentos y fuegos artificiales valuados en $732,778.64.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17. PRD/MEX El sujeto obligado omitió reportar gastos por concepto de agua embotellada, alimentos, animadores, banda musical, banderas, banderines, camisas, enlonado, chalecos, dron, equipo de sonido, escenario, gorras, fuegos pirotécnicos, pendones, perifoneo, planta de luz, playeras, reloj, renta de autobuses y vehículos, sanitarios, sillas, templete, trípticos, vinilonas y volantes, valuados en $4,467,155.53</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18. PRD/MEX El sujeto obligado omitió reportar gastos por concepto chalecos, gorras, renta de autobuses, camisas, un dron, equipo de sonido, escenario, pantalla led y pódium, valuados en $335,843.20.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19. PRD/MEX El sujeto obligado omitió reportar gastos por concepto gorras, chalecos, banderas, playeras, lonas, dípticos, renta de inmuebles, renta de sillas, renta de mesas, pantallas, servicio de animación, alimentos y drones, valuados en $803,012.14.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20. PRD/MEX El sujeto obligado omitió reportar gastos operativos y de propaganda como sillas, pódium, mesas, renta de salas, gorras, chalecos, banderas, equipo de sonido, planta de luz, manta, vinilona, entre otros, valuados en $3,354,786.60.</w:t>
      </w:r>
    </w:p>
    <w:p w:rsidR="00990C83" w:rsidRPr="00E5019C" w:rsidRDefault="00990C83" w:rsidP="00476839">
      <w:pPr>
        <w:autoSpaceDE w:val="0"/>
        <w:autoSpaceDN w:val="0"/>
        <w:adjustRightInd w:val="0"/>
        <w:contextualSpacing/>
        <w:jc w:val="both"/>
        <w:rPr>
          <w:rFonts w:ascii="Arial" w:hAnsi="Arial" w:cs="Arial"/>
          <w:sz w:val="20"/>
          <w:szCs w:val="20"/>
        </w:rPr>
      </w:pPr>
    </w:p>
    <w:p w:rsidR="007A2F40" w:rsidRDefault="007A2F40" w:rsidP="00476839">
      <w:pPr>
        <w:autoSpaceDE w:val="0"/>
        <w:autoSpaceDN w:val="0"/>
        <w:adjustRightInd w:val="0"/>
        <w:contextualSpacing/>
        <w:jc w:val="both"/>
        <w:rPr>
          <w:rFonts w:ascii="Arial" w:hAnsi="Arial" w:cs="Arial"/>
          <w:b/>
          <w:bCs/>
          <w:sz w:val="20"/>
          <w:szCs w:val="20"/>
        </w:rPr>
      </w:pPr>
    </w:p>
    <w:p w:rsidR="007A2F40" w:rsidRDefault="007A2F40"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Recorridos en avenidas y plazas públicas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21. PRD/MEX El sujeto obligado omitió reportar gastos por concepto de bolsas, chalecos, volantes y perifoneo, por un importe de $49,892.40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Espectaculares y propaganda colocada en la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SIMEI</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22. PRD/MEX El sujeto obligado omitió reportar 361 testigos correspondientes a la propaganda detectada en el monitoreo, los cuales fueron valuados en $10,012,630.76.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proofErr w:type="spellStart"/>
      <w:r w:rsidRPr="00E5019C">
        <w:rPr>
          <w:rFonts w:ascii="Arial" w:hAnsi="Arial" w:cs="Arial"/>
          <w:b/>
          <w:bCs/>
          <w:sz w:val="20"/>
          <w:szCs w:val="20"/>
        </w:rPr>
        <w:t>Intercampaña</w:t>
      </w:r>
      <w:proofErr w:type="spellEnd"/>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23. PRD/MEX El sujeto obligado omitió reportar 96 testigos correspondientes a la propaganda detectada en el monitoreo, los cuales fueron valuados en $31,954.52.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25. PRD/MEX El sujeto obligado omitió reportar 666 testigos correspondientes a la propaganda detectada en el monitoreo, los cuales fueron valuados en $8,334,767.05.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IEEM</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26. PRD/MEX El sujeto obligado omitió reportar 1,182 testigos correspondientes a la propaganda detectada en el monitoreo, los cuales fueron valuados en $9,469,522.94.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27. PRD/MEX El sujeto obligado omitió reportar 1,777 testigos correspondientes a la propaganda detectada en el monitoreo, los cuales fueron valuados en $3,888,228.19.</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Producción de mensajes para radio y televisión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28. PRD/MEX El sujeto obligado omitió reportar tres spots de radio y tres de televisión, los cuales fueron valuados en $712,572.42.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29. PRD/MEX El sujeto obligado omitió reportar dos spots de radio y uno de televisión, los cuales fueron valuados en $339,247.28.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Páginas de Internet y Redes sociales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30. PRD/MEX El sujeto obligado omitió reportar gastos por concepto de equipo de sonido, animadores, banderas, broches, camisas, chalecos, enlonado, equipo de sonido, escenario, gorras, grupo musical, luchadores, megáfono, micro perforado, pantallas, pódium, sillas, templete, vallas y vinilonas, valuados en $4,404,605.27.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Agenda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11. PRD/MEX El sujeto obligado registró de manera extemporánea 45 eventos hasta con 23 días posteriores a la realización de evento.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12. PRD/MEX El sujeto obligado informó de manera extemporánea un evento de manera previa a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13. PRD/MEX El sujeto obligado reportó extemporáneamente 65 eventos con posterioridad a la realización del evento.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15. PRD/MEX El sujeto obligado registró de manera extemporánea 5 eventos con posterioridad a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normal</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32. PRD/MEX El sujeto obligado reportó 5 operaciones de forma extemporánea dentro del primer periodo normal, excediendo los tres días posteriores en que realizó la operación por $1,506,035.56.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34. PRD/MEX El sujeto obligado reportó siete operaciones de forma extemporánea dentro del primer periodo de corrección, excediendo los tres días posteriores en que realizó la operación por $258,763.52.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normal</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35. PRD/MEX El sujeto obligado reportó 8 operaciones de forma extemporánea dentro del segundo periodo normal, excediendo los tres días posteriores en que realizo la operación por $340,181.00.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37. PRD/MEX El sujeto obligado reportó 21 operaciones de forma extemporánea dentro del segundo periodo de corrección, excediendo los tres días posteriores en que realizo la operación por $6,995,816.20.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Cuenta concentradora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Sistema Integral de Fiscalización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Normal</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41. PRD/MEX El sujeto obligado reportó una operación de forma extemporánea dentro del primer periodo normal, excediendo los tres días posteriores en que realizo la operación por $30,000.00.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33. PRD/MEX El sujeto obligado registró 6 operaciones que exceden los tres días posteriores a la fecha de operación registrando incorrectamente la fecha de operación consignada en la documentación comprobatoria, correspondientes al primer periodo normal por $14,341,048.34.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36. PRD/MEX El sujeto obligado registró 37 operaciones que exceden los tres días posteriores a la fecha de operación registrando incorrectamente la fecha de operación consignada en la documentación comprobatoria, correspondientes al primer periodo por $13,671,746.82.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Nacional de Proveedores</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40. PRD/MEX El sujeto obligado reportó operaciones por $230,395.00, con un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proveedor que no se encuentra inscrito en el RNP.</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Representantes Generales y de Casilla</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45. PRD/MEX El sujeto obligado omitió reportar gastos por concepto de representantes de casilla.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A efecto de contar con certeza respecto de los gastos realizados el día de la jornada electoral se considera necesario el inicio de un procedimiento oficioso.</w:t>
      </w:r>
    </w:p>
    <w:p w:rsidR="00990C83" w:rsidRPr="00E5019C" w:rsidRDefault="00990C83" w:rsidP="00476839">
      <w:pPr>
        <w:autoSpaceDE w:val="0"/>
        <w:autoSpaceDN w:val="0"/>
        <w:adjustRightInd w:val="0"/>
        <w:contextualSpacing/>
        <w:jc w:val="both"/>
        <w:rPr>
          <w:rFonts w:ascii="Arial" w:hAnsi="Arial" w:cs="Arial"/>
          <w:sz w:val="20"/>
          <w:szCs w:val="20"/>
        </w:rPr>
      </w:pPr>
    </w:p>
    <w:p w:rsidR="00424D47" w:rsidRDefault="00424D47" w:rsidP="00476839">
      <w:pPr>
        <w:contextualSpacing/>
        <w:jc w:val="center"/>
        <w:rPr>
          <w:rFonts w:ascii="Arial" w:hAnsi="Arial" w:cs="Arial"/>
          <w:b/>
          <w:bCs/>
          <w:sz w:val="20"/>
          <w:szCs w:val="20"/>
        </w:rPr>
      </w:pPr>
    </w:p>
    <w:p w:rsidR="00424D47" w:rsidRDefault="00424D47" w:rsidP="00476839">
      <w:pPr>
        <w:contextualSpacing/>
        <w:jc w:val="center"/>
        <w:rPr>
          <w:rFonts w:ascii="Arial" w:hAnsi="Arial" w:cs="Arial"/>
          <w:b/>
          <w:bCs/>
          <w:sz w:val="20"/>
          <w:szCs w:val="20"/>
        </w:rPr>
      </w:pPr>
    </w:p>
    <w:p w:rsidR="001931D9" w:rsidRDefault="001931D9" w:rsidP="00476839">
      <w:pPr>
        <w:rPr>
          <w:rFonts w:ascii="Arial" w:hAnsi="Arial" w:cs="Arial"/>
          <w:b/>
          <w:bCs/>
          <w:sz w:val="20"/>
          <w:szCs w:val="20"/>
        </w:rPr>
      </w:pPr>
      <w:r>
        <w:rPr>
          <w:rFonts w:ascii="Arial" w:hAnsi="Arial" w:cs="Arial"/>
          <w:b/>
          <w:bCs/>
          <w:sz w:val="20"/>
          <w:szCs w:val="20"/>
        </w:rPr>
        <w:br w:type="page"/>
      </w:r>
    </w:p>
    <w:p w:rsidR="00990C83" w:rsidRPr="00424D47" w:rsidRDefault="008F71DD" w:rsidP="00476839">
      <w:pPr>
        <w:contextualSpacing/>
        <w:jc w:val="center"/>
        <w:rPr>
          <w:rFonts w:ascii="Arial" w:hAnsi="Arial" w:cs="Arial"/>
          <w:b/>
          <w:bCs/>
          <w:sz w:val="20"/>
          <w:szCs w:val="20"/>
        </w:rPr>
      </w:pPr>
      <w:r>
        <w:rPr>
          <w:rFonts w:ascii="Arial" w:hAnsi="Arial" w:cs="Arial"/>
          <w:b/>
          <w:bCs/>
          <w:sz w:val="20"/>
          <w:szCs w:val="20"/>
        </w:rPr>
        <w:lastRenderedPageBreak/>
        <w:t>Partido del Trabajo</w:t>
      </w:r>
    </w:p>
    <w:p w:rsidR="00424D47" w:rsidRDefault="00424D47" w:rsidP="00476839">
      <w:pPr>
        <w:jc w:val="both"/>
        <w:rPr>
          <w:rFonts w:ascii="Arial" w:hAnsi="Arial" w:cs="Arial"/>
          <w:sz w:val="20"/>
          <w:szCs w:val="20"/>
        </w:rPr>
      </w:pPr>
    </w:p>
    <w:p w:rsidR="00990C83" w:rsidRPr="007A2F40" w:rsidRDefault="00990C83" w:rsidP="00476839">
      <w:pPr>
        <w:contextualSpacing/>
        <w:rPr>
          <w:rFonts w:ascii="Arial" w:hAnsi="Arial" w:cs="Arial"/>
          <w:b/>
          <w:sz w:val="20"/>
          <w:szCs w:val="20"/>
          <w:u w:val="single"/>
        </w:rPr>
      </w:pPr>
      <w:r w:rsidRPr="007A2F40">
        <w:rPr>
          <w:rFonts w:ascii="Arial" w:hAnsi="Arial" w:cs="Arial"/>
          <w:b/>
          <w:sz w:val="20"/>
          <w:szCs w:val="20"/>
          <w:u w:val="single"/>
        </w:rPr>
        <w:t>FALTAS FORMALES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Gobernador</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Informe de Campaña</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 PT/MEX El sujeto obligado omitió presentar la relación detallada de la propaganda colocada en páginas de internet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 PT/MEX El sujeto obligado presentó en el informe de ingresos aportaciones de simpatizantes -$396,000.00; esta cifra es resultado de un movimiento erróneo de reclasificación de aportaciones en efectivo por $396,000.00.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6. PT/MEX El sujeto obligado presentó un comprobante fiscal que carece del complemento INE.</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Avisos de contratación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24. PT/MEX El sujeto obligado presentó tres avisos de contratación de gastos de forma extemporánea.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72"/>
        </w:numPr>
        <w:autoSpaceDE w:val="0"/>
        <w:autoSpaceDN w:val="0"/>
        <w:adjustRightInd w:val="0"/>
        <w:jc w:val="both"/>
        <w:rPr>
          <w:rFonts w:ascii="Arial" w:hAnsi="Arial" w:cs="Arial"/>
          <w:sz w:val="20"/>
          <w:szCs w:val="20"/>
        </w:rPr>
      </w:pPr>
      <w:r w:rsidRPr="00E5019C">
        <w:rPr>
          <w:rFonts w:ascii="Arial" w:hAnsi="Arial" w:cs="Arial"/>
          <w:sz w:val="20"/>
          <w:szCs w:val="20"/>
        </w:rPr>
        <w:t>PT/MEX El sujeto obligado presentó un aviso de contratación de gastos de forma extemporánea.</w:t>
      </w:r>
    </w:p>
    <w:p w:rsidR="00990C83" w:rsidRPr="00E5019C" w:rsidRDefault="00990C83" w:rsidP="00476839">
      <w:pPr>
        <w:autoSpaceDE w:val="0"/>
        <w:autoSpaceDN w:val="0"/>
        <w:adjustRightInd w:val="0"/>
        <w:contextualSpacing/>
        <w:jc w:val="both"/>
        <w:rPr>
          <w:rFonts w:ascii="Arial" w:hAnsi="Arial" w:cs="Arial"/>
          <w:sz w:val="20"/>
          <w:szCs w:val="20"/>
        </w:rPr>
      </w:pPr>
    </w:p>
    <w:p w:rsidR="00424D47" w:rsidRDefault="00424D47" w:rsidP="00476839">
      <w:pPr>
        <w:autoSpaceDE w:val="0"/>
        <w:autoSpaceDN w:val="0"/>
        <w:adjustRightInd w:val="0"/>
        <w:jc w:val="both"/>
        <w:rPr>
          <w:rFonts w:ascii="Arial" w:hAnsi="Arial" w:cs="Arial"/>
          <w:sz w:val="20"/>
          <w:szCs w:val="20"/>
        </w:rPr>
      </w:pPr>
    </w:p>
    <w:p w:rsidR="00990C83" w:rsidRPr="007A2F40" w:rsidRDefault="00990C83" w:rsidP="00476839">
      <w:pPr>
        <w:contextualSpacing/>
        <w:rPr>
          <w:rFonts w:ascii="Arial" w:hAnsi="Arial" w:cs="Arial"/>
          <w:b/>
          <w:sz w:val="20"/>
          <w:szCs w:val="20"/>
          <w:u w:val="single"/>
        </w:rPr>
      </w:pPr>
      <w:r w:rsidRPr="007A2F40">
        <w:rPr>
          <w:rFonts w:ascii="Arial" w:hAnsi="Arial" w:cs="Arial"/>
          <w:b/>
          <w:sz w:val="20"/>
          <w:szCs w:val="20"/>
          <w:u w:val="single"/>
        </w:rPr>
        <w:t>FALTAS SUSTANCIALES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Agenda de 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7. PT/MEX El sujeto obligado reportó de forma extemporánea 13 eventos con posterioridad a la fecha de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8. PT/MEX El sujeto obligado omitió reportar gastos por concepto de operativos y de propaganda utilitaria valuados en $28,147.40.</w:t>
      </w:r>
    </w:p>
    <w:p w:rsidR="007A2F40" w:rsidRDefault="007A2F40"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9. PT/MEX El sujeto obligado reportó de forma extemporánea en la agenda de eventos públicos, seis eventos previos o con al menos de siete días de antelación.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11. PT/MEX El sujeto obligado omitió reportar con veracidad la realización de un evento.</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Espectaculares y propaganda colocada en la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SIMEI</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12. PT/MEX El sujeto obligado omitió reportar gastos correspondientes a propaganda detectada en el monitoreo, valuados en $2,466,651.18.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13. PT/MEX El sujeto obligado omitió reportar gastos correspondientes a propaganda detectada en el monitoreo, valuados en $3,602,263.12.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proofErr w:type="spellStart"/>
      <w:r w:rsidRPr="00E5019C">
        <w:rPr>
          <w:rFonts w:ascii="Arial" w:hAnsi="Arial" w:cs="Arial"/>
          <w:b/>
          <w:bCs/>
          <w:sz w:val="20"/>
          <w:szCs w:val="20"/>
        </w:rPr>
        <w:t>Intercampaña</w:t>
      </w:r>
      <w:proofErr w:type="spellEnd"/>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14. PT/MEX El sujeto obligado omitió reportar 45 testigos correspondientes a la propaganda detectada en el monitoreo, los cuales fueron valuados en $883,075.54.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IEEM</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15. PT/MEX El sujeto obligado omitió reportar gastos correspondientes a propaganda detectada en el monitoreo, valuados en $2,109,461.56.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16. PT/MEX El sujeto obligado omitió reportar gastos correspondientes a propaganda detectada en el monitoreo, valuados en $1,397,118.16.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Producción de mensajes para radio y televisión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17. PT/MEX El sujeto obligado omitió reportar gasto por concepto de producción de spots de radio y de televisión, en $237,524.14.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Páginas de Internet y Redes sociales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5F6E12" w:rsidRDefault="00990C83" w:rsidP="00476839">
      <w:pPr>
        <w:pStyle w:val="Prrafodelista"/>
        <w:numPr>
          <w:ilvl w:val="0"/>
          <w:numId w:val="70"/>
        </w:numPr>
        <w:autoSpaceDE w:val="0"/>
        <w:autoSpaceDN w:val="0"/>
        <w:adjustRightInd w:val="0"/>
        <w:ind w:left="0" w:firstLine="0"/>
        <w:jc w:val="both"/>
        <w:rPr>
          <w:rFonts w:ascii="Arial" w:hAnsi="Arial" w:cs="Arial"/>
          <w:sz w:val="20"/>
          <w:szCs w:val="20"/>
        </w:rPr>
      </w:pPr>
      <w:r w:rsidRPr="005F6E12">
        <w:rPr>
          <w:rFonts w:ascii="Arial" w:hAnsi="Arial" w:cs="Arial"/>
          <w:sz w:val="20"/>
          <w:szCs w:val="20"/>
        </w:rPr>
        <w:t>PT/MEX El sujeto obligado omitió reportar gastos por concepto de operativos y de</w:t>
      </w:r>
      <w:r w:rsidR="005F6E12">
        <w:rPr>
          <w:rFonts w:ascii="Arial" w:hAnsi="Arial" w:cs="Arial"/>
          <w:sz w:val="20"/>
          <w:szCs w:val="20"/>
        </w:rPr>
        <w:t xml:space="preserve"> </w:t>
      </w:r>
      <w:r w:rsidRPr="005F6E12">
        <w:rPr>
          <w:rFonts w:ascii="Arial" w:hAnsi="Arial" w:cs="Arial"/>
          <w:sz w:val="20"/>
          <w:szCs w:val="20"/>
        </w:rPr>
        <w:t>propaganda utilitaria, valuados en $22,852.00.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normal</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20. PT/MEX El sujeto obligado reportó seis operaciones de forma extemporánea, dentro del primer periodo normal, excediendo los tres días posteriores en que realizó la operación por $19,301,638.77.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21. PT/MEX El sujeto obligado reportó una operación de forma extemporánea, dentro del segundo periodo normal, excediendo los tres días posteriores en que realizo la operación por $1,740,000.00.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22. PT/MEX El sujeto obligado registró tres operaciones que exceden los tres días posteriores a la fecha de operación, registrando incorrectamente la fecha de operación consignada en la documentación comprobatoria, correspondientes al segundo periodo normal por $2,404,254.00.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de corrección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23. PT/MEX El sujeto obligado reportó siete operaciones de forma extemporánea, dentro del segundo periodo de corrección, excediendo los tres días posteriores en que realizó la operación por $930,251.98.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Cuenta concentradora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Sistema Integral de Fiscalización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26. PT/MEX El sujeto obligado reportó dos operaciones de forma extemporánea, dentro del segundo periodo de corrección, excediendo los tres días posteriores en que realizo la operación por $1,228,154.52.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Representantes Generales y de Casilla</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31. PT/MEX El sujeto obligado omitió reportar gastos por concepto de representantes de casillos.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A efecto de contar con certeza respecto de los gastos realizados el día de la jornada electoral se considera necesario el inicio de un procedimiento oficioso.</w:t>
      </w:r>
    </w:p>
    <w:p w:rsidR="00990C83" w:rsidRPr="00E5019C" w:rsidRDefault="00990C83" w:rsidP="00476839">
      <w:pPr>
        <w:autoSpaceDE w:val="0"/>
        <w:autoSpaceDN w:val="0"/>
        <w:adjustRightInd w:val="0"/>
        <w:contextualSpacing/>
        <w:jc w:val="both"/>
        <w:rPr>
          <w:rFonts w:ascii="Arial" w:hAnsi="Arial" w:cs="Arial"/>
          <w:sz w:val="20"/>
          <w:szCs w:val="20"/>
        </w:rPr>
      </w:pPr>
    </w:p>
    <w:p w:rsidR="00424D47" w:rsidRDefault="00424D47" w:rsidP="00476839">
      <w:pPr>
        <w:contextualSpacing/>
        <w:jc w:val="both"/>
        <w:rPr>
          <w:rFonts w:ascii="Arial" w:hAnsi="Arial" w:cs="Arial"/>
          <w:sz w:val="20"/>
          <w:szCs w:val="20"/>
        </w:rPr>
      </w:pPr>
    </w:p>
    <w:p w:rsidR="008B06A6" w:rsidRDefault="008B06A6" w:rsidP="00476839">
      <w:pPr>
        <w:contextualSpacing/>
        <w:jc w:val="center"/>
        <w:rPr>
          <w:rFonts w:ascii="Arial" w:hAnsi="Arial" w:cs="Arial"/>
          <w:b/>
          <w:bCs/>
          <w:sz w:val="20"/>
          <w:szCs w:val="20"/>
        </w:rPr>
      </w:pPr>
    </w:p>
    <w:p w:rsidR="008B06A6" w:rsidRDefault="008B06A6" w:rsidP="00476839">
      <w:pPr>
        <w:contextualSpacing/>
        <w:jc w:val="center"/>
        <w:rPr>
          <w:rFonts w:ascii="Arial" w:hAnsi="Arial" w:cs="Arial"/>
          <w:b/>
          <w:bCs/>
          <w:sz w:val="20"/>
          <w:szCs w:val="20"/>
        </w:rPr>
      </w:pPr>
    </w:p>
    <w:p w:rsidR="00990C83" w:rsidRPr="00424D47" w:rsidRDefault="008F71DD" w:rsidP="00476839">
      <w:pPr>
        <w:contextualSpacing/>
        <w:jc w:val="center"/>
        <w:rPr>
          <w:rFonts w:ascii="Arial" w:hAnsi="Arial" w:cs="Arial"/>
          <w:b/>
          <w:bCs/>
          <w:sz w:val="20"/>
          <w:szCs w:val="20"/>
        </w:rPr>
      </w:pPr>
      <w:r>
        <w:rPr>
          <w:rFonts w:ascii="Arial" w:hAnsi="Arial" w:cs="Arial"/>
          <w:b/>
          <w:bCs/>
          <w:sz w:val="20"/>
          <w:szCs w:val="20"/>
        </w:rPr>
        <w:lastRenderedPageBreak/>
        <w:t>Partido Morena</w:t>
      </w:r>
    </w:p>
    <w:p w:rsidR="00424D47" w:rsidRDefault="00424D47" w:rsidP="00476839">
      <w:pPr>
        <w:jc w:val="both"/>
        <w:rPr>
          <w:rFonts w:ascii="Arial" w:hAnsi="Arial" w:cs="Arial"/>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FALTAS FORMALES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 MORENA/MEX. El sujeto obligado omitió presentar el inventario de activo fijo de los bienes aportados en comodato para el uso o goce temporal.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12. MORENA/MEX. El sujeto obligado no presentó los permisos de colocación de lonas correspondientes a 7 pólizas por $2,226,672.00.</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14. MORENA/MEX. El sujeto obligado no presentó las muestras correspondientes a 7 pólizas por $2,226,672.00.</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15. MORENA/MEX. El sujeto obligado no presentó los contratos de prestación de servicios correspondientes a 6 pólizas por $179,172.46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 en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23. MORENA/MEX. El sujeto obligado no presentó las muestras correspondientes a 5 pólizas por $659,194.36.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Formato XML</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24. MORENA/MEX. El sujeto obligado omitió presentar los archivos XML de 6 facturas por $440,593.63.</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Avisos de contratación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41. MORENA/MEX. El sujeto obligado reportó de manera extemporánea 59 avisos de contratación.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42. MORENA/MEX. El sujeto obligado reportó de manera extemporánea 13 avisos de contratación según las fechas de contratos.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43. MORENA/MEX. El sujeto obligado presentó 47 contratos sin la totalidad de las firmas autógrafas correspondientes por $15,806,599.92.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44. MORENA/MEX. El sujeto obligado reportó de manera extemporánea 120 avisos de contratación.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Concentradora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45. MORENA/MEX. El sujeto obligado omitió presentar el contrato de apertura y tarjeta de firmas de una cuenta bancaria.</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46. MORENA/MEX. El sujeto obligado omitió presentar el recibo interno por la transferencia en efectivo de $29,300,000.00.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II FALTAS SUSTANCIALES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Agenda de 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 MORENA/MEX. El sujeto obligado reportó 19 eventos extemporáneos previamente a su realización; sin embargo, no cumplieron con los siete días que marca la normatividad.</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 MORENA/MEX. El sujeto obligado reportó 37 eventos con posterioridad a la fecha de su realización.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 MORENA/MEX. El sujeto obligado reportó 74 eventos extemporáneos previamente a su realización; sin embargo, no cumplieron con los siete días que marca la normatividad.</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6. MORENA/MEX. El sujeto obligado reportó 7 eventos con posterioridad a la fecha de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7. MORENA/MEX. El sujeto obligado omitió reportar gastos por concepto de propaganda utilitaria y gastos operativos valuados en $2,632,198.92.</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 xml:space="preserve"> </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8. MORENA/MEX. El sujeto obligado omitió reportar los gastos por concepto de renta de un salón de eventos valuado en $115,073.16.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Recorridos en avenidas y plazas públicas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26. MORENA/MEX. El sujeto obligado omitió reportar gastos por concepto de propaganda utilitaria y gastos operativos valuadas en $56,675.30.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27. MORENA/MEX. El sujeto obligado omitió reportar gastos por concepto de propaganda utilitaria y gastos operativos valuadas en $1,501,082.44.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Espectaculares y propaganda colocada en la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UTF</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28. MORENA/MEX. El sujeto obligado omitió reportar 154 testigos correspondientes a la propaganda detectada en el monitoreo, los cuales fueron valuados en $581,788.36.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IEEM</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29. MORENA/MEX. El sujeto obligado omitió reportar 1,962 testigos correspondientes a la propaganda detectada en el monitoreo, los cuales fueron valuados en $2,235,039.35.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proofErr w:type="spellStart"/>
      <w:r w:rsidRPr="00E5019C">
        <w:rPr>
          <w:rFonts w:ascii="Arial" w:hAnsi="Arial" w:cs="Arial"/>
          <w:b/>
          <w:bCs/>
          <w:sz w:val="20"/>
          <w:szCs w:val="20"/>
        </w:rPr>
        <w:t>Intercampaña</w:t>
      </w:r>
      <w:proofErr w:type="spellEnd"/>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30. MORENA/MEX. El sujeto obligado omitió reportar 230 testigos correspondientes a la propaganda detectada en el monitoreo, los cuales fueron valuados en $169,493.84.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UTF</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32. MORENA/MEX. El sujeto obligado omitió reportar 78 testigos correspondientes a la propaganda detectada en el monitoreo, los cuales fueron valuados en $155,104.44.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IEEM</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33. MORENA/MEX. El sujeto obligado omitió reportar 604 testigos correspondientes a la propaganda detectada en el monitoreo, los cuales fueron valuados en $257,707.92.</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Páginas de internet y redes sociales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75"/>
        </w:numPr>
        <w:autoSpaceDE w:val="0"/>
        <w:autoSpaceDN w:val="0"/>
        <w:adjustRightInd w:val="0"/>
        <w:jc w:val="both"/>
        <w:rPr>
          <w:rFonts w:ascii="Arial" w:hAnsi="Arial" w:cs="Arial"/>
          <w:sz w:val="20"/>
          <w:szCs w:val="20"/>
        </w:rPr>
      </w:pPr>
      <w:r w:rsidRPr="00E5019C">
        <w:rPr>
          <w:rFonts w:ascii="Arial" w:hAnsi="Arial" w:cs="Arial"/>
          <w:sz w:val="20"/>
          <w:szCs w:val="20"/>
        </w:rPr>
        <w:t>MORENA/MEX. El sujeto obligado omitió reportar gastos por concepto de propaganda utilitaria y gastos operativos valuadas en $687,835.92.</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10. MORENA/MEX. El sujeto obligado registró un monto menor al que recibió y comprobó mediante el contrato y el recibo de aportación por un monto de</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$21,627.00.</w:t>
      </w:r>
    </w:p>
    <w:p w:rsidR="00990C83" w:rsidRPr="00E5019C" w:rsidRDefault="00990C83" w:rsidP="00476839">
      <w:pPr>
        <w:autoSpaceDE w:val="0"/>
        <w:autoSpaceDN w:val="0"/>
        <w:adjustRightInd w:val="0"/>
        <w:contextualSpacing/>
        <w:jc w:val="both"/>
        <w:rPr>
          <w:rFonts w:ascii="Arial" w:hAnsi="Arial" w:cs="Arial"/>
          <w:sz w:val="20"/>
          <w:szCs w:val="20"/>
        </w:rPr>
      </w:pPr>
    </w:p>
    <w:p w:rsidR="001C4552" w:rsidRDefault="001C4552"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Propaganda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13. MORENA/MEX. El sujeto obligado omitió comprobar el gasto realizado por un monto de $2,712,819.85.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Gastos diversos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16. MORENA/MEX. El sujeto obligado omitió comprobar el gasto realizado por</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$3,209,535.79.</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Operativos de la campaña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17. MORENA/MEX. El sujeto obligado omitió comprobar el gasto realizado por</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$421,080.00.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18. MORENA/MEX. El sujeto obligado omitió comprobar el gasto por $34,800.00.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19. MORENA/MEX. El sujeto obligado no presentó los recibos de honorarios, los contratos de prestación de servicios y las transferencias o cheques, correspondientes a 2 pólizas por el pago de honorarios asimilables a brigadistas $33,384,107.17.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 exhibida en páginas de internet</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20. MORENA/MEX. El sujeto obligado omitió presentar la relación detallada de la propaganda exhibida en páginas de internet y la ficha de depósito, cheque o transferencia bancaria por un monto de $112,520.00.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 en diarios, revistas y otros medios impresos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 xml:space="preserve">21. MORENA/MEX. El sujeto obligado omitió presentar la documentación completa por las transferencias en especie recibidas del CEN, consistente en un comprobante fiscal, 4 comprobantes de pagos, un contrato de prestación de servicios, así como, 4 </w:t>
      </w:r>
      <w:proofErr w:type="spellStart"/>
      <w:r w:rsidRPr="00E5019C">
        <w:rPr>
          <w:rFonts w:ascii="Arial" w:hAnsi="Arial" w:cs="Arial"/>
          <w:sz w:val="20"/>
          <w:szCs w:val="20"/>
        </w:rPr>
        <w:t>kardex</w:t>
      </w:r>
      <w:proofErr w:type="spellEnd"/>
      <w:r w:rsidRPr="00E5019C">
        <w:rPr>
          <w:rFonts w:ascii="Arial" w:hAnsi="Arial" w:cs="Arial"/>
          <w:sz w:val="20"/>
          <w:szCs w:val="20"/>
        </w:rPr>
        <w:t xml:space="preserve"> y las notas de entrada y de salida, por $7,869,474.80.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Propaganda en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22. MORENA/MEX. El sujeto obligado no presentó los avisos de contratación correspondientes a 4 pólizas por $2,482,845.85.</w:t>
      </w:r>
    </w:p>
    <w:p w:rsidR="00990C83" w:rsidRPr="00E5019C" w:rsidRDefault="00990C83"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Visitas de Verificación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Casas de campaña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25. MORENA/MEX. El sujeto obligado omitió reportar los gastos por concepto de uso o goce temporal de 6 inmuebles utilizados como casas de campaña, los cuales se localizaron durante recorridos realizados por personal de la UTF, que fueron valuadas en $40,002.00.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35. MORENA/MEX. El sujeto obligado omitió realizar, durante el periodo normal, el registro contable de 81 operaciones en tiempo real, excediendo los tres días posteriores en que se realizó la operación, por un importe de $94,469,678.41.</w:t>
      </w:r>
    </w:p>
    <w:p w:rsidR="00990C83" w:rsidRPr="00E5019C" w:rsidRDefault="00990C83" w:rsidP="00476839">
      <w:pPr>
        <w:autoSpaceDE w:val="0"/>
        <w:autoSpaceDN w:val="0"/>
        <w:adjustRightInd w:val="0"/>
        <w:contextualSpacing/>
        <w:jc w:val="both"/>
        <w:rPr>
          <w:rFonts w:ascii="Arial" w:hAnsi="Arial" w:cs="Arial"/>
          <w:sz w:val="20"/>
          <w:szCs w:val="20"/>
        </w:rPr>
      </w:pPr>
    </w:p>
    <w:p w:rsidR="008B06A6" w:rsidRDefault="008B06A6" w:rsidP="00476839">
      <w:pPr>
        <w:autoSpaceDE w:val="0"/>
        <w:autoSpaceDN w:val="0"/>
        <w:adjustRightInd w:val="0"/>
        <w:contextualSpacing/>
        <w:jc w:val="both"/>
        <w:rPr>
          <w:rFonts w:ascii="Arial" w:hAnsi="Arial" w:cs="Arial"/>
          <w:b/>
          <w:bCs/>
          <w:sz w:val="20"/>
          <w:szCs w:val="20"/>
        </w:rPr>
      </w:pPr>
    </w:p>
    <w:p w:rsidR="008B06A6" w:rsidRDefault="008B06A6" w:rsidP="00476839">
      <w:pPr>
        <w:autoSpaceDE w:val="0"/>
        <w:autoSpaceDN w:val="0"/>
        <w:adjustRightInd w:val="0"/>
        <w:contextualSpacing/>
        <w:jc w:val="both"/>
        <w:rPr>
          <w:rFonts w:ascii="Arial" w:hAnsi="Arial" w:cs="Arial"/>
          <w:b/>
          <w:bCs/>
          <w:sz w:val="20"/>
          <w:szCs w:val="20"/>
        </w:rPr>
      </w:pPr>
    </w:p>
    <w:p w:rsidR="008B06A6" w:rsidRDefault="008B06A6" w:rsidP="00476839">
      <w:pPr>
        <w:autoSpaceDE w:val="0"/>
        <w:autoSpaceDN w:val="0"/>
        <w:adjustRightInd w:val="0"/>
        <w:contextualSpacing/>
        <w:jc w:val="both"/>
        <w:rPr>
          <w:rFonts w:ascii="Arial" w:hAnsi="Arial" w:cs="Arial"/>
          <w:b/>
          <w:bCs/>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lastRenderedPageBreak/>
        <w:t>Primer 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37. MORENA/MEX. El sujeto obligado omitió realizar 5 registros contables en tiempo real, ya que fueron registrados dentro del primer periodo de corrección, excediendo los tres días posteriores en que se realizó la operación, por un importe de $3,170,618.13</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38. MORENA/MEX. El sujeto obligado omitió realizar, durante el periodo normal, el registro contable de 110 operaciones en tiempo real, excediendo los tres días posteriores en que se realizó la operación, por un importe de $124,506,374.23.</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40. MORENA/MEX. El sujeto obligado omitió realizar 32 registros en tiempo real, ya que fueron registrados dentro del segundo periodo de corrección, excediendo los tres días posteriores en que se realizó la operación, por un importe de $4,397,729.07.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47. MORENA/MEX. El sujeto obligado omitió realizar, durante el periodo normal, el registro contable de 128 operaciones en tiempo real, excediendo los tres días posteriores en que se realizó la operación, por un importe de $214,817,802.58.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48. MORENA/MEX. El sujeto obligado omitió realizar 37 registros contables en tiempo real, toda vez que fueron registrados dentro del periodo de corrección, excediendo los tres días posteriores en que se realizó la operación, por un importe de $8,804,968.37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Registro de operaciones fuera de tiempo</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pStyle w:val="Prrafodelista"/>
        <w:numPr>
          <w:ilvl w:val="0"/>
          <w:numId w:val="75"/>
        </w:numPr>
        <w:autoSpaceDE w:val="0"/>
        <w:autoSpaceDN w:val="0"/>
        <w:adjustRightInd w:val="0"/>
        <w:jc w:val="both"/>
        <w:rPr>
          <w:rFonts w:ascii="Arial" w:hAnsi="Arial" w:cs="Arial"/>
          <w:sz w:val="20"/>
          <w:szCs w:val="20"/>
        </w:rPr>
      </w:pPr>
      <w:r w:rsidRPr="00E5019C">
        <w:rPr>
          <w:rFonts w:ascii="Arial" w:hAnsi="Arial" w:cs="Arial"/>
          <w:sz w:val="20"/>
          <w:szCs w:val="20"/>
        </w:rPr>
        <w:t>MORENA/MEX. El sujeto obligado realizó extemporáneamente 13 operaciones en el primer periodo una vez verificado el documento que le dio origen, por $2,046,930.60.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69"/>
        </w:numPr>
        <w:autoSpaceDE w:val="0"/>
        <w:autoSpaceDN w:val="0"/>
        <w:adjustRightInd w:val="0"/>
        <w:jc w:val="both"/>
        <w:rPr>
          <w:rFonts w:ascii="Arial" w:hAnsi="Arial" w:cs="Arial"/>
          <w:sz w:val="20"/>
          <w:szCs w:val="20"/>
        </w:rPr>
      </w:pPr>
      <w:r w:rsidRPr="00E5019C">
        <w:rPr>
          <w:rFonts w:ascii="Arial" w:hAnsi="Arial" w:cs="Arial"/>
          <w:sz w:val="20"/>
          <w:szCs w:val="20"/>
        </w:rPr>
        <w:t>MORENA/MEX. El sujeto obligado realizó extemporáneamente 83 operaciones en el segundo periodo una vez verificado el documento que le dio origen de $45,371,894.55.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Jornada Electoral</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54. MORENA/MEX. El sujeto obligado omitió reportar gastos por concepto de representantes de casilla y generales el día de la jornada electoral.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Esta Unidad propone el inicio de un procedimiento oficioso, con la finalidad de identificar la totalidad de los gastos por concepto de representantes de casillas realizados el día de la jornada electoral.</w:t>
      </w:r>
    </w:p>
    <w:p w:rsidR="00990C83" w:rsidRPr="00E5019C" w:rsidRDefault="00990C83" w:rsidP="00476839">
      <w:pPr>
        <w:autoSpaceDE w:val="0"/>
        <w:autoSpaceDN w:val="0"/>
        <w:adjustRightInd w:val="0"/>
        <w:contextualSpacing/>
        <w:jc w:val="both"/>
        <w:rPr>
          <w:rFonts w:ascii="Arial" w:hAnsi="Arial" w:cs="Arial"/>
          <w:sz w:val="20"/>
          <w:szCs w:val="20"/>
        </w:rPr>
      </w:pPr>
    </w:p>
    <w:p w:rsidR="00424D47" w:rsidRDefault="00424D47" w:rsidP="00476839">
      <w:pPr>
        <w:autoSpaceDE w:val="0"/>
        <w:autoSpaceDN w:val="0"/>
        <w:adjustRightInd w:val="0"/>
        <w:contextualSpacing/>
        <w:jc w:val="center"/>
        <w:rPr>
          <w:rFonts w:ascii="Arial" w:hAnsi="Arial" w:cs="Arial"/>
          <w:b/>
          <w:bCs/>
          <w:sz w:val="20"/>
          <w:szCs w:val="20"/>
        </w:rPr>
      </w:pPr>
    </w:p>
    <w:p w:rsidR="00424D47" w:rsidRDefault="00424D47" w:rsidP="00476839">
      <w:pPr>
        <w:autoSpaceDE w:val="0"/>
        <w:autoSpaceDN w:val="0"/>
        <w:adjustRightInd w:val="0"/>
        <w:contextualSpacing/>
        <w:jc w:val="center"/>
        <w:rPr>
          <w:rFonts w:ascii="Arial" w:hAnsi="Arial" w:cs="Arial"/>
          <w:b/>
          <w:bCs/>
          <w:sz w:val="20"/>
          <w:szCs w:val="20"/>
        </w:rPr>
      </w:pPr>
    </w:p>
    <w:p w:rsidR="00990C83" w:rsidRPr="00424D47" w:rsidRDefault="008F71DD" w:rsidP="00476839">
      <w:pPr>
        <w:autoSpaceDE w:val="0"/>
        <w:autoSpaceDN w:val="0"/>
        <w:adjustRightInd w:val="0"/>
        <w:contextualSpacing/>
        <w:jc w:val="center"/>
        <w:rPr>
          <w:rFonts w:ascii="Arial" w:hAnsi="Arial" w:cs="Arial"/>
          <w:b/>
          <w:bCs/>
          <w:sz w:val="20"/>
          <w:szCs w:val="20"/>
        </w:rPr>
      </w:pPr>
      <w:r>
        <w:rPr>
          <w:rFonts w:ascii="Arial" w:hAnsi="Arial" w:cs="Arial"/>
          <w:b/>
          <w:bCs/>
          <w:sz w:val="20"/>
          <w:szCs w:val="20"/>
        </w:rPr>
        <w:t>Coalición PRI</w:t>
      </w:r>
      <w:r w:rsidR="00990C83" w:rsidRPr="00424D47">
        <w:rPr>
          <w:rFonts w:ascii="Arial" w:hAnsi="Arial" w:cs="Arial"/>
          <w:b/>
          <w:bCs/>
          <w:sz w:val="20"/>
          <w:szCs w:val="20"/>
        </w:rPr>
        <w:t>-PVEM-NUAL-PES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FALTAS FORMALES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Agenda de 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6. COA/MEX. El sujeto obligado omitió presentar permisos para la realización de 18 eventos en lugares públicos</w:t>
      </w:r>
      <w:r w:rsidRPr="00E5019C">
        <w:rPr>
          <w:rFonts w:ascii="Arial" w:hAnsi="Arial" w:cs="Arial"/>
          <w:b/>
          <w:bCs/>
          <w:sz w:val="20"/>
          <w:szCs w:val="20"/>
        </w:rPr>
        <w:t>.</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7. COA/MEX. El sujeto obligado omitió presentar las cartas de invitación a dos eventos no onerosos.</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FALTAS SUSTANCIALES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Agenda de 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lastRenderedPageBreak/>
        <w:t>4. COA/MEX. El sujeto obligado reportó 13 eventos previamente a su realización; sin embargo, dicho reporte no se realizó antes de los siete días que marca la normatividad.</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 COA/MEX. El sujeto obligado registró 36 eventos con posterioridad a fecha de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8. COA/MEX. El sujeto obligado reportó 12 eventos previo a su realización; sin embargo, dicho reporte no se realizó antes de los siete días que marca la normatividad.</w:t>
      </w:r>
    </w:p>
    <w:p w:rsidR="005F6E12" w:rsidRDefault="005F6E12"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9. COA/MEX. El sujeto obligado informó un evento con posterioridad a su realización.</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10. COA/MEX. El sujeto obligado omitió reportar gastos por concepto de propaganda utilitaria valuados en $193,456.20.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7"/>
        </w:numPr>
        <w:autoSpaceDE w:val="0"/>
        <w:autoSpaceDN w:val="0"/>
        <w:adjustRightInd w:val="0"/>
        <w:jc w:val="both"/>
        <w:rPr>
          <w:rFonts w:ascii="Arial" w:hAnsi="Arial" w:cs="Arial"/>
          <w:sz w:val="20"/>
          <w:szCs w:val="20"/>
        </w:rPr>
      </w:pPr>
      <w:r w:rsidRPr="00E5019C">
        <w:rPr>
          <w:rFonts w:ascii="Arial" w:hAnsi="Arial" w:cs="Arial"/>
          <w:sz w:val="20"/>
          <w:szCs w:val="20"/>
        </w:rPr>
        <w:t>COA/MEX. El sujeto obligado omitió reportar el registro de gastos por concepto de propaganda utilitaria valuada en $397,823.53.</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Eventos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18. COA/MEX. El sujeto obligado omitió reportar gastos por concepto de propaganda utilitaria y gastos operativos por $25,840.16.</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Recorridos a plazas publicas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19. COA/MEX. El sujeto obligado omitió reportar gastos operativos por</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$684,821.08.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Espectaculares y propaganda colocada en la vía pública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SIMEI</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20. COA/MEX. El sujeto obligado omitió reportar 542 testigos correspondientes a la propaganda detectada en el monitoreo, los cuales fueron valuados en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$2,396,801.89.</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21. COA/MEX. El sujeto obligado omitió reportar 1,615 testigos correspondientes a la propaganda detectada en el monitoreo, los cuales fueron valuados en $17,557,714.79.</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proofErr w:type="spellStart"/>
      <w:r w:rsidRPr="00E5019C">
        <w:rPr>
          <w:rFonts w:ascii="Arial" w:hAnsi="Arial" w:cs="Arial"/>
          <w:b/>
          <w:bCs/>
          <w:sz w:val="20"/>
          <w:szCs w:val="20"/>
        </w:rPr>
        <w:t>Intercampaña</w:t>
      </w:r>
      <w:proofErr w:type="spellEnd"/>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22. COA/MEX. El sujeto obligado omitió reportar 4 testigos correspondientes a la propaganda detectada en el monitoreo, los cuales fueron valuados en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$55,691.68.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IEEM</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24. COA/MEX. El sujeto obligado omitió reportar 4,290 testigos correspondientes a la propaganda detectada en el monitoreo, los cuales fueron valuados en $10,848,513.55.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25. COA/MEX. El sujeto obligado omitió reportar 3,198 testigos correspondientes a la propaganda detectada en el monitoreo, los cuales fueron valuados en $14,964,546.94.</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Monitoreo de páginas de internet y redes sociales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lastRenderedPageBreak/>
        <w:t>26. COA/MEX. El sujeto obligado omitió reportar gastos por concepto de propaganda utilitaria y gastos operativos por $371.20.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72"/>
        </w:numPr>
        <w:autoSpaceDE w:val="0"/>
        <w:autoSpaceDN w:val="0"/>
        <w:adjustRightInd w:val="0"/>
        <w:ind w:left="0" w:firstLine="0"/>
        <w:jc w:val="both"/>
        <w:rPr>
          <w:rFonts w:ascii="Arial" w:hAnsi="Arial" w:cs="Arial"/>
          <w:sz w:val="20"/>
          <w:szCs w:val="20"/>
        </w:rPr>
      </w:pPr>
      <w:r w:rsidRPr="00E5019C">
        <w:rPr>
          <w:rFonts w:ascii="Arial" w:hAnsi="Arial" w:cs="Arial"/>
          <w:sz w:val="20"/>
          <w:szCs w:val="20"/>
        </w:rPr>
        <w:t>COA/MEX. El sujeto obligado omitió reportar gastos por concepto de propaganda utilitaria por $11,691.18</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Confirmaciones</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Proveedores</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49. COA/MEX El sujeto obligado omitió reportar gastos por concepto de propaganda en internet por un monto de $3,669,067.00.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Visitas de verificación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Casas de campaña</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17. COA/MEX. El sujeto obligado omitió reportar los gastos por concepto del uso o goce temporal de 10 inmuebles utilizados como casas de campaña valuadas en $77,337.20.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Sistema Integral de Fiscalización</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pStyle w:val="Prrafodelista"/>
        <w:numPr>
          <w:ilvl w:val="0"/>
          <w:numId w:val="75"/>
        </w:numPr>
        <w:autoSpaceDE w:val="0"/>
        <w:autoSpaceDN w:val="0"/>
        <w:adjustRightInd w:val="0"/>
        <w:ind w:left="0" w:firstLine="0"/>
        <w:jc w:val="both"/>
        <w:rPr>
          <w:rFonts w:ascii="Arial" w:hAnsi="Arial" w:cs="Arial"/>
          <w:sz w:val="20"/>
          <w:szCs w:val="20"/>
        </w:rPr>
      </w:pPr>
      <w:r w:rsidRPr="00E5019C">
        <w:rPr>
          <w:rFonts w:ascii="Arial" w:hAnsi="Arial" w:cs="Arial"/>
          <w:sz w:val="20"/>
          <w:szCs w:val="20"/>
        </w:rPr>
        <w:t>COA/MEX. El sujeto obligado realizó extemporáneamente 5 registros contables dentro del periodo normal por $ 611,216.44.</w:t>
      </w:r>
    </w:p>
    <w:p w:rsidR="00990C83" w:rsidRPr="00E5019C" w:rsidRDefault="00990C83" w:rsidP="00476839">
      <w:pPr>
        <w:pStyle w:val="Prrafodelista"/>
        <w:autoSpaceDE w:val="0"/>
        <w:autoSpaceDN w:val="0"/>
        <w:adjustRightInd w:val="0"/>
        <w:ind w:left="360"/>
        <w:jc w:val="both"/>
        <w:rPr>
          <w:rFonts w:ascii="Arial" w:hAnsi="Arial" w:cs="Arial"/>
          <w:sz w:val="20"/>
          <w:szCs w:val="20"/>
        </w:rPr>
      </w:pPr>
    </w:p>
    <w:p w:rsidR="00990C83" w:rsidRPr="00E5019C" w:rsidRDefault="00990C83" w:rsidP="00476839">
      <w:pPr>
        <w:pStyle w:val="Prrafodelista"/>
        <w:numPr>
          <w:ilvl w:val="0"/>
          <w:numId w:val="75"/>
        </w:numPr>
        <w:autoSpaceDE w:val="0"/>
        <w:autoSpaceDN w:val="0"/>
        <w:adjustRightInd w:val="0"/>
        <w:ind w:left="0" w:firstLine="0"/>
        <w:jc w:val="both"/>
        <w:rPr>
          <w:rFonts w:ascii="Arial" w:hAnsi="Arial" w:cs="Arial"/>
          <w:sz w:val="20"/>
          <w:szCs w:val="20"/>
        </w:rPr>
      </w:pPr>
      <w:r w:rsidRPr="00E5019C">
        <w:rPr>
          <w:rFonts w:ascii="Arial" w:hAnsi="Arial" w:cs="Arial"/>
          <w:sz w:val="20"/>
          <w:szCs w:val="20"/>
        </w:rPr>
        <w:t>COA/MEX. El sujeto obligado realizó extemporáneamente 55 registros contables dentro del periodo normal, una vez verificado el documento que le dio origen por $ 65,034,598.71.</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Segundo periodo</w:t>
      </w:r>
    </w:p>
    <w:p w:rsidR="00990C83" w:rsidRPr="00E5019C" w:rsidRDefault="00990C83" w:rsidP="00476839">
      <w:pPr>
        <w:pStyle w:val="Prrafodelista"/>
        <w:numPr>
          <w:ilvl w:val="0"/>
          <w:numId w:val="75"/>
        </w:numPr>
        <w:autoSpaceDE w:val="0"/>
        <w:autoSpaceDN w:val="0"/>
        <w:adjustRightInd w:val="0"/>
        <w:ind w:left="0" w:firstLine="0"/>
        <w:jc w:val="both"/>
        <w:rPr>
          <w:rFonts w:ascii="Arial" w:hAnsi="Arial" w:cs="Arial"/>
          <w:sz w:val="20"/>
          <w:szCs w:val="20"/>
        </w:rPr>
      </w:pPr>
      <w:r w:rsidRPr="00E5019C">
        <w:rPr>
          <w:rFonts w:ascii="Arial" w:hAnsi="Arial" w:cs="Arial"/>
          <w:sz w:val="20"/>
          <w:szCs w:val="20"/>
        </w:rPr>
        <w:t>COA/MEX. El sujeto obligado realizó extemporáneamente un registro contable dentro del periodo normal por $ 7,500.00.</w:t>
      </w:r>
    </w:p>
    <w:p w:rsidR="00990C83" w:rsidRPr="00E5019C" w:rsidRDefault="00990C83" w:rsidP="00476839">
      <w:pPr>
        <w:pStyle w:val="Prrafodelista"/>
        <w:autoSpaceDE w:val="0"/>
        <w:autoSpaceDN w:val="0"/>
        <w:adjustRightInd w:val="0"/>
        <w:ind w:left="360"/>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39. COA/MEX. El sujeto obligado realizó extemporáneamente 187 registros contables dentro del periodo normal, una vez verificado el documento que le dio origen por $ 86,923,522.37.</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Periodo de corrección</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40. COA/MEX. El sujeto obligado omitió realizar 6 registros contables en el periodo de corrección. Esto registros fueron efectuados como resultado de las observaciones realizadas por la UTF en el oficio de errores y omisiones del primer periodo, por un importe de $54,437.85.</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pStyle w:val="Prrafodelista"/>
        <w:numPr>
          <w:ilvl w:val="0"/>
          <w:numId w:val="69"/>
        </w:numPr>
        <w:autoSpaceDE w:val="0"/>
        <w:autoSpaceDN w:val="0"/>
        <w:adjustRightInd w:val="0"/>
        <w:ind w:left="0" w:firstLine="0"/>
        <w:jc w:val="both"/>
        <w:rPr>
          <w:rFonts w:ascii="Arial" w:hAnsi="Arial" w:cs="Arial"/>
          <w:sz w:val="20"/>
          <w:szCs w:val="20"/>
        </w:rPr>
      </w:pPr>
      <w:r w:rsidRPr="00E5019C">
        <w:rPr>
          <w:rFonts w:ascii="Arial" w:hAnsi="Arial" w:cs="Arial"/>
          <w:sz w:val="20"/>
          <w:szCs w:val="20"/>
        </w:rPr>
        <w:t>COA/MEX. El sujeto obligado omitió realizar 6 registros contables en el periodo de corrección. Esto registros fueron efectuados como resultado de las observaciones realizadas por la UTF en el oficio de errores y omisiones del segundo periodo, por un importe de $141,190.60.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Seguimiento dictamen informes de precampaña</w:t>
      </w: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Primer periodo</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46. COA/MEX. El sujeto obligado omitió rechazar la aportación de persona impedida por la normatividad electoral, consistente en la contratación de un anuncio espectacular, por un monto valuado en $33,002.00.</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b/>
          <w:bCs/>
          <w:sz w:val="20"/>
          <w:szCs w:val="20"/>
        </w:rPr>
      </w:pPr>
      <w:r w:rsidRPr="00E5019C">
        <w:rPr>
          <w:rFonts w:ascii="Arial" w:hAnsi="Arial" w:cs="Arial"/>
          <w:b/>
          <w:bCs/>
          <w:sz w:val="20"/>
          <w:szCs w:val="20"/>
        </w:rPr>
        <w:t>Representantes de Casilla</w:t>
      </w: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51. COA/MEX. El sujeto obligado omitió reportar gastos por concepto de representantes de casilla y generales el día de la jornada electoral.</w:t>
      </w:r>
    </w:p>
    <w:p w:rsidR="00990C83" w:rsidRPr="00E5019C" w:rsidRDefault="00990C83" w:rsidP="00476839">
      <w:pPr>
        <w:autoSpaceDE w:val="0"/>
        <w:autoSpaceDN w:val="0"/>
        <w:adjustRightInd w:val="0"/>
        <w:contextualSpacing/>
        <w:jc w:val="both"/>
        <w:rPr>
          <w:rFonts w:ascii="Arial" w:hAnsi="Arial" w:cs="Arial"/>
          <w:sz w:val="20"/>
          <w:szCs w:val="20"/>
        </w:rPr>
      </w:pPr>
    </w:p>
    <w:p w:rsidR="00990C83" w:rsidRPr="00E5019C" w:rsidRDefault="00990C83" w:rsidP="00476839">
      <w:pPr>
        <w:autoSpaceDE w:val="0"/>
        <w:autoSpaceDN w:val="0"/>
        <w:adjustRightInd w:val="0"/>
        <w:contextualSpacing/>
        <w:jc w:val="both"/>
        <w:rPr>
          <w:rFonts w:ascii="Arial" w:hAnsi="Arial" w:cs="Arial"/>
          <w:sz w:val="20"/>
          <w:szCs w:val="20"/>
        </w:rPr>
      </w:pPr>
      <w:r w:rsidRPr="00E5019C">
        <w:rPr>
          <w:rFonts w:ascii="Arial" w:hAnsi="Arial" w:cs="Arial"/>
          <w:sz w:val="20"/>
          <w:szCs w:val="20"/>
        </w:rPr>
        <w:t>Se propone el inicio de un procedimiento oficioso, con la finalidad de identificar la totalidad de los gastos por concepto de representantes de casillas realizados el día de la jornada electoral.</w:t>
      </w:r>
    </w:p>
    <w:p w:rsidR="00990C83" w:rsidRPr="00E5019C" w:rsidRDefault="00990C83" w:rsidP="00476839">
      <w:pPr>
        <w:autoSpaceDE w:val="0"/>
        <w:autoSpaceDN w:val="0"/>
        <w:adjustRightInd w:val="0"/>
        <w:contextualSpacing/>
        <w:jc w:val="both"/>
        <w:rPr>
          <w:rFonts w:ascii="Arial" w:hAnsi="Arial" w:cs="Arial"/>
          <w:sz w:val="20"/>
          <w:szCs w:val="20"/>
        </w:rPr>
      </w:pPr>
    </w:p>
    <w:p w:rsidR="008B06A6" w:rsidRDefault="008B06A6" w:rsidP="00476839">
      <w:pPr>
        <w:pStyle w:val="Sinespaciado"/>
        <w:jc w:val="both"/>
        <w:rPr>
          <w:rStyle w:val="Ttulodellibro"/>
          <w:rFonts w:ascii="Arial" w:hAnsi="Arial" w:cs="Arial"/>
          <w:b/>
          <w:i/>
          <w:color w:val="auto"/>
          <w:sz w:val="24"/>
          <w:szCs w:val="24"/>
        </w:rPr>
      </w:pPr>
    </w:p>
    <w:p w:rsidR="00990C83" w:rsidRPr="008F71DD" w:rsidRDefault="00990C83" w:rsidP="00476839">
      <w:pPr>
        <w:pStyle w:val="Sinespaciado"/>
        <w:jc w:val="both"/>
        <w:rPr>
          <w:rStyle w:val="Ttulodellibro"/>
          <w:rFonts w:ascii="Arial" w:hAnsi="Arial" w:cs="Arial"/>
          <w:b/>
          <w:i/>
          <w:color w:val="auto"/>
          <w:sz w:val="24"/>
          <w:szCs w:val="24"/>
        </w:rPr>
      </w:pPr>
      <w:r w:rsidRPr="008F71DD">
        <w:rPr>
          <w:rStyle w:val="Ttulodellibro"/>
          <w:rFonts w:ascii="Arial" w:hAnsi="Arial" w:cs="Arial"/>
          <w:b/>
          <w:i/>
          <w:color w:val="auto"/>
          <w:sz w:val="24"/>
          <w:szCs w:val="24"/>
        </w:rPr>
        <w:lastRenderedPageBreak/>
        <w:t>ANEXO 7</w:t>
      </w:r>
      <w:r w:rsidR="008F71DD">
        <w:rPr>
          <w:rStyle w:val="Ttulodellibro"/>
          <w:rFonts w:ascii="Arial" w:hAnsi="Arial" w:cs="Arial"/>
          <w:b/>
          <w:i/>
          <w:color w:val="auto"/>
          <w:sz w:val="24"/>
          <w:szCs w:val="24"/>
        </w:rPr>
        <w:t>.</w:t>
      </w:r>
      <w:r w:rsidRPr="008F71DD">
        <w:rPr>
          <w:rStyle w:val="Ttulodellibro"/>
          <w:rFonts w:ascii="Arial" w:hAnsi="Arial" w:cs="Arial"/>
          <w:b/>
          <w:i/>
          <w:color w:val="auto"/>
          <w:sz w:val="24"/>
          <w:szCs w:val="24"/>
        </w:rPr>
        <w:t xml:space="preserve"> CONDUCTAS INFRACTORAS CAMPAÑA 2018 POR PARTIDO POLÍTICO</w:t>
      </w:r>
      <w:r w:rsidR="008F71DD">
        <w:rPr>
          <w:rStyle w:val="Ttulodellibro"/>
          <w:rFonts w:ascii="Arial" w:hAnsi="Arial" w:cs="Arial"/>
          <w:b/>
          <w:i/>
          <w:color w:val="auto"/>
          <w:sz w:val="24"/>
          <w:szCs w:val="24"/>
        </w:rPr>
        <w:t>.</w:t>
      </w:r>
    </w:p>
    <w:p w:rsidR="00424D47" w:rsidRDefault="00424D47" w:rsidP="00476839">
      <w:pPr>
        <w:contextualSpacing/>
        <w:jc w:val="center"/>
        <w:rPr>
          <w:rFonts w:ascii="Arial" w:hAnsi="Arial" w:cs="Arial"/>
          <w:sz w:val="20"/>
          <w:szCs w:val="20"/>
        </w:rPr>
      </w:pPr>
    </w:p>
    <w:p w:rsidR="00424D47" w:rsidRDefault="00424D47" w:rsidP="00476839">
      <w:pPr>
        <w:contextualSpacing/>
        <w:jc w:val="center"/>
        <w:rPr>
          <w:rFonts w:ascii="Arial" w:hAnsi="Arial" w:cs="Arial"/>
          <w:sz w:val="20"/>
          <w:szCs w:val="20"/>
        </w:rPr>
      </w:pPr>
    </w:p>
    <w:p w:rsidR="008F71DD" w:rsidRDefault="008F71DD" w:rsidP="00476839">
      <w:pPr>
        <w:contextualSpacing/>
        <w:jc w:val="center"/>
        <w:rPr>
          <w:rFonts w:ascii="Arial" w:hAnsi="Arial" w:cs="Arial"/>
          <w:sz w:val="20"/>
          <w:szCs w:val="20"/>
        </w:rPr>
      </w:pPr>
    </w:p>
    <w:p w:rsidR="00990C83" w:rsidRDefault="008F71DD" w:rsidP="00476839">
      <w:pPr>
        <w:contextualSpacing/>
        <w:jc w:val="center"/>
        <w:rPr>
          <w:rFonts w:ascii="Arial" w:hAnsi="Arial" w:cs="Arial"/>
          <w:b/>
          <w:bCs/>
          <w:sz w:val="20"/>
          <w:szCs w:val="20"/>
        </w:rPr>
      </w:pPr>
      <w:r>
        <w:rPr>
          <w:rFonts w:ascii="Arial" w:hAnsi="Arial" w:cs="Arial"/>
          <w:b/>
          <w:bCs/>
          <w:sz w:val="20"/>
          <w:szCs w:val="20"/>
        </w:rPr>
        <w:t>Partido Acción Nacional</w:t>
      </w:r>
    </w:p>
    <w:p w:rsidR="00424D47" w:rsidRPr="00424D47" w:rsidRDefault="00424D47" w:rsidP="00476839">
      <w:pPr>
        <w:contextualSpacing/>
        <w:jc w:val="center"/>
        <w:rPr>
          <w:rFonts w:ascii="Arial" w:hAnsi="Arial" w:cs="Arial"/>
          <w:b/>
          <w:bCs/>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2 FALTAS FORMALES</w:t>
      </w:r>
    </w:p>
    <w:p w:rsidR="00990C83" w:rsidRPr="00E5019C" w:rsidRDefault="00990C83" w:rsidP="00476839">
      <w:pPr>
        <w:contextualSpacing/>
        <w:rPr>
          <w:rFonts w:ascii="Arial" w:hAnsi="Arial" w:cs="Arial"/>
          <w:color w:val="212121"/>
          <w:sz w:val="20"/>
          <w:szCs w:val="20"/>
        </w:rPr>
      </w:pPr>
      <w:r w:rsidRPr="00E5019C">
        <w:rPr>
          <w:rFonts w:ascii="Arial" w:hAnsi="Arial" w:cs="Arial"/>
          <w:color w:val="212121"/>
          <w:sz w:val="20"/>
          <w:szCs w:val="20"/>
        </w:rPr>
        <w:t xml:space="preserve">2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presento de forma extemporánea los avisos de contratación por un monto total de </w:t>
      </w:r>
      <w:r w:rsidRPr="00E5019C">
        <w:rPr>
          <w:rFonts w:ascii="Arial" w:eastAsia="Times New Roman" w:hAnsi="Arial" w:cs="Arial"/>
          <w:b/>
          <w:color w:val="212121"/>
          <w:sz w:val="20"/>
          <w:szCs w:val="20"/>
          <w:lang w:eastAsia="es-MX"/>
        </w:rPr>
        <w:t>$938,239.90</w:t>
      </w:r>
    </w:p>
    <w:p w:rsidR="008B06A6" w:rsidRDefault="008B06A6" w:rsidP="00476839">
      <w:pPr>
        <w:contextualSpacing/>
        <w:rPr>
          <w:rFonts w:ascii="Arial" w:hAnsi="Arial" w:cs="Arial"/>
          <w:color w:val="212121"/>
          <w:sz w:val="20"/>
          <w:szCs w:val="20"/>
        </w:rPr>
      </w:pPr>
    </w:p>
    <w:p w:rsidR="00990C83" w:rsidRPr="00E5019C" w:rsidRDefault="00990C83" w:rsidP="00476839">
      <w:pPr>
        <w:contextualSpacing/>
        <w:rPr>
          <w:rFonts w:ascii="Arial" w:hAnsi="Arial" w:cs="Arial"/>
          <w:sz w:val="20"/>
          <w:szCs w:val="20"/>
        </w:rPr>
      </w:pPr>
      <w:r w:rsidRPr="00E5019C">
        <w:rPr>
          <w:rFonts w:ascii="Arial" w:hAnsi="Arial" w:cs="Arial"/>
          <w:color w:val="212121"/>
          <w:sz w:val="20"/>
          <w:szCs w:val="20"/>
        </w:rPr>
        <w:t xml:space="preserve">6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presento de forma extemporánea los avisos de contratación por un monto total de </w:t>
      </w:r>
      <w:r w:rsidRPr="00E5019C">
        <w:rPr>
          <w:rFonts w:ascii="Arial" w:eastAsia="Times New Roman" w:hAnsi="Arial" w:cs="Arial"/>
          <w:b/>
          <w:color w:val="212121"/>
          <w:sz w:val="20"/>
          <w:szCs w:val="20"/>
          <w:lang w:eastAsia="es-MX"/>
        </w:rPr>
        <w:t>$4,035,358.53</w:t>
      </w:r>
    </w:p>
    <w:p w:rsidR="00424D47" w:rsidRDefault="00424D47" w:rsidP="00476839">
      <w:pPr>
        <w:rPr>
          <w:rFonts w:ascii="Arial" w:hAnsi="Arial" w:cs="Arial"/>
          <w:sz w:val="20"/>
          <w:szCs w:val="20"/>
        </w:rPr>
      </w:pPr>
    </w:p>
    <w:p w:rsidR="00990C83" w:rsidRPr="005F6E12" w:rsidRDefault="00990C83" w:rsidP="00476839">
      <w:pPr>
        <w:contextualSpacing/>
        <w:rPr>
          <w:rFonts w:ascii="Arial" w:hAnsi="Arial" w:cs="Arial"/>
          <w:b/>
          <w:sz w:val="20"/>
          <w:szCs w:val="20"/>
          <w:u w:val="single"/>
        </w:rPr>
      </w:pPr>
      <w:r w:rsidRPr="005F6E12">
        <w:rPr>
          <w:rFonts w:ascii="Arial" w:hAnsi="Arial" w:cs="Arial"/>
          <w:b/>
          <w:sz w:val="20"/>
          <w:szCs w:val="20"/>
          <w:u w:val="single"/>
        </w:rPr>
        <w:t>FALTAS SUSTANCIALES</w:t>
      </w:r>
    </w:p>
    <w:p w:rsidR="00990C83" w:rsidRPr="00E5019C" w:rsidRDefault="00990C83" w:rsidP="00476839">
      <w:pPr>
        <w:contextualSpacing/>
        <w:rPr>
          <w:rFonts w:ascii="Arial" w:hAnsi="Arial" w:cs="Arial"/>
          <w:color w:val="212121"/>
          <w:sz w:val="20"/>
          <w:szCs w:val="20"/>
        </w:rPr>
      </w:pPr>
      <w:r w:rsidRPr="00E5019C">
        <w:rPr>
          <w:rFonts w:ascii="Arial" w:hAnsi="Arial" w:cs="Arial"/>
          <w:color w:val="212121"/>
          <w:sz w:val="20"/>
          <w:szCs w:val="20"/>
        </w:rPr>
        <w:t xml:space="preserve">1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59 eventos de la agenda de actos públicos, de manera anticipada a su realización.</w:t>
      </w:r>
    </w:p>
    <w:p w:rsidR="008B06A6" w:rsidRDefault="008B06A6" w:rsidP="00476839">
      <w:pPr>
        <w:pStyle w:val="xmsonormal"/>
        <w:spacing w:before="0" w:beforeAutospacing="0" w:after="0" w:afterAutospacing="0"/>
        <w:contextualSpacing/>
        <w:jc w:val="both"/>
        <w:rPr>
          <w:rFonts w:ascii="Arial" w:hAnsi="Arial" w:cs="Arial"/>
          <w:sz w:val="20"/>
          <w:szCs w:val="20"/>
          <w:lang w:val="es-ES"/>
        </w:rPr>
      </w:pP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r w:rsidRPr="00E5019C">
        <w:rPr>
          <w:rFonts w:ascii="Arial" w:hAnsi="Arial" w:cs="Arial"/>
          <w:sz w:val="20"/>
          <w:szCs w:val="20"/>
          <w:lang w:val="es-ES"/>
        </w:rPr>
        <w:t xml:space="preserve">3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realizar el registro contable de 4 operaciones en tiempo real, durante periodo uno excediendo los tres días posteriores en que se realizó la operación, por un importe de $79,080.08</w:t>
      </w:r>
    </w:p>
    <w:p w:rsidR="008B06A6" w:rsidRDefault="008B06A6" w:rsidP="00476839">
      <w:pPr>
        <w:pStyle w:val="xmsonormal"/>
        <w:spacing w:before="0" w:beforeAutospacing="0" w:after="0" w:afterAutospacing="0"/>
        <w:contextualSpacing/>
        <w:jc w:val="both"/>
        <w:rPr>
          <w:rFonts w:ascii="Arial" w:hAnsi="Arial" w:cs="Arial"/>
          <w:color w:val="212121"/>
          <w:sz w:val="20"/>
          <w:szCs w:val="20"/>
        </w:rPr>
      </w:pPr>
    </w:p>
    <w:p w:rsidR="00990C83" w:rsidRPr="00BD493A"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4 El sujeto obligado informó de manera extemporánea 49 eventos de la agenda de actos públicos, de manera anticipada a su realización.</w:t>
      </w:r>
    </w:p>
    <w:p w:rsidR="008B06A6" w:rsidRDefault="008B06A6" w:rsidP="00476839">
      <w:pPr>
        <w:contextualSpacing/>
        <w:rPr>
          <w:rFonts w:ascii="Arial" w:eastAsia="Times New Roman" w:hAnsi="Arial" w:cs="Arial"/>
          <w:color w:val="000000"/>
          <w:sz w:val="20"/>
          <w:szCs w:val="20"/>
          <w:lang w:val="es-MX" w:eastAsia="es-MX"/>
        </w:rPr>
      </w:pPr>
    </w:p>
    <w:p w:rsidR="00990C83" w:rsidRPr="00E5019C" w:rsidRDefault="00990C83" w:rsidP="00476839">
      <w:pPr>
        <w:contextualSpacing/>
        <w:rPr>
          <w:rFonts w:ascii="Arial" w:eastAsia="Times New Roman" w:hAnsi="Arial" w:cs="Arial"/>
          <w:b/>
          <w:color w:val="000000"/>
          <w:sz w:val="20"/>
          <w:szCs w:val="20"/>
          <w:lang w:eastAsia="es-MX"/>
        </w:rPr>
      </w:pPr>
      <w:r w:rsidRPr="00E5019C">
        <w:rPr>
          <w:rFonts w:ascii="Arial" w:eastAsia="Times New Roman" w:hAnsi="Arial" w:cs="Arial"/>
          <w:color w:val="000000"/>
          <w:sz w:val="20"/>
          <w:szCs w:val="20"/>
          <w:lang w:val="es-MX" w:eastAsia="es-MX"/>
        </w:rPr>
        <w:t>5</w:t>
      </w:r>
      <w:r w:rsidRPr="00E5019C">
        <w:rPr>
          <w:rFonts w:ascii="Arial" w:eastAsia="Times New Roman" w:hAnsi="Arial" w:cs="Arial"/>
          <w:color w:val="000000"/>
          <w:sz w:val="20"/>
          <w:szCs w:val="20"/>
          <w:lang w:eastAsia="es-MX"/>
        </w:rPr>
        <w:t xml:space="preserve"> El sujeto obligado omitió comprobar que los recursos aportados en especie de simpatizantes, los cuales superan las 90 UMA, fueron pagados mediante cheque nominativo o transferencia bancaria por un monto de </w:t>
      </w:r>
      <w:r w:rsidRPr="00E5019C">
        <w:rPr>
          <w:rFonts w:ascii="Arial" w:eastAsia="Times New Roman" w:hAnsi="Arial" w:cs="Arial"/>
          <w:b/>
          <w:color w:val="000000"/>
          <w:sz w:val="20"/>
          <w:szCs w:val="20"/>
          <w:lang w:eastAsia="es-MX"/>
        </w:rPr>
        <w:t>$45,000.0</w:t>
      </w:r>
    </w:p>
    <w:p w:rsidR="008B06A6" w:rsidRDefault="008B06A6" w:rsidP="00476839">
      <w:pPr>
        <w:contextualSpacing/>
        <w:rPr>
          <w:rFonts w:ascii="Arial" w:hAnsi="Arial" w:cs="Arial"/>
          <w:color w:val="000000"/>
          <w:sz w:val="20"/>
          <w:szCs w:val="20"/>
        </w:rPr>
      </w:pPr>
    </w:p>
    <w:p w:rsidR="00990C83" w:rsidRPr="00E5019C" w:rsidRDefault="00990C83" w:rsidP="00476839">
      <w:pPr>
        <w:contextualSpacing/>
        <w:rPr>
          <w:rFonts w:ascii="Arial" w:hAnsi="Arial" w:cs="Arial"/>
          <w:b/>
          <w:bCs/>
          <w:color w:val="000000"/>
          <w:sz w:val="20"/>
          <w:szCs w:val="20"/>
        </w:rPr>
      </w:pPr>
      <w:r w:rsidRPr="00E5019C">
        <w:rPr>
          <w:rFonts w:ascii="Arial" w:hAnsi="Arial" w:cs="Arial"/>
          <w:color w:val="000000"/>
          <w:sz w:val="20"/>
          <w:szCs w:val="20"/>
        </w:rPr>
        <w:t xml:space="preserve">7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50 operaciones en tiempo real, durante el primer periodo, excediendo los tres días posteriores en que se realizó la operación, por un importe de </w:t>
      </w:r>
      <w:r w:rsidRPr="00E5019C">
        <w:rPr>
          <w:rFonts w:ascii="Arial" w:hAnsi="Arial" w:cs="Arial"/>
          <w:b/>
          <w:bCs/>
          <w:color w:val="000000"/>
          <w:sz w:val="20"/>
          <w:szCs w:val="20"/>
        </w:rPr>
        <w:t>$301,528.89</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8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realizar verazmente el registro contable de 7 operaciones en tiempo real, excediendo los tres días posteriores a que se realizó la operación por un importe de </w:t>
      </w:r>
      <w:r w:rsidRPr="00E5019C">
        <w:rPr>
          <w:rFonts w:ascii="Arial" w:eastAsia="Times New Roman" w:hAnsi="Arial" w:cs="Arial"/>
          <w:b/>
          <w:sz w:val="20"/>
          <w:szCs w:val="20"/>
          <w:lang w:eastAsia="es-MX"/>
        </w:rPr>
        <w:t>$421,644.56</w:t>
      </w:r>
    </w:p>
    <w:p w:rsidR="00424D47" w:rsidRDefault="00424D47" w:rsidP="00476839">
      <w:pPr>
        <w:contextualSpacing/>
        <w:jc w:val="center"/>
        <w:rPr>
          <w:rFonts w:ascii="Arial" w:hAnsi="Arial" w:cs="Arial"/>
          <w:sz w:val="20"/>
          <w:szCs w:val="20"/>
        </w:rPr>
      </w:pPr>
    </w:p>
    <w:p w:rsidR="00424D47" w:rsidRDefault="00424D47" w:rsidP="00476839">
      <w:pPr>
        <w:contextualSpacing/>
        <w:jc w:val="center"/>
        <w:rPr>
          <w:rFonts w:ascii="Arial" w:hAnsi="Arial" w:cs="Arial"/>
          <w:sz w:val="20"/>
          <w:szCs w:val="20"/>
        </w:rPr>
      </w:pPr>
    </w:p>
    <w:p w:rsidR="00424D47" w:rsidRDefault="00424D47" w:rsidP="00476839">
      <w:pPr>
        <w:contextualSpacing/>
        <w:jc w:val="center"/>
        <w:rPr>
          <w:rFonts w:ascii="Arial" w:hAnsi="Arial" w:cs="Arial"/>
          <w:sz w:val="20"/>
          <w:szCs w:val="20"/>
        </w:rPr>
      </w:pPr>
    </w:p>
    <w:p w:rsidR="00990C83" w:rsidRDefault="008F71DD" w:rsidP="00476839">
      <w:pPr>
        <w:contextualSpacing/>
        <w:jc w:val="center"/>
        <w:rPr>
          <w:rFonts w:ascii="Arial" w:hAnsi="Arial" w:cs="Arial"/>
          <w:b/>
          <w:bCs/>
          <w:sz w:val="20"/>
          <w:szCs w:val="20"/>
        </w:rPr>
      </w:pPr>
      <w:r>
        <w:rPr>
          <w:rFonts w:ascii="Arial" w:hAnsi="Arial" w:cs="Arial"/>
          <w:b/>
          <w:bCs/>
          <w:sz w:val="20"/>
          <w:szCs w:val="20"/>
        </w:rPr>
        <w:t>Partido Revolucionario Institucional</w:t>
      </w:r>
    </w:p>
    <w:p w:rsidR="00424D47" w:rsidRPr="00424D47" w:rsidRDefault="00424D47" w:rsidP="00476839">
      <w:pPr>
        <w:contextualSpacing/>
        <w:jc w:val="center"/>
        <w:rPr>
          <w:rFonts w:ascii="Arial" w:hAnsi="Arial" w:cs="Arial"/>
          <w:b/>
          <w:bCs/>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rPr>
          <w:rFonts w:ascii="Arial" w:eastAsia="Arial Unicode MS" w:hAnsi="Arial" w:cs="Arial"/>
          <w:sz w:val="20"/>
          <w:szCs w:val="20"/>
        </w:rPr>
      </w:pPr>
      <w:r w:rsidRPr="00E5019C">
        <w:rPr>
          <w:rFonts w:ascii="Arial" w:eastAsia="Arial Unicode MS" w:hAnsi="Arial" w:cs="Arial"/>
          <w:sz w:val="20"/>
          <w:szCs w:val="20"/>
        </w:rPr>
        <w:t xml:space="preserve">3 </w:t>
      </w:r>
      <w:proofErr w:type="gramStart"/>
      <w:r w:rsidRPr="00E5019C">
        <w:rPr>
          <w:rFonts w:ascii="Arial" w:eastAsia="Arial Unicode MS" w:hAnsi="Arial" w:cs="Arial"/>
          <w:sz w:val="20"/>
          <w:szCs w:val="20"/>
        </w:rPr>
        <w:t>El</w:t>
      </w:r>
      <w:proofErr w:type="gramEnd"/>
      <w:r w:rsidRPr="00E5019C">
        <w:rPr>
          <w:rFonts w:ascii="Arial" w:eastAsia="Arial Unicode MS" w:hAnsi="Arial" w:cs="Arial"/>
          <w:sz w:val="20"/>
          <w:szCs w:val="20"/>
        </w:rPr>
        <w:t xml:space="preserve"> sujeto obligado presento de forma extemporánea los avisos de contratación por un monto total de $716,474.74</w:t>
      </w:r>
    </w:p>
    <w:p w:rsidR="008B06A6" w:rsidRDefault="008B06A6" w:rsidP="00476839">
      <w:pPr>
        <w:contextualSpacing/>
        <w:rPr>
          <w:rFonts w:ascii="Arial" w:eastAsia="Arial Unicode MS" w:hAnsi="Arial" w:cs="Arial"/>
          <w:color w:val="171717" w:themeColor="background2" w:themeShade="1A"/>
          <w:sz w:val="20"/>
          <w:szCs w:val="20"/>
        </w:rPr>
      </w:pPr>
    </w:p>
    <w:p w:rsidR="00990C83" w:rsidRPr="00E5019C" w:rsidRDefault="00990C83" w:rsidP="00476839">
      <w:pPr>
        <w:contextualSpacing/>
        <w:rPr>
          <w:rFonts w:ascii="Arial" w:eastAsia="Arial Unicode MS" w:hAnsi="Arial" w:cs="Arial"/>
          <w:color w:val="171717" w:themeColor="background2" w:themeShade="1A"/>
          <w:sz w:val="20"/>
          <w:szCs w:val="20"/>
        </w:rPr>
      </w:pPr>
      <w:r w:rsidRPr="00E5019C">
        <w:rPr>
          <w:rFonts w:ascii="Arial" w:eastAsia="Arial Unicode MS" w:hAnsi="Arial" w:cs="Arial"/>
          <w:color w:val="171717" w:themeColor="background2" w:themeShade="1A"/>
          <w:sz w:val="20"/>
          <w:szCs w:val="20"/>
        </w:rPr>
        <w:t xml:space="preserve">5 </w:t>
      </w:r>
      <w:proofErr w:type="gramStart"/>
      <w:r w:rsidRPr="00E5019C">
        <w:rPr>
          <w:rFonts w:ascii="Arial" w:eastAsia="Arial Unicode MS" w:hAnsi="Arial" w:cs="Arial"/>
          <w:color w:val="171717" w:themeColor="background2" w:themeShade="1A"/>
          <w:sz w:val="20"/>
          <w:szCs w:val="20"/>
        </w:rPr>
        <w:t>El</w:t>
      </w:r>
      <w:proofErr w:type="gramEnd"/>
      <w:r w:rsidRPr="00E5019C">
        <w:rPr>
          <w:rFonts w:ascii="Arial" w:eastAsia="Arial Unicode MS" w:hAnsi="Arial" w:cs="Arial"/>
          <w:color w:val="171717" w:themeColor="background2" w:themeShade="1A"/>
          <w:sz w:val="20"/>
          <w:szCs w:val="20"/>
        </w:rPr>
        <w:t xml:space="preserve"> sujeto obligado informó de manera extemporánea el cambio de estatus de </w:t>
      </w:r>
      <w:r w:rsidRPr="00E5019C">
        <w:rPr>
          <w:rFonts w:ascii="Arial" w:eastAsia="Arial Unicode MS" w:hAnsi="Arial" w:cs="Arial"/>
          <w:sz w:val="20"/>
          <w:szCs w:val="20"/>
        </w:rPr>
        <w:t xml:space="preserve">cancelación de 239 </w:t>
      </w:r>
      <w:r w:rsidRPr="00E5019C">
        <w:rPr>
          <w:rFonts w:ascii="Arial" w:eastAsia="Arial Unicode MS" w:hAnsi="Arial" w:cs="Arial"/>
          <w:color w:val="171717" w:themeColor="background2" w:themeShade="1A"/>
          <w:sz w:val="20"/>
          <w:szCs w:val="20"/>
        </w:rPr>
        <w:t>eventos de la agenda de actos públicos 48 horas después de la fecha en la que iba a realizarse el evento</w:t>
      </w:r>
    </w:p>
    <w:p w:rsidR="008B06A6" w:rsidRDefault="008B06A6" w:rsidP="00476839">
      <w:pPr>
        <w:tabs>
          <w:tab w:val="right" w:pos="8504"/>
        </w:tabs>
        <w:contextualSpacing/>
        <w:rPr>
          <w:rFonts w:ascii="Arial" w:eastAsia="Arial Unicode MS" w:hAnsi="Arial" w:cs="Arial"/>
          <w:sz w:val="20"/>
          <w:szCs w:val="20"/>
        </w:rPr>
      </w:pPr>
    </w:p>
    <w:p w:rsidR="00990C83" w:rsidRPr="00E5019C" w:rsidRDefault="00990C83" w:rsidP="00476839">
      <w:pPr>
        <w:tabs>
          <w:tab w:val="right" w:pos="8504"/>
        </w:tabs>
        <w:contextualSpacing/>
        <w:rPr>
          <w:rFonts w:ascii="Arial" w:eastAsia="Arial Unicode MS" w:hAnsi="Arial" w:cs="Arial"/>
          <w:sz w:val="20"/>
          <w:szCs w:val="20"/>
        </w:rPr>
      </w:pPr>
      <w:r w:rsidRPr="00E5019C">
        <w:rPr>
          <w:rFonts w:ascii="Arial" w:eastAsia="Arial Unicode MS" w:hAnsi="Arial" w:cs="Arial"/>
          <w:sz w:val="20"/>
          <w:szCs w:val="20"/>
        </w:rPr>
        <w:t>8. El sujeto obligado presento de forma extemporánea los avisos de contratación por un monto total de $1,866,765.76</w:t>
      </w:r>
      <w:r w:rsidRPr="00E5019C">
        <w:rPr>
          <w:rFonts w:ascii="Arial" w:eastAsia="Arial Unicode MS" w:hAnsi="Arial" w:cs="Arial"/>
          <w:sz w:val="20"/>
          <w:szCs w:val="20"/>
        </w:rPr>
        <w:tab/>
      </w:r>
    </w:p>
    <w:p w:rsidR="00990C83" w:rsidRPr="00BD493A" w:rsidRDefault="00990C83" w:rsidP="00476839">
      <w:pPr>
        <w:jc w:val="both"/>
        <w:rPr>
          <w:rFonts w:ascii="Arial" w:hAnsi="Arial" w:cs="Arial"/>
          <w:sz w:val="20"/>
          <w:szCs w:val="20"/>
        </w:rPr>
      </w:pPr>
      <w:r w:rsidRPr="00BD493A">
        <w:rPr>
          <w:rFonts w:ascii="Arial" w:hAnsi="Arial" w:cs="Arial"/>
          <w:sz w:val="20"/>
          <w:szCs w:val="20"/>
        </w:rPr>
        <w:t>l sujeto obligado omitió presentar documentación adjunta al informe de campaña.</w:t>
      </w:r>
    </w:p>
    <w:p w:rsidR="00BD493A" w:rsidRDefault="00BD493A" w:rsidP="00476839">
      <w:pPr>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jc w:val="both"/>
        <w:rPr>
          <w:rFonts w:ascii="Arial" w:eastAsia="Arial Unicode MS" w:hAnsi="Arial" w:cs="Arial"/>
          <w:sz w:val="20"/>
          <w:szCs w:val="20"/>
        </w:rPr>
      </w:pPr>
      <w:r w:rsidRPr="00E5019C">
        <w:rPr>
          <w:rFonts w:ascii="Arial" w:eastAsia="Arial Unicode MS" w:hAnsi="Arial" w:cs="Arial"/>
          <w:sz w:val="20"/>
          <w:szCs w:val="20"/>
        </w:rPr>
        <w:t xml:space="preserve">1 </w:t>
      </w:r>
      <w:proofErr w:type="gramStart"/>
      <w:r w:rsidRPr="00E5019C">
        <w:rPr>
          <w:rFonts w:ascii="Arial" w:eastAsia="Arial Unicode MS" w:hAnsi="Arial" w:cs="Arial"/>
          <w:sz w:val="20"/>
          <w:szCs w:val="20"/>
        </w:rPr>
        <w:t>El</w:t>
      </w:r>
      <w:proofErr w:type="gramEnd"/>
      <w:r w:rsidRPr="00E5019C">
        <w:rPr>
          <w:rFonts w:ascii="Arial" w:eastAsia="Arial Unicode MS" w:hAnsi="Arial" w:cs="Arial"/>
          <w:sz w:val="20"/>
          <w:szCs w:val="20"/>
        </w:rPr>
        <w:t xml:space="preserve"> sujeto obligado informó de manera extemporánea 5 eventos de la agenda de actos públicos, de manera posterior a su celebración.</w:t>
      </w:r>
    </w:p>
    <w:p w:rsidR="00990C83" w:rsidRPr="00E5019C" w:rsidRDefault="00990C83" w:rsidP="00476839">
      <w:pPr>
        <w:contextualSpacing/>
        <w:jc w:val="both"/>
        <w:rPr>
          <w:rFonts w:ascii="Arial" w:hAnsi="Arial" w:cs="Arial"/>
          <w:color w:val="000000"/>
          <w:sz w:val="20"/>
          <w:szCs w:val="20"/>
          <w:lang w:eastAsia="es-MX"/>
        </w:rPr>
      </w:pPr>
      <w:r w:rsidRPr="00E5019C">
        <w:rPr>
          <w:rFonts w:ascii="Arial" w:hAnsi="Arial" w:cs="Arial"/>
          <w:sz w:val="20"/>
          <w:szCs w:val="20"/>
        </w:rPr>
        <w:lastRenderedPageBreak/>
        <w:t xml:space="preserve">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realizar el registro contable de sus operaciones en tiempo r</w:t>
      </w:r>
      <w:r w:rsidRPr="00E5019C">
        <w:rPr>
          <w:rFonts w:ascii="Arial" w:hAnsi="Arial" w:cs="Arial"/>
          <w:b/>
          <w:sz w:val="20"/>
          <w:szCs w:val="20"/>
        </w:rPr>
        <w:t>e</w:t>
      </w:r>
      <w:r w:rsidRPr="00E5019C">
        <w:rPr>
          <w:rFonts w:ascii="Arial" w:hAnsi="Arial" w:cs="Arial"/>
          <w:sz w:val="20"/>
          <w:szCs w:val="20"/>
        </w:rPr>
        <w:t xml:space="preserve">al, durante el primer periodo excediendo los tres días posteriores en que se realizó la operación, por un importe de </w:t>
      </w:r>
      <w:r w:rsidRPr="00E5019C">
        <w:rPr>
          <w:rFonts w:ascii="Arial" w:hAnsi="Arial" w:cs="Arial"/>
          <w:color w:val="000000"/>
          <w:sz w:val="20"/>
          <w:szCs w:val="20"/>
        </w:rPr>
        <w:t>$502,720.69</w:t>
      </w:r>
    </w:p>
    <w:p w:rsidR="008B06A6" w:rsidRDefault="008B06A6" w:rsidP="00476839">
      <w:pPr>
        <w:contextualSpacing/>
        <w:jc w:val="both"/>
        <w:rPr>
          <w:rFonts w:ascii="Arial" w:eastAsia="Arial Unicode MS" w:hAnsi="Arial" w:cs="Arial"/>
          <w:sz w:val="20"/>
          <w:szCs w:val="20"/>
        </w:rPr>
      </w:pPr>
    </w:p>
    <w:p w:rsidR="00990C83" w:rsidRPr="00E5019C" w:rsidRDefault="00990C83" w:rsidP="00476839">
      <w:pPr>
        <w:contextualSpacing/>
        <w:jc w:val="both"/>
        <w:rPr>
          <w:rFonts w:ascii="Arial" w:eastAsia="Arial Unicode MS" w:hAnsi="Arial" w:cs="Arial"/>
          <w:sz w:val="20"/>
          <w:szCs w:val="20"/>
        </w:rPr>
      </w:pPr>
      <w:r w:rsidRPr="00E5019C">
        <w:rPr>
          <w:rFonts w:ascii="Arial" w:eastAsia="Arial Unicode MS" w:hAnsi="Arial" w:cs="Arial"/>
          <w:sz w:val="20"/>
          <w:szCs w:val="20"/>
        </w:rPr>
        <w:t xml:space="preserve">6 </w:t>
      </w:r>
      <w:proofErr w:type="gramStart"/>
      <w:r w:rsidRPr="00E5019C">
        <w:rPr>
          <w:rFonts w:ascii="Arial" w:eastAsia="Arial Unicode MS" w:hAnsi="Arial" w:cs="Arial"/>
          <w:sz w:val="20"/>
          <w:szCs w:val="20"/>
        </w:rPr>
        <w:t>El</w:t>
      </w:r>
      <w:proofErr w:type="gramEnd"/>
      <w:r w:rsidRPr="00E5019C">
        <w:rPr>
          <w:rFonts w:ascii="Arial" w:eastAsia="Arial Unicode MS" w:hAnsi="Arial" w:cs="Arial"/>
          <w:sz w:val="20"/>
          <w:szCs w:val="20"/>
        </w:rPr>
        <w:t xml:space="preserve"> sujeto obligado informó de manera extemporánea 30 eventos de la agenda de actos públicos, de manera posterior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Cs/>
          <w:color w:val="000000"/>
          <w:sz w:val="20"/>
          <w:szCs w:val="20"/>
        </w:rPr>
      </w:pPr>
      <w:r w:rsidRPr="00E5019C">
        <w:rPr>
          <w:rFonts w:ascii="Arial" w:hAnsi="Arial" w:cs="Arial"/>
          <w:sz w:val="20"/>
          <w:szCs w:val="20"/>
        </w:rPr>
        <w:t xml:space="preserve">9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realizar el registro contable de sus operaciones en tiempo real, durante el primer periodo excediendo los tres días posteriores en que se realizó la operación, por un importe de </w:t>
      </w:r>
      <w:r w:rsidRPr="00E5019C">
        <w:rPr>
          <w:rFonts w:ascii="Arial" w:hAnsi="Arial" w:cs="Arial"/>
          <w:bCs/>
          <w:color w:val="000000"/>
          <w:sz w:val="20"/>
          <w:szCs w:val="20"/>
        </w:rPr>
        <w:t>$363,918.70.</w:t>
      </w:r>
    </w:p>
    <w:p w:rsidR="008B06A6" w:rsidRDefault="008B06A6" w:rsidP="00476839">
      <w:pPr>
        <w:contextualSpacing/>
        <w:jc w:val="both"/>
        <w:rPr>
          <w:rFonts w:ascii="Arial" w:hAnsi="Arial" w:cs="Arial"/>
          <w:bCs/>
          <w:color w:val="000000"/>
          <w:sz w:val="20"/>
          <w:szCs w:val="20"/>
        </w:rPr>
      </w:pPr>
    </w:p>
    <w:p w:rsidR="00990C83" w:rsidRDefault="00990C83" w:rsidP="00476839">
      <w:pPr>
        <w:contextualSpacing/>
        <w:jc w:val="both"/>
        <w:rPr>
          <w:rFonts w:ascii="Arial" w:hAnsi="Arial" w:cs="Arial"/>
          <w:sz w:val="20"/>
          <w:szCs w:val="20"/>
        </w:rPr>
      </w:pPr>
      <w:r w:rsidRPr="00E5019C">
        <w:rPr>
          <w:rFonts w:ascii="Arial" w:hAnsi="Arial" w:cs="Arial"/>
          <w:bCs/>
          <w:color w:val="000000"/>
          <w:sz w:val="20"/>
          <w:szCs w:val="20"/>
        </w:rPr>
        <w:t xml:space="preserve">10 BIS </w:t>
      </w:r>
      <w:r w:rsidRPr="00E5019C">
        <w:rPr>
          <w:rFonts w:ascii="Arial" w:hAnsi="Arial" w:cs="Arial"/>
          <w:sz w:val="20"/>
          <w:szCs w:val="20"/>
        </w:rPr>
        <w:t>El sujeto obligado omitió reportar en el informe de campaña, las erogaciones por concepto de pago de representantes de casilla de jornada electoral</w:t>
      </w:r>
      <w:r w:rsidR="00BD493A">
        <w:rPr>
          <w:rFonts w:ascii="Arial" w:hAnsi="Arial" w:cs="Arial"/>
          <w:sz w:val="20"/>
          <w:szCs w:val="20"/>
        </w:rPr>
        <w:t>.</w:t>
      </w:r>
    </w:p>
    <w:p w:rsidR="00BD493A" w:rsidRDefault="00BD493A" w:rsidP="00476839">
      <w:pPr>
        <w:contextualSpacing/>
        <w:jc w:val="both"/>
        <w:rPr>
          <w:rFonts w:ascii="Arial" w:hAnsi="Arial" w:cs="Arial"/>
          <w:sz w:val="20"/>
          <w:szCs w:val="20"/>
        </w:rPr>
      </w:pPr>
    </w:p>
    <w:p w:rsidR="008F71DD" w:rsidRDefault="008F71DD" w:rsidP="00476839">
      <w:pPr>
        <w:contextualSpacing/>
        <w:jc w:val="both"/>
        <w:rPr>
          <w:rFonts w:ascii="Arial" w:hAnsi="Arial" w:cs="Arial"/>
          <w:sz w:val="20"/>
          <w:szCs w:val="20"/>
        </w:rPr>
      </w:pPr>
    </w:p>
    <w:p w:rsidR="00BD493A" w:rsidRPr="00E5019C" w:rsidRDefault="00BD493A" w:rsidP="00476839">
      <w:pPr>
        <w:contextualSpacing/>
        <w:jc w:val="both"/>
        <w:rPr>
          <w:rFonts w:ascii="Arial" w:hAnsi="Arial" w:cs="Arial"/>
          <w:color w:val="000000"/>
          <w:sz w:val="20"/>
          <w:szCs w:val="20"/>
        </w:rPr>
      </w:pPr>
    </w:p>
    <w:p w:rsidR="00990C83" w:rsidRDefault="008F71DD" w:rsidP="00476839">
      <w:pPr>
        <w:contextualSpacing/>
        <w:jc w:val="center"/>
        <w:rPr>
          <w:rFonts w:ascii="Arial" w:eastAsia="Arial Unicode MS" w:hAnsi="Arial" w:cs="Arial"/>
          <w:b/>
          <w:bCs/>
          <w:sz w:val="20"/>
          <w:szCs w:val="20"/>
        </w:rPr>
      </w:pPr>
      <w:r>
        <w:rPr>
          <w:rFonts w:ascii="Arial" w:eastAsia="Arial Unicode MS" w:hAnsi="Arial" w:cs="Arial"/>
          <w:b/>
          <w:bCs/>
          <w:sz w:val="20"/>
          <w:szCs w:val="20"/>
        </w:rPr>
        <w:t>Partido de la Revolución Democrática</w:t>
      </w:r>
    </w:p>
    <w:p w:rsidR="008F71DD" w:rsidRPr="00FB2E68" w:rsidRDefault="008F71DD" w:rsidP="00476839">
      <w:pPr>
        <w:contextualSpacing/>
        <w:jc w:val="center"/>
        <w:rPr>
          <w:rFonts w:ascii="Arial" w:eastAsia="Arial Unicode MS" w:hAnsi="Arial" w:cs="Arial"/>
          <w:b/>
          <w:bCs/>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2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los avisos de contratación por un monto total $ 302,434.04</w:t>
      </w:r>
    </w:p>
    <w:p w:rsidR="008B06A6" w:rsidRDefault="008B06A6" w:rsidP="00476839">
      <w:pPr>
        <w:contextualSpacing/>
        <w:jc w:val="both"/>
        <w:rPr>
          <w:rFonts w:ascii="Arial" w:hAnsi="Arial" w:cs="Arial"/>
          <w:sz w:val="20"/>
          <w:szCs w:val="20"/>
        </w:rPr>
      </w:pPr>
    </w:p>
    <w:p w:rsidR="00990C83" w:rsidRDefault="00990C83" w:rsidP="00476839">
      <w:pPr>
        <w:contextualSpacing/>
        <w:jc w:val="both"/>
        <w:rPr>
          <w:rFonts w:ascii="Arial" w:hAnsi="Arial" w:cs="Arial"/>
          <w:sz w:val="20"/>
          <w:szCs w:val="20"/>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presento 6 avisos de contratación que fueron informados de forma extemporánea, por un monto de $1,497,647.00</w:t>
      </w:r>
    </w:p>
    <w:p w:rsidR="008B06A6" w:rsidRPr="00E5019C" w:rsidRDefault="008B06A6" w:rsidP="00476839">
      <w:pPr>
        <w:contextualSpacing/>
        <w:jc w:val="both"/>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1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informó de manera extemporánea de 17 eventos de la agenda de actos públicos, de manera previa a su celebración.</w:t>
      </w:r>
    </w:p>
    <w:p w:rsidR="008B06A6" w:rsidRDefault="008B06A6"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3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4 operaciones en tiempo real, durante el primer periodo, excediendo los tres días posteriores en que se realizó la operación, por un importe de </w:t>
      </w:r>
      <w:r w:rsidRPr="00E5019C">
        <w:rPr>
          <w:rFonts w:ascii="Arial" w:hAnsi="Arial" w:cs="Arial"/>
          <w:b/>
          <w:bCs/>
          <w:color w:val="000000"/>
          <w:sz w:val="20"/>
          <w:szCs w:val="20"/>
        </w:rPr>
        <w:t>$171,561.44</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4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informó de manera extemporánea de 164 eventos de la agenda de actos públicos, de manera previa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5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los avisos de contratación por un monto $ 263,460.62</w:t>
      </w:r>
    </w:p>
    <w:p w:rsidR="008B06A6" w:rsidRDefault="008B06A6"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6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9 operaciones en tiempo real, durante el primer periodo, excediendo los tres días posteriores en que se realizó la operación, por un importe de </w:t>
      </w:r>
      <w:r w:rsidRPr="00E5019C">
        <w:rPr>
          <w:rFonts w:ascii="Arial" w:hAnsi="Arial" w:cs="Arial"/>
          <w:b/>
          <w:bCs/>
          <w:color w:val="000000"/>
          <w:sz w:val="20"/>
          <w:szCs w:val="20"/>
        </w:rPr>
        <w:t>$113,429.32</w:t>
      </w:r>
    </w:p>
    <w:p w:rsidR="008B06A6" w:rsidRDefault="008B06A6"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7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3 operaciones en tiempo real, durante el primer periodo, excediendo los tres días posteriores en que se realizó la operación, por un importe de </w:t>
      </w:r>
      <w:r w:rsidRPr="00E5019C">
        <w:rPr>
          <w:rFonts w:ascii="Arial" w:hAnsi="Arial" w:cs="Arial"/>
          <w:b/>
          <w:bCs/>
          <w:color w:val="000000"/>
          <w:sz w:val="20"/>
          <w:szCs w:val="20"/>
        </w:rPr>
        <w:t>$272,916.45</w:t>
      </w:r>
    </w:p>
    <w:p w:rsidR="008B06A6" w:rsidRDefault="008B06A6"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8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2 operaciones en tiempo real, durante el primer periodo, excediendo los tres días posteriores en que se realizó la operación, por un importe de </w:t>
      </w:r>
      <w:r w:rsidRPr="00E5019C">
        <w:rPr>
          <w:rFonts w:ascii="Arial" w:hAnsi="Arial" w:cs="Arial"/>
          <w:b/>
          <w:bCs/>
          <w:color w:val="000000"/>
          <w:sz w:val="20"/>
          <w:szCs w:val="20"/>
        </w:rPr>
        <w:t>$107,880.00</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9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realizar el registro contable de 35 sus operaciones en tiempo real, excediendo los tres días posteriores en que se realizó la operación, por un importe de $396,739.00.</w:t>
      </w:r>
    </w:p>
    <w:p w:rsidR="00FB2E68" w:rsidRDefault="00FB2E68" w:rsidP="00476839">
      <w:pPr>
        <w:contextualSpacing/>
        <w:jc w:val="center"/>
        <w:rPr>
          <w:rFonts w:ascii="Arial" w:eastAsia="Arial Unicode MS" w:hAnsi="Arial" w:cs="Arial"/>
          <w:sz w:val="20"/>
          <w:szCs w:val="20"/>
        </w:rPr>
      </w:pPr>
    </w:p>
    <w:p w:rsidR="00FB2E68" w:rsidRDefault="00FB2E68" w:rsidP="00476839">
      <w:pPr>
        <w:contextualSpacing/>
        <w:jc w:val="center"/>
        <w:rPr>
          <w:rFonts w:ascii="Arial" w:eastAsia="Arial Unicode MS" w:hAnsi="Arial" w:cs="Arial"/>
          <w:sz w:val="20"/>
          <w:szCs w:val="20"/>
        </w:rPr>
      </w:pPr>
    </w:p>
    <w:p w:rsidR="00FB2E68" w:rsidRDefault="00FB2E68" w:rsidP="00476839">
      <w:pPr>
        <w:contextualSpacing/>
        <w:jc w:val="center"/>
        <w:rPr>
          <w:rFonts w:ascii="Arial" w:eastAsia="Arial Unicode MS" w:hAnsi="Arial" w:cs="Arial"/>
          <w:sz w:val="20"/>
          <w:szCs w:val="20"/>
        </w:rPr>
      </w:pPr>
    </w:p>
    <w:p w:rsidR="008B06A6" w:rsidRDefault="008B06A6" w:rsidP="00476839">
      <w:pPr>
        <w:contextualSpacing/>
        <w:jc w:val="center"/>
        <w:rPr>
          <w:rFonts w:ascii="Arial" w:eastAsia="Arial Unicode MS" w:hAnsi="Arial" w:cs="Arial"/>
          <w:b/>
          <w:bCs/>
          <w:sz w:val="20"/>
          <w:szCs w:val="20"/>
        </w:rPr>
      </w:pPr>
    </w:p>
    <w:p w:rsidR="008B06A6" w:rsidRDefault="008B06A6" w:rsidP="00476839">
      <w:pPr>
        <w:contextualSpacing/>
        <w:jc w:val="center"/>
        <w:rPr>
          <w:rFonts w:ascii="Arial" w:eastAsia="Arial Unicode MS" w:hAnsi="Arial" w:cs="Arial"/>
          <w:b/>
          <w:bCs/>
          <w:sz w:val="20"/>
          <w:szCs w:val="20"/>
        </w:rPr>
      </w:pPr>
    </w:p>
    <w:p w:rsidR="00990C83" w:rsidRDefault="008F71DD" w:rsidP="00476839">
      <w:pPr>
        <w:contextualSpacing/>
        <w:jc w:val="center"/>
        <w:rPr>
          <w:rFonts w:ascii="Arial" w:eastAsia="Arial Unicode MS" w:hAnsi="Arial" w:cs="Arial"/>
          <w:b/>
          <w:bCs/>
          <w:sz w:val="20"/>
          <w:szCs w:val="20"/>
        </w:rPr>
      </w:pPr>
      <w:r>
        <w:rPr>
          <w:rFonts w:ascii="Arial" w:eastAsia="Arial Unicode MS" w:hAnsi="Arial" w:cs="Arial"/>
          <w:b/>
          <w:bCs/>
          <w:sz w:val="20"/>
          <w:szCs w:val="20"/>
        </w:rPr>
        <w:lastRenderedPageBreak/>
        <w:t>Partido del Trabajo</w:t>
      </w:r>
    </w:p>
    <w:p w:rsidR="008F71DD" w:rsidRPr="00FB2E68" w:rsidRDefault="008F71DD" w:rsidP="00476839">
      <w:pPr>
        <w:contextualSpacing/>
        <w:jc w:val="center"/>
        <w:rPr>
          <w:rFonts w:ascii="Arial" w:eastAsia="Arial Unicode MS" w:hAnsi="Arial" w:cs="Arial"/>
          <w:b/>
          <w:bCs/>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eastAsia="Arial Unicode MS" w:hAnsi="Arial" w:cs="Arial"/>
          <w:sz w:val="20"/>
          <w:szCs w:val="20"/>
        </w:rPr>
      </w:pPr>
      <w:r w:rsidRPr="00E5019C">
        <w:rPr>
          <w:rFonts w:ascii="Arial" w:hAnsi="Arial" w:cs="Arial"/>
          <w:color w:val="212121"/>
          <w:sz w:val="20"/>
          <w:szCs w:val="20"/>
        </w:rPr>
        <w:t xml:space="preserve">9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2 avisos de contratación al exceder el plazo establecido en la normativa.</w:t>
      </w:r>
    </w:p>
    <w:p w:rsidR="008B06A6" w:rsidRDefault="008B06A6" w:rsidP="00476839">
      <w:pPr>
        <w:contextualSpacing/>
        <w:rPr>
          <w:rFonts w:ascii="Arial" w:hAnsi="Arial" w:cs="Arial"/>
          <w:b/>
          <w:sz w:val="20"/>
          <w:szCs w:val="20"/>
          <w:u w:val="single"/>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jc w:val="both"/>
        <w:rPr>
          <w:rFonts w:ascii="Arial" w:hAnsi="Arial" w:cs="Arial"/>
          <w:color w:val="212121"/>
          <w:sz w:val="20"/>
          <w:szCs w:val="20"/>
        </w:rPr>
      </w:pPr>
      <w:r w:rsidRPr="00E5019C">
        <w:rPr>
          <w:rFonts w:ascii="Arial" w:hAnsi="Arial" w:cs="Arial"/>
          <w:color w:val="212121"/>
          <w:sz w:val="20"/>
          <w:szCs w:val="20"/>
        </w:rPr>
        <w:t xml:space="preserve">1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4 eventos de la agenda de actos públicos, de manera anticipada a su realización.</w:t>
      </w: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r w:rsidRPr="00E5019C">
        <w:rPr>
          <w:rFonts w:ascii="Arial" w:hAnsi="Arial" w:cs="Arial"/>
          <w:sz w:val="20"/>
          <w:szCs w:val="20"/>
        </w:rPr>
        <w:t>2 El sujeto obligado omitió realizar el registro contable de 4 operaciones en tiempo real, durante periodo uno excediendo los tres días posteriores en que se realizó la operación, por un importe de $123,728.80</w:t>
      </w: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3 El sujeto obligado informó de manera extemporánea 34 eventos de la agenda de actos públicos, de manera posterior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color w:val="212121"/>
          <w:sz w:val="20"/>
          <w:szCs w:val="20"/>
        </w:rPr>
      </w:pPr>
      <w:r w:rsidRPr="00E5019C">
        <w:rPr>
          <w:rFonts w:ascii="Arial" w:hAnsi="Arial" w:cs="Arial"/>
          <w:color w:val="212121"/>
          <w:sz w:val="20"/>
          <w:szCs w:val="20"/>
        </w:rPr>
        <w:t xml:space="preserve">4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4 eventos de la agenda de actos públicos, de manera anticipada a su realización</w:t>
      </w:r>
    </w:p>
    <w:p w:rsidR="008B06A6" w:rsidRDefault="008B06A6"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5 En consecuencia, el sujeto obligado informó de manera extemporánea 51 eventos de la agenda de actos públicos, de manera posterior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6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contratar directamente 1 anuncio espectacular, por un importe de $10,000.00</w:t>
      </w:r>
    </w:p>
    <w:p w:rsidR="008B06A6" w:rsidRDefault="008B06A6"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b/>
          <w:bCs/>
          <w:color w:val="000000"/>
          <w:sz w:val="20"/>
          <w:szCs w:val="20"/>
        </w:rPr>
      </w:pPr>
      <w:r w:rsidRPr="00E5019C">
        <w:rPr>
          <w:rFonts w:ascii="Arial" w:hAnsi="Arial" w:cs="Arial"/>
          <w:color w:val="000000"/>
          <w:sz w:val="20"/>
          <w:szCs w:val="20"/>
        </w:rPr>
        <w:t xml:space="preserve">7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71 operaciones en tiempo real, durante el primer periodo, excediendo los tres días posteriores en que se realizó la operación, por un importe de </w:t>
      </w:r>
      <w:r w:rsidRPr="00E5019C">
        <w:rPr>
          <w:rFonts w:ascii="Arial" w:hAnsi="Arial" w:cs="Arial"/>
          <w:b/>
          <w:bCs/>
          <w:color w:val="000000"/>
          <w:sz w:val="20"/>
          <w:szCs w:val="20"/>
        </w:rPr>
        <w:t>$714,996.59</w:t>
      </w:r>
    </w:p>
    <w:p w:rsidR="008B06A6" w:rsidRDefault="008B06A6" w:rsidP="00476839">
      <w:pPr>
        <w:pStyle w:val="xmsonormal"/>
        <w:spacing w:before="0" w:beforeAutospacing="0" w:after="0" w:afterAutospacing="0"/>
        <w:contextualSpacing/>
        <w:jc w:val="both"/>
        <w:rPr>
          <w:rFonts w:ascii="Arial" w:hAnsi="Arial" w:cs="Arial"/>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r w:rsidRPr="00E5019C">
        <w:rPr>
          <w:rFonts w:ascii="Arial" w:hAnsi="Arial" w:cs="Arial"/>
          <w:sz w:val="20"/>
          <w:szCs w:val="20"/>
        </w:rPr>
        <w:t>8 El sujeto obligado omitió realizar el registro contable de 1 operación en tiempo real, durante periodo uno excediendo los tres días posteriores en que se realizó la operación, por un importe de $3,740,281.59</w:t>
      </w: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10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deberá de reintegrar el remanente de Financiamiento Público por $9,099,910.96, por lo que se le da vista al Instituto Electoral del Estado de México con la finalidad de dar seguimiento a la devolución del remanente del financiamiento de campaña.</w:t>
      </w:r>
    </w:p>
    <w:p w:rsidR="00FB2E68" w:rsidRDefault="00FB2E68" w:rsidP="00476839">
      <w:pPr>
        <w:contextualSpacing/>
        <w:jc w:val="center"/>
        <w:rPr>
          <w:rFonts w:ascii="Arial" w:hAnsi="Arial" w:cs="Arial"/>
          <w:color w:val="000000"/>
          <w:sz w:val="20"/>
          <w:szCs w:val="20"/>
        </w:rPr>
      </w:pPr>
    </w:p>
    <w:p w:rsidR="00FB2E68" w:rsidRDefault="00FB2E68" w:rsidP="00476839">
      <w:pPr>
        <w:contextualSpacing/>
        <w:jc w:val="center"/>
        <w:rPr>
          <w:rFonts w:ascii="Arial" w:hAnsi="Arial" w:cs="Arial"/>
          <w:color w:val="000000"/>
          <w:sz w:val="20"/>
          <w:szCs w:val="20"/>
        </w:rPr>
      </w:pPr>
    </w:p>
    <w:p w:rsidR="00FB2E68" w:rsidRDefault="00FB2E68" w:rsidP="00476839">
      <w:pPr>
        <w:contextualSpacing/>
        <w:jc w:val="center"/>
        <w:rPr>
          <w:rFonts w:ascii="Arial" w:hAnsi="Arial" w:cs="Arial"/>
          <w:color w:val="000000"/>
          <w:sz w:val="20"/>
          <w:szCs w:val="20"/>
        </w:rPr>
      </w:pPr>
    </w:p>
    <w:p w:rsidR="00990C83" w:rsidRPr="00FB2E68" w:rsidRDefault="008F71DD" w:rsidP="00476839">
      <w:pPr>
        <w:contextualSpacing/>
        <w:jc w:val="center"/>
        <w:rPr>
          <w:rFonts w:ascii="Arial" w:hAnsi="Arial" w:cs="Arial"/>
          <w:b/>
          <w:bCs/>
          <w:color w:val="000000"/>
          <w:sz w:val="20"/>
          <w:szCs w:val="20"/>
        </w:rPr>
      </w:pPr>
      <w:r>
        <w:rPr>
          <w:rFonts w:ascii="Arial" w:hAnsi="Arial" w:cs="Arial"/>
          <w:b/>
          <w:bCs/>
          <w:color w:val="000000"/>
          <w:sz w:val="20"/>
          <w:szCs w:val="20"/>
        </w:rPr>
        <w:t>Partido Verde Ecologista de México</w:t>
      </w:r>
    </w:p>
    <w:p w:rsidR="00FB2E68" w:rsidRPr="00E5019C" w:rsidRDefault="00FB2E68" w:rsidP="00476839">
      <w:pPr>
        <w:contextualSpacing/>
        <w:jc w:val="center"/>
        <w:rPr>
          <w:rFonts w:ascii="Arial" w:hAnsi="Arial" w:cs="Arial"/>
          <w:color w:val="000000"/>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eastAsia="Arial Unicode MS" w:hAnsi="Arial" w:cs="Arial"/>
          <w:color w:val="171717" w:themeColor="background2" w:themeShade="1A"/>
          <w:sz w:val="20"/>
          <w:szCs w:val="20"/>
        </w:rPr>
      </w:pPr>
      <w:r w:rsidRPr="00E5019C">
        <w:rPr>
          <w:rFonts w:ascii="Arial" w:eastAsia="Arial Unicode MS" w:hAnsi="Arial" w:cs="Arial"/>
          <w:color w:val="171717" w:themeColor="background2" w:themeShade="1A"/>
          <w:sz w:val="20"/>
          <w:szCs w:val="20"/>
        </w:rPr>
        <w:t xml:space="preserve">1 </w:t>
      </w:r>
      <w:proofErr w:type="gramStart"/>
      <w:r w:rsidRPr="00E5019C">
        <w:rPr>
          <w:rFonts w:ascii="Arial" w:eastAsia="Arial Unicode MS" w:hAnsi="Arial" w:cs="Arial"/>
          <w:color w:val="171717" w:themeColor="background2" w:themeShade="1A"/>
          <w:sz w:val="20"/>
          <w:szCs w:val="20"/>
        </w:rPr>
        <w:t>El</w:t>
      </w:r>
      <w:proofErr w:type="gramEnd"/>
      <w:r w:rsidRPr="00E5019C">
        <w:rPr>
          <w:rFonts w:ascii="Arial" w:eastAsia="Arial Unicode MS" w:hAnsi="Arial" w:cs="Arial"/>
          <w:color w:val="171717" w:themeColor="background2" w:themeShade="1A"/>
          <w:sz w:val="20"/>
          <w:szCs w:val="20"/>
        </w:rPr>
        <w:t xml:space="preserve"> sujeto obligado informó de manera extemporánea el cambio de estatus de cancelación de 13 eventos de la agenda de actos públicos 48 horas después de la fecha en la que iba a realizarse el evento.</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5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45 conciliaciones bancarias correspondientes al mes de mayo de todos los candidatos.</w:t>
      </w:r>
    </w:p>
    <w:p w:rsidR="008B06A6" w:rsidRDefault="008B06A6" w:rsidP="00476839">
      <w:pPr>
        <w:contextualSpacing/>
        <w:jc w:val="both"/>
        <w:rPr>
          <w:rFonts w:ascii="Arial" w:eastAsia="Arial Unicode MS" w:hAnsi="Arial" w:cs="Arial"/>
          <w:color w:val="171717" w:themeColor="background2" w:themeShade="1A"/>
          <w:sz w:val="20"/>
          <w:szCs w:val="20"/>
        </w:rPr>
      </w:pPr>
    </w:p>
    <w:p w:rsidR="00990C83" w:rsidRPr="00E5019C" w:rsidRDefault="00990C83" w:rsidP="00476839">
      <w:pPr>
        <w:contextualSpacing/>
        <w:jc w:val="both"/>
        <w:rPr>
          <w:rFonts w:ascii="Arial" w:eastAsia="Arial Unicode MS" w:hAnsi="Arial" w:cs="Arial"/>
          <w:color w:val="171717" w:themeColor="background2" w:themeShade="1A"/>
          <w:sz w:val="20"/>
          <w:szCs w:val="20"/>
        </w:rPr>
      </w:pPr>
      <w:r w:rsidRPr="00E5019C">
        <w:rPr>
          <w:rFonts w:ascii="Arial" w:eastAsia="Arial Unicode MS" w:hAnsi="Arial" w:cs="Arial"/>
          <w:color w:val="171717" w:themeColor="background2" w:themeShade="1A"/>
          <w:sz w:val="20"/>
          <w:szCs w:val="20"/>
        </w:rPr>
        <w:t xml:space="preserve">6 </w:t>
      </w:r>
      <w:proofErr w:type="gramStart"/>
      <w:r w:rsidRPr="00E5019C">
        <w:rPr>
          <w:rFonts w:ascii="Arial" w:eastAsia="Arial Unicode MS" w:hAnsi="Arial" w:cs="Arial"/>
          <w:color w:val="171717" w:themeColor="background2" w:themeShade="1A"/>
          <w:sz w:val="20"/>
          <w:szCs w:val="20"/>
        </w:rPr>
        <w:t>El</w:t>
      </w:r>
      <w:proofErr w:type="gramEnd"/>
      <w:r w:rsidRPr="00E5019C">
        <w:rPr>
          <w:rFonts w:ascii="Arial" w:eastAsia="Arial Unicode MS" w:hAnsi="Arial" w:cs="Arial"/>
          <w:color w:val="171717" w:themeColor="background2" w:themeShade="1A"/>
          <w:sz w:val="20"/>
          <w:szCs w:val="20"/>
        </w:rPr>
        <w:t xml:space="preserve"> sujeto obligado informó de manera extemporánea el cambio de estatus de </w:t>
      </w:r>
      <w:r w:rsidRPr="00E5019C">
        <w:rPr>
          <w:rFonts w:ascii="Arial" w:eastAsia="Arial Unicode MS" w:hAnsi="Arial" w:cs="Arial"/>
          <w:sz w:val="20"/>
          <w:szCs w:val="20"/>
        </w:rPr>
        <w:t xml:space="preserve">cancelación de 74 </w:t>
      </w:r>
      <w:r w:rsidRPr="00E5019C">
        <w:rPr>
          <w:rFonts w:ascii="Arial" w:eastAsia="Arial Unicode MS" w:hAnsi="Arial" w:cs="Arial"/>
          <w:color w:val="171717" w:themeColor="background2" w:themeShade="1A"/>
          <w:sz w:val="20"/>
          <w:szCs w:val="20"/>
        </w:rPr>
        <w:t>eventos de la agenda de actos públicos 48 horas después de la fecha en la que iba a realizarse el evento.</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eastAsia="Arial Unicode MS" w:hAnsi="Arial" w:cs="Arial"/>
          <w:color w:val="171717" w:themeColor="background2" w:themeShade="1A"/>
          <w:sz w:val="20"/>
          <w:szCs w:val="20"/>
        </w:rPr>
      </w:pPr>
      <w:r w:rsidRPr="00E5019C">
        <w:rPr>
          <w:rFonts w:ascii="Arial" w:hAnsi="Arial" w:cs="Arial"/>
          <w:sz w:val="20"/>
          <w:szCs w:val="20"/>
        </w:rPr>
        <w:t xml:space="preserve">11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118 conciliaciones bancarias correspondientes al mes de mayo de todos los candidatos</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lastRenderedPageBreak/>
        <w:t xml:space="preserve">12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documentación adjunta al informe de campaña.</w:t>
      </w:r>
    </w:p>
    <w:p w:rsidR="008B06A6" w:rsidRDefault="008B06A6" w:rsidP="00476839">
      <w:pPr>
        <w:contextualSpacing/>
        <w:rPr>
          <w:rFonts w:ascii="Arial" w:hAnsi="Arial" w:cs="Arial"/>
          <w:b/>
          <w:sz w:val="20"/>
          <w:szCs w:val="20"/>
          <w:u w:val="single"/>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jc w:val="both"/>
        <w:rPr>
          <w:rFonts w:ascii="Arial" w:eastAsia="Arial Unicode MS" w:hAnsi="Arial" w:cs="Arial"/>
          <w:sz w:val="20"/>
          <w:szCs w:val="20"/>
        </w:rPr>
      </w:pPr>
      <w:r w:rsidRPr="00E5019C">
        <w:rPr>
          <w:rFonts w:ascii="Arial" w:eastAsia="Arial Unicode MS" w:hAnsi="Arial" w:cs="Arial"/>
          <w:sz w:val="20"/>
          <w:szCs w:val="20"/>
        </w:rPr>
        <w:t xml:space="preserve">2 </w:t>
      </w:r>
      <w:proofErr w:type="gramStart"/>
      <w:r w:rsidRPr="00E5019C">
        <w:rPr>
          <w:rFonts w:ascii="Arial" w:eastAsia="Arial Unicode MS" w:hAnsi="Arial" w:cs="Arial"/>
          <w:sz w:val="20"/>
          <w:szCs w:val="20"/>
        </w:rPr>
        <w:t>El</w:t>
      </w:r>
      <w:proofErr w:type="gramEnd"/>
      <w:r w:rsidRPr="00E5019C">
        <w:rPr>
          <w:rFonts w:ascii="Arial" w:eastAsia="Arial Unicode MS" w:hAnsi="Arial" w:cs="Arial"/>
          <w:sz w:val="20"/>
          <w:szCs w:val="20"/>
        </w:rPr>
        <w:t xml:space="preserve"> sujeto obligado informó de manera extemporánea 1143 eventos de la agenda de actos públicos, de manera posterior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3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extemporánea 323 eventos de la agenda de actos públicos, de manera previa a su celebración. </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comprobar que los recursos aportados en especie de simpatizantes, los cuales superan las 90 UMA, fueron pagados mediante cheque nominativo o transferencia bancaria por un monto de $145,884.00</w:t>
      </w:r>
    </w:p>
    <w:p w:rsidR="008B06A6" w:rsidRDefault="008B06A6" w:rsidP="00476839">
      <w:pPr>
        <w:contextualSpacing/>
        <w:jc w:val="both"/>
        <w:rPr>
          <w:rFonts w:ascii="Arial" w:eastAsia="Arial Unicode MS" w:hAnsi="Arial" w:cs="Arial"/>
          <w:sz w:val="20"/>
          <w:szCs w:val="20"/>
        </w:rPr>
      </w:pPr>
    </w:p>
    <w:p w:rsidR="00990C83" w:rsidRPr="00E5019C" w:rsidRDefault="00990C83" w:rsidP="00476839">
      <w:pPr>
        <w:contextualSpacing/>
        <w:jc w:val="both"/>
        <w:rPr>
          <w:rFonts w:ascii="Arial" w:eastAsia="Arial Unicode MS" w:hAnsi="Arial" w:cs="Arial"/>
          <w:sz w:val="20"/>
          <w:szCs w:val="20"/>
        </w:rPr>
      </w:pPr>
      <w:r w:rsidRPr="00E5019C">
        <w:rPr>
          <w:rFonts w:ascii="Arial" w:eastAsia="Arial Unicode MS" w:hAnsi="Arial" w:cs="Arial"/>
          <w:sz w:val="20"/>
          <w:szCs w:val="20"/>
        </w:rPr>
        <w:t xml:space="preserve">7 </w:t>
      </w:r>
      <w:proofErr w:type="gramStart"/>
      <w:r w:rsidRPr="00E5019C">
        <w:rPr>
          <w:rFonts w:ascii="Arial" w:eastAsia="Arial Unicode MS" w:hAnsi="Arial" w:cs="Arial"/>
          <w:sz w:val="20"/>
          <w:szCs w:val="20"/>
        </w:rPr>
        <w:t>El</w:t>
      </w:r>
      <w:proofErr w:type="gramEnd"/>
      <w:r w:rsidRPr="00E5019C">
        <w:rPr>
          <w:rFonts w:ascii="Arial" w:eastAsia="Arial Unicode MS" w:hAnsi="Arial" w:cs="Arial"/>
          <w:sz w:val="20"/>
          <w:szCs w:val="20"/>
        </w:rPr>
        <w:t xml:space="preserve"> sujeto obligado informó de manera extemporánea 2,832 eventos de la agenda de actos públicos, de manera posterior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8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extemporánea 821 eventos de la agenda de actos públicos, de manera previa a su celebración. </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proofErr w:type="gramStart"/>
      <w:r w:rsidRPr="00E5019C">
        <w:rPr>
          <w:rFonts w:ascii="Arial" w:hAnsi="Arial" w:cs="Arial"/>
          <w:sz w:val="20"/>
          <w:szCs w:val="20"/>
        </w:rPr>
        <w:t>10  El</w:t>
      </w:r>
      <w:proofErr w:type="gramEnd"/>
      <w:r w:rsidRPr="00E5019C">
        <w:rPr>
          <w:rFonts w:ascii="Arial" w:hAnsi="Arial" w:cs="Arial"/>
          <w:sz w:val="20"/>
          <w:szCs w:val="20"/>
        </w:rPr>
        <w:t xml:space="preserve"> sujeto obligado omitió realizar el registro contable de sus operaciones en tiempo real, durante el primer periodo excediendo los tres días posteriores en que se realizó la operación, por un importe de $ 615,030.04.</w:t>
      </w:r>
    </w:p>
    <w:p w:rsidR="008B06A6" w:rsidRDefault="008B06A6" w:rsidP="00476839">
      <w:pPr>
        <w:pStyle w:val="Sangra2detindependiente"/>
        <w:ind w:left="0"/>
        <w:contextualSpacing/>
        <w:rPr>
          <w:sz w:val="20"/>
          <w:szCs w:val="20"/>
        </w:rPr>
      </w:pPr>
    </w:p>
    <w:p w:rsidR="00990C83" w:rsidRPr="00E5019C" w:rsidRDefault="00990C83" w:rsidP="00476839">
      <w:pPr>
        <w:pStyle w:val="Sangra2detindependiente"/>
        <w:ind w:left="0"/>
        <w:contextualSpacing/>
        <w:rPr>
          <w:sz w:val="20"/>
          <w:szCs w:val="20"/>
        </w:rPr>
      </w:pPr>
      <w:r w:rsidRPr="00E5019C">
        <w:rPr>
          <w:sz w:val="20"/>
          <w:szCs w:val="20"/>
        </w:rPr>
        <w:t>13 El sujeto obligado omitió reportar en el informe de campaña, las erogaciones por concepto de pago de representantes de casilla de jornada electoral por un monto de $57,081.73.</w:t>
      </w:r>
    </w:p>
    <w:p w:rsidR="00990C83" w:rsidRPr="00E5019C" w:rsidRDefault="00990C83" w:rsidP="00476839">
      <w:pPr>
        <w:pStyle w:val="Sangra2detindependiente"/>
        <w:ind w:left="0"/>
        <w:contextualSpacing/>
        <w:rPr>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realizar el registro contable de sus operaciones en tiempo real, durante el primer periodo excediendo los tres días posteriores en que se realizó la operación, por un importe de $647,424.96.</w:t>
      </w:r>
    </w:p>
    <w:p w:rsidR="00FB2E68" w:rsidRDefault="00FB2E68" w:rsidP="00476839">
      <w:pPr>
        <w:contextualSpacing/>
        <w:jc w:val="center"/>
        <w:rPr>
          <w:rFonts w:ascii="Arial" w:eastAsia="Arial Unicode MS" w:hAnsi="Arial" w:cs="Arial"/>
          <w:sz w:val="20"/>
          <w:szCs w:val="20"/>
        </w:rPr>
      </w:pPr>
    </w:p>
    <w:p w:rsidR="00FB2E68" w:rsidRDefault="00FB2E68" w:rsidP="00476839">
      <w:pPr>
        <w:contextualSpacing/>
        <w:jc w:val="center"/>
        <w:rPr>
          <w:rFonts w:ascii="Arial" w:eastAsia="Arial Unicode MS" w:hAnsi="Arial" w:cs="Arial"/>
          <w:sz w:val="20"/>
          <w:szCs w:val="20"/>
        </w:rPr>
      </w:pPr>
    </w:p>
    <w:p w:rsidR="00990C83" w:rsidRPr="00FB2E68" w:rsidRDefault="008F71DD" w:rsidP="00476839">
      <w:pPr>
        <w:contextualSpacing/>
        <w:jc w:val="center"/>
        <w:rPr>
          <w:rFonts w:ascii="Arial" w:eastAsia="Arial Unicode MS" w:hAnsi="Arial" w:cs="Arial"/>
          <w:b/>
          <w:bCs/>
          <w:sz w:val="20"/>
          <w:szCs w:val="20"/>
        </w:rPr>
      </w:pPr>
      <w:r>
        <w:rPr>
          <w:rFonts w:ascii="Arial" w:eastAsia="Arial Unicode MS" w:hAnsi="Arial" w:cs="Arial"/>
          <w:b/>
          <w:bCs/>
          <w:sz w:val="20"/>
          <w:szCs w:val="20"/>
        </w:rPr>
        <w:t>Movimiento Ciudadano</w:t>
      </w:r>
    </w:p>
    <w:p w:rsidR="00FB2E68" w:rsidRPr="00E5019C" w:rsidRDefault="00FB2E68" w:rsidP="00476839">
      <w:pPr>
        <w:contextualSpacing/>
        <w:jc w:val="center"/>
        <w:rPr>
          <w:rFonts w:ascii="Arial" w:eastAsia="Arial Unicode MS"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eastAsia="Arial Unicode MS" w:hAnsi="Arial" w:cs="Arial"/>
          <w:sz w:val="20"/>
          <w:szCs w:val="20"/>
        </w:rPr>
      </w:pPr>
      <w:r w:rsidRPr="00E5019C">
        <w:rPr>
          <w:rFonts w:ascii="Arial" w:hAnsi="Arial" w:cs="Arial"/>
          <w:bCs/>
          <w:sz w:val="20"/>
          <w:szCs w:val="20"/>
        </w:rPr>
        <w:t>2 2 candidatos omitieron presentar el control de folios correspondiente a las aportaciones.</w:t>
      </w:r>
    </w:p>
    <w:p w:rsidR="008B06A6" w:rsidRDefault="008B06A6" w:rsidP="00476839">
      <w:pPr>
        <w:contextualSpacing/>
        <w:jc w:val="both"/>
        <w:rPr>
          <w:rFonts w:ascii="Arial" w:hAnsi="Arial" w:cs="Arial"/>
          <w:noProof/>
          <w:sz w:val="20"/>
          <w:szCs w:val="20"/>
        </w:rPr>
      </w:pPr>
    </w:p>
    <w:p w:rsidR="00990C83" w:rsidRPr="00E5019C" w:rsidRDefault="00990C83" w:rsidP="00476839">
      <w:pPr>
        <w:contextualSpacing/>
        <w:jc w:val="both"/>
        <w:rPr>
          <w:rFonts w:ascii="Arial" w:eastAsia="Arial Unicode MS" w:hAnsi="Arial" w:cs="Arial"/>
          <w:sz w:val="20"/>
          <w:szCs w:val="20"/>
        </w:rPr>
      </w:pPr>
      <w:r w:rsidRPr="00E5019C">
        <w:rPr>
          <w:rFonts w:ascii="Arial" w:hAnsi="Arial" w:cs="Arial"/>
          <w:noProof/>
          <w:sz w:val="20"/>
          <w:szCs w:val="20"/>
        </w:rPr>
        <w:t>5 1 Evento con el estatus “cancelado”, los cuales exceden el plazo de 48 horas después de la fecha en la que iba a realizarse el evento</w:t>
      </w:r>
    </w:p>
    <w:p w:rsidR="008B06A6" w:rsidRDefault="008B06A6" w:rsidP="00476839">
      <w:pPr>
        <w:contextualSpacing/>
        <w:rPr>
          <w:rFonts w:ascii="Arial" w:hAnsi="Arial" w:cs="Arial"/>
          <w:b/>
          <w:sz w:val="20"/>
          <w:szCs w:val="20"/>
          <w:u w:val="single"/>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3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presentó 17 registros de su Agenda de eventos presentada previo a su realización, sin antelación de siete días.</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4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realizo un registro </w:t>
      </w:r>
      <w:r w:rsidRPr="00E5019C">
        <w:rPr>
          <w:rFonts w:ascii="Arial" w:hAnsi="Arial" w:cs="Arial"/>
          <w:sz w:val="20"/>
          <w:szCs w:val="20"/>
          <w:shd w:val="clear" w:color="auto" w:fill="FFFFFF"/>
        </w:rPr>
        <w:t>extemporáneo por un monto de $180,700.40</w:t>
      </w:r>
    </w:p>
    <w:p w:rsidR="008B06A6" w:rsidRDefault="008B06A6" w:rsidP="00476839">
      <w:pPr>
        <w:contextualSpacing/>
        <w:jc w:val="both"/>
        <w:rPr>
          <w:rFonts w:ascii="Arial" w:hAnsi="Arial" w:cs="Arial"/>
          <w:color w:val="000000"/>
          <w:sz w:val="20"/>
          <w:szCs w:val="20"/>
          <w:shd w:val="clear" w:color="auto" w:fill="FFFFFF"/>
        </w:rPr>
      </w:pPr>
    </w:p>
    <w:p w:rsidR="00990C83" w:rsidRPr="00E5019C" w:rsidRDefault="00990C83" w:rsidP="00476839">
      <w:pPr>
        <w:contextualSpacing/>
        <w:jc w:val="both"/>
        <w:rPr>
          <w:rFonts w:ascii="Arial" w:eastAsia="Arial Unicode MS" w:hAnsi="Arial" w:cs="Arial"/>
          <w:sz w:val="20"/>
          <w:szCs w:val="20"/>
        </w:rPr>
      </w:pPr>
      <w:r w:rsidRPr="00E5019C">
        <w:rPr>
          <w:rFonts w:ascii="Arial" w:hAnsi="Arial" w:cs="Arial"/>
          <w:color w:val="000000"/>
          <w:sz w:val="20"/>
          <w:szCs w:val="20"/>
          <w:shd w:val="clear" w:color="auto" w:fill="FFFFFF"/>
        </w:rPr>
        <w:t xml:space="preserve">6 </w:t>
      </w:r>
      <w:proofErr w:type="gramStart"/>
      <w:r w:rsidRPr="00E5019C">
        <w:rPr>
          <w:rFonts w:ascii="Arial" w:hAnsi="Arial" w:cs="Arial"/>
          <w:color w:val="000000"/>
          <w:sz w:val="20"/>
          <w:szCs w:val="20"/>
          <w:shd w:val="clear" w:color="auto" w:fill="FFFFFF"/>
        </w:rPr>
        <w:t>Presentó</w:t>
      </w:r>
      <w:proofErr w:type="gramEnd"/>
      <w:r w:rsidRPr="00E5019C">
        <w:rPr>
          <w:rFonts w:ascii="Arial" w:hAnsi="Arial" w:cs="Arial"/>
          <w:color w:val="000000"/>
          <w:sz w:val="20"/>
          <w:szCs w:val="20"/>
          <w:shd w:val="clear" w:color="auto" w:fill="FFFFFF"/>
        </w:rPr>
        <w:t xml:space="preserve"> 25 eventos con posterioridad a su realización, mismos que no cumplieron con la antelación de 7 días</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7 </w:t>
      </w:r>
      <w:proofErr w:type="gramStart"/>
      <w:r w:rsidRPr="00E5019C">
        <w:rPr>
          <w:rFonts w:ascii="Arial" w:hAnsi="Arial" w:cs="Arial"/>
          <w:bCs/>
          <w:sz w:val="20"/>
          <w:szCs w:val="20"/>
        </w:rPr>
        <w:t>Agenda</w:t>
      </w:r>
      <w:proofErr w:type="gramEnd"/>
      <w:r w:rsidRPr="00E5019C">
        <w:rPr>
          <w:rFonts w:ascii="Arial" w:hAnsi="Arial" w:cs="Arial"/>
          <w:bCs/>
          <w:sz w:val="20"/>
          <w:szCs w:val="20"/>
        </w:rPr>
        <w:t xml:space="preserve"> de 48 eventos presentada previo a su realización, sin antelación de siete días.</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8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realizo 17 registros contables extemporáneos cuyo monto asciende a $81,722.00</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9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realizo 12 registros extemporáneos cuyo importe total es de $</w:t>
      </w:r>
      <w:r w:rsidRPr="00E5019C">
        <w:rPr>
          <w:rFonts w:ascii="Arial" w:hAnsi="Arial" w:cs="Arial"/>
          <w:sz w:val="20"/>
          <w:szCs w:val="20"/>
          <w:shd w:val="clear" w:color="auto" w:fill="FFFFFF"/>
        </w:rPr>
        <w:t>197,581.92</w:t>
      </w:r>
      <w:r w:rsidRPr="00E5019C">
        <w:rPr>
          <w:rFonts w:ascii="Arial" w:hAnsi="Arial" w:cs="Arial"/>
          <w:bCs/>
          <w:sz w:val="20"/>
          <w:szCs w:val="20"/>
        </w:rPr>
        <w:t>.</w:t>
      </w:r>
    </w:p>
    <w:p w:rsidR="00990C83" w:rsidRPr="00E5019C" w:rsidRDefault="00990C83" w:rsidP="00476839">
      <w:pPr>
        <w:contextualSpacing/>
        <w:jc w:val="both"/>
        <w:rPr>
          <w:rFonts w:ascii="Arial" w:hAnsi="Arial" w:cs="Arial"/>
          <w:bCs/>
          <w:sz w:val="20"/>
          <w:szCs w:val="20"/>
        </w:rPr>
      </w:pPr>
      <w:r w:rsidRPr="00E5019C">
        <w:rPr>
          <w:rFonts w:ascii="Arial" w:hAnsi="Arial" w:cs="Arial"/>
          <w:bCs/>
          <w:sz w:val="20"/>
          <w:szCs w:val="20"/>
        </w:rPr>
        <w:t xml:space="preserve">10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realizo un </w:t>
      </w:r>
      <w:proofErr w:type="spellStart"/>
      <w:r w:rsidRPr="00E5019C">
        <w:rPr>
          <w:rFonts w:ascii="Arial" w:hAnsi="Arial" w:cs="Arial"/>
          <w:sz w:val="20"/>
          <w:szCs w:val="20"/>
          <w:shd w:val="clear" w:color="auto" w:fill="FFFFFF"/>
        </w:rPr>
        <w:t>un</w:t>
      </w:r>
      <w:proofErr w:type="spellEnd"/>
      <w:r w:rsidRPr="00E5019C">
        <w:rPr>
          <w:rFonts w:ascii="Arial" w:hAnsi="Arial" w:cs="Arial"/>
          <w:sz w:val="20"/>
          <w:szCs w:val="20"/>
          <w:shd w:val="clear" w:color="auto" w:fill="FFFFFF"/>
        </w:rPr>
        <w:t xml:space="preserve"> registro no coincide con la consignada en los archivos XML, con un importe de $104,000.00.</w:t>
      </w:r>
    </w:p>
    <w:p w:rsidR="00FB2E68" w:rsidRDefault="00FB2E68" w:rsidP="00476839">
      <w:pPr>
        <w:contextualSpacing/>
        <w:jc w:val="center"/>
        <w:rPr>
          <w:rFonts w:ascii="Arial" w:eastAsia="Arial Unicode MS" w:hAnsi="Arial" w:cs="Arial"/>
          <w:sz w:val="20"/>
          <w:szCs w:val="20"/>
        </w:rPr>
      </w:pPr>
    </w:p>
    <w:p w:rsidR="00990C83" w:rsidRPr="00FB2E68" w:rsidRDefault="008F71DD" w:rsidP="00476839">
      <w:pPr>
        <w:contextualSpacing/>
        <w:jc w:val="center"/>
        <w:rPr>
          <w:rFonts w:ascii="Arial" w:eastAsia="Arial Unicode MS" w:hAnsi="Arial" w:cs="Arial"/>
          <w:b/>
          <w:bCs/>
          <w:sz w:val="20"/>
          <w:szCs w:val="20"/>
        </w:rPr>
      </w:pPr>
      <w:r>
        <w:rPr>
          <w:rFonts w:ascii="Arial" w:eastAsia="Arial Unicode MS" w:hAnsi="Arial" w:cs="Arial"/>
          <w:b/>
          <w:bCs/>
          <w:sz w:val="20"/>
          <w:szCs w:val="20"/>
        </w:rPr>
        <w:lastRenderedPageBreak/>
        <w:t>Nueva Alianza</w:t>
      </w:r>
    </w:p>
    <w:p w:rsidR="00FB2E68" w:rsidRPr="00E5019C" w:rsidRDefault="00FB2E68" w:rsidP="00476839">
      <w:pPr>
        <w:contextualSpacing/>
        <w:jc w:val="center"/>
        <w:rPr>
          <w:rFonts w:ascii="Arial" w:eastAsia="Arial Unicode MS"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4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45 cuentas bancarias respecto de 45 de sus candidatos, sin embargo, se tiene certeza del flujo de recursos.</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8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114 cuentas bancarias respecto de 114 de sus candidatos, sin embargo, se tiene certeza del flujo de recursos.</w:t>
      </w:r>
    </w:p>
    <w:p w:rsidR="00990C83" w:rsidRPr="00E5019C" w:rsidRDefault="00990C83" w:rsidP="00476839">
      <w:pPr>
        <w:contextualSpacing/>
        <w:jc w:val="both"/>
        <w:rPr>
          <w:rFonts w:ascii="Arial" w:eastAsia="Arial Unicode MS" w:hAnsi="Arial" w:cs="Arial"/>
          <w:sz w:val="20"/>
          <w:szCs w:val="20"/>
        </w:rPr>
      </w:pPr>
    </w:p>
    <w:p w:rsidR="00990C83" w:rsidRPr="008B06A6" w:rsidRDefault="008B06A6" w:rsidP="00476839">
      <w:pPr>
        <w:contextualSpacing/>
        <w:rPr>
          <w:rFonts w:ascii="Arial" w:hAnsi="Arial" w:cs="Arial"/>
          <w:b/>
          <w:sz w:val="20"/>
          <w:szCs w:val="20"/>
          <w:u w:val="single"/>
        </w:rPr>
      </w:pPr>
      <w:r>
        <w:rPr>
          <w:rFonts w:ascii="Arial" w:hAnsi="Arial" w:cs="Arial"/>
          <w:b/>
          <w:sz w:val="20"/>
          <w:szCs w:val="20"/>
          <w:u w:val="single"/>
        </w:rPr>
        <w:t xml:space="preserve">4 </w:t>
      </w:r>
      <w:r w:rsidR="00990C83" w:rsidRPr="008B06A6">
        <w:rPr>
          <w:rFonts w:ascii="Arial" w:hAnsi="Arial" w:cs="Arial"/>
          <w:b/>
          <w:sz w:val="20"/>
          <w:szCs w:val="20"/>
          <w:u w:val="single"/>
        </w:rPr>
        <w:t>FALTAS SUSTANCIALES</w:t>
      </w: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w:t>
      </w:r>
      <w:r w:rsidR="002F7FBF" w:rsidRPr="00E5019C">
        <w:rPr>
          <w:rFonts w:ascii="Arial" w:hAnsi="Arial" w:cs="Arial"/>
          <w:sz w:val="20"/>
          <w:szCs w:val="20"/>
        </w:rPr>
        <w:t>extemporánea 280</w:t>
      </w:r>
      <w:r w:rsidRPr="00E5019C">
        <w:rPr>
          <w:rFonts w:ascii="Arial" w:hAnsi="Arial" w:cs="Arial"/>
          <w:sz w:val="20"/>
          <w:szCs w:val="20"/>
        </w:rPr>
        <w:t xml:space="preserve"> eventos de la agenda de actos públicos de manera previa a su realización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3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37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 xml:space="preserve">por un importe de </w:t>
      </w:r>
      <w:r w:rsidRPr="00E5019C">
        <w:rPr>
          <w:rFonts w:ascii="Arial" w:hAnsi="Arial" w:cs="Arial"/>
          <w:bCs/>
          <w:color w:val="000000"/>
          <w:sz w:val="20"/>
          <w:szCs w:val="20"/>
        </w:rPr>
        <w:t>$238,659.00</w:t>
      </w:r>
      <w:r w:rsidRPr="00E5019C">
        <w:rPr>
          <w:rFonts w:ascii="Arial" w:hAnsi="Arial" w:cs="Arial"/>
          <w:sz w:val="20"/>
          <w:szCs w:val="20"/>
        </w:rPr>
        <w:t>.</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5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w:t>
      </w:r>
      <w:r w:rsidR="002F7FBF" w:rsidRPr="00E5019C">
        <w:rPr>
          <w:rFonts w:ascii="Arial" w:hAnsi="Arial" w:cs="Arial"/>
          <w:sz w:val="20"/>
          <w:szCs w:val="20"/>
        </w:rPr>
        <w:t>extemporánea 881</w:t>
      </w:r>
      <w:r w:rsidRPr="00E5019C">
        <w:rPr>
          <w:rFonts w:ascii="Arial" w:hAnsi="Arial" w:cs="Arial"/>
          <w:sz w:val="20"/>
          <w:szCs w:val="20"/>
        </w:rPr>
        <w:t xml:space="preserve"> eventos de la agenda de actos públicos de manera previa a su realización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color w:val="000000"/>
          <w:sz w:val="20"/>
          <w:szCs w:val="20"/>
        </w:rPr>
      </w:pPr>
      <w:r w:rsidRPr="00E5019C">
        <w:rPr>
          <w:rFonts w:ascii="Arial" w:hAnsi="Arial" w:cs="Arial"/>
          <w:sz w:val="20"/>
          <w:szCs w:val="20"/>
        </w:rPr>
        <w:t xml:space="preserve">7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40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 xml:space="preserve">por un importe de </w:t>
      </w:r>
      <w:r w:rsidRPr="00E5019C">
        <w:rPr>
          <w:rFonts w:ascii="Arial" w:hAnsi="Arial" w:cs="Arial"/>
          <w:b/>
          <w:bCs/>
          <w:color w:val="000000"/>
          <w:sz w:val="20"/>
          <w:szCs w:val="20"/>
        </w:rPr>
        <w:t>$495,266.67</w:t>
      </w:r>
    </w:p>
    <w:p w:rsidR="008B06A6" w:rsidRDefault="008B06A6" w:rsidP="00476839">
      <w:pPr>
        <w:pStyle w:val="Sangra2detindependiente"/>
        <w:ind w:left="0"/>
        <w:contextualSpacing/>
        <w:rPr>
          <w:sz w:val="20"/>
          <w:szCs w:val="20"/>
          <w:lang w:val="es-ES"/>
        </w:rPr>
      </w:pPr>
    </w:p>
    <w:p w:rsidR="00990C83" w:rsidRPr="00E5019C" w:rsidRDefault="00990C83" w:rsidP="00476839">
      <w:pPr>
        <w:pStyle w:val="Sangra2detindependiente"/>
        <w:ind w:left="0"/>
        <w:contextualSpacing/>
        <w:rPr>
          <w:sz w:val="20"/>
          <w:szCs w:val="20"/>
        </w:rPr>
      </w:pPr>
      <w:r w:rsidRPr="00E5019C">
        <w:rPr>
          <w:sz w:val="20"/>
          <w:szCs w:val="20"/>
          <w:lang w:val="es-ES"/>
        </w:rPr>
        <w:t>9</w:t>
      </w:r>
      <w:r w:rsidRPr="00E5019C">
        <w:rPr>
          <w:sz w:val="20"/>
          <w:szCs w:val="20"/>
        </w:rPr>
        <w:t xml:space="preserve"> </w:t>
      </w:r>
      <w:proofErr w:type="gramStart"/>
      <w:r w:rsidRPr="00E5019C">
        <w:rPr>
          <w:sz w:val="20"/>
          <w:szCs w:val="20"/>
        </w:rPr>
        <w:t>El</w:t>
      </w:r>
      <w:proofErr w:type="gramEnd"/>
      <w:r w:rsidRPr="00E5019C">
        <w:rPr>
          <w:sz w:val="20"/>
          <w:szCs w:val="20"/>
        </w:rPr>
        <w:t xml:space="preserve"> sujeto obligado omitió reportar en el informe de campaña, las erogaciones por concepto de pago de representantes de casilla de jornada electoral por un monto de $130,881.45</w:t>
      </w:r>
    </w:p>
    <w:p w:rsidR="00990C83" w:rsidRPr="00E5019C" w:rsidRDefault="00990C83" w:rsidP="00476839">
      <w:pPr>
        <w:pStyle w:val="Sangra2detindependiente"/>
        <w:ind w:left="0"/>
        <w:contextualSpacing/>
        <w:rPr>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5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 xml:space="preserve">por un importe de </w:t>
      </w:r>
      <w:r w:rsidRPr="00E5019C">
        <w:rPr>
          <w:rFonts w:ascii="Arial" w:hAnsi="Arial" w:cs="Arial"/>
          <w:b/>
          <w:bCs/>
          <w:color w:val="000000"/>
          <w:sz w:val="20"/>
          <w:szCs w:val="20"/>
        </w:rPr>
        <w:t>$272,867.56</w:t>
      </w:r>
      <w:r w:rsidRPr="00E5019C">
        <w:rPr>
          <w:rFonts w:ascii="Arial" w:hAnsi="Arial" w:cs="Arial"/>
          <w:sz w:val="20"/>
          <w:szCs w:val="20"/>
        </w:rPr>
        <w:t>.</w:t>
      </w:r>
    </w:p>
    <w:p w:rsidR="00FB2E68" w:rsidRDefault="00FB2E68" w:rsidP="00476839">
      <w:pPr>
        <w:contextualSpacing/>
        <w:jc w:val="center"/>
        <w:rPr>
          <w:rFonts w:ascii="Arial" w:hAnsi="Arial" w:cs="Arial"/>
          <w:sz w:val="20"/>
          <w:szCs w:val="20"/>
        </w:rPr>
      </w:pPr>
    </w:p>
    <w:p w:rsidR="00FB2E68" w:rsidRDefault="00FB2E68" w:rsidP="00476839">
      <w:pPr>
        <w:contextualSpacing/>
        <w:jc w:val="center"/>
        <w:rPr>
          <w:rFonts w:ascii="Arial" w:hAnsi="Arial" w:cs="Arial"/>
          <w:sz w:val="20"/>
          <w:szCs w:val="20"/>
        </w:rPr>
      </w:pPr>
    </w:p>
    <w:p w:rsidR="00990C83" w:rsidRPr="00FB2E68" w:rsidRDefault="008F71DD" w:rsidP="00476839">
      <w:pPr>
        <w:contextualSpacing/>
        <w:jc w:val="center"/>
        <w:rPr>
          <w:rFonts w:ascii="Arial" w:hAnsi="Arial" w:cs="Arial"/>
          <w:b/>
          <w:bCs/>
          <w:sz w:val="20"/>
          <w:szCs w:val="20"/>
        </w:rPr>
      </w:pPr>
      <w:r>
        <w:rPr>
          <w:rFonts w:ascii="Arial" w:hAnsi="Arial" w:cs="Arial"/>
          <w:b/>
          <w:bCs/>
          <w:sz w:val="20"/>
          <w:szCs w:val="20"/>
        </w:rPr>
        <w:t>Partido Morena</w:t>
      </w:r>
    </w:p>
    <w:p w:rsidR="00FB2E68" w:rsidRPr="00E5019C" w:rsidRDefault="00FB2E68" w:rsidP="00476839">
      <w:pPr>
        <w:contextualSpacing/>
        <w:jc w:val="center"/>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 xml:space="preserve">FALTAS FORMALES </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4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una cuenta bancaria respecto de una de sus candidatas, sin embargo, se tiene certeza del flujo de recursos.</w:t>
      </w:r>
    </w:p>
    <w:p w:rsidR="008B06A6" w:rsidRDefault="008B06A6" w:rsidP="00476839">
      <w:pPr>
        <w:contextualSpacing/>
        <w:jc w:val="both"/>
        <w:rPr>
          <w:rFonts w:ascii="Arial" w:hAnsi="Arial" w:cs="Arial"/>
          <w:sz w:val="20"/>
          <w:szCs w:val="20"/>
          <w:shd w:val="clear" w:color="auto" w:fill="FFFFFF"/>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shd w:val="clear" w:color="auto" w:fill="FFFFFF"/>
        </w:rPr>
        <w:t xml:space="preserve">5 </w:t>
      </w:r>
      <w:proofErr w:type="gramStart"/>
      <w:r w:rsidRPr="00E5019C">
        <w:rPr>
          <w:rFonts w:ascii="Arial" w:hAnsi="Arial" w:cs="Arial"/>
          <w:sz w:val="20"/>
          <w:szCs w:val="20"/>
          <w:shd w:val="clear" w:color="auto" w:fill="FFFFFF"/>
        </w:rPr>
        <w:t>No</w:t>
      </w:r>
      <w:proofErr w:type="gramEnd"/>
      <w:r w:rsidRPr="00E5019C">
        <w:rPr>
          <w:rFonts w:ascii="Arial" w:hAnsi="Arial" w:cs="Arial"/>
          <w:sz w:val="20"/>
          <w:szCs w:val="20"/>
          <w:shd w:val="clear" w:color="auto" w:fill="FFFFFF"/>
        </w:rPr>
        <w:t xml:space="preserve"> presento </w:t>
      </w:r>
      <w:r w:rsidRPr="00E5019C">
        <w:rPr>
          <w:rFonts w:ascii="Arial" w:hAnsi="Arial" w:cs="Arial"/>
          <w:sz w:val="20"/>
          <w:szCs w:val="20"/>
        </w:rPr>
        <w:t>la totalidad de los estados de cuenta y las conciliaciones relacionadas con las cuentas bancarias registradas en su contabilidad</w:t>
      </w:r>
      <w:r w:rsidR="008B06A6">
        <w:rPr>
          <w:rFonts w:ascii="Arial" w:hAnsi="Arial" w:cs="Arial"/>
          <w:sz w:val="20"/>
          <w:szCs w:val="20"/>
        </w:rPr>
        <w:t>.</w:t>
      </w:r>
    </w:p>
    <w:p w:rsidR="008B06A6" w:rsidRDefault="008B06A6" w:rsidP="00476839">
      <w:pPr>
        <w:contextualSpacing/>
        <w:jc w:val="both"/>
        <w:rPr>
          <w:rFonts w:ascii="Arial" w:hAnsi="Arial" w:cs="Arial"/>
          <w:sz w:val="20"/>
          <w:szCs w:val="20"/>
          <w:shd w:val="clear" w:color="auto" w:fill="FFFFFF"/>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shd w:val="clear" w:color="auto" w:fill="FFFFFF"/>
        </w:rPr>
        <w:t xml:space="preserve">6 </w:t>
      </w:r>
      <w:proofErr w:type="gramStart"/>
      <w:r w:rsidRPr="00E5019C">
        <w:rPr>
          <w:rFonts w:ascii="Arial" w:hAnsi="Arial" w:cs="Arial"/>
          <w:sz w:val="20"/>
          <w:szCs w:val="20"/>
          <w:shd w:val="clear" w:color="auto" w:fill="FFFFFF"/>
        </w:rPr>
        <w:t>El</w:t>
      </w:r>
      <w:proofErr w:type="gramEnd"/>
      <w:r w:rsidRPr="00E5019C">
        <w:rPr>
          <w:rFonts w:ascii="Arial" w:hAnsi="Arial" w:cs="Arial"/>
          <w:sz w:val="20"/>
          <w:szCs w:val="20"/>
          <w:shd w:val="clear" w:color="auto" w:fill="FFFFFF"/>
        </w:rPr>
        <w:t xml:space="preserve"> sujeto obligado omitió presentar la agenda de eventos políticos.</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w:t>
      </w:r>
      <w:r w:rsidRPr="00E5019C">
        <w:rPr>
          <w:rFonts w:ascii="Arial" w:eastAsia="Arial Unicode MS" w:hAnsi="Arial" w:cs="Arial"/>
          <w:bCs/>
          <w:sz w:val="20"/>
          <w:szCs w:val="20"/>
        </w:rPr>
        <w:t xml:space="preserve">presentar en 17 casos </w:t>
      </w:r>
      <w:r w:rsidRPr="00E5019C">
        <w:rPr>
          <w:rFonts w:ascii="Arial" w:hAnsi="Arial" w:cs="Arial"/>
          <w:bCs/>
          <w:sz w:val="20"/>
          <w:szCs w:val="20"/>
        </w:rPr>
        <w:t>la documentación soporte de los gastos de campaña.</w:t>
      </w:r>
    </w:p>
    <w:p w:rsidR="008B06A6" w:rsidRDefault="008B06A6" w:rsidP="00476839">
      <w:pPr>
        <w:contextualSpacing/>
        <w:jc w:val="both"/>
        <w:rPr>
          <w:rFonts w:ascii="Arial" w:hAnsi="Arial" w:cs="Arial"/>
          <w:sz w:val="20"/>
          <w:szCs w:val="20"/>
          <w:shd w:val="clear" w:color="auto" w:fill="FFFFFF"/>
        </w:rPr>
      </w:pPr>
    </w:p>
    <w:p w:rsidR="00990C83" w:rsidRPr="00E5019C" w:rsidRDefault="00990C83" w:rsidP="00476839">
      <w:pPr>
        <w:contextualSpacing/>
        <w:jc w:val="both"/>
        <w:rPr>
          <w:rFonts w:ascii="Arial" w:hAnsi="Arial" w:cs="Arial"/>
          <w:sz w:val="20"/>
          <w:szCs w:val="20"/>
          <w:shd w:val="clear" w:color="auto" w:fill="FFFFFF"/>
        </w:rPr>
      </w:pPr>
      <w:r w:rsidRPr="00E5019C">
        <w:rPr>
          <w:rFonts w:ascii="Arial" w:hAnsi="Arial" w:cs="Arial"/>
          <w:sz w:val="20"/>
          <w:szCs w:val="20"/>
          <w:shd w:val="clear" w:color="auto" w:fill="FFFFFF"/>
        </w:rPr>
        <w:t xml:space="preserve">14 </w:t>
      </w:r>
      <w:proofErr w:type="gramStart"/>
      <w:r w:rsidRPr="00E5019C">
        <w:rPr>
          <w:rFonts w:ascii="Arial" w:hAnsi="Arial" w:cs="Arial"/>
          <w:sz w:val="20"/>
          <w:szCs w:val="20"/>
          <w:shd w:val="clear" w:color="auto" w:fill="FFFFFF"/>
        </w:rPr>
        <w:t>El</w:t>
      </w:r>
      <w:proofErr w:type="gramEnd"/>
      <w:r w:rsidRPr="00E5019C">
        <w:rPr>
          <w:rFonts w:ascii="Arial" w:hAnsi="Arial" w:cs="Arial"/>
          <w:sz w:val="20"/>
          <w:szCs w:val="20"/>
          <w:shd w:val="clear" w:color="auto" w:fill="FFFFFF"/>
        </w:rPr>
        <w:t xml:space="preserve"> sujeto obligado omitió presentar 15 estados de cuenta y 15 conciliaciones bancarias de las cuentas registradas en la contabilidad</w:t>
      </w:r>
      <w:r w:rsidR="008B06A6">
        <w:rPr>
          <w:rFonts w:ascii="Arial" w:hAnsi="Arial" w:cs="Arial"/>
          <w:sz w:val="20"/>
          <w:szCs w:val="20"/>
          <w:shd w:val="clear" w:color="auto" w:fill="FFFFFF"/>
        </w:rPr>
        <w:t>.</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15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presentar 12 formatos del REL-PROM de control de gastos de campaña.</w:t>
      </w:r>
    </w:p>
    <w:p w:rsidR="008B06A6" w:rsidRDefault="008B06A6" w:rsidP="00476839">
      <w:pPr>
        <w:contextualSpacing/>
        <w:rPr>
          <w:rFonts w:ascii="Arial" w:hAnsi="Arial" w:cs="Arial"/>
          <w:b/>
          <w:sz w:val="20"/>
          <w:szCs w:val="20"/>
          <w:u w:val="single"/>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rPr>
          <w:rFonts w:ascii="Arial" w:hAnsi="Arial" w:cs="Arial"/>
          <w:sz w:val="20"/>
          <w:szCs w:val="20"/>
          <w:shd w:val="clear" w:color="auto" w:fill="FFFFFF"/>
        </w:rPr>
      </w:pPr>
      <w:r w:rsidRPr="00E5019C">
        <w:rPr>
          <w:rFonts w:ascii="Arial" w:hAnsi="Arial" w:cs="Arial"/>
          <w:sz w:val="20"/>
          <w:szCs w:val="20"/>
          <w:shd w:val="clear" w:color="auto" w:fill="FFFFFF"/>
        </w:rPr>
        <w:t xml:space="preserve">1 </w:t>
      </w:r>
      <w:proofErr w:type="gramStart"/>
      <w:r w:rsidRPr="00E5019C">
        <w:rPr>
          <w:rFonts w:ascii="Arial" w:hAnsi="Arial" w:cs="Arial"/>
          <w:sz w:val="20"/>
          <w:szCs w:val="20"/>
          <w:shd w:val="clear" w:color="auto" w:fill="FFFFFF"/>
        </w:rPr>
        <w:t>El</w:t>
      </w:r>
      <w:proofErr w:type="gramEnd"/>
      <w:r w:rsidRPr="00E5019C">
        <w:rPr>
          <w:rFonts w:ascii="Arial" w:hAnsi="Arial" w:cs="Arial"/>
          <w:sz w:val="20"/>
          <w:szCs w:val="20"/>
          <w:shd w:val="clear" w:color="auto" w:fill="FFFFFF"/>
        </w:rPr>
        <w:t xml:space="preserve"> sujeto obligado informo de manera extemporánea 43 eventos de la agenda de actos públicos, de manera previa a su celebración.</w:t>
      </w:r>
    </w:p>
    <w:p w:rsidR="008B06A6" w:rsidRDefault="008B06A6" w:rsidP="00476839">
      <w:pPr>
        <w:contextualSpacing/>
        <w:rPr>
          <w:rFonts w:ascii="Arial" w:hAnsi="Arial" w:cs="Arial"/>
          <w:sz w:val="20"/>
          <w:szCs w:val="20"/>
        </w:rPr>
      </w:pPr>
    </w:p>
    <w:p w:rsidR="00990C83" w:rsidRPr="00E5019C" w:rsidRDefault="00990C83" w:rsidP="00476839">
      <w:pPr>
        <w:contextualSpacing/>
        <w:rPr>
          <w:rFonts w:ascii="Arial" w:hAnsi="Arial" w:cs="Arial"/>
          <w:sz w:val="20"/>
          <w:szCs w:val="20"/>
        </w:rPr>
      </w:pPr>
      <w:r w:rsidRPr="00E5019C">
        <w:rPr>
          <w:rFonts w:ascii="Arial" w:hAnsi="Arial" w:cs="Arial"/>
          <w:sz w:val="20"/>
          <w:szCs w:val="20"/>
        </w:rPr>
        <w:lastRenderedPageBreak/>
        <w:t xml:space="preserve">3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sus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por un importe de $445,256.06</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7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215 eventos de la agenda de actos públicos, de manera posterior a su celebración.</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8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162 eventos de la agenda de actos públicos, de manera previa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13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sus operaciones en tiempo real, durante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por un importe de $</w:t>
      </w:r>
      <w:r w:rsidRPr="00E5019C">
        <w:rPr>
          <w:rFonts w:ascii="Arial" w:hAnsi="Arial" w:cs="Arial"/>
          <w:sz w:val="20"/>
          <w:szCs w:val="20"/>
          <w:shd w:val="clear" w:color="auto" w:fill="FFFFFF"/>
        </w:rPr>
        <w:t>1,578,689.49</w:t>
      </w:r>
      <w:r w:rsidRPr="00E5019C">
        <w:rPr>
          <w:rFonts w:ascii="Arial" w:hAnsi="Arial" w:cs="Arial"/>
          <w:sz w:val="20"/>
          <w:szCs w:val="20"/>
        </w:rPr>
        <w:t>.</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18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sus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por un importe de $8,738,350.35.</w:t>
      </w:r>
    </w:p>
    <w:p w:rsidR="00FB2E68" w:rsidRDefault="00FB2E68" w:rsidP="00476839">
      <w:pPr>
        <w:contextualSpacing/>
        <w:jc w:val="center"/>
        <w:rPr>
          <w:rFonts w:ascii="Arial" w:hAnsi="Arial" w:cs="Arial"/>
          <w:sz w:val="20"/>
          <w:szCs w:val="20"/>
        </w:rPr>
      </w:pPr>
    </w:p>
    <w:p w:rsidR="008F71DD" w:rsidRDefault="008F71DD" w:rsidP="00476839">
      <w:pPr>
        <w:contextualSpacing/>
        <w:jc w:val="center"/>
        <w:rPr>
          <w:rFonts w:ascii="Arial" w:hAnsi="Arial" w:cs="Arial"/>
          <w:sz w:val="20"/>
          <w:szCs w:val="20"/>
        </w:rPr>
      </w:pPr>
    </w:p>
    <w:p w:rsidR="00990C83" w:rsidRPr="00FB2E68" w:rsidRDefault="008F71DD" w:rsidP="00476839">
      <w:pPr>
        <w:contextualSpacing/>
        <w:jc w:val="center"/>
        <w:rPr>
          <w:rFonts w:ascii="Arial" w:hAnsi="Arial" w:cs="Arial"/>
          <w:b/>
          <w:bCs/>
          <w:sz w:val="20"/>
          <w:szCs w:val="20"/>
        </w:rPr>
      </w:pPr>
      <w:r>
        <w:rPr>
          <w:rFonts w:ascii="Arial" w:hAnsi="Arial" w:cs="Arial"/>
          <w:b/>
          <w:bCs/>
          <w:sz w:val="20"/>
          <w:szCs w:val="20"/>
        </w:rPr>
        <w:t>Partido Encuentro Social</w:t>
      </w:r>
    </w:p>
    <w:p w:rsidR="00FB2E68" w:rsidRPr="00E5019C" w:rsidRDefault="00FB2E68" w:rsidP="00476839">
      <w:pPr>
        <w:contextualSpacing/>
        <w:jc w:val="center"/>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4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una cuenta bancaria respecto de su candidato, sin embargo, se tiene certeza del flujo de recursos.</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hAnsi="Arial" w:cs="Arial"/>
          <w:sz w:val="20"/>
          <w:szCs w:val="20"/>
        </w:rPr>
        <w:t xml:space="preserve">11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w:t>
      </w:r>
      <w:r w:rsidRPr="00E5019C">
        <w:rPr>
          <w:rFonts w:ascii="Arial" w:eastAsia="Arial Unicode MS" w:hAnsi="Arial" w:cs="Arial"/>
          <w:bCs/>
          <w:color w:val="000000"/>
          <w:sz w:val="20"/>
          <w:szCs w:val="20"/>
        </w:rPr>
        <w:t xml:space="preserve">presentar 10 controles de folios </w:t>
      </w:r>
      <w:r w:rsidR="002F7FBF" w:rsidRPr="00E5019C">
        <w:rPr>
          <w:rFonts w:ascii="Arial" w:eastAsia="Arial Unicode MS" w:hAnsi="Arial" w:cs="Arial"/>
          <w:bCs/>
          <w:color w:val="000000"/>
          <w:sz w:val="20"/>
          <w:szCs w:val="20"/>
        </w:rPr>
        <w:t>de los</w:t>
      </w:r>
      <w:r w:rsidRPr="00E5019C">
        <w:rPr>
          <w:rFonts w:ascii="Arial" w:eastAsia="Arial Unicode MS" w:hAnsi="Arial" w:cs="Arial"/>
          <w:bCs/>
          <w:color w:val="000000"/>
          <w:sz w:val="20"/>
          <w:szCs w:val="20"/>
        </w:rPr>
        <w:t xml:space="preserve"> aportantes, simpatizantes, militantes y candidatos; tanto de aportaciones en efectivo como en especie.</w:t>
      </w:r>
    </w:p>
    <w:p w:rsidR="008B06A6" w:rsidRDefault="008B06A6" w:rsidP="00476839">
      <w:pPr>
        <w:contextualSpacing/>
        <w:jc w:val="both"/>
        <w:rPr>
          <w:rFonts w:ascii="Arial" w:eastAsia="Times New Roman" w:hAnsi="Arial" w:cs="Arial"/>
          <w:sz w:val="20"/>
          <w:szCs w:val="20"/>
          <w:lang w:eastAsia="es-MX"/>
        </w:rPr>
      </w:pPr>
    </w:p>
    <w:p w:rsidR="00990C83"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15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una cuenta bancaria respecto a cada uno de sus candidatos, sin embargo, se tiene certeza del flujo de recursos.</w:t>
      </w:r>
    </w:p>
    <w:p w:rsidR="008B06A6" w:rsidRPr="00E5019C" w:rsidRDefault="008B06A6" w:rsidP="00476839">
      <w:pPr>
        <w:contextualSpacing/>
        <w:jc w:val="both"/>
        <w:rPr>
          <w:rFonts w:ascii="Arial" w:eastAsia="Times New Roman" w:hAnsi="Arial" w:cs="Arial"/>
          <w:sz w:val="20"/>
          <w:szCs w:val="20"/>
          <w:lang w:eastAsia="es-MX"/>
        </w:rPr>
      </w:pPr>
    </w:p>
    <w:p w:rsidR="00990C83" w:rsidRPr="008B06A6" w:rsidRDefault="008B06A6" w:rsidP="00476839">
      <w:pPr>
        <w:contextualSpacing/>
        <w:rPr>
          <w:rFonts w:ascii="Arial" w:hAnsi="Arial" w:cs="Arial"/>
          <w:b/>
          <w:sz w:val="20"/>
          <w:szCs w:val="20"/>
          <w:u w:val="single"/>
        </w:rPr>
      </w:pPr>
      <w:r>
        <w:rPr>
          <w:rFonts w:ascii="Arial" w:hAnsi="Arial" w:cs="Arial"/>
          <w:b/>
          <w:sz w:val="20"/>
          <w:szCs w:val="20"/>
          <w:u w:val="single"/>
        </w:rPr>
        <w:t xml:space="preserve">4 </w:t>
      </w:r>
      <w:r w:rsidR="00990C83" w:rsidRPr="008B06A6">
        <w:rPr>
          <w:rFonts w:ascii="Arial" w:hAnsi="Arial" w:cs="Arial"/>
          <w:b/>
          <w:sz w:val="20"/>
          <w:szCs w:val="20"/>
          <w:u w:val="single"/>
        </w:rPr>
        <w:t xml:space="preserve">FALTAS SUSTANCIALES </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1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54 eventos de la agenda de actos públicos, de manera posterior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2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5 operaciones en tiempo real, durante el periodo de campaña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por un importe de $22,900.00.</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3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realizar verazmente el registro contable de 3 operaciones en tiempo real, excediendo los tres días posteriores a que se realizó la operación por un importe de $103,115.40.</w:t>
      </w:r>
    </w:p>
    <w:p w:rsidR="008B06A6" w:rsidRDefault="008B06A6" w:rsidP="00476839">
      <w:pPr>
        <w:contextualSpacing/>
        <w:rPr>
          <w:rFonts w:ascii="Arial" w:hAnsi="Arial" w:cs="Arial"/>
          <w:bCs/>
          <w:sz w:val="20"/>
          <w:szCs w:val="20"/>
        </w:rPr>
      </w:pPr>
    </w:p>
    <w:p w:rsidR="00990C83" w:rsidRPr="00E5019C" w:rsidRDefault="00990C83" w:rsidP="00476839">
      <w:pPr>
        <w:contextualSpacing/>
        <w:rPr>
          <w:rFonts w:ascii="Arial" w:hAnsi="Arial" w:cs="Arial"/>
          <w:bCs/>
          <w:sz w:val="20"/>
          <w:szCs w:val="20"/>
        </w:rPr>
      </w:pPr>
      <w:r w:rsidRPr="00E5019C">
        <w:rPr>
          <w:rFonts w:ascii="Arial" w:hAnsi="Arial" w:cs="Arial"/>
          <w:bCs/>
          <w:sz w:val="20"/>
          <w:szCs w:val="20"/>
        </w:rPr>
        <w:t xml:space="preserve">5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reportar en el SIF los egresos generados por concepto del no registro por la utilización de casa de campaña por un monto de $4,000.00.</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6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informar la agenda de eventos de dos candidatos e informó de manera extemporánea 72 eventos posteriores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hAnsi="Arial" w:cs="Arial"/>
          <w:sz w:val="20"/>
          <w:szCs w:val="20"/>
        </w:rPr>
        <w:t xml:space="preserve">7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extemporánea 67 eventos de la agenda de actos públicos de manera previa a su realización</w:t>
      </w:r>
      <w:r w:rsidRPr="00E5019C">
        <w:rPr>
          <w:rFonts w:ascii="Arial" w:eastAsia="Times New Roman" w:hAnsi="Arial" w:cs="Arial"/>
          <w:sz w:val="20"/>
          <w:szCs w:val="20"/>
          <w:lang w:eastAsia="es-MX"/>
        </w:rPr>
        <w:t>.</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9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154 eventos de la agenda de actos públicos, de manera posterior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informó de manera extemporánea 67 eventos de la agenda de actos públicos de manera previa a su realización</w:t>
      </w:r>
      <w:r w:rsidRPr="00E5019C">
        <w:rPr>
          <w:rFonts w:ascii="Arial" w:eastAsia="Times New Roman" w:hAnsi="Arial" w:cs="Arial"/>
          <w:sz w:val="20"/>
          <w:szCs w:val="20"/>
          <w:lang w:eastAsia="es-MX"/>
        </w:rPr>
        <w:t>.</w:t>
      </w:r>
    </w:p>
    <w:p w:rsidR="008B06A6" w:rsidRDefault="008B06A6"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lastRenderedPageBreak/>
        <w:t>12 El sujeto obligado omitió contratar directamente 3 anuncios espectaculares, por un importe de $84,000.00.</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13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31 operaciones en tiempo real, durante el periodo de campaña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por un importe de $161,258.00</w:t>
      </w:r>
    </w:p>
    <w:p w:rsidR="008B06A6" w:rsidRDefault="008B06A6"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14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realizar verazmente el registro contable de 3 operaciones en tiempo real, excediendo los tres días posteriores a que se realizó la operación por un importe de $99,824.98. </w:t>
      </w:r>
    </w:p>
    <w:p w:rsidR="00FB2E68" w:rsidRDefault="00FB2E68" w:rsidP="00476839">
      <w:pPr>
        <w:contextualSpacing/>
        <w:jc w:val="center"/>
        <w:rPr>
          <w:rFonts w:ascii="Arial" w:hAnsi="Arial" w:cs="Arial"/>
          <w:sz w:val="20"/>
          <w:szCs w:val="20"/>
        </w:rPr>
      </w:pPr>
    </w:p>
    <w:p w:rsidR="00FB2E68" w:rsidRDefault="00FB2E68" w:rsidP="00476839">
      <w:pPr>
        <w:contextualSpacing/>
        <w:jc w:val="center"/>
        <w:rPr>
          <w:rFonts w:ascii="Arial" w:hAnsi="Arial" w:cs="Arial"/>
          <w:sz w:val="20"/>
          <w:szCs w:val="20"/>
        </w:rPr>
      </w:pPr>
    </w:p>
    <w:p w:rsidR="00990C83" w:rsidRPr="00FB2E68" w:rsidRDefault="008F71DD" w:rsidP="00476839">
      <w:pPr>
        <w:contextualSpacing/>
        <w:jc w:val="center"/>
        <w:rPr>
          <w:rFonts w:ascii="Arial" w:hAnsi="Arial" w:cs="Arial"/>
          <w:b/>
          <w:bCs/>
          <w:sz w:val="20"/>
          <w:szCs w:val="20"/>
        </w:rPr>
      </w:pPr>
      <w:r>
        <w:rPr>
          <w:rFonts w:ascii="Arial" w:hAnsi="Arial" w:cs="Arial"/>
          <w:b/>
          <w:bCs/>
          <w:sz w:val="20"/>
          <w:szCs w:val="20"/>
        </w:rPr>
        <w:t>Vía Radical</w:t>
      </w:r>
    </w:p>
    <w:p w:rsidR="00FB2E68" w:rsidRPr="00E5019C" w:rsidRDefault="00FB2E68" w:rsidP="00476839">
      <w:pPr>
        <w:contextualSpacing/>
        <w:jc w:val="center"/>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6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omitió abrir cuentas bancarias respecto de la totalidad de sus candidatos.</w:t>
      </w:r>
    </w:p>
    <w:p w:rsidR="008B06A6" w:rsidRDefault="008B06A6" w:rsidP="00476839">
      <w:pPr>
        <w:contextualSpacing/>
        <w:rPr>
          <w:rFonts w:ascii="Arial" w:hAnsi="Arial" w:cs="Arial"/>
          <w:bCs/>
          <w:sz w:val="20"/>
          <w:szCs w:val="20"/>
        </w:rPr>
      </w:pPr>
    </w:p>
    <w:p w:rsidR="00990C83" w:rsidRPr="00E5019C" w:rsidRDefault="00990C83" w:rsidP="00476839">
      <w:pPr>
        <w:contextualSpacing/>
        <w:rPr>
          <w:rFonts w:ascii="Arial" w:hAnsi="Arial" w:cs="Arial"/>
          <w:sz w:val="20"/>
          <w:szCs w:val="20"/>
        </w:rPr>
      </w:pPr>
      <w:r w:rsidRPr="00E5019C">
        <w:rPr>
          <w:rFonts w:ascii="Arial" w:hAnsi="Arial" w:cs="Arial"/>
          <w:bCs/>
          <w:sz w:val="20"/>
          <w:szCs w:val="20"/>
        </w:rPr>
        <w:t xml:space="preserve">12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abrir cuentas bancarias respecto de la totalidad de sus candidatos, sin embargo, se tiene certeza del flujo de recursos.</w:t>
      </w:r>
    </w:p>
    <w:p w:rsidR="008B06A6" w:rsidRDefault="008B06A6" w:rsidP="00476839">
      <w:pPr>
        <w:contextualSpacing/>
        <w:rPr>
          <w:rFonts w:ascii="Arial" w:hAnsi="Arial" w:cs="Arial"/>
          <w:b/>
          <w:sz w:val="20"/>
          <w:szCs w:val="20"/>
          <w:u w:val="single"/>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SUSTANCIALES</w:t>
      </w:r>
    </w:p>
    <w:p w:rsidR="00990C83" w:rsidRPr="00E5019C" w:rsidRDefault="00990C83" w:rsidP="00476839">
      <w:pPr>
        <w:contextualSpacing/>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2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926 eventos de la agenda de actos públicos, de manera posterior a su celebración</w:t>
      </w:r>
    </w:p>
    <w:p w:rsidR="008B06A6" w:rsidRDefault="008B06A6" w:rsidP="00476839">
      <w:pPr>
        <w:contextualSpacing/>
        <w:rPr>
          <w:rFonts w:ascii="Arial" w:eastAsia="Times New Roman" w:hAnsi="Arial" w:cs="Arial"/>
          <w:sz w:val="20"/>
          <w:szCs w:val="20"/>
          <w:lang w:eastAsia="es-MX"/>
        </w:rPr>
      </w:pPr>
    </w:p>
    <w:p w:rsidR="00990C83" w:rsidRPr="00E5019C" w:rsidRDefault="00990C83" w:rsidP="00476839">
      <w:pPr>
        <w:contextualSpacing/>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3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70 eventos de la agenda de actos públicos, de manera previa a su celebración</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reportar en el SIF los egresos generados por concepto del no registro por concepto de eventos públicos por un monto de $20,764.00</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b/>
          <w:bCs/>
          <w:color w:val="000000"/>
          <w:sz w:val="20"/>
          <w:szCs w:val="20"/>
        </w:rPr>
      </w:pPr>
      <w:r w:rsidRPr="00E5019C">
        <w:rPr>
          <w:rFonts w:ascii="Arial" w:hAnsi="Arial" w:cs="Arial"/>
          <w:sz w:val="20"/>
          <w:szCs w:val="20"/>
        </w:rPr>
        <w:t xml:space="preserve">5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omitió realizar el registro contable de 47 operaciones en tiempo real, durante periodo uno excediendo</w:t>
      </w:r>
      <w:r w:rsidRPr="00E5019C">
        <w:rPr>
          <w:rFonts w:ascii="Arial" w:hAnsi="Arial" w:cs="Arial"/>
          <w:bCs/>
          <w:sz w:val="20"/>
          <w:szCs w:val="20"/>
        </w:rPr>
        <w:t xml:space="preserve"> los tres días posteriores en que se realizó la operación, </w:t>
      </w:r>
      <w:r w:rsidRPr="00E5019C">
        <w:rPr>
          <w:rFonts w:ascii="Arial" w:hAnsi="Arial" w:cs="Arial"/>
          <w:sz w:val="20"/>
          <w:szCs w:val="20"/>
        </w:rPr>
        <w:t xml:space="preserve">por un importe de </w:t>
      </w:r>
      <w:r w:rsidRPr="00E5019C">
        <w:rPr>
          <w:rFonts w:ascii="Arial" w:hAnsi="Arial" w:cs="Arial"/>
          <w:b/>
          <w:bCs/>
          <w:color w:val="000000"/>
          <w:sz w:val="20"/>
          <w:szCs w:val="20"/>
        </w:rPr>
        <w:t>$1,782.00</w:t>
      </w:r>
    </w:p>
    <w:p w:rsidR="00990C83" w:rsidRPr="00E5019C" w:rsidRDefault="00990C83" w:rsidP="00476839">
      <w:pPr>
        <w:contextualSpacing/>
        <w:jc w:val="both"/>
        <w:rPr>
          <w:rFonts w:ascii="Arial" w:hAnsi="Arial" w:cs="Arial"/>
          <w:b/>
          <w:bCs/>
          <w:color w:val="000000"/>
          <w:sz w:val="20"/>
          <w:szCs w:val="20"/>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8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1407 eventos de la agenda de actos públicos, de manera posterior a su celebración.</w:t>
      </w:r>
    </w:p>
    <w:p w:rsidR="00990C83" w:rsidRPr="00E5019C" w:rsidRDefault="00990C83"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sz w:val="20"/>
          <w:szCs w:val="20"/>
          <w:lang w:eastAsia="es-MX"/>
        </w:rPr>
        <w:t xml:space="preserve">9 </w:t>
      </w:r>
      <w:proofErr w:type="gramStart"/>
      <w:r w:rsidRPr="00E5019C">
        <w:rPr>
          <w:rFonts w:ascii="Arial" w:eastAsia="Times New Roman" w:hAnsi="Arial" w:cs="Arial"/>
          <w:sz w:val="20"/>
          <w:szCs w:val="20"/>
          <w:lang w:eastAsia="es-MX"/>
        </w:rPr>
        <w:t>El</w:t>
      </w:r>
      <w:proofErr w:type="gramEnd"/>
      <w:r w:rsidRPr="00E5019C">
        <w:rPr>
          <w:rFonts w:ascii="Arial" w:eastAsia="Times New Roman" w:hAnsi="Arial" w:cs="Arial"/>
          <w:sz w:val="20"/>
          <w:szCs w:val="20"/>
          <w:lang w:eastAsia="es-MX"/>
        </w:rPr>
        <w:t xml:space="preserve"> sujeto obligado informó de manera extemporánea 787 eventos de la agenda de actos públicos, de manera previa a su celebración.</w:t>
      </w:r>
    </w:p>
    <w:p w:rsidR="00990C83" w:rsidRPr="00E5019C" w:rsidRDefault="00990C83" w:rsidP="00476839">
      <w:pPr>
        <w:contextualSpacing/>
        <w:jc w:val="both"/>
        <w:rPr>
          <w:rFonts w:ascii="Arial" w:eastAsia="Times New Roman" w:hAnsi="Arial" w:cs="Arial"/>
          <w:sz w:val="20"/>
          <w:szCs w:val="20"/>
          <w:lang w:eastAsia="es-MX"/>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reportar en el SIF los egresos generados por concepto de eventos públicos por un monto de </w:t>
      </w:r>
      <w:r w:rsidRPr="00E5019C">
        <w:rPr>
          <w:rFonts w:ascii="Arial" w:hAnsi="Arial" w:cs="Arial"/>
          <w:color w:val="000000"/>
          <w:sz w:val="20"/>
          <w:szCs w:val="20"/>
        </w:rPr>
        <w:t>$701,597.24</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11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realizar el registro contable de 112 operaciones en tiempo real, durante el periodo de campaña excediendo los tres días posteriores en que se realizó la operación, por un importe de $446.00.</w:t>
      </w:r>
    </w:p>
    <w:p w:rsidR="008B06A6" w:rsidRDefault="008B06A6" w:rsidP="00476839">
      <w:pPr>
        <w:contextualSpacing/>
        <w:jc w:val="both"/>
        <w:rPr>
          <w:rFonts w:ascii="Arial" w:hAnsi="Arial" w:cs="Arial"/>
          <w:bCs/>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bCs/>
          <w:sz w:val="20"/>
          <w:szCs w:val="20"/>
        </w:rPr>
        <w:t xml:space="preserve">13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presentar la documentación soporte consistente en evidencia de pago, contratos, avisos de contratación y muestras.</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hAnsi="Arial" w:cs="Arial"/>
          <w:bCs/>
          <w:sz w:val="20"/>
          <w:szCs w:val="20"/>
        </w:rPr>
        <w:t xml:space="preserve">14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reportó gastos; no obstante, no realizó el prorrateo entre la totalidad de candidatos beneficiados, por un monto de $</w:t>
      </w:r>
      <w:r w:rsidRPr="00E5019C">
        <w:rPr>
          <w:rFonts w:ascii="Arial" w:eastAsia="Times New Roman" w:hAnsi="Arial" w:cs="Arial"/>
          <w:b/>
          <w:color w:val="000000"/>
          <w:sz w:val="20"/>
          <w:szCs w:val="20"/>
          <w:lang w:eastAsia="es-MX"/>
        </w:rPr>
        <w:t>1,620,445.00</w:t>
      </w:r>
    </w:p>
    <w:p w:rsidR="00990C83" w:rsidRPr="00E5019C" w:rsidRDefault="00990C83" w:rsidP="00476839">
      <w:pPr>
        <w:contextualSpacing/>
        <w:jc w:val="both"/>
        <w:rPr>
          <w:rFonts w:ascii="Arial" w:eastAsia="Times New Roman" w:hAnsi="Arial" w:cs="Arial"/>
          <w:sz w:val="20"/>
          <w:szCs w:val="20"/>
          <w:lang w:eastAsia="es-MX"/>
        </w:rPr>
      </w:pPr>
    </w:p>
    <w:p w:rsidR="00990C83" w:rsidRPr="00E5019C" w:rsidRDefault="00990C83" w:rsidP="00476839">
      <w:pPr>
        <w:contextualSpacing/>
        <w:rPr>
          <w:rFonts w:ascii="Arial" w:hAnsi="Arial" w:cs="Arial"/>
          <w:b/>
          <w:bCs/>
          <w:sz w:val="20"/>
          <w:szCs w:val="20"/>
        </w:rPr>
      </w:pPr>
      <w:r w:rsidRPr="00E5019C">
        <w:rPr>
          <w:rFonts w:ascii="Arial" w:hAnsi="Arial" w:cs="Arial"/>
          <w:bCs/>
          <w:sz w:val="20"/>
          <w:szCs w:val="20"/>
        </w:rPr>
        <w:t xml:space="preserve">15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presentar los avisos de contratación por un monto total de</w:t>
      </w:r>
      <w:r w:rsidRPr="00E5019C">
        <w:rPr>
          <w:rFonts w:ascii="Arial" w:hAnsi="Arial" w:cs="Arial"/>
          <w:b/>
          <w:bCs/>
          <w:sz w:val="20"/>
          <w:szCs w:val="20"/>
        </w:rPr>
        <w:t xml:space="preserve"> $1,820,446.00.</w:t>
      </w:r>
    </w:p>
    <w:p w:rsidR="008B06A6" w:rsidRDefault="008B06A6" w:rsidP="00476839">
      <w:pPr>
        <w:contextualSpacing/>
        <w:rPr>
          <w:rFonts w:ascii="Arial" w:hAnsi="Arial" w:cs="Arial"/>
          <w:bCs/>
          <w:sz w:val="20"/>
          <w:szCs w:val="20"/>
        </w:rPr>
      </w:pPr>
    </w:p>
    <w:p w:rsidR="00990C83" w:rsidRPr="00E5019C" w:rsidRDefault="00990C83" w:rsidP="00476839">
      <w:pPr>
        <w:contextualSpacing/>
        <w:rPr>
          <w:rFonts w:ascii="Arial" w:hAnsi="Arial" w:cs="Arial"/>
          <w:b/>
          <w:bCs/>
          <w:sz w:val="20"/>
          <w:szCs w:val="20"/>
        </w:rPr>
      </w:pPr>
      <w:r w:rsidRPr="00E5019C">
        <w:rPr>
          <w:rFonts w:ascii="Arial" w:hAnsi="Arial" w:cs="Arial"/>
          <w:bCs/>
          <w:sz w:val="20"/>
          <w:szCs w:val="20"/>
        </w:rPr>
        <w:lastRenderedPageBreak/>
        <w:t xml:space="preserve">16 </w:t>
      </w:r>
      <w:proofErr w:type="gramStart"/>
      <w:r w:rsidRPr="00E5019C">
        <w:rPr>
          <w:rFonts w:ascii="Arial" w:hAnsi="Arial" w:cs="Arial"/>
          <w:bCs/>
          <w:sz w:val="20"/>
          <w:szCs w:val="20"/>
        </w:rPr>
        <w:t>El</w:t>
      </w:r>
      <w:proofErr w:type="gramEnd"/>
      <w:r w:rsidRPr="00E5019C">
        <w:rPr>
          <w:rFonts w:ascii="Arial" w:hAnsi="Arial" w:cs="Arial"/>
          <w:bCs/>
          <w:sz w:val="20"/>
          <w:szCs w:val="20"/>
        </w:rPr>
        <w:t xml:space="preserve"> sujeto obligado omitió realizar el registro contable de 89 operaciones en tiempo real, durante el periodo de campaña excediendo los tres días posteriores en que se realizó la operación, por un importe de </w:t>
      </w:r>
      <w:r w:rsidRPr="00E5019C">
        <w:rPr>
          <w:rFonts w:ascii="Arial" w:hAnsi="Arial" w:cs="Arial"/>
          <w:b/>
          <w:bCs/>
          <w:sz w:val="20"/>
          <w:szCs w:val="20"/>
        </w:rPr>
        <w:t>$5,394,014.84.</w:t>
      </w:r>
    </w:p>
    <w:p w:rsidR="008B06A6" w:rsidRDefault="008B06A6"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18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reportar la totalidad del gasto por concepto de contratación de redes sociales, por un importe de </w:t>
      </w:r>
      <w:r w:rsidRPr="00E5019C">
        <w:rPr>
          <w:rFonts w:ascii="Arial" w:eastAsia="Times New Roman" w:hAnsi="Arial" w:cs="Arial"/>
          <w:b/>
          <w:color w:val="000000"/>
          <w:sz w:val="20"/>
          <w:szCs w:val="20"/>
          <w:lang w:eastAsia="es-MX"/>
        </w:rPr>
        <w:t>$350,396.24</w:t>
      </w:r>
      <w:r w:rsidRPr="00E5019C">
        <w:rPr>
          <w:rFonts w:ascii="Arial" w:hAnsi="Arial" w:cs="Arial"/>
          <w:sz w:val="20"/>
          <w:szCs w:val="20"/>
        </w:rPr>
        <w:t>.</w:t>
      </w:r>
    </w:p>
    <w:p w:rsidR="00990C83" w:rsidRPr="00E5019C" w:rsidRDefault="00990C83" w:rsidP="00476839">
      <w:pPr>
        <w:contextualSpacing/>
        <w:jc w:val="both"/>
        <w:rPr>
          <w:rFonts w:ascii="Arial" w:hAnsi="Arial" w:cs="Arial"/>
          <w:sz w:val="20"/>
          <w:szCs w:val="20"/>
        </w:rPr>
      </w:pPr>
    </w:p>
    <w:p w:rsidR="001C4552" w:rsidRDefault="001C4552" w:rsidP="001C4552">
      <w:pPr>
        <w:rPr>
          <w:rFonts w:ascii="Arial" w:hAnsi="Arial" w:cs="Arial"/>
          <w:b/>
          <w:bCs/>
          <w:sz w:val="20"/>
          <w:szCs w:val="20"/>
        </w:rPr>
      </w:pPr>
    </w:p>
    <w:p w:rsidR="00990C83" w:rsidRPr="00FB2E68" w:rsidRDefault="008F71DD" w:rsidP="001C4552">
      <w:pPr>
        <w:jc w:val="center"/>
        <w:rPr>
          <w:rFonts w:ascii="Arial" w:hAnsi="Arial" w:cs="Arial"/>
          <w:b/>
          <w:bCs/>
          <w:sz w:val="20"/>
          <w:szCs w:val="20"/>
        </w:rPr>
      </w:pPr>
      <w:r>
        <w:rPr>
          <w:rFonts w:ascii="Arial" w:hAnsi="Arial" w:cs="Arial"/>
          <w:b/>
          <w:bCs/>
          <w:sz w:val="20"/>
          <w:szCs w:val="20"/>
        </w:rPr>
        <w:t>Coalición por el Estado de México “Al Frente”</w:t>
      </w:r>
    </w:p>
    <w:p w:rsidR="00990C83" w:rsidRPr="00E5019C" w:rsidRDefault="00990C83" w:rsidP="00476839">
      <w:pPr>
        <w:contextualSpacing/>
        <w:jc w:val="both"/>
        <w:rPr>
          <w:rFonts w:ascii="Arial" w:hAnsi="Arial" w:cs="Arial"/>
          <w:sz w:val="20"/>
          <w:szCs w:val="20"/>
        </w:rPr>
      </w:pPr>
    </w:p>
    <w:p w:rsidR="00990C83" w:rsidRPr="008B06A6" w:rsidRDefault="00990C83" w:rsidP="00476839">
      <w:pPr>
        <w:contextualSpacing/>
        <w:rPr>
          <w:rFonts w:ascii="Arial" w:hAnsi="Arial" w:cs="Arial"/>
          <w:b/>
          <w:sz w:val="20"/>
          <w:szCs w:val="20"/>
          <w:u w:val="single"/>
        </w:rPr>
      </w:pPr>
      <w:r w:rsidRPr="008B06A6">
        <w:rPr>
          <w:rFonts w:ascii="Arial" w:hAnsi="Arial" w:cs="Arial"/>
          <w:b/>
          <w:sz w:val="20"/>
          <w:szCs w:val="20"/>
          <w:u w:val="single"/>
        </w:rPr>
        <w:t>FALTAS FORMALES</w:t>
      </w:r>
    </w:p>
    <w:p w:rsidR="00990C83" w:rsidRPr="00E5019C" w:rsidRDefault="00990C83" w:rsidP="00476839">
      <w:pPr>
        <w:contextualSpacing/>
        <w:jc w:val="both"/>
        <w:rPr>
          <w:rFonts w:ascii="Arial" w:hAnsi="Arial" w:cs="Arial"/>
          <w:sz w:val="20"/>
          <w:szCs w:val="20"/>
          <w:lang w:eastAsia="es-MX"/>
        </w:rPr>
      </w:pPr>
      <w:r w:rsidRPr="00E5019C">
        <w:rPr>
          <w:rFonts w:ascii="Arial" w:hAnsi="Arial" w:cs="Arial"/>
          <w:sz w:val="20"/>
          <w:szCs w:val="20"/>
          <w:lang w:eastAsia="es-MX"/>
        </w:rPr>
        <w:t xml:space="preserve">1 </w:t>
      </w:r>
      <w:proofErr w:type="gramStart"/>
      <w:r w:rsidRPr="00E5019C">
        <w:rPr>
          <w:rFonts w:ascii="Arial" w:hAnsi="Arial" w:cs="Arial"/>
          <w:sz w:val="20"/>
          <w:szCs w:val="20"/>
          <w:lang w:eastAsia="es-MX"/>
        </w:rPr>
        <w:t>El</w:t>
      </w:r>
      <w:proofErr w:type="gramEnd"/>
      <w:r w:rsidRPr="00E5019C">
        <w:rPr>
          <w:rFonts w:ascii="Arial" w:hAnsi="Arial" w:cs="Arial"/>
          <w:sz w:val="20"/>
          <w:szCs w:val="20"/>
          <w:lang w:eastAsia="es-MX"/>
        </w:rPr>
        <w:t xml:space="preserve"> sujeto obligado informó de manera extemporánea 24 eventos con el estatus de “cancelado” de la agenda de actos públicos.</w:t>
      </w:r>
    </w:p>
    <w:p w:rsidR="008B06A6" w:rsidRDefault="008B06A6" w:rsidP="00476839">
      <w:pPr>
        <w:shd w:val="clear" w:color="auto" w:fill="FFFFFF"/>
        <w:contextualSpacing/>
        <w:jc w:val="both"/>
        <w:rPr>
          <w:rFonts w:ascii="Arial" w:eastAsia="Times New Roman" w:hAnsi="Arial" w:cs="Arial"/>
          <w:color w:val="000000"/>
          <w:sz w:val="20"/>
          <w:szCs w:val="20"/>
          <w:lang w:eastAsia="es-MX"/>
        </w:rPr>
      </w:pPr>
    </w:p>
    <w:p w:rsidR="00990C83" w:rsidRPr="00E5019C" w:rsidRDefault="00990C83" w:rsidP="00476839">
      <w:pPr>
        <w:shd w:val="clear" w:color="auto" w:fill="FFFFFF"/>
        <w:contextualSpacing/>
        <w:jc w:val="both"/>
        <w:rPr>
          <w:rFonts w:ascii="Arial" w:eastAsia="Times New Roman" w:hAnsi="Arial" w:cs="Arial"/>
          <w:color w:val="212121"/>
          <w:sz w:val="20"/>
          <w:szCs w:val="20"/>
          <w:lang w:eastAsia="es-MX"/>
        </w:rPr>
      </w:pPr>
      <w:r w:rsidRPr="00E5019C">
        <w:rPr>
          <w:rFonts w:ascii="Arial" w:eastAsia="Times New Roman" w:hAnsi="Arial" w:cs="Arial"/>
          <w:color w:val="000000"/>
          <w:sz w:val="20"/>
          <w:szCs w:val="20"/>
          <w:lang w:eastAsia="es-MX"/>
        </w:rPr>
        <w:t>6 </w:t>
      </w:r>
      <w:proofErr w:type="gramStart"/>
      <w:r w:rsidRPr="00E5019C">
        <w:rPr>
          <w:rFonts w:ascii="Arial" w:eastAsia="Times New Roman" w:hAnsi="Arial" w:cs="Arial"/>
          <w:color w:val="212121"/>
          <w:sz w:val="20"/>
          <w:szCs w:val="20"/>
          <w:lang w:eastAsia="es-MX"/>
        </w:rPr>
        <w:t>El</w:t>
      </w:r>
      <w:proofErr w:type="gramEnd"/>
      <w:r w:rsidRPr="00E5019C">
        <w:rPr>
          <w:rFonts w:ascii="Arial" w:eastAsia="Times New Roman" w:hAnsi="Arial" w:cs="Arial"/>
          <w:color w:val="212121"/>
          <w:sz w:val="20"/>
          <w:szCs w:val="20"/>
          <w:lang w:eastAsia="es-MX"/>
        </w:rPr>
        <w:t xml:space="preserve"> sujeto obligado informó de manera extemporánea avisos de contratación al exceder el plazo establecido en la normativa,</w:t>
      </w:r>
      <w:r w:rsidRPr="00E5019C">
        <w:rPr>
          <w:rFonts w:ascii="Arial" w:eastAsia="Times New Roman" w:hAnsi="Arial" w:cs="Arial"/>
          <w:color w:val="000000"/>
          <w:sz w:val="20"/>
          <w:szCs w:val="20"/>
          <w:lang w:eastAsia="es-MX"/>
        </w:rPr>
        <w:t xml:space="preserve"> por un importe total de $</w:t>
      </w:r>
      <w:r w:rsidRPr="00E5019C">
        <w:rPr>
          <w:rFonts w:ascii="Arial" w:eastAsia="Times New Roman" w:hAnsi="Arial" w:cs="Arial"/>
          <w:color w:val="212121"/>
          <w:sz w:val="20"/>
          <w:szCs w:val="20"/>
          <w:lang w:eastAsia="es-MX"/>
        </w:rPr>
        <w:t>1,465,911.00</w:t>
      </w:r>
    </w:p>
    <w:p w:rsidR="008B06A6" w:rsidRDefault="008B06A6"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212121"/>
          <w:sz w:val="20"/>
          <w:szCs w:val="20"/>
        </w:rPr>
        <w:t>8 El sujeto obligado informó de manera extemporánea 5 avisos de contratación al exceder el plazo establecido en la normativa.</w:t>
      </w:r>
      <w:r w:rsidRPr="00E5019C">
        <w:rPr>
          <w:rFonts w:ascii="Arial" w:hAnsi="Arial" w:cs="Arial"/>
          <w:color w:val="212121"/>
          <w:sz w:val="20"/>
          <w:szCs w:val="20"/>
          <w:lang w:val="es-ES"/>
        </w:rPr>
        <w:t xml:space="preserve"> por un importe total de</w:t>
      </w:r>
      <w:r w:rsidRPr="00E5019C">
        <w:rPr>
          <w:rFonts w:ascii="Arial" w:hAnsi="Arial" w:cs="Arial"/>
          <w:color w:val="212121"/>
          <w:sz w:val="20"/>
          <w:szCs w:val="20"/>
        </w:rPr>
        <w:t xml:space="preserve"> </w:t>
      </w:r>
      <w:r w:rsidRPr="00E5019C">
        <w:rPr>
          <w:rFonts w:ascii="Arial" w:hAnsi="Arial" w:cs="Arial"/>
          <w:color w:val="000000"/>
          <w:sz w:val="20"/>
          <w:szCs w:val="20"/>
        </w:rPr>
        <w:t>$349,783.08.</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11 En consecuencia, el sujeto obligado informó de manera extemporánea 876 eventos de la agenda de actos públicos, de manera posterior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Default="00990C83" w:rsidP="00476839">
      <w:pPr>
        <w:contextualSpacing/>
        <w:jc w:val="both"/>
        <w:rPr>
          <w:rFonts w:ascii="Arial" w:hAnsi="Arial" w:cs="Arial"/>
          <w:noProof/>
          <w:sz w:val="20"/>
          <w:szCs w:val="20"/>
        </w:rPr>
      </w:pPr>
      <w:r w:rsidRPr="00E5019C">
        <w:rPr>
          <w:rFonts w:ascii="Arial" w:hAnsi="Arial" w:cs="Arial"/>
          <w:sz w:val="20"/>
          <w:szCs w:val="20"/>
        </w:rPr>
        <w:t xml:space="preserve">14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w:t>
      </w:r>
      <w:r w:rsidRPr="00E5019C">
        <w:rPr>
          <w:rFonts w:ascii="Arial" w:hAnsi="Arial" w:cs="Arial"/>
          <w:noProof/>
          <w:sz w:val="20"/>
          <w:szCs w:val="20"/>
        </w:rPr>
        <w:t>del monitoreo de diarios, revistas y otros medios impresos, omitió reportar por un testigo por un importe de $3,193.10</w:t>
      </w:r>
      <w:r w:rsidR="00FB2E68">
        <w:rPr>
          <w:rFonts w:ascii="Arial" w:hAnsi="Arial" w:cs="Arial"/>
          <w:noProof/>
          <w:sz w:val="20"/>
          <w:szCs w:val="20"/>
        </w:rPr>
        <w:t>.</w:t>
      </w:r>
    </w:p>
    <w:p w:rsidR="00FB2E68" w:rsidRPr="00E5019C" w:rsidRDefault="00FB2E68" w:rsidP="00476839">
      <w:pPr>
        <w:contextualSpacing/>
        <w:jc w:val="both"/>
        <w:rPr>
          <w:rFonts w:ascii="Arial" w:hAnsi="Arial" w:cs="Arial"/>
          <w:sz w:val="20"/>
          <w:szCs w:val="20"/>
        </w:rPr>
      </w:pPr>
    </w:p>
    <w:p w:rsidR="00990C83" w:rsidRPr="00E40D5B" w:rsidRDefault="00990C83" w:rsidP="00476839">
      <w:pPr>
        <w:contextualSpacing/>
        <w:rPr>
          <w:rFonts w:ascii="Arial" w:hAnsi="Arial" w:cs="Arial"/>
          <w:b/>
          <w:sz w:val="20"/>
          <w:szCs w:val="20"/>
          <w:u w:val="single"/>
        </w:rPr>
      </w:pPr>
      <w:r w:rsidRPr="00E40D5B">
        <w:rPr>
          <w:rFonts w:ascii="Arial" w:hAnsi="Arial" w:cs="Arial"/>
          <w:b/>
          <w:sz w:val="20"/>
          <w:szCs w:val="20"/>
          <w:u w:val="single"/>
        </w:rPr>
        <w:t>FALTAS SUSTANCIALES</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lang w:val="es-ES"/>
        </w:rPr>
        <w:t xml:space="preserve">2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370 eventos de la agenda de actos públicos, de manera posterior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3 El sujeto obligado informó de manera extemporánea 609 eventos de la agenda de actos públicos, de manera anticipada a su realización.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7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284 operaciones en tiempo real, durante el primer periodo, excediendo los tres días posteriores en que se realizó la operación, por un importe de </w:t>
      </w:r>
      <w:r w:rsidRPr="00E5019C">
        <w:rPr>
          <w:rFonts w:ascii="Arial" w:hAnsi="Arial" w:cs="Arial"/>
          <w:b/>
          <w:bCs/>
          <w:color w:val="000000"/>
          <w:sz w:val="20"/>
          <w:szCs w:val="20"/>
        </w:rPr>
        <w:t>$1,367,927.87.</w:t>
      </w:r>
    </w:p>
    <w:p w:rsidR="00E40D5B" w:rsidRDefault="00E40D5B"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9 </w:t>
      </w:r>
      <w:proofErr w:type="gramStart"/>
      <w:r w:rsidRPr="00E5019C">
        <w:rPr>
          <w:rFonts w:ascii="Arial" w:hAnsi="Arial" w:cs="Arial"/>
          <w:sz w:val="20"/>
          <w:szCs w:val="20"/>
        </w:rPr>
        <w:t>El</w:t>
      </w:r>
      <w:proofErr w:type="gramEnd"/>
      <w:r w:rsidRPr="00E5019C">
        <w:rPr>
          <w:rFonts w:ascii="Arial" w:hAnsi="Arial" w:cs="Arial"/>
          <w:sz w:val="20"/>
          <w:szCs w:val="20"/>
        </w:rPr>
        <w:t xml:space="preserve"> </w:t>
      </w:r>
      <w:r w:rsidRPr="00E5019C">
        <w:rPr>
          <w:rFonts w:ascii="Arial" w:eastAsia="Times New Roman" w:hAnsi="Arial" w:cs="Arial"/>
          <w:sz w:val="20"/>
          <w:szCs w:val="20"/>
          <w:lang w:eastAsia="es-MX"/>
        </w:rPr>
        <w:t xml:space="preserve">sujeto obligado </w:t>
      </w:r>
      <w:r w:rsidRPr="00E5019C">
        <w:rPr>
          <w:rFonts w:ascii="Arial" w:hAnsi="Arial" w:cs="Arial"/>
          <w:sz w:val="20"/>
          <w:szCs w:val="20"/>
        </w:rPr>
        <w:t xml:space="preserve">omitió realizar el registro contable de 13 operaciones en tiempo real, durante el primer periodo, </w:t>
      </w:r>
      <w:r w:rsidRPr="00E5019C">
        <w:rPr>
          <w:rFonts w:ascii="Arial" w:hAnsi="Arial" w:cs="Arial"/>
          <w:bCs/>
          <w:sz w:val="20"/>
          <w:szCs w:val="20"/>
        </w:rPr>
        <w:t xml:space="preserve">excediendo los tres días posteriores en que se realizó la operación, </w:t>
      </w:r>
      <w:r w:rsidRPr="00E5019C">
        <w:rPr>
          <w:rFonts w:ascii="Arial" w:hAnsi="Arial" w:cs="Arial"/>
          <w:sz w:val="20"/>
          <w:szCs w:val="20"/>
        </w:rPr>
        <w:t xml:space="preserve">por un importe de </w:t>
      </w:r>
      <w:r w:rsidRPr="00E5019C">
        <w:rPr>
          <w:rFonts w:ascii="Arial" w:hAnsi="Arial" w:cs="Arial"/>
          <w:bCs/>
          <w:color w:val="000000"/>
          <w:sz w:val="20"/>
          <w:szCs w:val="20"/>
        </w:rPr>
        <w:t>$920,511.16</w:t>
      </w:r>
      <w:r w:rsidRPr="00E5019C">
        <w:rPr>
          <w:rFonts w:ascii="Arial" w:hAnsi="Arial" w:cs="Arial"/>
          <w:sz w:val="20"/>
          <w:szCs w:val="20"/>
        </w:rPr>
        <w:t>.</w:t>
      </w:r>
    </w:p>
    <w:p w:rsidR="00E40D5B" w:rsidRDefault="00E40D5B" w:rsidP="00476839">
      <w:pPr>
        <w:pStyle w:val="xmsonormal"/>
        <w:spacing w:before="0" w:beforeAutospacing="0" w:after="0" w:afterAutospacing="0"/>
        <w:contextualSpacing/>
        <w:jc w:val="both"/>
        <w:rPr>
          <w:rFonts w:ascii="Arial" w:hAnsi="Arial" w:cs="Arial"/>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r w:rsidRPr="00E5019C">
        <w:rPr>
          <w:rFonts w:ascii="Arial" w:hAnsi="Arial" w:cs="Arial"/>
          <w:sz w:val="20"/>
          <w:szCs w:val="20"/>
        </w:rPr>
        <w:t>10 BIS El sujeto obligado reportó 67 eventos con el estatus de “cancelado”, los cuales exceden el plazo de 48 horas después de la fecha en que iba a realizarse el evento</w:t>
      </w:r>
    </w:p>
    <w:p w:rsidR="00990C83" w:rsidRPr="00E5019C" w:rsidRDefault="00990C83" w:rsidP="00476839">
      <w:pPr>
        <w:pStyle w:val="xmsonormal"/>
        <w:spacing w:before="0" w:beforeAutospacing="0" w:after="0" w:afterAutospacing="0"/>
        <w:contextualSpacing/>
        <w:jc w:val="both"/>
        <w:rPr>
          <w:rFonts w:ascii="Arial" w:hAnsi="Arial" w:cs="Arial"/>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12 El sujeto obligado informó de manera extemporánea 2716 eventos de la agenda de actos públicos, de manera anticipada a su realización.</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bCs/>
          <w:sz w:val="20"/>
          <w:szCs w:val="20"/>
        </w:rPr>
      </w:pPr>
      <w:r w:rsidRPr="00E5019C">
        <w:rPr>
          <w:rFonts w:ascii="Arial" w:hAnsi="Arial" w:cs="Arial"/>
          <w:color w:val="212121"/>
          <w:sz w:val="20"/>
          <w:szCs w:val="20"/>
          <w:lang w:val="es-MX"/>
        </w:rPr>
        <w:t xml:space="preserve">13 </w:t>
      </w:r>
      <w:r w:rsidRPr="00E5019C">
        <w:rPr>
          <w:rFonts w:ascii="Arial" w:hAnsi="Arial" w:cs="Arial"/>
          <w:color w:val="212121"/>
          <w:sz w:val="20"/>
          <w:szCs w:val="20"/>
        </w:rPr>
        <w:t xml:space="preserve">El sujeto obligado informó de manera extemporánea avisos de contratación al exceder el plazo establecido en la normativa. </w:t>
      </w:r>
      <w:r w:rsidRPr="00E5019C">
        <w:rPr>
          <w:rFonts w:ascii="Arial" w:hAnsi="Arial" w:cs="Arial"/>
          <w:bCs/>
          <w:sz w:val="20"/>
          <w:szCs w:val="20"/>
        </w:rPr>
        <w:t xml:space="preserve">por un importe total </w:t>
      </w:r>
      <w:r w:rsidR="002F7FBF" w:rsidRPr="00E5019C">
        <w:rPr>
          <w:rFonts w:ascii="Arial" w:hAnsi="Arial" w:cs="Arial"/>
          <w:bCs/>
          <w:sz w:val="20"/>
          <w:szCs w:val="20"/>
        </w:rPr>
        <w:t>de $</w:t>
      </w:r>
      <w:r w:rsidRPr="00E5019C">
        <w:rPr>
          <w:rFonts w:ascii="Arial" w:hAnsi="Arial" w:cs="Arial"/>
          <w:color w:val="000000"/>
          <w:sz w:val="20"/>
          <w:szCs w:val="20"/>
        </w:rPr>
        <w:t>6,944,758.04</w:t>
      </w:r>
    </w:p>
    <w:p w:rsidR="00E40D5B" w:rsidRDefault="00E40D5B"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t xml:space="preserve">15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977 operaciones en tiempo real, durante el primer periodo, excediendo los tres días posteriores en que se realizó la operación, por un importe de </w:t>
      </w:r>
      <w:r w:rsidRPr="00E5019C">
        <w:rPr>
          <w:rFonts w:ascii="Arial" w:hAnsi="Arial" w:cs="Arial"/>
          <w:b/>
          <w:bCs/>
          <w:color w:val="000000"/>
          <w:sz w:val="20"/>
          <w:szCs w:val="20"/>
        </w:rPr>
        <w:t>$7,476,726.71</w:t>
      </w:r>
    </w:p>
    <w:p w:rsidR="00E40D5B" w:rsidRDefault="00E40D5B" w:rsidP="00476839">
      <w:pPr>
        <w:contextualSpacing/>
        <w:jc w:val="both"/>
        <w:rPr>
          <w:rFonts w:ascii="Arial" w:hAnsi="Arial" w:cs="Arial"/>
          <w:color w:val="000000"/>
          <w:sz w:val="20"/>
          <w:szCs w:val="20"/>
        </w:rPr>
      </w:pPr>
    </w:p>
    <w:p w:rsidR="00990C83" w:rsidRPr="00E5019C" w:rsidRDefault="00990C83" w:rsidP="00476839">
      <w:pPr>
        <w:contextualSpacing/>
        <w:jc w:val="both"/>
        <w:rPr>
          <w:rFonts w:ascii="Arial" w:hAnsi="Arial" w:cs="Arial"/>
          <w:color w:val="000000"/>
          <w:sz w:val="20"/>
          <w:szCs w:val="20"/>
        </w:rPr>
      </w:pPr>
      <w:r w:rsidRPr="00E5019C">
        <w:rPr>
          <w:rFonts w:ascii="Arial" w:hAnsi="Arial" w:cs="Arial"/>
          <w:color w:val="000000"/>
          <w:sz w:val="20"/>
          <w:szCs w:val="20"/>
        </w:rPr>
        <w:lastRenderedPageBreak/>
        <w:t xml:space="preserve">16 </w:t>
      </w:r>
      <w:proofErr w:type="gramStart"/>
      <w:r w:rsidRPr="00E5019C">
        <w:rPr>
          <w:rFonts w:ascii="Arial" w:hAnsi="Arial" w:cs="Arial"/>
          <w:color w:val="000000"/>
          <w:sz w:val="20"/>
          <w:szCs w:val="20"/>
        </w:rPr>
        <w:t>El</w:t>
      </w:r>
      <w:proofErr w:type="gramEnd"/>
      <w:r w:rsidRPr="00E5019C">
        <w:rPr>
          <w:rFonts w:ascii="Arial" w:hAnsi="Arial" w:cs="Arial"/>
          <w:color w:val="000000"/>
          <w:sz w:val="20"/>
          <w:szCs w:val="20"/>
        </w:rPr>
        <w:t xml:space="preserve"> sujeto obligado omitió realizar el registro contable de 217 operaciones en tiempo real, durante el primer periodo, excediendo los tres días posteriores en que se realizó la operación, por un importe de </w:t>
      </w:r>
      <w:r w:rsidRPr="00E5019C">
        <w:rPr>
          <w:rFonts w:ascii="Arial" w:hAnsi="Arial" w:cs="Arial"/>
          <w:b/>
          <w:bCs/>
          <w:color w:val="000000"/>
          <w:sz w:val="20"/>
          <w:szCs w:val="20"/>
        </w:rPr>
        <w:t>$7,477,918.49</w:t>
      </w:r>
    </w:p>
    <w:p w:rsidR="00FB2E68" w:rsidRDefault="00FB2E68" w:rsidP="00476839">
      <w:pPr>
        <w:contextualSpacing/>
        <w:jc w:val="center"/>
        <w:rPr>
          <w:rFonts w:ascii="Arial" w:hAnsi="Arial" w:cs="Arial"/>
          <w:sz w:val="20"/>
          <w:szCs w:val="20"/>
        </w:rPr>
      </w:pPr>
    </w:p>
    <w:p w:rsidR="008F71DD" w:rsidRDefault="008F71DD" w:rsidP="00476839">
      <w:pPr>
        <w:contextualSpacing/>
        <w:jc w:val="center"/>
        <w:rPr>
          <w:rFonts w:ascii="Arial" w:hAnsi="Arial" w:cs="Arial"/>
          <w:sz w:val="20"/>
          <w:szCs w:val="20"/>
        </w:rPr>
      </w:pPr>
    </w:p>
    <w:p w:rsidR="00990C83" w:rsidRPr="00FB2E68" w:rsidRDefault="008F71DD" w:rsidP="00476839">
      <w:pPr>
        <w:contextualSpacing/>
        <w:jc w:val="center"/>
        <w:rPr>
          <w:rFonts w:ascii="Arial" w:hAnsi="Arial" w:cs="Arial"/>
          <w:b/>
          <w:bCs/>
          <w:sz w:val="20"/>
          <w:szCs w:val="20"/>
        </w:rPr>
      </w:pPr>
      <w:r>
        <w:rPr>
          <w:rFonts w:ascii="Arial" w:hAnsi="Arial" w:cs="Arial"/>
          <w:b/>
          <w:bCs/>
          <w:sz w:val="20"/>
          <w:szCs w:val="20"/>
        </w:rPr>
        <w:t>Coalición Juntos Haremos Historia</w:t>
      </w:r>
    </w:p>
    <w:p w:rsidR="00FB2E68" w:rsidRPr="00E5019C" w:rsidRDefault="00FB2E68" w:rsidP="00476839">
      <w:pPr>
        <w:contextualSpacing/>
        <w:jc w:val="center"/>
        <w:rPr>
          <w:rFonts w:ascii="Arial" w:hAnsi="Arial" w:cs="Arial"/>
          <w:sz w:val="20"/>
          <w:szCs w:val="20"/>
        </w:rPr>
      </w:pPr>
    </w:p>
    <w:p w:rsidR="00990C83" w:rsidRPr="00E40D5B" w:rsidRDefault="00990C83" w:rsidP="00476839">
      <w:pPr>
        <w:contextualSpacing/>
        <w:rPr>
          <w:rFonts w:ascii="Arial" w:hAnsi="Arial" w:cs="Arial"/>
          <w:b/>
          <w:sz w:val="20"/>
          <w:szCs w:val="20"/>
          <w:u w:val="single"/>
        </w:rPr>
      </w:pPr>
      <w:r w:rsidRPr="00E40D5B">
        <w:rPr>
          <w:rFonts w:ascii="Arial" w:hAnsi="Arial" w:cs="Arial"/>
          <w:b/>
          <w:sz w:val="20"/>
          <w:szCs w:val="20"/>
          <w:u w:val="single"/>
        </w:rPr>
        <w:t>FALTAS FORMALES</w:t>
      </w:r>
    </w:p>
    <w:p w:rsidR="00990C83" w:rsidRPr="00E5019C" w:rsidRDefault="00990C83" w:rsidP="00476839">
      <w:pPr>
        <w:contextualSpacing/>
        <w:jc w:val="both"/>
        <w:rPr>
          <w:rFonts w:ascii="Arial" w:hAnsi="Arial" w:cs="Arial"/>
          <w:color w:val="000000"/>
          <w:sz w:val="20"/>
          <w:szCs w:val="20"/>
          <w:shd w:val="clear" w:color="auto" w:fill="FFFFFF"/>
        </w:rPr>
      </w:pPr>
      <w:r w:rsidRPr="00E5019C">
        <w:rPr>
          <w:rFonts w:ascii="Arial" w:hAnsi="Arial" w:cs="Arial"/>
          <w:color w:val="000000"/>
          <w:sz w:val="20"/>
          <w:szCs w:val="20"/>
          <w:shd w:val="clear" w:color="auto" w:fill="FFFFFF"/>
        </w:rPr>
        <w:t xml:space="preserve">1 </w:t>
      </w:r>
      <w:proofErr w:type="gramStart"/>
      <w:r w:rsidRPr="00E5019C">
        <w:rPr>
          <w:rFonts w:ascii="Arial" w:hAnsi="Arial" w:cs="Arial"/>
          <w:color w:val="000000"/>
          <w:sz w:val="20"/>
          <w:szCs w:val="20"/>
          <w:shd w:val="clear" w:color="auto" w:fill="FFFFFF"/>
        </w:rPr>
        <w:t>El</w:t>
      </w:r>
      <w:proofErr w:type="gramEnd"/>
      <w:r w:rsidRPr="00E5019C">
        <w:rPr>
          <w:rFonts w:ascii="Arial" w:hAnsi="Arial" w:cs="Arial"/>
          <w:color w:val="000000"/>
          <w:sz w:val="20"/>
          <w:szCs w:val="20"/>
          <w:shd w:val="clear" w:color="auto" w:fill="FFFFFF"/>
        </w:rPr>
        <w:t xml:space="preserve"> sujeto obligado informo de manera extemporánea 61 eventos “cancelado” de la agenda de actos públicos</w:t>
      </w:r>
      <w:r w:rsidR="00E40D5B">
        <w:rPr>
          <w:rFonts w:ascii="Arial" w:hAnsi="Arial" w:cs="Arial"/>
          <w:color w:val="000000"/>
          <w:sz w:val="20"/>
          <w:szCs w:val="20"/>
          <w:shd w:val="clear" w:color="auto" w:fill="FFFFFF"/>
        </w:rPr>
        <w:t>.</w:t>
      </w:r>
    </w:p>
    <w:p w:rsidR="00E40D5B" w:rsidRDefault="00E40D5B" w:rsidP="00476839">
      <w:pPr>
        <w:contextualSpacing/>
        <w:jc w:val="both"/>
        <w:rPr>
          <w:rFonts w:ascii="Arial" w:hAnsi="Arial" w:cs="Arial"/>
          <w:sz w:val="20"/>
          <w:szCs w:val="20"/>
        </w:rPr>
      </w:pPr>
    </w:p>
    <w:p w:rsidR="00990C83" w:rsidRPr="00E5019C" w:rsidRDefault="00990C83" w:rsidP="00476839">
      <w:pPr>
        <w:contextualSpacing/>
        <w:jc w:val="both"/>
        <w:rPr>
          <w:rFonts w:ascii="Arial" w:eastAsia="Arial Unicode MS" w:hAnsi="Arial" w:cs="Arial"/>
          <w:bCs/>
          <w:color w:val="000000"/>
          <w:sz w:val="20"/>
          <w:szCs w:val="20"/>
        </w:rPr>
      </w:pPr>
      <w:r w:rsidRPr="00E5019C">
        <w:rPr>
          <w:rFonts w:ascii="Arial" w:hAnsi="Arial" w:cs="Arial"/>
          <w:sz w:val="20"/>
          <w:szCs w:val="20"/>
        </w:rPr>
        <w:t xml:space="preserve">4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w:t>
      </w:r>
      <w:r w:rsidRPr="00E5019C">
        <w:rPr>
          <w:rFonts w:ascii="Arial" w:eastAsia="Arial Unicode MS" w:hAnsi="Arial" w:cs="Arial"/>
          <w:bCs/>
          <w:color w:val="000000"/>
          <w:sz w:val="20"/>
          <w:szCs w:val="20"/>
        </w:rPr>
        <w:t>presentar 27 controles de folios de los aportantes, simpatizantes, militantes y candidatos; tanto de aportaciones en efectivo como en especie.</w:t>
      </w:r>
    </w:p>
    <w:p w:rsidR="00E40D5B" w:rsidRDefault="00E40D5B"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shd w:val="clear" w:color="auto" w:fill="FFFFFF"/>
        </w:rPr>
      </w:pPr>
      <w:r w:rsidRPr="00E5019C">
        <w:rPr>
          <w:rFonts w:ascii="Arial" w:hAnsi="Arial" w:cs="Arial"/>
          <w:color w:val="000000"/>
          <w:sz w:val="20"/>
          <w:szCs w:val="20"/>
        </w:rPr>
        <w:t>6  </w:t>
      </w:r>
      <w:r w:rsidRPr="00E5019C">
        <w:rPr>
          <w:rFonts w:ascii="Arial" w:hAnsi="Arial" w:cs="Arial"/>
          <w:color w:val="212121"/>
          <w:sz w:val="20"/>
          <w:szCs w:val="20"/>
          <w:shd w:val="clear" w:color="auto" w:fill="FFFFFF"/>
        </w:rPr>
        <w:t>El sujeto obligado presento 1 factura en formato XML que carece del complemento INE por un monto de $464,000.00</w:t>
      </w:r>
    </w:p>
    <w:p w:rsidR="00990C83" w:rsidRPr="00E5019C" w:rsidRDefault="00990C83" w:rsidP="00476839">
      <w:pPr>
        <w:pStyle w:val="xmsonormal"/>
        <w:spacing w:before="0" w:beforeAutospacing="0" w:after="0" w:afterAutospacing="0"/>
        <w:contextualSpacing/>
        <w:jc w:val="both"/>
        <w:rPr>
          <w:rFonts w:ascii="Arial" w:hAnsi="Arial" w:cs="Arial"/>
          <w:b/>
          <w:bCs/>
          <w:color w:val="000000"/>
          <w:sz w:val="20"/>
          <w:szCs w:val="20"/>
        </w:rPr>
      </w:pPr>
    </w:p>
    <w:p w:rsidR="00990C83" w:rsidRPr="00E5019C" w:rsidRDefault="00990C83" w:rsidP="00476839">
      <w:pPr>
        <w:contextualSpacing/>
        <w:jc w:val="both"/>
        <w:rPr>
          <w:rFonts w:ascii="Arial" w:eastAsia="Times New Roman" w:hAnsi="Arial" w:cs="Arial"/>
          <w:color w:val="000000"/>
          <w:sz w:val="20"/>
          <w:szCs w:val="20"/>
          <w:lang w:eastAsia="es-MX"/>
        </w:rPr>
      </w:pPr>
      <w:r w:rsidRPr="00E5019C">
        <w:rPr>
          <w:rFonts w:ascii="Arial" w:eastAsia="Times New Roman" w:hAnsi="Arial" w:cs="Arial"/>
          <w:color w:val="000000"/>
          <w:sz w:val="20"/>
          <w:szCs w:val="20"/>
          <w:lang w:eastAsia="es-MX"/>
        </w:rPr>
        <w:t xml:space="preserve">8 </w:t>
      </w:r>
      <w:proofErr w:type="gramStart"/>
      <w:r w:rsidRPr="00E5019C">
        <w:rPr>
          <w:rFonts w:ascii="Arial" w:eastAsia="Times New Roman" w:hAnsi="Arial" w:cs="Arial"/>
          <w:color w:val="000000"/>
          <w:sz w:val="20"/>
          <w:szCs w:val="20"/>
          <w:lang w:eastAsia="es-MX"/>
        </w:rPr>
        <w:t>El</w:t>
      </w:r>
      <w:proofErr w:type="gramEnd"/>
      <w:r w:rsidRPr="00E5019C">
        <w:rPr>
          <w:rFonts w:ascii="Arial" w:eastAsia="Times New Roman" w:hAnsi="Arial" w:cs="Arial"/>
          <w:color w:val="000000"/>
          <w:sz w:val="20"/>
          <w:szCs w:val="20"/>
          <w:lang w:eastAsia="es-MX"/>
        </w:rPr>
        <w:t xml:space="preserve"> sujeto obligado omitió realizar el registro </w:t>
      </w:r>
      <w:r w:rsidRPr="00FB2E68">
        <w:rPr>
          <w:rFonts w:ascii="Arial" w:eastAsia="Times New Roman" w:hAnsi="Arial" w:cs="Arial"/>
          <w:sz w:val="20"/>
          <w:szCs w:val="20"/>
          <w:lang w:eastAsia="es-MX"/>
        </w:rPr>
        <w:t>contable de 225 operaciones en tiempo real, durante el primer periodo, excediendo los tres días posteriores en que se realizó la operación, por un importe de </w:t>
      </w:r>
      <w:r w:rsidRPr="00FB2E68">
        <w:rPr>
          <w:rFonts w:ascii="Arial" w:eastAsia="Times New Roman" w:hAnsi="Arial" w:cs="Arial"/>
          <w:b/>
          <w:bCs/>
          <w:sz w:val="20"/>
          <w:szCs w:val="20"/>
          <w:lang w:eastAsia="es-MX"/>
        </w:rPr>
        <w:t>$3,716,403.73</w:t>
      </w:r>
    </w:p>
    <w:p w:rsidR="00E40D5B" w:rsidRDefault="00E40D5B"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10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reportar en el SIF los egresos generados por concepto del no registro por la utilización de casa de campaña por un monto de $14,037.58.</w:t>
      </w:r>
    </w:p>
    <w:p w:rsidR="00E40D5B" w:rsidRDefault="00E40D5B" w:rsidP="00476839">
      <w:pPr>
        <w:contextualSpacing/>
        <w:jc w:val="both"/>
        <w:rPr>
          <w:rFonts w:ascii="Arial" w:hAnsi="Arial" w:cs="Arial"/>
          <w:color w:val="000000"/>
          <w:sz w:val="20"/>
          <w:szCs w:val="20"/>
          <w:shd w:val="clear" w:color="auto" w:fill="FFFFFF"/>
        </w:rPr>
      </w:pPr>
    </w:p>
    <w:p w:rsidR="00990C83" w:rsidRPr="00E5019C" w:rsidRDefault="00990C83" w:rsidP="00476839">
      <w:pPr>
        <w:contextualSpacing/>
        <w:jc w:val="both"/>
        <w:rPr>
          <w:rFonts w:ascii="Arial" w:hAnsi="Arial" w:cs="Arial"/>
          <w:sz w:val="20"/>
          <w:szCs w:val="20"/>
        </w:rPr>
      </w:pPr>
      <w:r w:rsidRPr="00E5019C">
        <w:rPr>
          <w:rFonts w:ascii="Arial" w:hAnsi="Arial" w:cs="Arial"/>
          <w:color w:val="000000"/>
          <w:sz w:val="20"/>
          <w:szCs w:val="20"/>
          <w:shd w:val="clear" w:color="auto" w:fill="FFFFFF"/>
        </w:rPr>
        <w:t xml:space="preserve">13 </w:t>
      </w:r>
      <w:proofErr w:type="gramStart"/>
      <w:r w:rsidRPr="00E5019C">
        <w:rPr>
          <w:rFonts w:ascii="Arial" w:hAnsi="Arial" w:cs="Arial"/>
          <w:color w:val="000000"/>
          <w:sz w:val="20"/>
          <w:szCs w:val="20"/>
          <w:shd w:val="clear" w:color="auto" w:fill="FFFFFF"/>
        </w:rPr>
        <w:t>El</w:t>
      </w:r>
      <w:proofErr w:type="gramEnd"/>
      <w:r w:rsidRPr="00E5019C">
        <w:rPr>
          <w:rFonts w:ascii="Arial" w:hAnsi="Arial" w:cs="Arial"/>
          <w:color w:val="000000"/>
          <w:sz w:val="20"/>
          <w:szCs w:val="20"/>
          <w:shd w:val="clear" w:color="auto" w:fill="FFFFFF"/>
        </w:rPr>
        <w:t xml:space="preserve"> sujeto obligado informó de manera extemporánea 2,663 eventos de la agenda de actos públicos, de manera posterior a su celebración.</w:t>
      </w:r>
    </w:p>
    <w:p w:rsidR="00E40D5B" w:rsidRDefault="00E40D5B"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000000"/>
          <w:sz w:val="20"/>
          <w:szCs w:val="20"/>
        </w:rPr>
        <w:t>15 El sujeto obligado omitió comprobar que los recursos aportados en especie de simpatizantes, los cuales superan las 90 UMA, fueron pagados mediante cheque nominativo o transferencia bancaria por un monto de $1,067,322.96</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contextualSpacing/>
        <w:jc w:val="both"/>
        <w:rPr>
          <w:rFonts w:ascii="Arial" w:eastAsia="Times New Roman" w:hAnsi="Arial" w:cs="Arial"/>
          <w:b/>
          <w:bCs/>
          <w:color w:val="000000"/>
          <w:sz w:val="20"/>
          <w:szCs w:val="20"/>
          <w:lang w:eastAsia="es-MX"/>
        </w:rPr>
      </w:pPr>
      <w:r w:rsidRPr="00E5019C">
        <w:rPr>
          <w:rFonts w:ascii="Arial" w:eastAsia="Times New Roman" w:hAnsi="Arial" w:cs="Arial"/>
          <w:color w:val="000000"/>
          <w:sz w:val="20"/>
          <w:szCs w:val="20"/>
          <w:lang w:eastAsia="es-MX"/>
        </w:rPr>
        <w:t xml:space="preserve">19 </w:t>
      </w:r>
      <w:proofErr w:type="gramStart"/>
      <w:r w:rsidRPr="00E5019C">
        <w:rPr>
          <w:rFonts w:ascii="Arial" w:eastAsia="Times New Roman" w:hAnsi="Arial" w:cs="Arial"/>
          <w:color w:val="000000"/>
          <w:sz w:val="20"/>
          <w:szCs w:val="20"/>
          <w:lang w:eastAsia="es-MX"/>
        </w:rPr>
        <w:t>El</w:t>
      </w:r>
      <w:proofErr w:type="gramEnd"/>
      <w:r w:rsidRPr="00E5019C">
        <w:rPr>
          <w:rFonts w:ascii="Arial" w:eastAsia="Times New Roman" w:hAnsi="Arial" w:cs="Arial"/>
          <w:color w:val="000000"/>
          <w:sz w:val="20"/>
          <w:szCs w:val="20"/>
          <w:lang w:eastAsia="es-MX"/>
        </w:rPr>
        <w:t> sujeto obligado omitió realizar el registro contable de 1219</w:t>
      </w:r>
      <w:r w:rsidRPr="00FB2E68">
        <w:rPr>
          <w:rFonts w:ascii="Arial" w:eastAsia="Times New Roman" w:hAnsi="Arial" w:cs="Arial"/>
          <w:color w:val="000000"/>
          <w:sz w:val="20"/>
          <w:szCs w:val="20"/>
          <w:lang w:eastAsia="es-MX"/>
        </w:rPr>
        <w:t xml:space="preserve"> </w:t>
      </w:r>
      <w:r w:rsidRPr="00E5019C">
        <w:rPr>
          <w:rFonts w:ascii="Arial" w:eastAsia="Times New Roman" w:hAnsi="Arial" w:cs="Arial"/>
          <w:color w:val="000000"/>
          <w:sz w:val="20"/>
          <w:szCs w:val="20"/>
          <w:lang w:eastAsia="es-MX"/>
        </w:rPr>
        <w:t>operaciones en tiempo real, durante el primer periodo, excediendo los tres días posteriores en que se realizó la operación, por un importe de </w:t>
      </w:r>
      <w:r w:rsidRPr="00E5019C">
        <w:rPr>
          <w:rFonts w:ascii="Arial" w:eastAsia="Times New Roman" w:hAnsi="Arial" w:cs="Arial"/>
          <w:b/>
          <w:bCs/>
          <w:color w:val="000000"/>
          <w:sz w:val="20"/>
          <w:szCs w:val="20"/>
          <w:lang w:eastAsia="es-MX"/>
        </w:rPr>
        <w:t>$13,470,558.57</w:t>
      </w:r>
    </w:p>
    <w:p w:rsidR="00E40D5B" w:rsidRDefault="00E40D5B" w:rsidP="00476839">
      <w:pPr>
        <w:contextualSpacing/>
        <w:jc w:val="both"/>
        <w:rPr>
          <w:rFonts w:ascii="Arial" w:hAnsi="Arial" w:cs="Arial"/>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sz w:val="20"/>
          <w:szCs w:val="20"/>
        </w:rPr>
        <w:t xml:space="preserve">20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no presentó el aviso de apertura de 114 cuentas bancarias</w:t>
      </w:r>
    </w:p>
    <w:p w:rsidR="00E40D5B" w:rsidRDefault="00E40D5B" w:rsidP="00476839">
      <w:pPr>
        <w:pStyle w:val="xmsonormal"/>
        <w:spacing w:before="0" w:beforeAutospacing="0" w:after="0" w:afterAutospacing="0"/>
        <w:contextualSpacing/>
        <w:jc w:val="both"/>
        <w:rPr>
          <w:rFonts w:ascii="Arial" w:hAnsi="Arial" w:cs="Arial"/>
          <w:color w:val="212121"/>
          <w:sz w:val="20"/>
          <w:szCs w:val="20"/>
          <w:shd w:val="clear" w:color="auto" w:fill="FFFFFF"/>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shd w:val="clear" w:color="auto" w:fill="FFFFFF"/>
        </w:rPr>
      </w:pPr>
      <w:r w:rsidRPr="00E5019C">
        <w:rPr>
          <w:rFonts w:ascii="Arial" w:hAnsi="Arial" w:cs="Arial"/>
          <w:color w:val="212121"/>
          <w:sz w:val="20"/>
          <w:szCs w:val="20"/>
          <w:shd w:val="clear" w:color="auto" w:fill="FFFFFF"/>
        </w:rPr>
        <w:t>21El sujeto obligado omitió presentar 155 estados de cuenta y 155 conciliaciones bancarias.</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p>
    <w:p w:rsidR="00990C83" w:rsidRPr="00E40D5B" w:rsidRDefault="00990C83" w:rsidP="00476839">
      <w:pPr>
        <w:contextualSpacing/>
        <w:rPr>
          <w:rFonts w:ascii="Arial" w:hAnsi="Arial" w:cs="Arial"/>
          <w:b/>
          <w:sz w:val="20"/>
          <w:szCs w:val="20"/>
          <w:u w:val="single"/>
        </w:rPr>
      </w:pPr>
      <w:r w:rsidRPr="00E40D5B">
        <w:rPr>
          <w:rFonts w:ascii="Arial" w:hAnsi="Arial" w:cs="Arial"/>
          <w:b/>
          <w:sz w:val="20"/>
          <w:szCs w:val="20"/>
          <w:u w:val="single"/>
        </w:rPr>
        <w:t>FALTAS SUSTANCIALES</w:t>
      </w:r>
    </w:p>
    <w:p w:rsidR="00990C83" w:rsidRPr="00E5019C" w:rsidRDefault="00990C83" w:rsidP="00476839">
      <w:pPr>
        <w:contextualSpacing/>
        <w:jc w:val="both"/>
        <w:rPr>
          <w:rFonts w:ascii="Arial" w:eastAsia="Times New Roman" w:hAnsi="Arial" w:cs="Arial"/>
          <w:sz w:val="20"/>
          <w:szCs w:val="20"/>
          <w:lang w:eastAsia="es-MX"/>
        </w:rPr>
      </w:pPr>
      <w:r w:rsidRPr="00E5019C">
        <w:rPr>
          <w:rFonts w:ascii="Arial" w:eastAsia="Times New Roman" w:hAnsi="Arial" w:cs="Arial"/>
          <w:color w:val="000000"/>
          <w:sz w:val="20"/>
          <w:szCs w:val="20"/>
          <w:lang w:eastAsia="es-MX"/>
        </w:rPr>
        <w:t xml:space="preserve">2 </w:t>
      </w:r>
      <w:proofErr w:type="gramStart"/>
      <w:r w:rsidRPr="00E5019C">
        <w:rPr>
          <w:rFonts w:ascii="Arial" w:eastAsia="Times New Roman" w:hAnsi="Arial" w:cs="Arial"/>
          <w:color w:val="000000"/>
          <w:sz w:val="20"/>
          <w:szCs w:val="20"/>
          <w:lang w:eastAsia="es-MX"/>
        </w:rPr>
        <w:t>El</w:t>
      </w:r>
      <w:proofErr w:type="gramEnd"/>
      <w:r w:rsidRPr="00E5019C">
        <w:rPr>
          <w:rFonts w:ascii="Arial" w:eastAsia="Times New Roman" w:hAnsi="Arial" w:cs="Arial"/>
          <w:color w:val="000000"/>
          <w:sz w:val="20"/>
          <w:szCs w:val="20"/>
          <w:lang w:eastAsia="es-MX"/>
        </w:rPr>
        <w:t xml:space="preserve"> sujeto obligado informó de manera extemporánea 2,576 eventos de la agenda de actos públicos, de manera posterior a su celebración.</w:t>
      </w:r>
    </w:p>
    <w:p w:rsidR="00E40D5B" w:rsidRDefault="00E40D5B"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000000"/>
          <w:sz w:val="20"/>
          <w:szCs w:val="20"/>
        </w:rPr>
        <w:t>3 El sujeto obligado informó de manera extemporánea 426 eventos de la agenda de actos públicos, de manera previa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000000"/>
          <w:sz w:val="20"/>
          <w:szCs w:val="20"/>
        </w:rPr>
        <w:t>5 El sujeto obligado omitió comprobar que los recursos aportados en especie de simpatizantes, los cuales superan las 90 UMA, fueron pagados mediante cheque nominativo o transferencia bancaria por un monto de $693,147.85</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contextualSpacing/>
        <w:jc w:val="both"/>
        <w:rPr>
          <w:rFonts w:ascii="Arial" w:eastAsia="Times New Roman" w:hAnsi="Arial" w:cs="Arial"/>
          <w:sz w:val="20"/>
          <w:szCs w:val="20"/>
          <w:lang w:val="es-MX" w:eastAsia="es-MX"/>
        </w:rPr>
      </w:pPr>
      <w:r w:rsidRPr="00E5019C">
        <w:rPr>
          <w:rFonts w:ascii="Arial" w:hAnsi="Arial" w:cs="Arial"/>
          <w:color w:val="212121"/>
          <w:sz w:val="20"/>
          <w:szCs w:val="20"/>
        </w:rPr>
        <w:t xml:space="preserve">7 </w:t>
      </w:r>
      <w:proofErr w:type="gramStart"/>
      <w:r w:rsidRPr="00E5019C">
        <w:rPr>
          <w:rFonts w:ascii="Arial" w:hAnsi="Arial" w:cs="Arial"/>
          <w:color w:val="212121"/>
          <w:sz w:val="20"/>
          <w:szCs w:val="20"/>
        </w:rPr>
        <w:t>El</w:t>
      </w:r>
      <w:proofErr w:type="gramEnd"/>
      <w:r w:rsidRPr="00E5019C">
        <w:rPr>
          <w:rFonts w:ascii="Arial" w:hAnsi="Arial" w:cs="Arial"/>
          <w:color w:val="212121"/>
          <w:sz w:val="20"/>
          <w:szCs w:val="20"/>
        </w:rPr>
        <w:t xml:space="preserve"> sujeto obligado informó de manera extemporánea 21 avisos de contratación al exceder el plazo establecido en la normativa, por un monto de $462,260.00.</w:t>
      </w:r>
    </w:p>
    <w:p w:rsidR="00E40D5B" w:rsidRDefault="00E40D5B" w:rsidP="00476839">
      <w:pPr>
        <w:contextualSpacing/>
        <w:jc w:val="both"/>
        <w:rPr>
          <w:rFonts w:ascii="Arial" w:hAnsi="Arial" w:cs="Arial"/>
          <w:color w:val="212121"/>
          <w:sz w:val="20"/>
          <w:szCs w:val="20"/>
          <w:shd w:val="clear" w:color="auto" w:fill="FFFFFF"/>
        </w:rPr>
      </w:pPr>
    </w:p>
    <w:p w:rsidR="00990C83" w:rsidRPr="00E5019C" w:rsidRDefault="00990C83" w:rsidP="00476839">
      <w:pPr>
        <w:contextualSpacing/>
        <w:jc w:val="both"/>
        <w:rPr>
          <w:rFonts w:ascii="Arial" w:hAnsi="Arial" w:cs="Arial"/>
          <w:sz w:val="20"/>
          <w:szCs w:val="20"/>
        </w:rPr>
      </w:pPr>
      <w:r w:rsidRPr="00E5019C">
        <w:rPr>
          <w:rFonts w:ascii="Arial" w:hAnsi="Arial" w:cs="Arial"/>
          <w:color w:val="212121"/>
          <w:sz w:val="20"/>
          <w:szCs w:val="20"/>
          <w:shd w:val="clear" w:color="auto" w:fill="FFFFFF"/>
        </w:rPr>
        <w:t xml:space="preserve">9 </w:t>
      </w:r>
      <w:proofErr w:type="gramStart"/>
      <w:r w:rsidRPr="00E5019C">
        <w:rPr>
          <w:rFonts w:ascii="Arial" w:hAnsi="Arial" w:cs="Arial"/>
          <w:color w:val="212121"/>
          <w:sz w:val="20"/>
          <w:szCs w:val="20"/>
          <w:shd w:val="clear" w:color="auto" w:fill="FFFFFF"/>
        </w:rPr>
        <w:t>El</w:t>
      </w:r>
      <w:proofErr w:type="gramEnd"/>
      <w:r w:rsidRPr="00E5019C">
        <w:rPr>
          <w:rFonts w:ascii="Arial" w:hAnsi="Arial" w:cs="Arial"/>
          <w:color w:val="212121"/>
          <w:sz w:val="20"/>
          <w:szCs w:val="20"/>
          <w:shd w:val="clear" w:color="auto" w:fill="FFFFFF"/>
        </w:rPr>
        <w:t xml:space="preserve"> sujeto obligado omitió presentar 44 estados de cuenta y 44 conciliaciones bancarias,</w:t>
      </w:r>
    </w:p>
    <w:p w:rsidR="00E40D5B" w:rsidRDefault="00E40D5B" w:rsidP="00476839">
      <w:pPr>
        <w:pStyle w:val="xmsonormal"/>
        <w:spacing w:before="0" w:beforeAutospacing="0" w:after="0" w:afterAutospacing="0"/>
        <w:contextualSpacing/>
        <w:jc w:val="both"/>
        <w:rPr>
          <w:rFonts w:ascii="Arial" w:hAnsi="Arial" w:cs="Arial"/>
          <w:color w:val="000000"/>
          <w:sz w:val="20"/>
          <w:szCs w:val="20"/>
          <w:shd w:val="clear" w:color="auto" w:fill="FFFFFF"/>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shd w:val="clear" w:color="auto" w:fill="FFFFFF"/>
        </w:rPr>
      </w:pPr>
      <w:r w:rsidRPr="00E5019C">
        <w:rPr>
          <w:rFonts w:ascii="Arial" w:hAnsi="Arial" w:cs="Arial"/>
          <w:color w:val="000000"/>
          <w:sz w:val="20"/>
          <w:szCs w:val="20"/>
          <w:shd w:val="clear" w:color="auto" w:fill="FFFFFF"/>
        </w:rPr>
        <w:lastRenderedPageBreak/>
        <w:t>11 El sujeto obligado informo de manera extemporánea 17 eventos “cancelado” de la agenda de actos públicos.</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shd w:val="clear" w:color="auto" w:fill="FFFFFF"/>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000000"/>
          <w:sz w:val="20"/>
          <w:szCs w:val="20"/>
        </w:rPr>
        <w:t>12 El sujeto obligado informó de manera extemporánea 590 eventos de la agenda de actos públicos, de manera previa a su celebración</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16 El sujeto obligado presento de forma extemporánea 44 avisos de contratación por un monto total de $1,079,252.87.</w:t>
      </w:r>
    </w:p>
    <w:p w:rsidR="00990C83" w:rsidRPr="00E5019C" w:rsidRDefault="00990C83" w:rsidP="00476839">
      <w:pPr>
        <w:pStyle w:val="xxmsonormal"/>
        <w:spacing w:before="0" w:beforeAutospacing="0" w:after="0" w:afterAutospacing="0"/>
        <w:contextualSpacing/>
        <w:jc w:val="both"/>
        <w:rPr>
          <w:rFonts w:ascii="Arial" w:hAnsi="Arial" w:cs="Arial"/>
          <w:color w:val="212121"/>
          <w:sz w:val="20"/>
          <w:szCs w:val="20"/>
        </w:rPr>
      </w:pPr>
    </w:p>
    <w:p w:rsidR="00990C83" w:rsidRPr="00E5019C" w:rsidRDefault="00990C83" w:rsidP="00476839">
      <w:pPr>
        <w:contextualSpacing/>
        <w:jc w:val="both"/>
        <w:rPr>
          <w:rFonts w:ascii="Arial" w:hAnsi="Arial" w:cs="Arial"/>
          <w:sz w:val="20"/>
          <w:szCs w:val="20"/>
        </w:rPr>
      </w:pPr>
      <w:r w:rsidRPr="00E5019C">
        <w:rPr>
          <w:rFonts w:ascii="Arial" w:hAnsi="Arial" w:cs="Arial"/>
          <w:color w:val="212121"/>
          <w:sz w:val="20"/>
          <w:szCs w:val="20"/>
        </w:rPr>
        <w:t xml:space="preserve">17 </w:t>
      </w:r>
      <w:proofErr w:type="gramStart"/>
      <w:r w:rsidRPr="00E5019C">
        <w:rPr>
          <w:rFonts w:ascii="Arial" w:hAnsi="Arial" w:cs="Arial"/>
          <w:sz w:val="20"/>
          <w:szCs w:val="20"/>
        </w:rPr>
        <w:t>El</w:t>
      </w:r>
      <w:proofErr w:type="gramEnd"/>
      <w:r w:rsidRPr="00E5019C">
        <w:rPr>
          <w:rFonts w:ascii="Arial" w:hAnsi="Arial" w:cs="Arial"/>
          <w:sz w:val="20"/>
          <w:szCs w:val="20"/>
        </w:rPr>
        <w:t xml:space="preserve"> sujeto obligado omitió reportar en el SIF los egresos generados por concepto de gastos propaganda y operativos detectados en las visitas de verificación realizados durante la campaña por un monto de $2,542,007.62</w:t>
      </w:r>
    </w:p>
    <w:p w:rsidR="00476839" w:rsidRDefault="00476839"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000000"/>
          <w:sz w:val="20"/>
          <w:szCs w:val="20"/>
        </w:rPr>
        <w:t>18 El sujeto obligado omitió realizar verazmente el registro contable de operaciones en tiempo real, excediendo los tres días posteriores a que se realizó la operación por un importe de $20,346.00.</w:t>
      </w:r>
    </w:p>
    <w:p w:rsidR="00990C83" w:rsidRPr="00E5019C" w:rsidRDefault="00990C83" w:rsidP="00476839">
      <w:pPr>
        <w:pStyle w:val="x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xmsonormal"/>
        <w:spacing w:before="0" w:beforeAutospacing="0" w:after="0" w:afterAutospacing="0"/>
        <w:contextualSpacing/>
        <w:jc w:val="both"/>
        <w:rPr>
          <w:rFonts w:ascii="Arial" w:hAnsi="Arial" w:cs="Arial"/>
          <w:color w:val="000000"/>
          <w:sz w:val="20"/>
          <w:szCs w:val="20"/>
        </w:rPr>
      </w:pPr>
      <w:r w:rsidRPr="00E5019C">
        <w:rPr>
          <w:rFonts w:ascii="Arial" w:hAnsi="Arial" w:cs="Arial"/>
          <w:color w:val="212121"/>
          <w:sz w:val="20"/>
          <w:szCs w:val="20"/>
          <w:shd w:val="clear" w:color="auto" w:fill="FFFFFF"/>
        </w:rPr>
        <w:t>22 El sujeto obligado presento de forma extemporánea los avisos de contratación por un monto total de $9,602,416.61</w:t>
      </w:r>
    </w:p>
    <w:p w:rsidR="00990C83" w:rsidRPr="00E5019C" w:rsidRDefault="00990C83" w:rsidP="00476839">
      <w:pPr>
        <w:pStyle w:val="xmsonormal"/>
        <w:spacing w:before="0" w:beforeAutospacing="0" w:after="0" w:afterAutospacing="0"/>
        <w:contextualSpacing/>
        <w:jc w:val="both"/>
        <w:rPr>
          <w:rFonts w:ascii="Arial" w:hAnsi="Arial" w:cs="Arial"/>
          <w:color w:val="000000"/>
          <w:sz w:val="20"/>
          <w:szCs w:val="20"/>
        </w:rPr>
      </w:pP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23 El sujeto obligado omitió realizar el registro contable de sus operaciones en tiempo real, excediendo los tres días posteriores en que se realizó la operación, por un importe de</w:t>
      </w:r>
    </w:p>
    <w:p w:rsidR="00990C83" w:rsidRPr="00E5019C" w:rsidRDefault="00990C83" w:rsidP="00476839">
      <w:pPr>
        <w:pStyle w:val="xmsonormal"/>
        <w:spacing w:before="0" w:beforeAutospacing="0" w:after="0" w:afterAutospacing="0"/>
        <w:contextualSpacing/>
        <w:jc w:val="both"/>
        <w:rPr>
          <w:rFonts w:ascii="Arial" w:hAnsi="Arial" w:cs="Arial"/>
          <w:color w:val="212121"/>
          <w:sz w:val="20"/>
          <w:szCs w:val="20"/>
        </w:rPr>
      </w:pPr>
      <w:r w:rsidRPr="00E5019C">
        <w:rPr>
          <w:rFonts w:ascii="Arial" w:hAnsi="Arial" w:cs="Arial"/>
          <w:color w:val="212121"/>
          <w:sz w:val="20"/>
          <w:szCs w:val="20"/>
        </w:rPr>
        <w:t>$15,139,634.91.</w:t>
      </w:r>
    </w:p>
    <w:p w:rsidR="00990C83" w:rsidRPr="00E5019C" w:rsidRDefault="00990C83" w:rsidP="00E5019C">
      <w:pPr>
        <w:contextualSpacing/>
        <w:rPr>
          <w:rFonts w:ascii="Arial" w:hAnsi="Arial" w:cs="Arial"/>
          <w:sz w:val="20"/>
          <w:szCs w:val="20"/>
        </w:rPr>
      </w:pPr>
    </w:p>
    <w:sectPr w:rsidR="00990C83" w:rsidRPr="00E5019C" w:rsidSect="00A256AB">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615A" w:rsidRDefault="00FF615A" w:rsidP="00A256AB">
      <w:r>
        <w:separator/>
      </w:r>
    </w:p>
  </w:endnote>
  <w:endnote w:type="continuationSeparator" w:id="0">
    <w:p w:rsidR="00FF615A" w:rsidRDefault="00FF615A" w:rsidP="00A25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ouvenir Lt BT">
    <w:altName w:val="Cambria"/>
    <w:panose1 w:val="020B06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19717554"/>
      <w:docPartObj>
        <w:docPartGallery w:val="Page Numbers (Bottom of Page)"/>
        <w:docPartUnique/>
      </w:docPartObj>
    </w:sdtPr>
    <w:sdtContent>
      <w:p w:rsidR="000F71DB" w:rsidRDefault="000F71DB" w:rsidP="008745D1">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0F71DB" w:rsidRDefault="000F71DB" w:rsidP="00A7749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040738553"/>
      <w:docPartObj>
        <w:docPartGallery w:val="Page Numbers (Bottom of Page)"/>
        <w:docPartUnique/>
      </w:docPartObj>
    </w:sdtPr>
    <w:sdtContent>
      <w:p w:rsidR="000F71DB" w:rsidRDefault="000F71DB" w:rsidP="008745D1">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rsidR="000F71DB" w:rsidRDefault="000F71DB" w:rsidP="00A7749C">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615A" w:rsidRDefault="00FF615A" w:rsidP="00A256AB">
      <w:r>
        <w:separator/>
      </w:r>
    </w:p>
  </w:footnote>
  <w:footnote w:type="continuationSeparator" w:id="0">
    <w:p w:rsidR="00FF615A" w:rsidRDefault="00FF615A" w:rsidP="00A256AB">
      <w:r>
        <w:continuationSeparator/>
      </w:r>
    </w:p>
  </w:footnote>
  <w:footnote w:id="1">
    <w:p w:rsidR="000F71DB" w:rsidRDefault="000F71DB" w:rsidP="00A256AB">
      <w:pPr>
        <w:pStyle w:val="Textonotapie"/>
        <w:jc w:val="both"/>
      </w:pPr>
      <w:r>
        <w:rPr>
          <w:rStyle w:val="Refdenotaalpie"/>
        </w:rPr>
        <w:footnoteRef/>
      </w:r>
      <w:r>
        <w:t xml:space="preserve"> Es </w:t>
      </w:r>
      <w:r w:rsidRPr="00661981">
        <w:t>la suma de gastos que un candidato requiere erogar para desplegar una campaña en un distrito electoral. Trátese de gastos de arrendamiento para un local de operaciones, sueldos a personal provisional, insumos, alquiler de vehículo, combustibles y gastos de propaganda propiamente dichos” (Wolde</w:t>
      </w:r>
      <w:r>
        <w:t>n</w:t>
      </w:r>
      <w:r w:rsidRPr="00661981">
        <w:t>berg, 2002: 379)</w:t>
      </w:r>
    </w:p>
  </w:footnote>
  <w:footnote w:id="2">
    <w:p w:rsidR="000F71DB" w:rsidRDefault="000F71DB" w:rsidP="00A256AB">
      <w:pPr>
        <w:pStyle w:val="Textonotapie"/>
        <w:jc w:val="both"/>
      </w:pPr>
      <w:r>
        <w:rPr>
          <w:rStyle w:val="Refdenotaalpie"/>
        </w:rPr>
        <w:footnoteRef/>
      </w:r>
      <w:r>
        <w:t xml:space="preserve"> Cabe recordar que recibían para sus campañas electorales, el equivalente al 100% del monto anual para actividades ordinarias permanentes, desde la reforma de 1996. </w:t>
      </w:r>
    </w:p>
  </w:footnote>
  <w:footnote w:id="3">
    <w:p w:rsidR="000F71DB" w:rsidRDefault="000F71DB" w:rsidP="00A256AB">
      <w:pPr>
        <w:pStyle w:val="Textonotapie"/>
        <w:jc w:val="both"/>
      </w:pPr>
      <w:r>
        <w:rPr>
          <w:rStyle w:val="Refdenotaalpie"/>
        </w:rPr>
        <w:footnoteRef/>
      </w:r>
      <w:r>
        <w:t xml:space="preserve"> Se conoce como actividades específicas a la educación, capacitación, investigación socioeconómica y política, así como a las tareas editoriales que deben realizar los partidos políticos.</w:t>
      </w:r>
    </w:p>
  </w:footnote>
  <w:footnote w:id="4">
    <w:p w:rsidR="000F71DB" w:rsidRDefault="000F71DB" w:rsidP="00A256AB">
      <w:pPr>
        <w:pStyle w:val="Textonotapie"/>
      </w:pPr>
      <w:r>
        <w:rPr>
          <w:rStyle w:val="Refdenotaalpie"/>
        </w:rPr>
        <w:footnoteRef/>
      </w:r>
      <w:r>
        <w:t xml:space="preserve"> Con excepción de las relativas a servicios educativos o de salud. </w:t>
      </w:r>
    </w:p>
  </w:footnote>
  <w:footnote w:id="5">
    <w:p w:rsidR="000F71DB" w:rsidRDefault="000F71DB" w:rsidP="00A256AB">
      <w:pPr>
        <w:pStyle w:val="Textonotapie"/>
        <w:jc w:val="both"/>
      </w:pPr>
      <w:r>
        <w:rPr>
          <w:rStyle w:val="Refdenotaalpie"/>
        </w:rPr>
        <w:footnoteRef/>
      </w:r>
      <w:r>
        <w:t xml:space="preserve"> La Unidad de Fiscalización de Recursos de los Partidos Políticos del INE, en la resolución de la queja determinó que el gasto realizado en tiendas de autoservicio, conveniencia y departamentales ascendió a </w:t>
      </w:r>
    </w:p>
    <w:p w:rsidR="000F71DB" w:rsidRDefault="000F71DB" w:rsidP="00A256AB">
      <w:pPr>
        <w:pStyle w:val="Textonotapie"/>
        <w:jc w:val="both"/>
      </w:pPr>
      <w:r>
        <w:t>$5,878,126.00.</w:t>
      </w:r>
    </w:p>
  </w:footnote>
  <w:footnote w:id="6">
    <w:p w:rsidR="000F71DB" w:rsidRDefault="000F71DB" w:rsidP="00A256AB">
      <w:pPr>
        <w:pStyle w:val="Textonotapie"/>
        <w:jc w:val="both"/>
      </w:pPr>
      <w:r>
        <w:rPr>
          <w:rStyle w:val="Refdenotaalpie"/>
        </w:rPr>
        <w:footnoteRef/>
      </w:r>
      <w:r>
        <w:t xml:space="preserve"> Un Comité de Acción Política es cualquier organización, representante de un individuo o grupo, que dona fondos directamente a la campaña de un candidato, o que gasta dinero para promover la elección de un candidato determinado. Estos gastos pueden realizarse con o sin el consentimiento del candidato. Tanto los candidatos como los partidos pueden formar sus propios PAC.</w:t>
      </w:r>
    </w:p>
  </w:footnote>
  <w:footnote w:id="7">
    <w:p w:rsidR="000F71DB" w:rsidRDefault="000F71DB" w:rsidP="00A256AB">
      <w:pPr>
        <w:pStyle w:val="Textonotapie"/>
        <w:jc w:val="both"/>
      </w:pPr>
      <w:r>
        <w:rPr>
          <w:rStyle w:val="Refdenotaalpie"/>
        </w:rPr>
        <w:footnoteRef/>
      </w:r>
      <w:r>
        <w:t xml:space="preserve"> </w:t>
      </w:r>
      <w:r w:rsidRPr="00251680">
        <w:t>Destaca el caso de El Salvador, donde los partidos políticos y candidatos no tienen la obligación de presentar informes sobre el ejercicio de recursos.</w:t>
      </w:r>
    </w:p>
  </w:footnote>
  <w:footnote w:id="8">
    <w:p w:rsidR="000F71DB" w:rsidRDefault="000F71DB" w:rsidP="00A256AB">
      <w:pPr>
        <w:pStyle w:val="Textonotapie"/>
      </w:pPr>
      <w:r>
        <w:rPr>
          <w:rStyle w:val="Refdenotaalpie"/>
        </w:rPr>
        <w:footnoteRef/>
      </w:r>
      <w:r>
        <w:t xml:space="preserve"> Para mayor referencia consultar artículo 39, fracción III, del Código Federal Electoral. </w:t>
      </w:r>
    </w:p>
  </w:footnote>
  <w:footnote w:id="9">
    <w:p w:rsidR="000F71DB" w:rsidRDefault="000F71DB" w:rsidP="00A256AB">
      <w:pPr>
        <w:pStyle w:val="Textonotapie"/>
        <w:jc w:val="both"/>
      </w:pPr>
      <w:r>
        <w:rPr>
          <w:rStyle w:val="Refdenotaalpie"/>
        </w:rPr>
        <w:footnoteRef/>
      </w:r>
      <w:r>
        <w:t xml:space="preserve"> La Comisión Federal Electoral se integraba por un Presidente (Secretario de Gobernación), Dos Comisionados del Poder Legislativo, 1 Diputado y 1 Senador (en aquel tiempo de hegemonía del PRI, ambos comisionados pertenecían a dicho partido), Comisionados de los partidos políticos nacionales con registro, 1 Comisionado adicional para los partidos que hubieren obtenido más del 3% de la votación, 1 Comisionado adicional para partidos que hubieren obtenido entre el 3% y el 6% de la votación, y finalmente 1 Comisionado adicional por cada 3% adicional de la votación, a partir del 6% total. </w:t>
      </w:r>
    </w:p>
  </w:footnote>
  <w:footnote w:id="10">
    <w:p w:rsidR="000F71DB" w:rsidRDefault="000F71DB" w:rsidP="00A256AB">
      <w:pPr>
        <w:pStyle w:val="Textonotapie"/>
        <w:jc w:val="both"/>
      </w:pPr>
      <w:r>
        <w:rPr>
          <w:rStyle w:val="Refdenotaalpie"/>
        </w:rPr>
        <w:footnoteRef/>
      </w:r>
      <w:r>
        <w:t xml:space="preserve"> </w:t>
      </w:r>
      <w:r w:rsidRPr="000E14CC">
        <w:t xml:space="preserve">El caso conocido como Monex surgió durante la elección presidencial de 2012, cuando el PAN denunció a la coalición integrada por el PRI y PVEM y a su entonces candidato presidencial, Enrique Peña Nieto, por la presunta operación de recursos a través de tarjetas del Banco Monex por un monto 701 millones, 471 mil 800 pesos. Posteriormente el PRD también interpuso una queja sobre el </w:t>
      </w:r>
      <w:r>
        <w:t>mismo asunto, adicionando infor</w:t>
      </w:r>
      <w:r w:rsidRPr="000E14CC">
        <w:t xml:space="preserve">mación sobre el uso de tarjetas de la empresa Soriana que presuntamente fueron utilizadas para realizar compra del voto. Los quejosos sostuvieron que el </w:t>
      </w:r>
      <w:r>
        <w:t>G</w:t>
      </w:r>
      <w:r w:rsidRPr="000E14CC">
        <w:t>obierno del Estado de México financió de man</w:t>
      </w:r>
      <w:r>
        <w:t>era encubierta la campaña presi</w:t>
      </w:r>
      <w:r w:rsidRPr="000E14CC">
        <w:t>dencial a través de la celebración de diversos contratos no ejecutados con empresas propiedad de José Luis Ponce de Aquino, consistentes en 56 millones de dóla</w:t>
      </w:r>
      <w:r>
        <w:t>res, recursos que fueron distri</w:t>
      </w:r>
      <w:r w:rsidRPr="000E14CC">
        <w:t xml:space="preserve">buidos a través de tarjetas del </w:t>
      </w:r>
      <w:r>
        <w:t>B</w:t>
      </w:r>
      <w:r w:rsidRPr="000E14CC">
        <w:t>anco Monex. A juicio de los quejosos, de haberse contabilizado este gasto, hubiese sido posible que la autoridad probara que hubo un rebas</w:t>
      </w:r>
      <w:r>
        <w:t>e del tope de gastos de campaña (</w:t>
      </w:r>
      <w:r w:rsidRPr="000E14CC">
        <w:t>In</w:t>
      </w:r>
      <w:r>
        <w:t xml:space="preserve">stituto Belisario Domínguez, </w:t>
      </w:r>
      <w:r w:rsidRPr="000E14CC">
        <w:t>2017</w:t>
      </w:r>
      <w:r>
        <w:t>: 16</w:t>
      </w:r>
      <w:r w:rsidRPr="000E14CC">
        <w:t>)</w:t>
      </w:r>
      <w:r>
        <w:t>.</w:t>
      </w:r>
    </w:p>
  </w:footnote>
  <w:footnote w:id="11">
    <w:p w:rsidR="000F71DB" w:rsidRDefault="000F71DB" w:rsidP="00A256AB">
      <w:pPr>
        <w:pStyle w:val="Textonotapie"/>
        <w:jc w:val="both"/>
      </w:pPr>
      <w:r>
        <w:rPr>
          <w:rStyle w:val="Refdenotaalpie"/>
        </w:rPr>
        <w:footnoteRef/>
      </w:r>
      <w:r>
        <w:t xml:space="preserve"> El Pacto por México fue un acuerdo político nacional firmado el 2 de diciembre de 2012, por el Presidente de la República, Enrique Peña Nieto; y los dirigentes nacionales del Partido Acción Nacional; Partido Revolucionario Institucional; y Partido de la Revolución Democrática, con la finalidad de llevar a cabo reformas encaminadas al cumplimiento de 95 compromisos en 5 grandes acuerdos.</w:t>
      </w:r>
    </w:p>
    <w:p w:rsidR="000F71DB" w:rsidRDefault="000F71DB" w:rsidP="00A256AB">
      <w:pPr>
        <w:pStyle w:val="Textonotapie"/>
      </w:pPr>
    </w:p>
    <w:p w:rsidR="000F71DB" w:rsidRDefault="000F71DB" w:rsidP="00A256AB">
      <w:pPr>
        <w:pStyle w:val="Textonotapie"/>
      </w:pPr>
    </w:p>
  </w:footnote>
  <w:footnote w:id="12">
    <w:p w:rsidR="000F71DB" w:rsidRDefault="000F71DB" w:rsidP="00A256AB">
      <w:pPr>
        <w:pStyle w:val="Textonotapie"/>
        <w:jc w:val="both"/>
      </w:pPr>
      <w:r>
        <w:rPr>
          <w:rStyle w:val="Refdenotaalpie"/>
        </w:rPr>
        <w:footnoteRef/>
      </w:r>
      <w:r>
        <w:t xml:space="preserve"> El Consejo General del INE puede delegar la función de fiscalización a los Organismos Públicos Locales, deberá verificar la capacidad técnica y operativa de los mismos para desempeñar dicha función, conforme a lo dispuesto en la Ley General de Partidos Políticos. (artículo 191, numeral 2, LGIPE).</w:t>
      </w:r>
    </w:p>
  </w:footnote>
  <w:footnote w:id="13">
    <w:p w:rsidR="000F71DB" w:rsidRDefault="000F71DB" w:rsidP="00A256AB">
      <w:pPr>
        <w:pStyle w:val="Textonotapie"/>
        <w:jc w:val="both"/>
      </w:pPr>
      <w:r>
        <w:rPr>
          <w:rStyle w:val="Refdenotaalpie"/>
        </w:rPr>
        <w:footnoteRef/>
      </w:r>
      <w:r>
        <w:t xml:space="preserve"> Para mayor referencia de la legislación electoral léase Gerardo Sánchez y Sánchez “Panorámica de la Legislación Electoral en el Estado de México” disponible en versión electrónica en la dirección: </w:t>
      </w:r>
      <w:r w:rsidRPr="00A9051B">
        <w:t>https://tecnologias-educativas.te.gob.mx/RevistaElectoral/content/pdf/a-1993-01-003-112.pdf</w:t>
      </w:r>
      <w:r>
        <w:t>.</w:t>
      </w:r>
    </w:p>
  </w:footnote>
  <w:footnote w:id="14">
    <w:p w:rsidR="000F71DB" w:rsidRDefault="000F71DB" w:rsidP="00A256AB">
      <w:pPr>
        <w:pStyle w:val="Textonotapie"/>
        <w:jc w:val="both"/>
      </w:pPr>
      <w:r>
        <w:rPr>
          <w:rStyle w:val="Refdenotaalpie"/>
        </w:rPr>
        <w:footnoteRef/>
      </w:r>
      <w:r>
        <w:t xml:space="preserve"> </w:t>
      </w:r>
      <w:r w:rsidRPr="00E4044E">
        <w:t xml:space="preserve">El </w:t>
      </w:r>
      <w:r>
        <w:t xml:space="preserve">Órgano Técnico de Fiscalización se creó oficialmente con </w:t>
      </w:r>
      <w:r w:rsidRPr="00E4044E">
        <w:t xml:space="preserve">el Decreto 163 expedido por la “LVI” Legislatura Local </w:t>
      </w:r>
      <w:r>
        <w:t>publicado</w:t>
      </w:r>
      <w:r w:rsidRPr="00E4044E">
        <w:t xml:space="preserve"> en el Periódico Oficial del Gobierno del Estado Libre y Soberano de México, “Gaceta del Gobierno</w:t>
      </w:r>
      <w:r>
        <w:t xml:space="preserve">” con fecha </w:t>
      </w:r>
      <w:r w:rsidRPr="00E4044E">
        <w:t xml:space="preserve">9 de mayo de </w:t>
      </w:r>
      <w:r>
        <w:t>2008.</w:t>
      </w:r>
    </w:p>
  </w:footnote>
  <w:footnote w:id="15">
    <w:p w:rsidR="000F71DB" w:rsidRPr="0000464D" w:rsidRDefault="000F71DB" w:rsidP="00A256AB">
      <w:pPr>
        <w:pStyle w:val="Textonotapie"/>
        <w:jc w:val="both"/>
      </w:pPr>
      <w:r>
        <w:rPr>
          <w:rStyle w:val="Refdenotaalpie"/>
        </w:rPr>
        <w:footnoteRef/>
      </w:r>
      <w:r>
        <w:t xml:space="preserve"> </w:t>
      </w:r>
      <w:r w:rsidRPr="0000464D">
        <w:t xml:space="preserve">En el párrafo 2, del artículo 8 de la Ley General de Partidos Políticos se establece que </w:t>
      </w:r>
      <w:r>
        <w:t>e</w:t>
      </w:r>
      <w:r w:rsidRPr="0000464D">
        <w:t>l Instituto podrá, excepcionalmente y con la aprobación de una mayoría de cuando menos ocho votos de los integrantes del Consejo General, delegar en los Organismos Públicos Locales la fiscalización de los ingresos y egresos de los partidos políticos locales, sus coaliciones y de los candidatos a cargos de elección popular en las entidades federativas</w:t>
      </w:r>
      <w:r>
        <w:t>.</w:t>
      </w:r>
    </w:p>
  </w:footnote>
  <w:footnote w:id="16">
    <w:p w:rsidR="000F71DB" w:rsidRDefault="000F71DB" w:rsidP="00A256AB">
      <w:pPr>
        <w:pStyle w:val="Textonotapie"/>
      </w:pPr>
      <w:r w:rsidRPr="00A942E3">
        <w:rPr>
          <w:rStyle w:val="Refdenotaalpie"/>
        </w:rPr>
        <w:footnoteRef/>
      </w:r>
      <w:r w:rsidRPr="00A942E3">
        <w:t xml:space="preserve"> Artículo 42, numerales 2 y 6 de la Ley G</w:t>
      </w:r>
      <w:r w:rsidRPr="00B42253">
        <w:t>eneral de Instituciones y Procedimientos Electorales</w:t>
      </w:r>
      <w:r>
        <w:t>.</w:t>
      </w:r>
    </w:p>
  </w:footnote>
  <w:footnote w:id="17">
    <w:p w:rsidR="000F71DB" w:rsidRDefault="000F71DB" w:rsidP="00A256AB">
      <w:pPr>
        <w:pStyle w:val="Textonotapie"/>
        <w:jc w:val="both"/>
      </w:pPr>
      <w:r>
        <w:rPr>
          <w:rStyle w:val="Refdenotaalpie"/>
        </w:rPr>
        <w:footnoteRef/>
      </w:r>
      <w:r>
        <w:t xml:space="preserve"> Previamente el 17 de noviembre se aprobó el </w:t>
      </w:r>
      <w:r w:rsidRPr="007A5D20">
        <w:t>Manual General de Contabilidad que incluye la Guía Contabilizadora y el Catálogo de Cuentas, así como los Formatos que servirán de apoyo para el cumplimiento del Reglamento de Fiscalización.</w:t>
      </w:r>
    </w:p>
  </w:footnote>
  <w:footnote w:id="18">
    <w:p w:rsidR="000F71DB" w:rsidRDefault="000F71DB" w:rsidP="00A256AB">
      <w:pPr>
        <w:pStyle w:val="Textonotapie"/>
        <w:jc w:val="both"/>
      </w:pPr>
      <w:r>
        <w:rPr>
          <w:rStyle w:val="Refdenotaalpie"/>
        </w:rPr>
        <w:footnoteRef/>
      </w:r>
      <w:r>
        <w:t xml:space="preserve"> El Sistema desarrollado por el INE y la UNAM; quedo reducido a una hoja de cálculo de Excel, en la que los partidos políticos pudieron capturar, sus ingresos y egresos de precampaña; así como la posibilidad de adjuntar información comprobatoria (contratos, facturas, formatos, muestras de propaganda, etc), escaneada hasta por 15 MB. </w:t>
      </w:r>
    </w:p>
  </w:footnote>
  <w:footnote w:id="19">
    <w:p w:rsidR="000F71DB" w:rsidRDefault="000F71DB" w:rsidP="00A256AB">
      <w:pPr>
        <w:pStyle w:val="Textonotapie"/>
      </w:pPr>
      <w:r>
        <w:rPr>
          <w:rStyle w:val="Refdenotaalpie"/>
        </w:rPr>
        <w:footnoteRef/>
      </w:r>
      <w:r>
        <w:t xml:space="preserve"> </w:t>
      </w:r>
      <w:r w:rsidRPr="00D303FC">
        <w:t>Los informes de campaña se presentan por periodos de 30 días, es decir si una campaña dura 56 días, se presentarán dos informes de campaña uno por los primeros 30 días y el segundo por los restantes 26 días.</w:t>
      </w:r>
    </w:p>
  </w:footnote>
  <w:footnote w:id="20">
    <w:p w:rsidR="000F71DB" w:rsidRDefault="000F71DB" w:rsidP="00A256AB">
      <w:pPr>
        <w:pStyle w:val="Textonotapie"/>
      </w:pPr>
      <w:r>
        <w:rPr>
          <w:rStyle w:val="Refdenotaalpie"/>
        </w:rPr>
        <w:footnoteRef/>
      </w:r>
      <w:r>
        <w:t xml:space="preserve"> Incluyendo el periodo vacacional de diciembre de 2009.</w:t>
      </w:r>
    </w:p>
  </w:footnote>
  <w:footnote w:id="21">
    <w:p w:rsidR="000F71DB" w:rsidRDefault="000F71DB" w:rsidP="00A256AB">
      <w:pPr>
        <w:pStyle w:val="Textonotapie"/>
        <w:jc w:val="both"/>
      </w:pPr>
      <w:r>
        <w:rPr>
          <w:rStyle w:val="Refdenotaalpie"/>
        </w:rPr>
        <w:footnoteRef/>
      </w:r>
      <w:r>
        <w:t xml:space="preserve"> Se entiende como tiempo real, un plazo de hasta 3 días después de que se reciban recursos en efectivo o especie para el caso de los ingresos, y para el caso de los egresos un plazo de hasta 3 días después de que se pacte, reciba o se realice un gasto, determinándose como primer momento cualquier acción de las anteriores que ocurra primero.</w:t>
      </w:r>
    </w:p>
  </w:footnote>
  <w:footnote w:id="22">
    <w:p w:rsidR="000F71DB" w:rsidRDefault="000F71DB" w:rsidP="00A256AB">
      <w:pPr>
        <w:pStyle w:val="Textonotapie"/>
        <w:jc w:val="both"/>
      </w:pPr>
      <w:r>
        <w:rPr>
          <w:rStyle w:val="Refdenotaalpie"/>
        </w:rPr>
        <w:footnoteRef/>
      </w:r>
      <w:r>
        <w:t xml:space="preserve"> El monto de la multa que se impone, 1,075 DSM se ubica dentro del rango previsto para las faltas calificadas como graves ordinarias y que en tal sentido, no corresponde a la calificación de leve dada a la falta en cuestión, no obstante el OTF consideró la capacidad económica del infractor como factor para aumentar la sanción. Pág 70 del Acuerdo CG/18/2010 del Consejo General del IEEM.</w:t>
      </w:r>
    </w:p>
  </w:footnote>
  <w:footnote w:id="23">
    <w:p w:rsidR="000F71DB" w:rsidRDefault="000F71DB" w:rsidP="00A256AB">
      <w:pPr>
        <w:pStyle w:val="Textonotapie"/>
      </w:pPr>
      <w:r>
        <w:rPr>
          <w:rStyle w:val="Refdenotaalpie"/>
        </w:rPr>
        <w:footnoteRef/>
      </w:r>
      <w:r>
        <w:t xml:space="preserve"> Para mayor detalle consultar Anexo II de la investigación.</w:t>
      </w:r>
    </w:p>
  </w:footnote>
  <w:footnote w:id="24">
    <w:p w:rsidR="000F71DB" w:rsidRDefault="000F71DB" w:rsidP="00A256AB">
      <w:pPr>
        <w:pStyle w:val="Textonotapie"/>
      </w:pPr>
      <w:r>
        <w:rPr>
          <w:rStyle w:val="Refdenotaalpie"/>
        </w:rPr>
        <w:footnoteRef/>
      </w:r>
      <w:r>
        <w:t xml:space="preserve"> Acuerdo IEEM/CG/128/2012.</w:t>
      </w:r>
    </w:p>
  </w:footnote>
  <w:footnote w:id="25">
    <w:p w:rsidR="000F71DB" w:rsidRDefault="000F71DB" w:rsidP="00A256AB">
      <w:pPr>
        <w:pStyle w:val="Textonotapie"/>
      </w:pPr>
      <w:r>
        <w:rPr>
          <w:rStyle w:val="Refdenotaalpie"/>
        </w:rPr>
        <w:footnoteRef/>
      </w:r>
      <w:r>
        <w:t xml:space="preserve"> Para mayor detalle consultar Anexo III de la presente investigación.</w:t>
      </w:r>
    </w:p>
  </w:footnote>
  <w:footnote w:id="26">
    <w:p w:rsidR="000F71DB" w:rsidRDefault="000F71DB" w:rsidP="00A256AB">
      <w:pPr>
        <w:pStyle w:val="Textonotapie"/>
        <w:jc w:val="both"/>
      </w:pPr>
      <w:r>
        <w:rPr>
          <w:rStyle w:val="Refdenotaalpie"/>
        </w:rPr>
        <w:footnoteRef/>
      </w:r>
      <w:r>
        <w:t xml:space="preserve"> </w:t>
      </w:r>
      <w:r w:rsidRPr="00752071">
        <w:t>La Sala Superior del Tribunal Electoral del Poder Judicial de la Federación determinó en el recurso de apelación SUP-RAP-257/2008, que cuando con la conducta imputada se obtenga un beneficio económico la sanción debe incluir, por lo menos, el monto beneficiado; en el caso concreto la sanción debe corresponder a aquella que guarde proporción con la gravedad de la falta y las circunstancias particulares del caso.</w:t>
      </w:r>
    </w:p>
  </w:footnote>
  <w:footnote w:id="27">
    <w:p w:rsidR="000F71DB" w:rsidRDefault="000F71DB" w:rsidP="00A256AB">
      <w:pPr>
        <w:pStyle w:val="Textonotapie"/>
        <w:jc w:val="both"/>
      </w:pPr>
      <w:r>
        <w:rPr>
          <w:rStyle w:val="Refdenotaalpie"/>
        </w:rPr>
        <w:footnoteRef/>
      </w:r>
      <w:r>
        <w:t xml:space="preserve"> Para mayor información revisar página 227 de la sentencia del expediente identificado con clave</w:t>
      </w:r>
      <w:r w:rsidRPr="00E66F80">
        <w:t xml:space="preserve"> ST-JRC-0016-2010</w:t>
      </w:r>
      <w:r>
        <w:t xml:space="preserve"> disponible en </w:t>
      </w:r>
      <w:r w:rsidRPr="00E66F80">
        <w:t>https://www.te.gob.mx/salasreg/ejecutoria/sentencias/toluca/ST-JRC-0016-2010.pdf</w:t>
      </w:r>
      <w:r>
        <w:t>.</w:t>
      </w:r>
    </w:p>
  </w:footnote>
  <w:footnote w:id="28">
    <w:p w:rsidR="000F71DB" w:rsidRDefault="000F71DB" w:rsidP="00A256AB">
      <w:pPr>
        <w:pStyle w:val="Textonotapie"/>
        <w:jc w:val="both"/>
      </w:pPr>
      <w:r>
        <w:rPr>
          <w:rStyle w:val="Refdenotaalpie"/>
        </w:rPr>
        <w:footnoteRef/>
      </w:r>
      <w:r>
        <w:t xml:space="preserve"> Cabe destacar que las multas de las coaliciones se distribuyen entre los integrantes de la misma con un porcentaje determinado en función del financiamiento público que cada partido aportó para las campañas de los candidatos de la Coalición.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71C69"/>
    <w:multiLevelType w:val="hybridMultilevel"/>
    <w:tmpl w:val="77080F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2F50FDD"/>
    <w:multiLevelType w:val="hybridMultilevel"/>
    <w:tmpl w:val="20F6FB6E"/>
    <w:lvl w:ilvl="0" w:tplc="F532FF56">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AC12A1"/>
    <w:multiLevelType w:val="hybridMultilevel"/>
    <w:tmpl w:val="D9A29A98"/>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03F6252E"/>
    <w:multiLevelType w:val="hybridMultilevel"/>
    <w:tmpl w:val="73E223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3F862EA"/>
    <w:multiLevelType w:val="hybridMultilevel"/>
    <w:tmpl w:val="E264C13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4C06BD6"/>
    <w:multiLevelType w:val="hybridMultilevel"/>
    <w:tmpl w:val="EBA246BA"/>
    <w:lvl w:ilvl="0" w:tplc="6FF21708">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6" w15:restartNumberingAfterBreak="0">
    <w:nsid w:val="04DD3642"/>
    <w:multiLevelType w:val="hybridMultilevel"/>
    <w:tmpl w:val="95AECA7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5CD42BD"/>
    <w:multiLevelType w:val="hybridMultilevel"/>
    <w:tmpl w:val="8F3A3330"/>
    <w:lvl w:ilvl="0" w:tplc="CDBAE7B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0AFE6545"/>
    <w:multiLevelType w:val="hybridMultilevel"/>
    <w:tmpl w:val="1428BE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0B0F62F1"/>
    <w:multiLevelType w:val="hybridMultilevel"/>
    <w:tmpl w:val="1ADEFECA"/>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0D57741A"/>
    <w:multiLevelType w:val="hybridMultilevel"/>
    <w:tmpl w:val="BC70936A"/>
    <w:lvl w:ilvl="0" w:tplc="0C0A0013">
      <w:start w:val="1"/>
      <w:numFmt w:val="upperRoman"/>
      <w:lvlText w:val="%1."/>
      <w:lvlJc w:val="righ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1" w15:restartNumberingAfterBreak="0">
    <w:nsid w:val="0E3D644E"/>
    <w:multiLevelType w:val="multilevel"/>
    <w:tmpl w:val="35568EF0"/>
    <w:lvl w:ilvl="0">
      <w:start w:val="21"/>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1621D0A"/>
    <w:multiLevelType w:val="hybridMultilevel"/>
    <w:tmpl w:val="7632F552"/>
    <w:lvl w:ilvl="0" w:tplc="802C823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121B4099"/>
    <w:multiLevelType w:val="multilevel"/>
    <w:tmpl w:val="28D0398C"/>
    <w:lvl w:ilvl="0">
      <w:start w:val="19"/>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2243320"/>
    <w:multiLevelType w:val="hybridMultilevel"/>
    <w:tmpl w:val="A3F211D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133501EB"/>
    <w:multiLevelType w:val="hybridMultilevel"/>
    <w:tmpl w:val="64D0F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13C77588"/>
    <w:multiLevelType w:val="hybridMultilevel"/>
    <w:tmpl w:val="5CE404C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149A0200"/>
    <w:multiLevelType w:val="hybridMultilevel"/>
    <w:tmpl w:val="882213B4"/>
    <w:lvl w:ilvl="0" w:tplc="AD8C626E">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8" w15:restartNumberingAfterBreak="0">
    <w:nsid w:val="14D320FA"/>
    <w:multiLevelType w:val="hybridMultilevel"/>
    <w:tmpl w:val="4838EC32"/>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163D68DA"/>
    <w:multiLevelType w:val="multilevel"/>
    <w:tmpl w:val="688A124C"/>
    <w:lvl w:ilvl="0">
      <w:start w:val="10"/>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6DC3AAC"/>
    <w:multiLevelType w:val="hybridMultilevel"/>
    <w:tmpl w:val="A086CC4E"/>
    <w:lvl w:ilvl="0" w:tplc="348A095E">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1" w15:restartNumberingAfterBreak="0">
    <w:nsid w:val="17915263"/>
    <w:multiLevelType w:val="hybridMultilevel"/>
    <w:tmpl w:val="C722D9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18C27FB8"/>
    <w:multiLevelType w:val="hybridMultilevel"/>
    <w:tmpl w:val="F3C0D0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19D5485C"/>
    <w:multiLevelType w:val="hybridMultilevel"/>
    <w:tmpl w:val="50EC00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B3503AB"/>
    <w:multiLevelType w:val="hybridMultilevel"/>
    <w:tmpl w:val="B658D90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B413363"/>
    <w:multiLevelType w:val="multilevel"/>
    <w:tmpl w:val="080A001F"/>
    <w:lvl w:ilvl="0">
      <w:start w:val="1"/>
      <w:numFmt w:val="decimal"/>
      <w:lvlText w:val="%1."/>
      <w:lvlJc w:val="left"/>
      <w:pPr>
        <w:ind w:left="360" w:hanging="360"/>
      </w:pPr>
      <w:rPr>
        <w:rFonts w:hint="default"/>
        <w:b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D061E3A"/>
    <w:multiLevelType w:val="hybridMultilevel"/>
    <w:tmpl w:val="084A60CA"/>
    <w:lvl w:ilvl="0" w:tplc="AAA85FE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E2351C6"/>
    <w:multiLevelType w:val="hybridMultilevel"/>
    <w:tmpl w:val="C8D04A8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1F42663A"/>
    <w:multiLevelType w:val="hybridMultilevel"/>
    <w:tmpl w:val="89F874F6"/>
    <w:lvl w:ilvl="0" w:tplc="443AB0D4">
      <w:start w:val="1"/>
      <w:numFmt w:val="decimal"/>
      <w:lvlText w:val="%1."/>
      <w:lvlJc w:val="left"/>
      <w:pPr>
        <w:ind w:left="720" w:hanging="360"/>
      </w:pPr>
      <w:rPr>
        <w:rFonts w:hint="default"/>
        <w:sz w:val="20"/>
      </w:r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FB4693A"/>
    <w:multiLevelType w:val="hybridMultilevel"/>
    <w:tmpl w:val="2DE4E272"/>
    <w:lvl w:ilvl="0" w:tplc="EF9012A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20093344"/>
    <w:multiLevelType w:val="hybridMultilevel"/>
    <w:tmpl w:val="50682C2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21A44E45"/>
    <w:multiLevelType w:val="hybridMultilevel"/>
    <w:tmpl w:val="A5CAEA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21B30A6A"/>
    <w:multiLevelType w:val="hybridMultilevel"/>
    <w:tmpl w:val="0D9C5CDC"/>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33" w15:restartNumberingAfterBreak="0">
    <w:nsid w:val="21C06B51"/>
    <w:multiLevelType w:val="hybridMultilevel"/>
    <w:tmpl w:val="B49C6BEC"/>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34" w15:restartNumberingAfterBreak="0">
    <w:nsid w:val="265B2C1F"/>
    <w:multiLevelType w:val="multilevel"/>
    <w:tmpl w:val="26D29B46"/>
    <w:lvl w:ilvl="0">
      <w:start w:val="8"/>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7757B28"/>
    <w:multiLevelType w:val="multilevel"/>
    <w:tmpl w:val="AB1CEEE4"/>
    <w:lvl w:ilvl="0">
      <w:start w:val="30"/>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77A2DF9"/>
    <w:multiLevelType w:val="multilevel"/>
    <w:tmpl w:val="FC84F19A"/>
    <w:lvl w:ilvl="0">
      <w:start w:val="35"/>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EE2058"/>
    <w:multiLevelType w:val="hybridMultilevel"/>
    <w:tmpl w:val="C532831C"/>
    <w:lvl w:ilvl="0" w:tplc="3F6C609C">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38" w15:restartNumberingAfterBreak="0">
    <w:nsid w:val="286C7066"/>
    <w:multiLevelType w:val="hybridMultilevel"/>
    <w:tmpl w:val="ABAECE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2875520E"/>
    <w:multiLevelType w:val="hybridMultilevel"/>
    <w:tmpl w:val="FB0239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AD730A7"/>
    <w:multiLevelType w:val="hybridMultilevel"/>
    <w:tmpl w:val="737600B4"/>
    <w:lvl w:ilvl="0" w:tplc="55AC1C6A">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41" w15:restartNumberingAfterBreak="0">
    <w:nsid w:val="2B117944"/>
    <w:multiLevelType w:val="hybridMultilevel"/>
    <w:tmpl w:val="40ECF42E"/>
    <w:lvl w:ilvl="0" w:tplc="1EFE4B4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2B3A0B1B"/>
    <w:multiLevelType w:val="hybridMultilevel"/>
    <w:tmpl w:val="0A42DE58"/>
    <w:lvl w:ilvl="0" w:tplc="21F2B706">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3" w15:restartNumberingAfterBreak="0">
    <w:nsid w:val="2F725D14"/>
    <w:multiLevelType w:val="hybridMultilevel"/>
    <w:tmpl w:val="1A964448"/>
    <w:lvl w:ilvl="0" w:tplc="101C5ADC">
      <w:start w:val="10"/>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15:restartNumberingAfterBreak="0">
    <w:nsid w:val="329B1E53"/>
    <w:multiLevelType w:val="hybridMultilevel"/>
    <w:tmpl w:val="03485142"/>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5" w15:restartNumberingAfterBreak="0">
    <w:nsid w:val="34E72D44"/>
    <w:multiLevelType w:val="hybridMultilevel"/>
    <w:tmpl w:val="992EE6E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35E31594"/>
    <w:multiLevelType w:val="hybridMultilevel"/>
    <w:tmpl w:val="7012F9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36870B87"/>
    <w:multiLevelType w:val="hybridMultilevel"/>
    <w:tmpl w:val="D2442138"/>
    <w:lvl w:ilvl="0" w:tplc="0C0A0017">
      <w:start w:val="1"/>
      <w:numFmt w:val="lowerLetter"/>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8" w15:restartNumberingAfterBreak="0">
    <w:nsid w:val="36AF0B01"/>
    <w:multiLevelType w:val="hybridMultilevel"/>
    <w:tmpl w:val="51300F1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3BB43624"/>
    <w:multiLevelType w:val="hybridMultilevel"/>
    <w:tmpl w:val="9F4227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3DAE05E5"/>
    <w:multiLevelType w:val="hybridMultilevel"/>
    <w:tmpl w:val="44F85E6A"/>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3F0F5A45"/>
    <w:multiLevelType w:val="hybridMultilevel"/>
    <w:tmpl w:val="022463A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 w15:restartNumberingAfterBreak="0">
    <w:nsid w:val="415803B1"/>
    <w:multiLevelType w:val="hybridMultilevel"/>
    <w:tmpl w:val="C5968F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3" w15:restartNumberingAfterBreak="0">
    <w:nsid w:val="42544358"/>
    <w:multiLevelType w:val="hybridMultilevel"/>
    <w:tmpl w:val="824AB640"/>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15:restartNumberingAfterBreak="0">
    <w:nsid w:val="42C965E0"/>
    <w:multiLevelType w:val="hybridMultilevel"/>
    <w:tmpl w:val="233C03C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15:restartNumberingAfterBreak="0">
    <w:nsid w:val="4654372C"/>
    <w:multiLevelType w:val="hybridMultilevel"/>
    <w:tmpl w:val="A99406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4B1F1E7F"/>
    <w:multiLevelType w:val="multilevel"/>
    <w:tmpl w:val="60506C92"/>
    <w:lvl w:ilvl="0">
      <w:start w:val="6"/>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4C9B2A8E"/>
    <w:multiLevelType w:val="hybridMultilevel"/>
    <w:tmpl w:val="F8324940"/>
    <w:lvl w:ilvl="0" w:tplc="90FA327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15:restartNumberingAfterBreak="0">
    <w:nsid w:val="4E316562"/>
    <w:multiLevelType w:val="hybridMultilevel"/>
    <w:tmpl w:val="471A3E9C"/>
    <w:lvl w:ilvl="0" w:tplc="AAA85FE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15:restartNumberingAfterBreak="0">
    <w:nsid w:val="4F7F76A3"/>
    <w:multiLevelType w:val="hybridMultilevel"/>
    <w:tmpl w:val="3BAC88DE"/>
    <w:lvl w:ilvl="0" w:tplc="DA1607A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50341272"/>
    <w:multiLevelType w:val="hybridMultilevel"/>
    <w:tmpl w:val="B39C15F8"/>
    <w:lvl w:ilvl="0" w:tplc="C3623E3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1" w15:restartNumberingAfterBreak="0">
    <w:nsid w:val="52281810"/>
    <w:multiLevelType w:val="hybridMultilevel"/>
    <w:tmpl w:val="9AA88B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2" w15:restartNumberingAfterBreak="0">
    <w:nsid w:val="5267720E"/>
    <w:multiLevelType w:val="hybridMultilevel"/>
    <w:tmpl w:val="911C4C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3" w15:restartNumberingAfterBreak="0">
    <w:nsid w:val="52BD58F9"/>
    <w:multiLevelType w:val="hybridMultilevel"/>
    <w:tmpl w:val="A0044B32"/>
    <w:lvl w:ilvl="0" w:tplc="2E08428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15:restartNumberingAfterBreak="0">
    <w:nsid w:val="54075E8F"/>
    <w:multiLevelType w:val="hybridMultilevel"/>
    <w:tmpl w:val="9C3080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15:restartNumberingAfterBreak="0">
    <w:nsid w:val="558C189D"/>
    <w:multiLevelType w:val="hybridMultilevel"/>
    <w:tmpl w:val="F954BFAA"/>
    <w:lvl w:ilvl="0" w:tplc="1E74A12E">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6" w15:restartNumberingAfterBreak="0">
    <w:nsid w:val="55FB510D"/>
    <w:multiLevelType w:val="hybridMultilevel"/>
    <w:tmpl w:val="BCC6950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56927650"/>
    <w:multiLevelType w:val="hybridMultilevel"/>
    <w:tmpl w:val="7182E07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58946B5D"/>
    <w:multiLevelType w:val="hybridMultilevel"/>
    <w:tmpl w:val="C4F6B0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 w15:restartNumberingAfterBreak="0">
    <w:nsid w:val="58C9701A"/>
    <w:multiLevelType w:val="hybridMultilevel"/>
    <w:tmpl w:val="D91C920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58E34AAA"/>
    <w:multiLevelType w:val="hybridMultilevel"/>
    <w:tmpl w:val="89B8ED4E"/>
    <w:lvl w:ilvl="0" w:tplc="FF4EFE4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15:restartNumberingAfterBreak="0">
    <w:nsid w:val="590E2503"/>
    <w:multiLevelType w:val="hybridMultilevel"/>
    <w:tmpl w:val="2F100074"/>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2" w15:restartNumberingAfterBreak="0">
    <w:nsid w:val="59E8737A"/>
    <w:multiLevelType w:val="hybridMultilevel"/>
    <w:tmpl w:val="E550BC1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3" w15:restartNumberingAfterBreak="0">
    <w:nsid w:val="5A430797"/>
    <w:multiLevelType w:val="hybridMultilevel"/>
    <w:tmpl w:val="498020C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5B0B068C"/>
    <w:multiLevelType w:val="hybridMultilevel"/>
    <w:tmpl w:val="DF160C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5" w15:restartNumberingAfterBreak="0">
    <w:nsid w:val="5EF8297C"/>
    <w:multiLevelType w:val="hybridMultilevel"/>
    <w:tmpl w:val="F064DB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6" w15:restartNumberingAfterBreak="0">
    <w:nsid w:val="5F7E2B12"/>
    <w:multiLevelType w:val="hybridMultilevel"/>
    <w:tmpl w:val="62E203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7" w15:restartNumberingAfterBreak="0">
    <w:nsid w:val="5F946E92"/>
    <w:multiLevelType w:val="hybridMultilevel"/>
    <w:tmpl w:val="3886C4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8" w15:restartNumberingAfterBreak="0">
    <w:nsid w:val="60490AA0"/>
    <w:multiLevelType w:val="multilevel"/>
    <w:tmpl w:val="F92CA830"/>
    <w:lvl w:ilvl="0">
      <w:start w:val="28"/>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60BA1D98"/>
    <w:multiLevelType w:val="hybridMultilevel"/>
    <w:tmpl w:val="D1A2B884"/>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0" w15:restartNumberingAfterBreak="0">
    <w:nsid w:val="630F78A8"/>
    <w:multiLevelType w:val="hybridMultilevel"/>
    <w:tmpl w:val="9A181D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15:restartNumberingAfterBreak="0">
    <w:nsid w:val="63DC48FB"/>
    <w:multiLevelType w:val="hybridMultilevel"/>
    <w:tmpl w:val="314A6526"/>
    <w:lvl w:ilvl="0" w:tplc="2B4C595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68345888"/>
    <w:multiLevelType w:val="multilevel"/>
    <w:tmpl w:val="183E4E0E"/>
    <w:lvl w:ilvl="0">
      <w:start w:val="20"/>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689C72E1"/>
    <w:multiLevelType w:val="hybridMultilevel"/>
    <w:tmpl w:val="ED124BEE"/>
    <w:lvl w:ilvl="0" w:tplc="35D23E9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 w15:restartNumberingAfterBreak="0">
    <w:nsid w:val="6A227A94"/>
    <w:multiLevelType w:val="hybridMultilevel"/>
    <w:tmpl w:val="9B1C0FFC"/>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85" w15:restartNumberingAfterBreak="0">
    <w:nsid w:val="6A337544"/>
    <w:multiLevelType w:val="hybridMultilevel"/>
    <w:tmpl w:val="378085D6"/>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86" w15:restartNumberingAfterBreak="0">
    <w:nsid w:val="6D49572D"/>
    <w:multiLevelType w:val="hybridMultilevel"/>
    <w:tmpl w:val="5AACFDC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15:restartNumberingAfterBreak="0">
    <w:nsid w:val="6E3411A8"/>
    <w:multiLevelType w:val="hybridMultilevel"/>
    <w:tmpl w:val="3B84BF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8" w15:restartNumberingAfterBreak="0">
    <w:nsid w:val="6E8D6150"/>
    <w:multiLevelType w:val="hybridMultilevel"/>
    <w:tmpl w:val="2856D1B4"/>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89" w15:restartNumberingAfterBreak="0">
    <w:nsid w:val="70832B9F"/>
    <w:multiLevelType w:val="hybridMultilevel"/>
    <w:tmpl w:val="C3D450D8"/>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15:restartNumberingAfterBreak="0">
    <w:nsid w:val="72322C73"/>
    <w:multiLevelType w:val="hybridMultilevel"/>
    <w:tmpl w:val="0A7217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1" w15:restartNumberingAfterBreak="0">
    <w:nsid w:val="7261431C"/>
    <w:multiLevelType w:val="hybridMultilevel"/>
    <w:tmpl w:val="F7CA8EE2"/>
    <w:lvl w:ilvl="0" w:tplc="ADDA226C">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2" w15:restartNumberingAfterBreak="0">
    <w:nsid w:val="726D0F4D"/>
    <w:multiLevelType w:val="hybridMultilevel"/>
    <w:tmpl w:val="6E9230DC"/>
    <w:lvl w:ilvl="0" w:tplc="CEFAEAC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728D673A"/>
    <w:multiLevelType w:val="hybridMultilevel"/>
    <w:tmpl w:val="57BC3A1A"/>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15:restartNumberingAfterBreak="0">
    <w:nsid w:val="728F2891"/>
    <w:multiLevelType w:val="hybridMultilevel"/>
    <w:tmpl w:val="8D1615D4"/>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5" w15:restartNumberingAfterBreak="0">
    <w:nsid w:val="7308436C"/>
    <w:multiLevelType w:val="hybridMultilevel"/>
    <w:tmpl w:val="5E22C66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6" w15:restartNumberingAfterBreak="0">
    <w:nsid w:val="747E5AF2"/>
    <w:multiLevelType w:val="hybridMultilevel"/>
    <w:tmpl w:val="354C2680"/>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7" w15:restartNumberingAfterBreak="0">
    <w:nsid w:val="75451ABE"/>
    <w:multiLevelType w:val="hybridMultilevel"/>
    <w:tmpl w:val="CB700058"/>
    <w:lvl w:ilvl="0" w:tplc="313A0B1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15:restartNumberingAfterBreak="0">
    <w:nsid w:val="7582585E"/>
    <w:multiLevelType w:val="hybridMultilevel"/>
    <w:tmpl w:val="C972B51A"/>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9" w15:restartNumberingAfterBreak="0">
    <w:nsid w:val="763A6382"/>
    <w:multiLevelType w:val="hybridMultilevel"/>
    <w:tmpl w:val="C026F578"/>
    <w:lvl w:ilvl="0" w:tplc="E0E41F2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0" w15:restartNumberingAfterBreak="0">
    <w:nsid w:val="79810AEA"/>
    <w:multiLevelType w:val="hybridMultilevel"/>
    <w:tmpl w:val="D4AA300C"/>
    <w:lvl w:ilvl="0" w:tplc="81003F4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1" w15:restartNumberingAfterBreak="0">
    <w:nsid w:val="7AE449FC"/>
    <w:multiLevelType w:val="multilevel"/>
    <w:tmpl w:val="2F86A4AE"/>
    <w:lvl w:ilvl="0">
      <w:start w:val="1"/>
      <w:numFmt w:val="decimal"/>
      <w:lvlText w:val="%1"/>
      <w:lvlJc w:val="left"/>
      <w:pPr>
        <w:ind w:left="440" w:hanging="440"/>
      </w:pPr>
      <w:rPr>
        <w:rFonts w:hint="default"/>
      </w:rPr>
    </w:lvl>
    <w:lvl w:ilvl="1">
      <w:start w:val="1"/>
      <w:numFmt w:val="decimal"/>
      <w:lvlText w:val="%1.%2"/>
      <w:lvlJc w:val="left"/>
      <w:pPr>
        <w:ind w:left="440" w:hanging="4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7AE6196E"/>
    <w:multiLevelType w:val="hybridMultilevel"/>
    <w:tmpl w:val="7244FEAC"/>
    <w:lvl w:ilvl="0" w:tplc="5AB419F2">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03" w15:restartNumberingAfterBreak="0">
    <w:nsid w:val="7B071FE8"/>
    <w:multiLevelType w:val="hybridMultilevel"/>
    <w:tmpl w:val="8820B5A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4" w15:restartNumberingAfterBreak="0">
    <w:nsid w:val="7B454930"/>
    <w:multiLevelType w:val="hybridMultilevel"/>
    <w:tmpl w:val="1B26CC02"/>
    <w:lvl w:ilvl="0" w:tplc="1EFE4B4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7C0058CA"/>
    <w:multiLevelType w:val="hybridMultilevel"/>
    <w:tmpl w:val="89D421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6" w15:restartNumberingAfterBreak="0">
    <w:nsid w:val="7C2B4C40"/>
    <w:multiLevelType w:val="multilevel"/>
    <w:tmpl w:val="6DC2191E"/>
    <w:lvl w:ilvl="0">
      <w:start w:val="25"/>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C620E09"/>
    <w:multiLevelType w:val="hybridMultilevel"/>
    <w:tmpl w:val="50EC00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 w15:restartNumberingAfterBreak="0">
    <w:nsid w:val="7C715724"/>
    <w:multiLevelType w:val="hybridMultilevel"/>
    <w:tmpl w:val="CA8297E0"/>
    <w:lvl w:ilvl="0" w:tplc="25408B9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9" w15:restartNumberingAfterBreak="0">
    <w:nsid w:val="7C812C6C"/>
    <w:multiLevelType w:val="hybridMultilevel"/>
    <w:tmpl w:val="AF7E17A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0" w15:restartNumberingAfterBreak="0">
    <w:nsid w:val="7D410ABC"/>
    <w:multiLevelType w:val="multilevel"/>
    <w:tmpl w:val="E7508B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7FB34B74"/>
    <w:multiLevelType w:val="hybridMultilevel"/>
    <w:tmpl w:val="D96EFC92"/>
    <w:lvl w:ilvl="0" w:tplc="49E8DF0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2" w15:restartNumberingAfterBreak="0">
    <w:nsid w:val="7FDC6F18"/>
    <w:multiLevelType w:val="multilevel"/>
    <w:tmpl w:val="7FAEB91C"/>
    <w:lvl w:ilvl="0">
      <w:start w:val="39"/>
      <w:numFmt w:val="decimal"/>
      <w:lvlText w:val="%1."/>
      <w:lvlJc w:val="left"/>
      <w:pPr>
        <w:ind w:left="360" w:hanging="360"/>
      </w:pPr>
      <w:rPr>
        <w:rFonts w:hint="default"/>
        <w:b w:val="0"/>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6"/>
  </w:num>
  <w:num w:numId="2">
    <w:abstractNumId w:val="71"/>
  </w:num>
  <w:num w:numId="3">
    <w:abstractNumId w:val="2"/>
  </w:num>
  <w:num w:numId="4">
    <w:abstractNumId w:val="79"/>
  </w:num>
  <w:num w:numId="5">
    <w:abstractNumId w:val="28"/>
  </w:num>
  <w:num w:numId="6">
    <w:abstractNumId w:val="72"/>
  </w:num>
  <w:num w:numId="7">
    <w:abstractNumId w:val="110"/>
  </w:num>
  <w:num w:numId="8">
    <w:abstractNumId w:val="86"/>
  </w:num>
  <w:num w:numId="9">
    <w:abstractNumId w:val="16"/>
  </w:num>
  <w:num w:numId="10">
    <w:abstractNumId w:val="103"/>
  </w:num>
  <w:num w:numId="11">
    <w:abstractNumId w:val="45"/>
  </w:num>
  <w:num w:numId="12">
    <w:abstractNumId w:val="23"/>
  </w:num>
  <w:num w:numId="13">
    <w:abstractNumId w:val="107"/>
  </w:num>
  <w:num w:numId="14">
    <w:abstractNumId w:val="44"/>
  </w:num>
  <w:num w:numId="15">
    <w:abstractNumId w:val="90"/>
  </w:num>
  <w:num w:numId="16">
    <w:abstractNumId w:val="67"/>
  </w:num>
  <w:num w:numId="17">
    <w:abstractNumId w:val="10"/>
  </w:num>
  <w:num w:numId="18">
    <w:abstractNumId w:val="47"/>
  </w:num>
  <w:num w:numId="19">
    <w:abstractNumId w:val="27"/>
  </w:num>
  <w:num w:numId="20">
    <w:abstractNumId w:val="77"/>
  </w:num>
  <w:num w:numId="21">
    <w:abstractNumId w:val="43"/>
  </w:num>
  <w:num w:numId="22">
    <w:abstractNumId w:val="22"/>
  </w:num>
  <w:num w:numId="23">
    <w:abstractNumId w:val="30"/>
  </w:num>
  <w:num w:numId="24">
    <w:abstractNumId w:val="15"/>
  </w:num>
  <w:num w:numId="25">
    <w:abstractNumId w:val="8"/>
  </w:num>
  <w:num w:numId="26">
    <w:abstractNumId w:val="76"/>
  </w:num>
  <w:num w:numId="27">
    <w:abstractNumId w:val="80"/>
  </w:num>
  <w:num w:numId="28">
    <w:abstractNumId w:val="95"/>
  </w:num>
  <w:num w:numId="29">
    <w:abstractNumId w:val="87"/>
  </w:num>
  <w:num w:numId="30">
    <w:abstractNumId w:val="68"/>
  </w:num>
  <w:num w:numId="31">
    <w:abstractNumId w:val="24"/>
  </w:num>
  <w:num w:numId="32">
    <w:abstractNumId w:val="74"/>
  </w:num>
  <w:num w:numId="33">
    <w:abstractNumId w:val="0"/>
  </w:num>
  <w:num w:numId="34">
    <w:abstractNumId w:val="64"/>
  </w:num>
  <w:num w:numId="35">
    <w:abstractNumId w:val="75"/>
  </w:num>
  <w:num w:numId="36">
    <w:abstractNumId w:val="21"/>
  </w:num>
  <w:num w:numId="37">
    <w:abstractNumId w:val="61"/>
  </w:num>
  <w:num w:numId="38">
    <w:abstractNumId w:val="48"/>
  </w:num>
  <w:num w:numId="39">
    <w:abstractNumId w:val="62"/>
  </w:num>
  <w:num w:numId="40">
    <w:abstractNumId w:val="39"/>
  </w:num>
  <w:num w:numId="41">
    <w:abstractNumId w:val="3"/>
  </w:num>
  <w:num w:numId="42">
    <w:abstractNumId w:val="52"/>
  </w:num>
  <w:num w:numId="43">
    <w:abstractNumId w:val="51"/>
  </w:num>
  <w:num w:numId="44">
    <w:abstractNumId w:val="54"/>
  </w:num>
  <w:num w:numId="45">
    <w:abstractNumId w:val="60"/>
  </w:num>
  <w:num w:numId="46">
    <w:abstractNumId w:val="58"/>
  </w:num>
  <w:num w:numId="47">
    <w:abstractNumId w:val="26"/>
  </w:num>
  <w:num w:numId="48">
    <w:abstractNumId w:val="9"/>
  </w:num>
  <w:num w:numId="49">
    <w:abstractNumId w:val="89"/>
  </w:num>
  <w:num w:numId="50">
    <w:abstractNumId w:val="98"/>
  </w:num>
  <w:num w:numId="51">
    <w:abstractNumId w:val="94"/>
  </w:num>
  <w:num w:numId="52">
    <w:abstractNumId w:val="108"/>
  </w:num>
  <w:num w:numId="53">
    <w:abstractNumId w:val="96"/>
  </w:num>
  <w:num w:numId="54">
    <w:abstractNumId w:val="53"/>
  </w:num>
  <w:num w:numId="55">
    <w:abstractNumId w:val="93"/>
  </w:num>
  <w:num w:numId="56">
    <w:abstractNumId w:val="18"/>
  </w:num>
  <w:num w:numId="57">
    <w:abstractNumId w:val="50"/>
  </w:num>
  <w:num w:numId="58">
    <w:abstractNumId w:val="49"/>
  </w:num>
  <w:num w:numId="59">
    <w:abstractNumId w:val="46"/>
  </w:num>
  <w:num w:numId="60">
    <w:abstractNumId w:val="38"/>
  </w:num>
  <w:num w:numId="61">
    <w:abstractNumId w:val="31"/>
  </w:num>
  <w:num w:numId="62">
    <w:abstractNumId w:val="14"/>
  </w:num>
  <w:num w:numId="63">
    <w:abstractNumId w:val="12"/>
  </w:num>
  <w:num w:numId="64">
    <w:abstractNumId w:val="109"/>
  </w:num>
  <w:num w:numId="65">
    <w:abstractNumId w:val="25"/>
  </w:num>
  <w:num w:numId="66">
    <w:abstractNumId w:val="56"/>
  </w:num>
  <w:num w:numId="67">
    <w:abstractNumId w:val="34"/>
  </w:num>
  <w:num w:numId="68">
    <w:abstractNumId w:val="82"/>
  </w:num>
  <w:num w:numId="69">
    <w:abstractNumId w:val="36"/>
  </w:num>
  <w:num w:numId="70">
    <w:abstractNumId w:val="19"/>
  </w:num>
  <w:num w:numId="71">
    <w:abstractNumId w:val="13"/>
  </w:num>
  <w:num w:numId="72">
    <w:abstractNumId w:val="11"/>
  </w:num>
  <w:num w:numId="73">
    <w:abstractNumId w:val="106"/>
  </w:num>
  <w:num w:numId="74">
    <w:abstractNumId w:val="78"/>
  </w:num>
  <w:num w:numId="75">
    <w:abstractNumId w:val="35"/>
  </w:num>
  <w:num w:numId="76">
    <w:abstractNumId w:val="112"/>
  </w:num>
  <w:num w:numId="77">
    <w:abstractNumId w:val="100"/>
  </w:num>
  <w:num w:numId="78">
    <w:abstractNumId w:val="29"/>
  </w:num>
  <w:num w:numId="79">
    <w:abstractNumId w:val="111"/>
  </w:num>
  <w:num w:numId="80">
    <w:abstractNumId w:val="83"/>
  </w:num>
  <w:num w:numId="81">
    <w:abstractNumId w:val="99"/>
  </w:num>
  <w:num w:numId="82">
    <w:abstractNumId w:val="65"/>
  </w:num>
  <w:num w:numId="83">
    <w:abstractNumId w:val="70"/>
  </w:num>
  <w:num w:numId="84">
    <w:abstractNumId w:val="63"/>
  </w:num>
  <w:num w:numId="85">
    <w:abstractNumId w:val="1"/>
  </w:num>
  <w:num w:numId="86">
    <w:abstractNumId w:val="7"/>
  </w:num>
  <w:num w:numId="87">
    <w:abstractNumId w:val="57"/>
  </w:num>
  <w:num w:numId="88">
    <w:abstractNumId w:val="91"/>
  </w:num>
  <w:num w:numId="89">
    <w:abstractNumId w:val="101"/>
  </w:num>
  <w:num w:numId="90">
    <w:abstractNumId w:val="4"/>
  </w:num>
  <w:num w:numId="91">
    <w:abstractNumId w:val="59"/>
  </w:num>
  <w:num w:numId="92">
    <w:abstractNumId w:val="42"/>
  </w:num>
  <w:num w:numId="93">
    <w:abstractNumId w:val="20"/>
  </w:num>
  <w:num w:numId="94">
    <w:abstractNumId w:val="41"/>
  </w:num>
  <w:num w:numId="95">
    <w:abstractNumId w:val="92"/>
  </w:num>
  <w:num w:numId="96">
    <w:abstractNumId w:val="40"/>
  </w:num>
  <w:num w:numId="97">
    <w:abstractNumId w:val="104"/>
  </w:num>
  <w:num w:numId="98">
    <w:abstractNumId w:val="55"/>
  </w:num>
  <w:num w:numId="99">
    <w:abstractNumId w:val="5"/>
  </w:num>
  <w:num w:numId="100">
    <w:abstractNumId w:val="105"/>
  </w:num>
  <w:num w:numId="101">
    <w:abstractNumId w:val="73"/>
  </w:num>
  <w:num w:numId="102">
    <w:abstractNumId w:val="66"/>
  </w:num>
  <w:num w:numId="103">
    <w:abstractNumId w:val="69"/>
  </w:num>
  <w:num w:numId="104">
    <w:abstractNumId w:val="33"/>
  </w:num>
  <w:num w:numId="105">
    <w:abstractNumId w:val="88"/>
  </w:num>
  <w:num w:numId="106">
    <w:abstractNumId w:val="81"/>
  </w:num>
  <w:num w:numId="107">
    <w:abstractNumId w:val="97"/>
  </w:num>
  <w:num w:numId="108">
    <w:abstractNumId w:val="17"/>
  </w:num>
  <w:num w:numId="109">
    <w:abstractNumId w:val="37"/>
  </w:num>
  <w:num w:numId="110">
    <w:abstractNumId w:val="102"/>
  </w:num>
  <w:num w:numId="111">
    <w:abstractNumId w:val="32"/>
  </w:num>
  <w:num w:numId="112">
    <w:abstractNumId w:val="85"/>
  </w:num>
  <w:num w:numId="113">
    <w:abstractNumId w:val="84"/>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6AB"/>
    <w:rsid w:val="000044A3"/>
    <w:rsid w:val="000130C0"/>
    <w:rsid w:val="00052325"/>
    <w:rsid w:val="0007586E"/>
    <w:rsid w:val="00084D07"/>
    <w:rsid w:val="00084DB9"/>
    <w:rsid w:val="00087D29"/>
    <w:rsid w:val="000A2F57"/>
    <w:rsid w:val="000A4779"/>
    <w:rsid w:val="000B0431"/>
    <w:rsid w:val="000B791E"/>
    <w:rsid w:val="000C05DC"/>
    <w:rsid w:val="000C2DDD"/>
    <w:rsid w:val="000C50FE"/>
    <w:rsid w:val="000F3652"/>
    <w:rsid w:val="000F71DB"/>
    <w:rsid w:val="0012398D"/>
    <w:rsid w:val="00133929"/>
    <w:rsid w:val="00136605"/>
    <w:rsid w:val="001424EC"/>
    <w:rsid w:val="001436DF"/>
    <w:rsid w:val="001534DF"/>
    <w:rsid w:val="0016246F"/>
    <w:rsid w:val="0017494C"/>
    <w:rsid w:val="001802C0"/>
    <w:rsid w:val="00181F9F"/>
    <w:rsid w:val="001931D9"/>
    <w:rsid w:val="00195C65"/>
    <w:rsid w:val="001A6128"/>
    <w:rsid w:val="001B449C"/>
    <w:rsid w:val="001C4552"/>
    <w:rsid w:val="001C54C8"/>
    <w:rsid w:val="001D3076"/>
    <w:rsid w:val="001D32D4"/>
    <w:rsid w:val="001E309F"/>
    <w:rsid w:val="001E3912"/>
    <w:rsid w:val="001E719C"/>
    <w:rsid w:val="00214EFB"/>
    <w:rsid w:val="002170DC"/>
    <w:rsid w:val="002213C4"/>
    <w:rsid w:val="002233E7"/>
    <w:rsid w:val="00225695"/>
    <w:rsid w:val="00230840"/>
    <w:rsid w:val="0023651A"/>
    <w:rsid w:val="00244525"/>
    <w:rsid w:val="002449F4"/>
    <w:rsid w:val="00245A87"/>
    <w:rsid w:val="002565A0"/>
    <w:rsid w:val="00263FD4"/>
    <w:rsid w:val="00270E11"/>
    <w:rsid w:val="002713D8"/>
    <w:rsid w:val="00272B4A"/>
    <w:rsid w:val="00277449"/>
    <w:rsid w:val="0028645A"/>
    <w:rsid w:val="00292F59"/>
    <w:rsid w:val="00295A74"/>
    <w:rsid w:val="002965D8"/>
    <w:rsid w:val="002C2BB4"/>
    <w:rsid w:val="002C2E93"/>
    <w:rsid w:val="002D0720"/>
    <w:rsid w:val="002D20CE"/>
    <w:rsid w:val="002D2D1E"/>
    <w:rsid w:val="002F2580"/>
    <w:rsid w:val="002F7FBF"/>
    <w:rsid w:val="00304E1F"/>
    <w:rsid w:val="00325FFA"/>
    <w:rsid w:val="00327021"/>
    <w:rsid w:val="0033350E"/>
    <w:rsid w:val="00352FE5"/>
    <w:rsid w:val="00362B5D"/>
    <w:rsid w:val="00364C69"/>
    <w:rsid w:val="003705B5"/>
    <w:rsid w:val="00372C3C"/>
    <w:rsid w:val="003828D6"/>
    <w:rsid w:val="00383818"/>
    <w:rsid w:val="00384AB9"/>
    <w:rsid w:val="00386942"/>
    <w:rsid w:val="003938C7"/>
    <w:rsid w:val="003A0FB5"/>
    <w:rsid w:val="003B246C"/>
    <w:rsid w:val="003B3F94"/>
    <w:rsid w:val="003D1A3D"/>
    <w:rsid w:val="003D3FE2"/>
    <w:rsid w:val="003F25EA"/>
    <w:rsid w:val="004060DC"/>
    <w:rsid w:val="0040766B"/>
    <w:rsid w:val="004158CC"/>
    <w:rsid w:val="00421C8B"/>
    <w:rsid w:val="00423176"/>
    <w:rsid w:val="00424D47"/>
    <w:rsid w:val="00430639"/>
    <w:rsid w:val="00432501"/>
    <w:rsid w:val="0045260C"/>
    <w:rsid w:val="00454710"/>
    <w:rsid w:val="0046261E"/>
    <w:rsid w:val="00465ED4"/>
    <w:rsid w:val="004710DD"/>
    <w:rsid w:val="004757D8"/>
    <w:rsid w:val="00476839"/>
    <w:rsid w:val="00483603"/>
    <w:rsid w:val="00490EE0"/>
    <w:rsid w:val="00492DD4"/>
    <w:rsid w:val="004A6CFF"/>
    <w:rsid w:val="004B659F"/>
    <w:rsid w:val="004D0A1D"/>
    <w:rsid w:val="004D2E9B"/>
    <w:rsid w:val="004D5742"/>
    <w:rsid w:val="004D6F8D"/>
    <w:rsid w:val="004E45CE"/>
    <w:rsid w:val="004E6179"/>
    <w:rsid w:val="004F12D4"/>
    <w:rsid w:val="004F76ED"/>
    <w:rsid w:val="0050679F"/>
    <w:rsid w:val="00510D12"/>
    <w:rsid w:val="00511785"/>
    <w:rsid w:val="00511A3B"/>
    <w:rsid w:val="005151B9"/>
    <w:rsid w:val="00524A5E"/>
    <w:rsid w:val="00544588"/>
    <w:rsid w:val="00552741"/>
    <w:rsid w:val="00552F95"/>
    <w:rsid w:val="00560170"/>
    <w:rsid w:val="0056152D"/>
    <w:rsid w:val="00564BAE"/>
    <w:rsid w:val="00566041"/>
    <w:rsid w:val="00566705"/>
    <w:rsid w:val="00574EC3"/>
    <w:rsid w:val="005809C1"/>
    <w:rsid w:val="00584E1A"/>
    <w:rsid w:val="00586362"/>
    <w:rsid w:val="00587486"/>
    <w:rsid w:val="0059413B"/>
    <w:rsid w:val="005B4EEE"/>
    <w:rsid w:val="005C2DB9"/>
    <w:rsid w:val="005C3486"/>
    <w:rsid w:val="005E1A39"/>
    <w:rsid w:val="005F0489"/>
    <w:rsid w:val="005F6E12"/>
    <w:rsid w:val="00600C69"/>
    <w:rsid w:val="00617F4F"/>
    <w:rsid w:val="00620416"/>
    <w:rsid w:val="00621C18"/>
    <w:rsid w:val="00625E8E"/>
    <w:rsid w:val="00637705"/>
    <w:rsid w:val="00662BEC"/>
    <w:rsid w:val="0068472A"/>
    <w:rsid w:val="00691BB5"/>
    <w:rsid w:val="006933C1"/>
    <w:rsid w:val="00693770"/>
    <w:rsid w:val="006A0634"/>
    <w:rsid w:val="006A3215"/>
    <w:rsid w:val="006A6E47"/>
    <w:rsid w:val="006A7F9A"/>
    <w:rsid w:val="006B510F"/>
    <w:rsid w:val="006B7ED5"/>
    <w:rsid w:val="006C578C"/>
    <w:rsid w:val="006E3DFF"/>
    <w:rsid w:val="00707439"/>
    <w:rsid w:val="00716A64"/>
    <w:rsid w:val="00717B55"/>
    <w:rsid w:val="00737733"/>
    <w:rsid w:val="0074093E"/>
    <w:rsid w:val="00753D86"/>
    <w:rsid w:val="00760F78"/>
    <w:rsid w:val="00763D3C"/>
    <w:rsid w:val="007721C8"/>
    <w:rsid w:val="00776C8D"/>
    <w:rsid w:val="007800AE"/>
    <w:rsid w:val="0078534B"/>
    <w:rsid w:val="00795727"/>
    <w:rsid w:val="007A2F40"/>
    <w:rsid w:val="007C781C"/>
    <w:rsid w:val="00805545"/>
    <w:rsid w:val="00816F8E"/>
    <w:rsid w:val="008641DC"/>
    <w:rsid w:val="00873CFD"/>
    <w:rsid w:val="008745D1"/>
    <w:rsid w:val="00875A9E"/>
    <w:rsid w:val="00876914"/>
    <w:rsid w:val="008777B4"/>
    <w:rsid w:val="008824C9"/>
    <w:rsid w:val="008842D1"/>
    <w:rsid w:val="008859AC"/>
    <w:rsid w:val="008963CE"/>
    <w:rsid w:val="008A6ED1"/>
    <w:rsid w:val="008A7EA1"/>
    <w:rsid w:val="008B06A6"/>
    <w:rsid w:val="008C6691"/>
    <w:rsid w:val="008D4D34"/>
    <w:rsid w:val="008D6503"/>
    <w:rsid w:val="008F11AF"/>
    <w:rsid w:val="008F71DD"/>
    <w:rsid w:val="00920E0E"/>
    <w:rsid w:val="00921D20"/>
    <w:rsid w:val="00926A0C"/>
    <w:rsid w:val="00927E74"/>
    <w:rsid w:val="00930133"/>
    <w:rsid w:val="00931593"/>
    <w:rsid w:val="009333F6"/>
    <w:rsid w:val="00946D23"/>
    <w:rsid w:val="009624A9"/>
    <w:rsid w:val="009833AD"/>
    <w:rsid w:val="009853BD"/>
    <w:rsid w:val="00990C83"/>
    <w:rsid w:val="00992363"/>
    <w:rsid w:val="0099249B"/>
    <w:rsid w:val="00995DFE"/>
    <w:rsid w:val="009A117B"/>
    <w:rsid w:val="009C1FE1"/>
    <w:rsid w:val="009C3B98"/>
    <w:rsid w:val="009D43BF"/>
    <w:rsid w:val="009F1C04"/>
    <w:rsid w:val="00A12BFE"/>
    <w:rsid w:val="00A13B37"/>
    <w:rsid w:val="00A217C8"/>
    <w:rsid w:val="00A22E64"/>
    <w:rsid w:val="00A256AB"/>
    <w:rsid w:val="00A31A35"/>
    <w:rsid w:val="00A4423E"/>
    <w:rsid w:val="00A57605"/>
    <w:rsid w:val="00A65E3D"/>
    <w:rsid w:val="00A709B1"/>
    <w:rsid w:val="00A7749C"/>
    <w:rsid w:val="00A85D78"/>
    <w:rsid w:val="00A86636"/>
    <w:rsid w:val="00A87D9F"/>
    <w:rsid w:val="00A92353"/>
    <w:rsid w:val="00A93BC1"/>
    <w:rsid w:val="00A94F5E"/>
    <w:rsid w:val="00A960D1"/>
    <w:rsid w:val="00AB4628"/>
    <w:rsid w:val="00AD3A14"/>
    <w:rsid w:val="00AE32C2"/>
    <w:rsid w:val="00B00D85"/>
    <w:rsid w:val="00B0513D"/>
    <w:rsid w:val="00B06129"/>
    <w:rsid w:val="00B0621E"/>
    <w:rsid w:val="00B06926"/>
    <w:rsid w:val="00B2024C"/>
    <w:rsid w:val="00B224BD"/>
    <w:rsid w:val="00B706D9"/>
    <w:rsid w:val="00B806DC"/>
    <w:rsid w:val="00B83774"/>
    <w:rsid w:val="00B85415"/>
    <w:rsid w:val="00B9229B"/>
    <w:rsid w:val="00BA3C44"/>
    <w:rsid w:val="00BB5094"/>
    <w:rsid w:val="00BD403C"/>
    <w:rsid w:val="00BD493A"/>
    <w:rsid w:val="00BF571E"/>
    <w:rsid w:val="00C02786"/>
    <w:rsid w:val="00C04BB0"/>
    <w:rsid w:val="00C209BF"/>
    <w:rsid w:val="00C234C9"/>
    <w:rsid w:val="00C42F08"/>
    <w:rsid w:val="00C43DD1"/>
    <w:rsid w:val="00C53133"/>
    <w:rsid w:val="00C61F66"/>
    <w:rsid w:val="00C7298B"/>
    <w:rsid w:val="00C758A2"/>
    <w:rsid w:val="00C761CB"/>
    <w:rsid w:val="00C8134D"/>
    <w:rsid w:val="00C95752"/>
    <w:rsid w:val="00CB7C13"/>
    <w:rsid w:val="00CC139E"/>
    <w:rsid w:val="00CC211B"/>
    <w:rsid w:val="00CD4397"/>
    <w:rsid w:val="00CD62D2"/>
    <w:rsid w:val="00CF0F18"/>
    <w:rsid w:val="00CF3265"/>
    <w:rsid w:val="00D122CA"/>
    <w:rsid w:val="00D17CDB"/>
    <w:rsid w:val="00D256F3"/>
    <w:rsid w:val="00D36307"/>
    <w:rsid w:val="00D40C0D"/>
    <w:rsid w:val="00D46323"/>
    <w:rsid w:val="00D52934"/>
    <w:rsid w:val="00D54922"/>
    <w:rsid w:val="00D60873"/>
    <w:rsid w:val="00D7106F"/>
    <w:rsid w:val="00D771DF"/>
    <w:rsid w:val="00D77DA7"/>
    <w:rsid w:val="00D84D20"/>
    <w:rsid w:val="00D8748D"/>
    <w:rsid w:val="00DA705F"/>
    <w:rsid w:val="00DB01AC"/>
    <w:rsid w:val="00DB0ACA"/>
    <w:rsid w:val="00DB28F6"/>
    <w:rsid w:val="00DE05B8"/>
    <w:rsid w:val="00DE57AC"/>
    <w:rsid w:val="00DE6E5D"/>
    <w:rsid w:val="00DF2C44"/>
    <w:rsid w:val="00DF4909"/>
    <w:rsid w:val="00E02940"/>
    <w:rsid w:val="00E02D32"/>
    <w:rsid w:val="00E04C13"/>
    <w:rsid w:val="00E14228"/>
    <w:rsid w:val="00E14E1D"/>
    <w:rsid w:val="00E26065"/>
    <w:rsid w:val="00E30D6A"/>
    <w:rsid w:val="00E316D4"/>
    <w:rsid w:val="00E40D5B"/>
    <w:rsid w:val="00E5019C"/>
    <w:rsid w:val="00E52CCB"/>
    <w:rsid w:val="00E80095"/>
    <w:rsid w:val="00E85F3A"/>
    <w:rsid w:val="00EB68FF"/>
    <w:rsid w:val="00EC1396"/>
    <w:rsid w:val="00EC38F0"/>
    <w:rsid w:val="00ED1899"/>
    <w:rsid w:val="00EE0ED0"/>
    <w:rsid w:val="00F01BC7"/>
    <w:rsid w:val="00F10AC4"/>
    <w:rsid w:val="00F121E1"/>
    <w:rsid w:val="00F245EA"/>
    <w:rsid w:val="00F31368"/>
    <w:rsid w:val="00F339E9"/>
    <w:rsid w:val="00F34155"/>
    <w:rsid w:val="00F43147"/>
    <w:rsid w:val="00F45C67"/>
    <w:rsid w:val="00F52EDB"/>
    <w:rsid w:val="00F55671"/>
    <w:rsid w:val="00F64152"/>
    <w:rsid w:val="00F654B7"/>
    <w:rsid w:val="00F65D89"/>
    <w:rsid w:val="00F81BBD"/>
    <w:rsid w:val="00F82409"/>
    <w:rsid w:val="00F93313"/>
    <w:rsid w:val="00FA0D13"/>
    <w:rsid w:val="00FA50A9"/>
    <w:rsid w:val="00FB2E68"/>
    <w:rsid w:val="00FD2A78"/>
    <w:rsid w:val="00FD640B"/>
    <w:rsid w:val="00FD7A05"/>
    <w:rsid w:val="00FF0AEA"/>
    <w:rsid w:val="00FF3F86"/>
    <w:rsid w:val="00FF615A"/>
    <w:rsid w:val="00FF6437"/>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581DB5"/>
  <w14:defaultImageDpi w14:val="32767"/>
  <w15:chartTrackingRefBased/>
  <w15:docId w15:val="{701D5FEB-122A-3547-9D0E-75D805273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ajorHAnsi" w:eastAsiaTheme="majorEastAsia" w:hAnsiTheme="majorHAnsi" w:cstheme="majorBidi"/>
        <w:sz w:val="22"/>
        <w:szCs w:val="22"/>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8472A"/>
  </w:style>
  <w:style w:type="paragraph" w:styleId="Ttulo1">
    <w:name w:val="heading 1"/>
    <w:basedOn w:val="Normal"/>
    <w:next w:val="Normal"/>
    <w:link w:val="Ttulo1Car"/>
    <w:uiPriority w:val="9"/>
    <w:qFormat/>
    <w:rsid w:val="0068472A"/>
    <w:pPr>
      <w:pBdr>
        <w:bottom w:val="thinThickSmallGap" w:sz="12" w:space="1" w:color="C45911" w:themeColor="accent2" w:themeShade="BF"/>
      </w:pBdr>
      <w:spacing w:before="400"/>
      <w:jc w:val="center"/>
      <w:outlineLvl w:val="0"/>
    </w:pPr>
    <w:rPr>
      <w:caps/>
      <w:color w:val="833C0B" w:themeColor="accent2" w:themeShade="80"/>
      <w:spacing w:val="20"/>
      <w:sz w:val="28"/>
      <w:szCs w:val="28"/>
    </w:rPr>
  </w:style>
  <w:style w:type="paragraph" w:styleId="Ttulo2">
    <w:name w:val="heading 2"/>
    <w:basedOn w:val="Normal"/>
    <w:next w:val="Normal"/>
    <w:link w:val="Ttulo2Car"/>
    <w:uiPriority w:val="9"/>
    <w:unhideWhenUsed/>
    <w:qFormat/>
    <w:rsid w:val="0068472A"/>
    <w:pPr>
      <w:pBdr>
        <w:bottom w:val="single" w:sz="4" w:space="1" w:color="823B0B" w:themeColor="accent2" w:themeShade="7F"/>
      </w:pBdr>
      <w:spacing w:before="400"/>
      <w:jc w:val="center"/>
      <w:outlineLvl w:val="1"/>
    </w:pPr>
    <w:rPr>
      <w:caps/>
      <w:color w:val="833C0B" w:themeColor="accent2" w:themeShade="80"/>
      <w:spacing w:val="15"/>
      <w:sz w:val="24"/>
      <w:szCs w:val="24"/>
    </w:rPr>
  </w:style>
  <w:style w:type="paragraph" w:styleId="Ttulo3">
    <w:name w:val="heading 3"/>
    <w:basedOn w:val="Normal"/>
    <w:next w:val="Normal"/>
    <w:link w:val="Ttulo3Car"/>
    <w:uiPriority w:val="9"/>
    <w:unhideWhenUsed/>
    <w:qFormat/>
    <w:rsid w:val="0068472A"/>
    <w:pPr>
      <w:pBdr>
        <w:top w:val="dotted" w:sz="4" w:space="1" w:color="823B0B" w:themeColor="accent2" w:themeShade="7F"/>
        <w:bottom w:val="dotted" w:sz="4" w:space="1" w:color="823B0B" w:themeColor="accent2" w:themeShade="7F"/>
      </w:pBdr>
      <w:spacing w:before="300"/>
      <w:jc w:val="center"/>
      <w:outlineLvl w:val="2"/>
    </w:pPr>
    <w:rPr>
      <w:caps/>
      <w:color w:val="823B0B" w:themeColor="accent2" w:themeShade="7F"/>
      <w:sz w:val="24"/>
      <w:szCs w:val="24"/>
    </w:rPr>
  </w:style>
  <w:style w:type="paragraph" w:styleId="Ttulo4">
    <w:name w:val="heading 4"/>
    <w:basedOn w:val="Normal"/>
    <w:next w:val="Normal"/>
    <w:link w:val="Ttulo4Car"/>
    <w:uiPriority w:val="9"/>
    <w:unhideWhenUsed/>
    <w:qFormat/>
    <w:rsid w:val="0068472A"/>
    <w:pPr>
      <w:pBdr>
        <w:bottom w:val="dotted" w:sz="4" w:space="1" w:color="C45911" w:themeColor="accent2" w:themeShade="BF"/>
      </w:pBdr>
      <w:spacing w:after="120"/>
      <w:jc w:val="center"/>
      <w:outlineLvl w:val="3"/>
    </w:pPr>
    <w:rPr>
      <w:caps/>
      <w:color w:val="823B0B" w:themeColor="accent2" w:themeShade="7F"/>
      <w:spacing w:val="10"/>
    </w:rPr>
  </w:style>
  <w:style w:type="paragraph" w:styleId="Ttulo5">
    <w:name w:val="heading 5"/>
    <w:basedOn w:val="Normal"/>
    <w:next w:val="Normal"/>
    <w:link w:val="Ttulo5Car"/>
    <w:uiPriority w:val="9"/>
    <w:unhideWhenUsed/>
    <w:qFormat/>
    <w:rsid w:val="0068472A"/>
    <w:pPr>
      <w:spacing w:before="320" w:after="120"/>
      <w:jc w:val="center"/>
      <w:outlineLvl w:val="4"/>
    </w:pPr>
    <w:rPr>
      <w:caps/>
      <w:color w:val="823B0B" w:themeColor="accent2" w:themeShade="7F"/>
      <w:spacing w:val="10"/>
    </w:rPr>
  </w:style>
  <w:style w:type="paragraph" w:styleId="Ttulo6">
    <w:name w:val="heading 6"/>
    <w:basedOn w:val="Normal"/>
    <w:next w:val="Normal"/>
    <w:link w:val="Ttulo6Car"/>
    <w:uiPriority w:val="9"/>
    <w:unhideWhenUsed/>
    <w:qFormat/>
    <w:rsid w:val="0068472A"/>
    <w:pPr>
      <w:spacing w:after="120"/>
      <w:jc w:val="center"/>
      <w:outlineLvl w:val="5"/>
    </w:pPr>
    <w:rPr>
      <w:caps/>
      <w:color w:val="C45911" w:themeColor="accent2" w:themeShade="BF"/>
      <w:spacing w:val="10"/>
    </w:rPr>
  </w:style>
  <w:style w:type="paragraph" w:styleId="Ttulo7">
    <w:name w:val="heading 7"/>
    <w:basedOn w:val="Normal"/>
    <w:next w:val="Normal"/>
    <w:link w:val="Ttulo7Car"/>
    <w:uiPriority w:val="9"/>
    <w:semiHidden/>
    <w:unhideWhenUsed/>
    <w:qFormat/>
    <w:rsid w:val="0068472A"/>
    <w:pPr>
      <w:spacing w:after="120"/>
      <w:jc w:val="center"/>
      <w:outlineLvl w:val="6"/>
    </w:pPr>
    <w:rPr>
      <w:i/>
      <w:iCs/>
      <w:caps/>
      <w:color w:val="C45911" w:themeColor="accent2" w:themeShade="BF"/>
      <w:spacing w:val="10"/>
    </w:rPr>
  </w:style>
  <w:style w:type="paragraph" w:styleId="Ttulo8">
    <w:name w:val="heading 8"/>
    <w:basedOn w:val="Normal"/>
    <w:next w:val="Normal"/>
    <w:link w:val="Ttulo8Car"/>
    <w:uiPriority w:val="9"/>
    <w:semiHidden/>
    <w:unhideWhenUsed/>
    <w:qFormat/>
    <w:rsid w:val="0068472A"/>
    <w:pPr>
      <w:spacing w:after="120"/>
      <w:jc w:val="center"/>
      <w:outlineLvl w:val="7"/>
    </w:pPr>
    <w:rPr>
      <w:caps/>
      <w:spacing w:val="10"/>
      <w:sz w:val="20"/>
      <w:szCs w:val="20"/>
    </w:rPr>
  </w:style>
  <w:style w:type="paragraph" w:styleId="Ttulo9">
    <w:name w:val="heading 9"/>
    <w:basedOn w:val="Normal"/>
    <w:next w:val="Normal"/>
    <w:link w:val="Ttulo9Car"/>
    <w:uiPriority w:val="9"/>
    <w:semiHidden/>
    <w:unhideWhenUsed/>
    <w:qFormat/>
    <w:rsid w:val="0068472A"/>
    <w:pPr>
      <w:spacing w:after="120"/>
      <w:jc w:val="center"/>
      <w:outlineLvl w:val="8"/>
    </w:pPr>
    <w:rPr>
      <w:i/>
      <w:iCs/>
      <w:caps/>
      <w:spacing w:val="1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8472A"/>
    <w:rPr>
      <w:caps/>
      <w:color w:val="833C0B" w:themeColor="accent2" w:themeShade="80"/>
      <w:spacing w:val="20"/>
      <w:sz w:val="28"/>
      <w:szCs w:val="28"/>
    </w:rPr>
  </w:style>
  <w:style w:type="paragraph" w:styleId="Prrafodelista">
    <w:name w:val="List Paragraph"/>
    <w:aliases w:val="CNBV Parrafo1,Párrafo de lista1,Parrafo 1,Lista multicolor - Énfasis 11,Lista vistosa - Énfasis 11,Cuadrícula media 1 - Énfasis 21,List Paragraph-Thesis"/>
    <w:basedOn w:val="Normal"/>
    <w:link w:val="PrrafodelistaCar"/>
    <w:uiPriority w:val="34"/>
    <w:qFormat/>
    <w:rsid w:val="0068472A"/>
    <w:pPr>
      <w:ind w:left="720"/>
      <w:contextualSpacing/>
    </w:pPr>
  </w:style>
  <w:style w:type="table" w:styleId="Tablaconcuadrcula">
    <w:name w:val="Table Grid"/>
    <w:basedOn w:val="Tablanormal"/>
    <w:uiPriority w:val="39"/>
    <w:rsid w:val="00A256A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A256AB"/>
    <w:rPr>
      <w:sz w:val="20"/>
      <w:szCs w:val="20"/>
    </w:rPr>
  </w:style>
  <w:style w:type="character" w:customStyle="1" w:styleId="TextonotapieCar">
    <w:name w:val="Texto nota pie Car"/>
    <w:basedOn w:val="Fuentedeprrafopredeter"/>
    <w:link w:val="Textonotapie"/>
    <w:uiPriority w:val="99"/>
    <w:rsid w:val="00A256AB"/>
    <w:rPr>
      <w:sz w:val="20"/>
      <w:szCs w:val="20"/>
      <w:lang w:val="es-ES"/>
    </w:rPr>
  </w:style>
  <w:style w:type="character" w:styleId="Refdenotaalpie">
    <w:name w:val="footnote reference"/>
    <w:basedOn w:val="Fuentedeprrafopredeter"/>
    <w:uiPriority w:val="99"/>
    <w:semiHidden/>
    <w:unhideWhenUsed/>
    <w:rsid w:val="00A256AB"/>
    <w:rPr>
      <w:vertAlign w:val="superscript"/>
    </w:rPr>
  </w:style>
  <w:style w:type="paragraph" w:customStyle="1" w:styleId="Pa8">
    <w:name w:val="Pa8"/>
    <w:basedOn w:val="Normal"/>
    <w:next w:val="Normal"/>
    <w:uiPriority w:val="99"/>
    <w:rsid w:val="00A256AB"/>
    <w:pPr>
      <w:autoSpaceDE w:val="0"/>
      <w:autoSpaceDN w:val="0"/>
      <w:adjustRightInd w:val="0"/>
      <w:spacing w:line="221" w:lineRule="atLeast"/>
    </w:pPr>
    <w:rPr>
      <w:rFonts w:ascii="Book Antiqua" w:hAnsi="Book Antiqua"/>
      <w:sz w:val="24"/>
      <w:szCs w:val="24"/>
    </w:rPr>
  </w:style>
  <w:style w:type="character" w:styleId="Refdecomentario">
    <w:name w:val="annotation reference"/>
    <w:basedOn w:val="Fuentedeprrafopredeter"/>
    <w:uiPriority w:val="99"/>
    <w:semiHidden/>
    <w:unhideWhenUsed/>
    <w:rsid w:val="00A256AB"/>
    <w:rPr>
      <w:sz w:val="16"/>
      <w:szCs w:val="16"/>
    </w:rPr>
  </w:style>
  <w:style w:type="paragraph" w:styleId="Textocomentario">
    <w:name w:val="annotation text"/>
    <w:basedOn w:val="Normal"/>
    <w:link w:val="TextocomentarioCar"/>
    <w:uiPriority w:val="99"/>
    <w:semiHidden/>
    <w:unhideWhenUsed/>
    <w:rsid w:val="00A256AB"/>
    <w:rPr>
      <w:sz w:val="20"/>
      <w:szCs w:val="20"/>
    </w:rPr>
  </w:style>
  <w:style w:type="character" w:customStyle="1" w:styleId="TextocomentarioCar">
    <w:name w:val="Texto comentario Car"/>
    <w:basedOn w:val="Fuentedeprrafopredeter"/>
    <w:link w:val="Textocomentario"/>
    <w:uiPriority w:val="99"/>
    <w:semiHidden/>
    <w:rsid w:val="00A256AB"/>
    <w:rPr>
      <w:sz w:val="20"/>
      <w:szCs w:val="20"/>
      <w:lang w:val="es-ES"/>
    </w:rPr>
  </w:style>
  <w:style w:type="paragraph" w:styleId="Textodeglobo">
    <w:name w:val="Balloon Text"/>
    <w:basedOn w:val="Normal"/>
    <w:link w:val="TextodegloboCar"/>
    <w:uiPriority w:val="99"/>
    <w:semiHidden/>
    <w:unhideWhenUsed/>
    <w:rsid w:val="00A256AB"/>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A256AB"/>
    <w:rPr>
      <w:rFonts w:ascii="Times New Roman" w:hAnsi="Times New Roman" w:cs="Times New Roman"/>
      <w:sz w:val="18"/>
      <w:szCs w:val="18"/>
      <w:lang w:val="es-ES"/>
    </w:rPr>
  </w:style>
  <w:style w:type="character" w:customStyle="1" w:styleId="A0">
    <w:name w:val="A0"/>
    <w:uiPriority w:val="99"/>
    <w:rsid w:val="00A256AB"/>
    <w:rPr>
      <w:rFonts w:cs="Souvenir Lt BT"/>
      <w:color w:val="000000"/>
      <w:sz w:val="16"/>
      <w:szCs w:val="16"/>
    </w:rPr>
  </w:style>
  <w:style w:type="character" w:styleId="Hipervnculo">
    <w:name w:val="Hyperlink"/>
    <w:basedOn w:val="Fuentedeprrafopredeter"/>
    <w:uiPriority w:val="99"/>
    <w:unhideWhenUsed/>
    <w:rsid w:val="00A256AB"/>
    <w:rPr>
      <w:color w:val="0563C1" w:themeColor="hyperlink"/>
      <w:u w:val="single"/>
    </w:rPr>
  </w:style>
  <w:style w:type="paragraph" w:customStyle="1" w:styleId="Default">
    <w:name w:val="Default"/>
    <w:uiPriority w:val="99"/>
    <w:qFormat/>
    <w:rsid w:val="00A256AB"/>
    <w:pPr>
      <w:autoSpaceDE w:val="0"/>
      <w:autoSpaceDN w:val="0"/>
      <w:adjustRightInd w:val="0"/>
    </w:pPr>
    <w:rPr>
      <w:rFonts w:ascii="Arial" w:hAnsi="Arial" w:cs="Arial"/>
      <w:color w:val="000000"/>
      <w:lang w:val="es-ES"/>
    </w:rPr>
  </w:style>
  <w:style w:type="paragraph" w:styleId="Revisin">
    <w:name w:val="Revision"/>
    <w:hidden/>
    <w:uiPriority w:val="99"/>
    <w:semiHidden/>
    <w:rsid w:val="007C781C"/>
    <w:rPr>
      <w:lang w:val="es-ES"/>
    </w:rPr>
  </w:style>
  <w:style w:type="paragraph" w:styleId="Piedepgina">
    <w:name w:val="footer"/>
    <w:basedOn w:val="Normal"/>
    <w:link w:val="PiedepginaCar"/>
    <w:uiPriority w:val="99"/>
    <w:unhideWhenUsed/>
    <w:rsid w:val="00A7749C"/>
    <w:pPr>
      <w:tabs>
        <w:tab w:val="center" w:pos="4419"/>
        <w:tab w:val="right" w:pos="8838"/>
      </w:tabs>
    </w:pPr>
  </w:style>
  <w:style w:type="character" w:customStyle="1" w:styleId="PiedepginaCar">
    <w:name w:val="Pie de página Car"/>
    <w:basedOn w:val="Fuentedeprrafopredeter"/>
    <w:link w:val="Piedepgina"/>
    <w:uiPriority w:val="99"/>
    <w:rsid w:val="00A7749C"/>
    <w:rPr>
      <w:sz w:val="22"/>
      <w:szCs w:val="22"/>
      <w:lang w:val="es-ES"/>
    </w:rPr>
  </w:style>
  <w:style w:type="character" w:styleId="Nmerodepgina">
    <w:name w:val="page number"/>
    <w:basedOn w:val="Fuentedeprrafopredeter"/>
    <w:uiPriority w:val="99"/>
    <w:semiHidden/>
    <w:unhideWhenUsed/>
    <w:rsid w:val="00A7749C"/>
  </w:style>
  <w:style w:type="paragraph" w:styleId="Sinespaciado">
    <w:name w:val="No Spacing"/>
    <w:basedOn w:val="Normal"/>
    <w:link w:val="SinespaciadoCar"/>
    <w:uiPriority w:val="1"/>
    <w:qFormat/>
    <w:rsid w:val="0068472A"/>
  </w:style>
  <w:style w:type="character" w:customStyle="1" w:styleId="PrrafodelistaCar">
    <w:name w:val="Párrafo de lista Car"/>
    <w:aliases w:val="CNBV Parrafo1 Car,Párrafo de lista1 Car,Parrafo 1 Car,Lista multicolor - Énfasis 11 Car,Lista vistosa - Énfasis 11 Car,Cuadrícula media 1 - Énfasis 21 Car,List Paragraph-Thesis Car"/>
    <w:link w:val="Prrafodelista"/>
    <w:uiPriority w:val="34"/>
    <w:locked/>
    <w:rsid w:val="00990C83"/>
  </w:style>
  <w:style w:type="paragraph" w:customStyle="1" w:styleId="xmsonormal">
    <w:name w:val="x_msonormal"/>
    <w:basedOn w:val="Normal"/>
    <w:rsid w:val="00990C83"/>
    <w:pPr>
      <w:spacing w:before="100" w:beforeAutospacing="1" w:after="100" w:afterAutospacing="1"/>
    </w:pPr>
    <w:rPr>
      <w:rFonts w:ascii="Times New Roman" w:eastAsia="Times New Roman" w:hAnsi="Times New Roman" w:cs="Times New Roman"/>
      <w:sz w:val="24"/>
      <w:szCs w:val="24"/>
      <w:lang w:val="es-MX" w:eastAsia="es-MX"/>
    </w:rPr>
  </w:style>
  <w:style w:type="paragraph" w:styleId="Sangra2detindependiente">
    <w:name w:val="Body Text Indent 2"/>
    <w:basedOn w:val="Normal"/>
    <w:link w:val="Sangra2detindependienteCar"/>
    <w:uiPriority w:val="99"/>
    <w:unhideWhenUsed/>
    <w:rsid w:val="00990C83"/>
    <w:pPr>
      <w:ind w:left="-111"/>
      <w:jc w:val="both"/>
    </w:pPr>
    <w:rPr>
      <w:rFonts w:ascii="Arial" w:hAnsi="Arial" w:cs="Arial"/>
      <w:bCs/>
      <w:sz w:val="16"/>
      <w:szCs w:val="16"/>
      <w:lang w:val="es-MX"/>
    </w:rPr>
  </w:style>
  <w:style w:type="character" w:customStyle="1" w:styleId="Sangra2detindependienteCar">
    <w:name w:val="Sangría 2 de t. independiente Car"/>
    <w:basedOn w:val="Fuentedeprrafopredeter"/>
    <w:link w:val="Sangra2detindependiente"/>
    <w:uiPriority w:val="99"/>
    <w:rsid w:val="00990C83"/>
    <w:rPr>
      <w:rFonts w:ascii="Arial" w:hAnsi="Arial" w:cs="Arial"/>
      <w:bCs/>
      <w:sz w:val="16"/>
      <w:szCs w:val="16"/>
      <w:lang w:val="es-MX"/>
    </w:rPr>
  </w:style>
  <w:style w:type="paragraph" w:customStyle="1" w:styleId="xxmsonormal">
    <w:name w:val="x_xmsonormal"/>
    <w:basedOn w:val="Normal"/>
    <w:rsid w:val="00990C83"/>
    <w:pPr>
      <w:spacing w:before="100" w:beforeAutospacing="1" w:after="100" w:afterAutospacing="1"/>
    </w:pPr>
    <w:rPr>
      <w:rFonts w:ascii="Times New Roman" w:eastAsia="Times New Roman" w:hAnsi="Times New Roman" w:cs="Times New Roman"/>
      <w:sz w:val="24"/>
      <w:szCs w:val="24"/>
      <w:lang w:val="es-MX" w:eastAsia="es-MX"/>
    </w:rPr>
  </w:style>
  <w:style w:type="character" w:customStyle="1" w:styleId="Ttulo2Car">
    <w:name w:val="Título 2 Car"/>
    <w:basedOn w:val="Fuentedeprrafopredeter"/>
    <w:link w:val="Ttulo2"/>
    <w:uiPriority w:val="9"/>
    <w:rsid w:val="0068472A"/>
    <w:rPr>
      <w:caps/>
      <w:color w:val="833C0B" w:themeColor="accent2" w:themeShade="80"/>
      <w:spacing w:val="15"/>
      <w:sz w:val="24"/>
      <w:szCs w:val="24"/>
    </w:rPr>
  </w:style>
  <w:style w:type="character" w:customStyle="1" w:styleId="Ttulo3Car">
    <w:name w:val="Título 3 Car"/>
    <w:basedOn w:val="Fuentedeprrafopredeter"/>
    <w:link w:val="Ttulo3"/>
    <w:uiPriority w:val="9"/>
    <w:rsid w:val="0068472A"/>
    <w:rPr>
      <w:caps/>
      <w:color w:val="823B0B" w:themeColor="accent2" w:themeShade="7F"/>
      <w:sz w:val="24"/>
      <w:szCs w:val="24"/>
    </w:rPr>
  </w:style>
  <w:style w:type="character" w:customStyle="1" w:styleId="Ttulo4Car">
    <w:name w:val="Título 4 Car"/>
    <w:basedOn w:val="Fuentedeprrafopredeter"/>
    <w:link w:val="Ttulo4"/>
    <w:uiPriority w:val="9"/>
    <w:rsid w:val="0068472A"/>
    <w:rPr>
      <w:caps/>
      <w:color w:val="823B0B" w:themeColor="accent2" w:themeShade="7F"/>
      <w:spacing w:val="10"/>
    </w:rPr>
  </w:style>
  <w:style w:type="character" w:customStyle="1" w:styleId="Ttulo5Car">
    <w:name w:val="Título 5 Car"/>
    <w:basedOn w:val="Fuentedeprrafopredeter"/>
    <w:link w:val="Ttulo5"/>
    <w:uiPriority w:val="9"/>
    <w:rsid w:val="0068472A"/>
    <w:rPr>
      <w:caps/>
      <w:color w:val="823B0B" w:themeColor="accent2" w:themeShade="7F"/>
      <w:spacing w:val="10"/>
    </w:rPr>
  </w:style>
  <w:style w:type="character" w:customStyle="1" w:styleId="Ttulo6Car">
    <w:name w:val="Título 6 Car"/>
    <w:basedOn w:val="Fuentedeprrafopredeter"/>
    <w:link w:val="Ttulo6"/>
    <w:uiPriority w:val="9"/>
    <w:rsid w:val="0068472A"/>
    <w:rPr>
      <w:caps/>
      <w:color w:val="C45911" w:themeColor="accent2" w:themeShade="BF"/>
      <w:spacing w:val="10"/>
    </w:rPr>
  </w:style>
  <w:style w:type="character" w:customStyle="1" w:styleId="Ttulo7Car">
    <w:name w:val="Título 7 Car"/>
    <w:basedOn w:val="Fuentedeprrafopredeter"/>
    <w:link w:val="Ttulo7"/>
    <w:uiPriority w:val="9"/>
    <w:semiHidden/>
    <w:rsid w:val="0068472A"/>
    <w:rPr>
      <w:i/>
      <w:iCs/>
      <w:caps/>
      <w:color w:val="C45911" w:themeColor="accent2" w:themeShade="BF"/>
      <w:spacing w:val="10"/>
    </w:rPr>
  </w:style>
  <w:style w:type="character" w:customStyle="1" w:styleId="Ttulo8Car">
    <w:name w:val="Título 8 Car"/>
    <w:basedOn w:val="Fuentedeprrafopredeter"/>
    <w:link w:val="Ttulo8"/>
    <w:uiPriority w:val="9"/>
    <w:semiHidden/>
    <w:rsid w:val="0068472A"/>
    <w:rPr>
      <w:caps/>
      <w:spacing w:val="10"/>
      <w:sz w:val="20"/>
      <w:szCs w:val="20"/>
    </w:rPr>
  </w:style>
  <w:style w:type="character" w:customStyle="1" w:styleId="Ttulo9Car">
    <w:name w:val="Título 9 Car"/>
    <w:basedOn w:val="Fuentedeprrafopredeter"/>
    <w:link w:val="Ttulo9"/>
    <w:uiPriority w:val="9"/>
    <w:semiHidden/>
    <w:rsid w:val="0068472A"/>
    <w:rPr>
      <w:i/>
      <w:iCs/>
      <w:caps/>
      <w:spacing w:val="10"/>
      <w:sz w:val="20"/>
      <w:szCs w:val="20"/>
    </w:rPr>
  </w:style>
  <w:style w:type="paragraph" w:styleId="Descripcin">
    <w:name w:val="caption"/>
    <w:basedOn w:val="Normal"/>
    <w:next w:val="Normal"/>
    <w:uiPriority w:val="35"/>
    <w:semiHidden/>
    <w:unhideWhenUsed/>
    <w:qFormat/>
    <w:rsid w:val="0068472A"/>
    <w:rPr>
      <w:caps/>
      <w:spacing w:val="10"/>
      <w:sz w:val="18"/>
      <w:szCs w:val="18"/>
    </w:rPr>
  </w:style>
  <w:style w:type="paragraph" w:styleId="Ttulo">
    <w:name w:val="Title"/>
    <w:basedOn w:val="Normal"/>
    <w:next w:val="Normal"/>
    <w:link w:val="TtuloCar"/>
    <w:uiPriority w:val="10"/>
    <w:qFormat/>
    <w:rsid w:val="0068472A"/>
    <w:pPr>
      <w:pBdr>
        <w:top w:val="dotted" w:sz="2" w:space="1" w:color="833C0B" w:themeColor="accent2" w:themeShade="80"/>
        <w:bottom w:val="dotted" w:sz="2" w:space="6" w:color="833C0B" w:themeColor="accent2" w:themeShade="80"/>
      </w:pBdr>
      <w:spacing w:before="500" w:after="300"/>
      <w:jc w:val="center"/>
    </w:pPr>
    <w:rPr>
      <w:caps/>
      <w:color w:val="833C0B" w:themeColor="accent2" w:themeShade="80"/>
      <w:spacing w:val="50"/>
      <w:sz w:val="44"/>
      <w:szCs w:val="44"/>
    </w:rPr>
  </w:style>
  <w:style w:type="character" w:customStyle="1" w:styleId="TtuloCar">
    <w:name w:val="Título Car"/>
    <w:basedOn w:val="Fuentedeprrafopredeter"/>
    <w:link w:val="Ttulo"/>
    <w:uiPriority w:val="10"/>
    <w:rsid w:val="0068472A"/>
    <w:rPr>
      <w:caps/>
      <w:color w:val="833C0B" w:themeColor="accent2" w:themeShade="80"/>
      <w:spacing w:val="50"/>
      <w:sz w:val="44"/>
      <w:szCs w:val="44"/>
    </w:rPr>
  </w:style>
  <w:style w:type="paragraph" w:styleId="Subttulo">
    <w:name w:val="Subtitle"/>
    <w:basedOn w:val="Normal"/>
    <w:next w:val="Normal"/>
    <w:link w:val="SubttuloCar"/>
    <w:uiPriority w:val="11"/>
    <w:qFormat/>
    <w:rsid w:val="0068472A"/>
    <w:pPr>
      <w:spacing w:after="560"/>
      <w:jc w:val="center"/>
    </w:pPr>
    <w:rPr>
      <w:caps/>
      <w:spacing w:val="20"/>
      <w:sz w:val="18"/>
      <w:szCs w:val="18"/>
    </w:rPr>
  </w:style>
  <w:style w:type="character" w:customStyle="1" w:styleId="SubttuloCar">
    <w:name w:val="Subtítulo Car"/>
    <w:basedOn w:val="Fuentedeprrafopredeter"/>
    <w:link w:val="Subttulo"/>
    <w:uiPriority w:val="11"/>
    <w:rsid w:val="0068472A"/>
    <w:rPr>
      <w:caps/>
      <w:spacing w:val="20"/>
      <w:sz w:val="18"/>
      <w:szCs w:val="18"/>
    </w:rPr>
  </w:style>
  <w:style w:type="character" w:styleId="Textoennegrita">
    <w:name w:val="Strong"/>
    <w:uiPriority w:val="22"/>
    <w:qFormat/>
    <w:rsid w:val="0068472A"/>
    <w:rPr>
      <w:b/>
      <w:bCs/>
      <w:color w:val="C45911" w:themeColor="accent2" w:themeShade="BF"/>
      <w:spacing w:val="5"/>
    </w:rPr>
  </w:style>
  <w:style w:type="character" w:styleId="nfasis">
    <w:name w:val="Emphasis"/>
    <w:uiPriority w:val="20"/>
    <w:qFormat/>
    <w:rsid w:val="0068472A"/>
    <w:rPr>
      <w:caps/>
      <w:spacing w:val="5"/>
      <w:sz w:val="20"/>
      <w:szCs w:val="20"/>
    </w:rPr>
  </w:style>
  <w:style w:type="character" w:customStyle="1" w:styleId="SinespaciadoCar">
    <w:name w:val="Sin espaciado Car"/>
    <w:basedOn w:val="Fuentedeprrafopredeter"/>
    <w:link w:val="Sinespaciado"/>
    <w:uiPriority w:val="1"/>
    <w:rsid w:val="0068472A"/>
  </w:style>
  <w:style w:type="paragraph" w:styleId="Cita">
    <w:name w:val="Quote"/>
    <w:basedOn w:val="Normal"/>
    <w:next w:val="Normal"/>
    <w:link w:val="CitaCar"/>
    <w:uiPriority w:val="29"/>
    <w:qFormat/>
    <w:rsid w:val="0068472A"/>
    <w:rPr>
      <w:i/>
      <w:iCs/>
    </w:rPr>
  </w:style>
  <w:style w:type="character" w:customStyle="1" w:styleId="CitaCar">
    <w:name w:val="Cita Car"/>
    <w:basedOn w:val="Fuentedeprrafopredeter"/>
    <w:link w:val="Cita"/>
    <w:uiPriority w:val="29"/>
    <w:rsid w:val="0068472A"/>
    <w:rPr>
      <w:i/>
      <w:iCs/>
    </w:rPr>
  </w:style>
  <w:style w:type="paragraph" w:styleId="Citadestacada">
    <w:name w:val="Intense Quote"/>
    <w:basedOn w:val="Normal"/>
    <w:next w:val="Normal"/>
    <w:link w:val="CitadestacadaCar"/>
    <w:uiPriority w:val="30"/>
    <w:qFormat/>
    <w:rsid w:val="0068472A"/>
    <w:pPr>
      <w:pBdr>
        <w:top w:val="dotted" w:sz="2" w:space="10" w:color="833C0B" w:themeColor="accent2" w:themeShade="80"/>
        <w:bottom w:val="dotted" w:sz="2" w:space="4" w:color="833C0B" w:themeColor="accent2" w:themeShade="80"/>
      </w:pBdr>
      <w:spacing w:before="160" w:line="300" w:lineRule="auto"/>
      <w:ind w:left="1440" w:right="1440"/>
    </w:pPr>
    <w:rPr>
      <w:caps/>
      <w:color w:val="823B0B" w:themeColor="accent2" w:themeShade="7F"/>
      <w:spacing w:val="5"/>
      <w:sz w:val="20"/>
      <w:szCs w:val="20"/>
    </w:rPr>
  </w:style>
  <w:style w:type="character" w:customStyle="1" w:styleId="CitadestacadaCar">
    <w:name w:val="Cita destacada Car"/>
    <w:basedOn w:val="Fuentedeprrafopredeter"/>
    <w:link w:val="Citadestacada"/>
    <w:uiPriority w:val="30"/>
    <w:rsid w:val="0068472A"/>
    <w:rPr>
      <w:caps/>
      <w:color w:val="823B0B" w:themeColor="accent2" w:themeShade="7F"/>
      <w:spacing w:val="5"/>
      <w:sz w:val="20"/>
      <w:szCs w:val="20"/>
    </w:rPr>
  </w:style>
  <w:style w:type="character" w:styleId="nfasissutil">
    <w:name w:val="Subtle Emphasis"/>
    <w:uiPriority w:val="19"/>
    <w:qFormat/>
    <w:rsid w:val="0068472A"/>
    <w:rPr>
      <w:i/>
      <w:iCs/>
    </w:rPr>
  </w:style>
  <w:style w:type="character" w:styleId="nfasisintenso">
    <w:name w:val="Intense Emphasis"/>
    <w:uiPriority w:val="21"/>
    <w:qFormat/>
    <w:rsid w:val="0068472A"/>
    <w:rPr>
      <w:i/>
      <w:iCs/>
      <w:caps/>
      <w:spacing w:val="10"/>
      <w:sz w:val="20"/>
      <w:szCs w:val="20"/>
    </w:rPr>
  </w:style>
  <w:style w:type="character" w:styleId="Referenciasutil">
    <w:name w:val="Subtle Reference"/>
    <w:basedOn w:val="Fuentedeprrafopredeter"/>
    <w:uiPriority w:val="31"/>
    <w:qFormat/>
    <w:rsid w:val="0068472A"/>
    <w:rPr>
      <w:rFonts w:asciiTheme="minorHAnsi" w:eastAsiaTheme="minorEastAsia" w:hAnsiTheme="minorHAnsi" w:cstheme="minorBidi"/>
      <w:i/>
      <w:iCs/>
      <w:color w:val="823B0B" w:themeColor="accent2" w:themeShade="7F"/>
    </w:rPr>
  </w:style>
  <w:style w:type="character" w:styleId="Referenciaintensa">
    <w:name w:val="Intense Reference"/>
    <w:uiPriority w:val="32"/>
    <w:qFormat/>
    <w:rsid w:val="0068472A"/>
    <w:rPr>
      <w:rFonts w:asciiTheme="minorHAnsi" w:eastAsiaTheme="minorEastAsia" w:hAnsiTheme="minorHAnsi" w:cstheme="minorBidi"/>
      <w:b/>
      <w:bCs/>
      <w:i/>
      <w:iCs/>
      <w:color w:val="823B0B" w:themeColor="accent2" w:themeShade="7F"/>
    </w:rPr>
  </w:style>
  <w:style w:type="character" w:styleId="Ttulodellibro">
    <w:name w:val="Book Title"/>
    <w:uiPriority w:val="33"/>
    <w:qFormat/>
    <w:rsid w:val="0068472A"/>
    <w:rPr>
      <w:caps/>
      <w:color w:val="823B0B" w:themeColor="accent2" w:themeShade="7F"/>
      <w:spacing w:val="5"/>
      <w:u w:color="823B0B" w:themeColor="accent2" w:themeShade="7F"/>
    </w:rPr>
  </w:style>
  <w:style w:type="paragraph" w:styleId="TtuloTDC">
    <w:name w:val="TOC Heading"/>
    <w:basedOn w:val="Ttulo1"/>
    <w:next w:val="Normal"/>
    <w:uiPriority w:val="39"/>
    <w:unhideWhenUsed/>
    <w:qFormat/>
    <w:rsid w:val="0068472A"/>
    <w:pPr>
      <w:outlineLvl w:val="9"/>
    </w:pPr>
  </w:style>
  <w:style w:type="paragraph" w:styleId="TDC1">
    <w:name w:val="toc 1"/>
    <w:basedOn w:val="Normal"/>
    <w:next w:val="Normal"/>
    <w:autoRedefine/>
    <w:uiPriority w:val="39"/>
    <w:unhideWhenUsed/>
    <w:rsid w:val="0068472A"/>
    <w:pPr>
      <w:spacing w:before="120"/>
    </w:pPr>
    <w:rPr>
      <w:rFonts w:asciiTheme="minorHAnsi" w:hAnsiTheme="minorHAnsi"/>
      <w:b/>
      <w:bCs/>
      <w:i/>
      <w:iCs/>
      <w:sz w:val="24"/>
      <w:szCs w:val="24"/>
    </w:rPr>
  </w:style>
  <w:style w:type="paragraph" w:styleId="TDC2">
    <w:name w:val="toc 2"/>
    <w:basedOn w:val="Normal"/>
    <w:next w:val="Normal"/>
    <w:autoRedefine/>
    <w:uiPriority w:val="39"/>
    <w:semiHidden/>
    <w:unhideWhenUsed/>
    <w:rsid w:val="0068472A"/>
    <w:pPr>
      <w:spacing w:before="120"/>
      <w:ind w:left="220"/>
    </w:pPr>
    <w:rPr>
      <w:rFonts w:asciiTheme="minorHAnsi" w:hAnsiTheme="minorHAnsi"/>
      <w:b/>
      <w:bCs/>
    </w:rPr>
  </w:style>
  <w:style w:type="paragraph" w:styleId="TDC3">
    <w:name w:val="toc 3"/>
    <w:basedOn w:val="Normal"/>
    <w:next w:val="Normal"/>
    <w:autoRedefine/>
    <w:uiPriority w:val="39"/>
    <w:semiHidden/>
    <w:unhideWhenUsed/>
    <w:rsid w:val="0068472A"/>
    <w:pPr>
      <w:ind w:left="440"/>
    </w:pPr>
    <w:rPr>
      <w:rFonts w:asciiTheme="minorHAnsi" w:hAnsiTheme="minorHAnsi"/>
      <w:sz w:val="20"/>
      <w:szCs w:val="20"/>
    </w:rPr>
  </w:style>
  <w:style w:type="paragraph" w:styleId="TDC4">
    <w:name w:val="toc 4"/>
    <w:basedOn w:val="Normal"/>
    <w:next w:val="Normal"/>
    <w:autoRedefine/>
    <w:uiPriority w:val="39"/>
    <w:semiHidden/>
    <w:unhideWhenUsed/>
    <w:rsid w:val="0068472A"/>
    <w:pPr>
      <w:ind w:left="660"/>
    </w:pPr>
    <w:rPr>
      <w:rFonts w:asciiTheme="minorHAnsi" w:hAnsiTheme="minorHAnsi"/>
      <w:sz w:val="20"/>
      <w:szCs w:val="20"/>
    </w:rPr>
  </w:style>
  <w:style w:type="paragraph" w:styleId="TDC5">
    <w:name w:val="toc 5"/>
    <w:basedOn w:val="Normal"/>
    <w:next w:val="Normal"/>
    <w:autoRedefine/>
    <w:uiPriority w:val="39"/>
    <w:semiHidden/>
    <w:unhideWhenUsed/>
    <w:rsid w:val="0068472A"/>
    <w:pPr>
      <w:ind w:left="880"/>
    </w:pPr>
    <w:rPr>
      <w:rFonts w:asciiTheme="minorHAnsi" w:hAnsiTheme="minorHAnsi"/>
      <w:sz w:val="20"/>
      <w:szCs w:val="20"/>
    </w:rPr>
  </w:style>
  <w:style w:type="paragraph" w:styleId="TDC6">
    <w:name w:val="toc 6"/>
    <w:basedOn w:val="Normal"/>
    <w:next w:val="Normal"/>
    <w:autoRedefine/>
    <w:uiPriority w:val="39"/>
    <w:semiHidden/>
    <w:unhideWhenUsed/>
    <w:rsid w:val="0068472A"/>
    <w:pPr>
      <w:ind w:left="1100"/>
    </w:pPr>
    <w:rPr>
      <w:rFonts w:asciiTheme="minorHAnsi" w:hAnsiTheme="minorHAnsi"/>
      <w:sz w:val="20"/>
      <w:szCs w:val="20"/>
    </w:rPr>
  </w:style>
  <w:style w:type="paragraph" w:styleId="TDC7">
    <w:name w:val="toc 7"/>
    <w:basedOn w:val="Normal"/>
    <w:next w:val="Normal"/>
    <w:autoRedefine/>
    <w:uiPriority w:val="39"/>
    <w:semiHidden/>
    <w:unhideWhenUsed/>
    <w:rsid w:val="0068472A"/>
    <w:pPr>
      <w:ind w:left="1320"/>
    </w:pPr>
    <w:rPr>
      <w:rFonts w:asciiTheme="minorHAnsi" w:hAnsiTheme="minorHAnsi"/>
      <w:sz w:val="20"/>
      <w:szCs w:val="20"/>
    </w:rPr>
  </w:style>
  <w:style w:type="paragraph" w:styleId="TDC8">
    <w:name w:val="toc 8"/>
    <w:basedOn w:val="Normal"/>
    <w:next w:val="Normal"/>
    <w:autoRedefine/>
    <w:uiPriority w:val="39"/>
    <w:semiHidden/>
    <w:unhideWhenUsed/>
    <w:rsid w:val="0068472A"/>
    <w:pPr>
      <w:ind w:left="1540"/>
    </w:pPr>
    <w:rPr>
      <w:rFonts w:asciiTheme="minorHAnsi" w:hAnsiTheme="minorHAnsi"/>
      <w:sz w:val="20"/>
      <w:szCs w:val="20"/>
    </w:rPr>
  </w:style>
  <w:style w:type="paragraph" w:styleId="TDC9">
    <w:name w:val="toc 9"/>
    <w:basedOn w:val="Normal"/>
    <w:next w:val="Normal"/>
    <w:autoRedefine/>
    <w:uiPriority w:val="39"/>
    <w:semiHidden/>
    <w:unhideWhenUsed/>
    <w:rsid w:val="0068472A"/>
    <w:pPr>
      <w:ind w:left="1760"/>
    </w:pPr>
    <w:rPr>
      <w:rFonts w:asciiTheme="minorHAnsi" w:hAnsiTheme="minorHAnsi"/>
      <w:sz w:val="20"/>
      <w:szCs w:val="20"/>
    </w:rPr>
  </w:style>
  <w:style w:type="character" w:styleId="Mencinsinresolver">
    <w:name w:val="Unresolved Mention"/>
    <w:basedOn w:val="Fuentedeprrafopredeter"/>
    <w:uiPriority w:val="99"/>
    <w:rsid w:val="00C8134D"/>
    <w:rPr>
      <w:color w:val="605E5C"/>
      <w:shd w:val="clear" w:color="auto" w:fill="E1DFDD"/>
    </w:rPr>
  </w:style>
  <w:style w:type="paragraph" w:styleId="Encabezado">
    <w:name w:val="header"/>
    <w:basedOn w:val="Normal"/>
    <w:link w:val="EncabezadoCar"/>
    <w:uiPriority w:val="99"/>
    <w:unhideWhenUsed/>
    <w:rsid w:val="00F121E1"/>
    <w:pPr>
      <w:tabs>
        <w:tab w:val="center" w:pos="4419"/>
        <w:tab w:val="right" w:pos="8838"/>
      </w:tabs>
    </w:pPr>
  </w:style>
  <w:style w:type="character" w:customStyle="1" w:styleId="EncabezadoCar">
    <w:name w:val="Encabezado Car"/>
    <w:basedOn w:val="Fuentedeprrafopredeter"/>
    <w:link w:val="Encabezado"/>
    <w:uiPriority w:val="99"/>
    <w:rsid w:val="00F121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hyperlink" Target="https://repositoriodocumental.ine.mx/xmlui/bitstream/handle/123456789/95693/CGex201804-04-dp-3-14.pdf" TargetMode="External"/><Relationship Id="rId7" Type="http://schemas.openxmlformats.org/officeDocument/2006/relationships/endnotes" Target="endnotes.xml"/><Relationship Id="rId12" Type="http://schemas.openxmlformats.org/officeDocument/2006/relationships/hyperlink" Target="file:///C:/Users/63075/Downloads/F00006433-InfLatinobarometro2017.pdf" TargetMode="External"/><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s://portalanterior.ine.mx/archivos3/portal/historico/recursos/IFE-v2/DS/DS-CG/DS-SesionesCG/CG-resoluciones/2016/04_Abril/CGex201604-20_01/CG1ex201604-20_rp_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te.gob.mx/buscado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Data" Target="diagrams/data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912BBF-7795-4C41-B5AB-3EDAE990B562}" type="doc">
      <dgm:prSet loTypeId="urn:microsoft.com/office/officeart/2005/8/layout/cycle4" loCatId="" qsTypeId="urn:microsoft.com/office/officeart/2005/8/quickstyle/simple4" qsCatId="simple" csTypeId="urn:microsoft.com/office/officeart/2005/8/colors/accent1_2" csCatId="accent1" phldr="1"/>
      <dgm:spPr/>
      <dgm:t>
        <a:bodyPr/>
        <a:lstStyle/>
        <a:p>
          <a:endParaRPr lang="es-ES"/>
        </a:p>
      </dgm:t>
    </dgm:pt>
    <dgm:pt modelId="{50B8A526-7685-4846-BA08-B8E81E1F6641}">
      <dgm:prSet phldrT="[Texto]"/>
      <dgm:spPr/>
      <dgm:t>
        <a:bodyPr/>
        <a:lstStyle/>
        <a:p>
          <a:pPr algn="ctr"/>
          <a:r>
            <a:rPr lang="es-ES"/>
            <a:t>Entes Fiscalizadores</a:t>
          </a:r>
        </a:p>
      </dgm:t>
    </dgm:pt>
    <dgm:pt modelId="{377EB7BA-96AC-7043-A571-92077681D0EC}" type="parTrans" cxnId="{C30A65EF-647E-4F41-956C-74722C1D97FC}">
      <dgm:prSet/>
      <dgm:spPr/>
      <dgm:t>
        <a:bodyPr/>
        <a:lstStyle/>
        <a:p>
          <a:pPr algn="ctr"/>
          <a:endParaRPr lang="es-ES"/>
        </a:p>
      </dgm:t>
    </dgm:pt>
    <dgm:pt modelId="{9F96BD66-31F4-F149-8975-0C8302C1D318}" type="sibTrans" cxnId="{C30A65EF-647E-4F41-956C-74722C1D97FC}">
      <dgm:prSet/>
      <dgm:spPr/>
      <dgm:t>
        <a:bodyPr/>
        <a:lstStyle/>
        <a:p>
          <a:pPr algn="ctr"/>
          <a:endParaRPr lang="es-ES"/>
        </a:p>
      </dgm:t>
    </dgm:pt>
    <dgm:pt modelId="{E7B89BEE-20EF-6F4A-BCE1-1FF605E6B421}">
      <dgm:prSet phldrT="[Texto]" custT="1"/>
      <dgm:spPr/>
      <dgm:t>
        <a:bodyPr/>
        <a:lstStyle/>
        <a:p>
          <a:pPr algn="ctr"/>
          <a:r>
            <a:rPr lang="es-ES" sz="800"/>
            <a:t>INE</a:t>
          </a:r>
        </a:p>
      </dgm:t>
    </dgm:pt>
    <dgm:pt modelId="{6DF0B469-CC32-114D-B7F1-CE66C9478618}" type="parTrans" cxnId="{102BCEA5-17C0-8E4F-8331-9C09DF68573B}">
      <dgm:prSet/>
      <dgm:spPr/>
      <dgm:t>
        <a:bodyPr/>
        <a:lstStyle/>
        <a:p>
          <a:pPr algn="ctr"/>
          <a:endParaRPr lang="es-ES"/>
        </a:p>
      </dgm:t>
    </dgm:pt>
    <dgm:pt modelId="{A7DD19C3-E4A8-934F-993A-9C573E44E0C5}" type="sibTrans" cxnId="{102BCEA5-17C0-8E4F-8331-9C09DF68573B}">
      <dgm:prSet/>
      <dgm:spPr/>
      <dgm:t>
        <a:bodyPr/>
        <a:lstStyle/>
        <a:p>
          <a:pPr algn="ctr"/>
          <a:endParaRPr lang="es-ES"/>
        </a:p>
      </dgm:t>
    </dgm:pt>
    <dgm:pt modelId="{BA05336A-6D51-8746-8B91-F4E2747481AE}">
      <dgm:prSet phldrT="[Texto]"/>
      <dgm:spPr/>
      <dgm:t>
        <a:bodyPr/>
        <a:lstStyle/>
        <a:p>
          <a:pPr algn="ctr"/>
          <a:r>
            <a:rPr lang="es-ES"/>
            <a:t>Parámetros</a:t>
          </a:r>
        </a:p>
      </dgm:t>
    </dgm:pt>
    <dgm:pt modelId="{CDBAC14F-E5A8-424A-80F5-B2C35DE09F9F}" type="parTrans" cxnId="{DD89825C-1DB2-2D4F-9F03-425B0FEF3E3C}">
      <dgm:prSet/>
      <dgm:spPr/>
      <dgm:t>
        <a:bodyPr/>
        <a:lstStyle/>
        <a:p>
          <a:pPr algn="ctr"/>
          <a:endParaRPr lang="es-ES"/>
        </a:p>
      </dgm:t>
    </dgm:pt>
    <dgm:pt modelId="{D111F2FC-F34B-7946-A921-D527C33D3240}" type="sibTrans" cxnId="{DD89825C-1DB2-2D4F-9F03-425B0FEF3E3C}">
      <dgm:prSet/>
      <dgm:spPr/>
      <dgm:t>
        <a:bodyPr/>
        <a:lstStyle/>
        <a:p>
          <a:pPr algn="ctr"/>
          <a:endParaRPr lang="es-ES"/>
        </a:p>
      </dgm:t>
    </dgm:pt>
    <dgm:pt modelId="{26332913-9F84-624F-86B6-E902EF43DF04}">
      <dgm:prSet phldrT="[Texto]" custT="1"/>
      <dgm:spPr/>
      <dgm:t>
        <a:bodyPr/>
        <a:lstStyle/>
        <a:p>
          <a:pPr algn="ctr"/>
          <a:r>
            <a:rPr lang="es-ES" sz="800"/>
            <a:t>Constitución Política de los Estados Unidos Mexicanos</a:t>
          </a:r>
        </a:p>
      </dgm:t>
    </dgm:pt>
    <dgm:pt modelId="{FE3E47A6-7302-074A-A4B1-4CAB8658C498}" type="parTrans" cxnId="{F1738EDE-B22E-8A4F-AA4E-C9C1FAF0AEB7}">
      <dgm:prSet/>
      <dgm:spPr/>
      <dgm:t>
        <a:bodyPr/>
        <a:lstStyle/>
        <a:p>
          <a:pPr algn="ctr"/>
          <a:endParaRPr lang="es-ES"/>
        </a:p>
      </dgm:t>
    </dgm:pt>
    <dgm:pt modelId="{792D81C9-1BE3-254B-9E81-5E59630687CB}" type="sibTrans" cxnId="{F1738EDE-B22E-8A4F-AA4E-C9C1FAF0AEB7}">
      <dgm:prSet/>
      <dgm:spPr/>
      <dgm:t>
        <a:bodyPr/>
        <a:lstStyle/>
        <a:p>
          <a:pPr algn="ctr"/>
          <a:endParaRPr lang="es-ES"/>
        </a:p>
      </dgm:t>
    </dgm:pt>
    <dgm:pt modelId="{F1BE35FF-8CF6-2F44-923A-6DA91FBAFF08}">
      <dgm:prSet phldrT="[Texto]"/>
      <dgm:spPr/>
      <dgm:t>
        <a:bodyPr/>
        <a:lstStyle/>
        <a:p>
          <a:pPr algn="ctr"/>
          <a:r>
            <a:rPr lang="es-ES"/>
            <a:t>Resultados Finales</a:t>
          </a:r>
        </a:p>
      </dgm:t>
    </dgm:pt>
    <dgm:pt modelId="{1381529B-4541-2F4C-B5A3-AAB8D07548F2}" type="parTrans" cxnId="{A67FBFFF-C2AE-5948-A477-3B847920A416}">
      <dgm:prSet/>
      <dgm:spPr/>
      <dgm:t>
        <a:bodyPr/>
        <a:lstStyle/>
        <a:p>
          <a:pPr algn="ctr"/>
          <a:endParaRPr lang="es-ES"/>
        </a:p>
      </dgm:t>
    </dgm:pt>
    <dgm:pt modelId="{FA100897-6F33-514A-9100-76E9FF2273B4}" type="sibTrans" cxnId="{A67FBFFF-C2AE-5948-A477-3B847920A416}">
      <dgm:prSet/>
      <dgm:spPr/>
      <dgm:t>
        <a:bodyPr/>
        <a:lstStyle/>
        <a:p>
          <a:pPr algn="ctr"/>
          <a:endParaRPr lang="es-ES"/>
        </a:p>
      </dgm:t>
    </dgm:pt>
    <dgm:pt modelId="{DD28CF32-60F1-7349-89E7-BF291D7B3095}">
      <dgm:prSet phldrT="[Texto]" custT="1"/>
      <dgm:spPr/>
      <dgm:t>
        <a:bodyPr/>
        <a:lstStyle/>
        <a:p>
          <a:pPr algn="ctr"/>
          <a:r>
            <a:rPr lang="es-ES" sz="800"/>
            <a:t>Multas</a:t>
          </a:r>
        </a:p>
      </dgm:t>
    </dgm:pt>
    <dgm:pt modelId="{E333A324-447E-0C4D-BA8E-BDA53C528160}" type="parTrans" cxnId="{3191333B-46DE-AA4D-87C9-65C72BEE6445}">
      <dgm:prSet/>
      <dgm:spPr/>
      <dgm:t>
        <a:bodyPr/>
        <a:lstStyle/>
        <a:p>
          <a:pPr algn="ctr"/>
          <a:endParaRPr lang="es-ES"/>
        </a:p>
      </dgm:t>
    </dgm:pt>
    <dgm:pt modelId="{0A74295E-AABC-5641-888B-AB5D4776B4C2}" type="sibTrans" cxnId="{3191333B-46DE-AA4D-87C9-65C72BEE6445}">
      <dgm:prSet/>
      <dgm:spPr/>
      <dgm:t>
        <a:bodyPr/>
        <a:lstStyle/>
        <a:p>
          <a:pPr algn="ctr"/>
          <a:endParaRPr lang="es-ES"/>
        </a:p>
      </dgm:t>
    </dgm:pt>
    <dgm:pt modelId="{D2B8F28D-DC83-8E4D-B4CC-416325709FF6}">
      <dgm:prSet phldrT="[Texto]"/>
      <dgm:spPr/>
      <dgm:t>
        <a:bodyPr/>
        <a:lstStyle/>
        <a:p>
          <a:pPr algn="ctr"/>
          <a:r>
            <a:rPr lang="es-ES"/>
            <a:t>Resultados Previos</a:t>
          </a:r>
        </a:p>
      </dgm:t>
    </dgm:pt>
    <dgm:pt modelId="{6A62DACF-3497-DD44-B7D1-8BFC39BD630A}" type="parTrans" cxnId="{0BE8070A-1748-4C45-8A63-8ABFBEEFD1CB}">
      <dgm:prSet/>
      <dgm:spPr/>
      <dgm:t>
        <a:bodyPr/>
        <a:lstStyle/>
        <a:p>
          <a:pPr algn="ctr"/>
          <a:endParaRPr lang="es-ES"/>
        </a:p>
      </dgm:t>
    </dgm:pt>
    <dgm:pt modelId="{5B9210AA-FE0F-C344-B34F-D9E3378489B0}" type="sibTrans" cxnId="{0BE8070A-1748-4C45-8A63-8ABFBEEFD1CB}">
      <dgm:prSet/>
      <dgm:spPr/>
      <dgm:t>
        <a:bodyPr/>
        <a:lstStyle/>
        <a:p>
          <a:pPr algn="ctr"/>
          <a:endParaRPr lang="es-ES"/>
        </a:p>
      </dgm:t>
    </dgm:pt>
    <dgm:pt modelId="{B2F43AD9-DED4-0F4F-950C-579E3EE15BE5}">
      <dgm:prSet phldrT="[Texto]" custT="1"/>
      <dgm:spPr/>
      <dgm:t>
        <a:bodyPr/>
        <a:lstStyle/>
        <a:p>
          <a:pPr algn="ctr"/>
          <a:r>
            <a:rPr lang="es-ES" sz="800"/>
            <a:t>Elementos de Revisión</a:t>
          </a:r>
        </a:p>
      </dgm:t>
    </dgm:pt>
    <dgm:pt modelId="{E2F33B84-6025-8044-88AE-ECBFE50591ED}" type="parTrans" cxnId="{8FBDFF6C-F7AA-894A-87C2-E0799AD0D92E}">
      <dgm:prSet/>
      <dgm:spPr/>
      <dgm:t>
        <a:bodyPr/>
        <a:lstStyle/>
        <a:p>
          <a:pPr algn="ctr"/>
          <a:endParaRPr lang="es-ES"/>
        </a:p>
      </dgm:t>
    </dgm:pt>
    <dgm:pt modelId="{64F315E4-E17A-234F-AC88-78AE0804244E}" type="sibTrans" cxnId="{8FBDFF6C-F7AA-894A-87C2-E0799AD0D92E}">
      <dgm:prSet/>
      <dgm:spPr/>
      <dgm:t>
        <a:bodyPr/>
        <a:lstStyle/>
        <a:p>
          <a:pPr algn="ctr"/>
          <a:endParaRPr lang="es-ES"/>
        </a:p>
      </dgm:t>
    </dgm:pt>
    <dgm:pt modelId="{51BB252E-3E89-6248-8E66-CBB9C7C9A834}">
      <dgm:prSet phldrT="[Texto]" custT="1"/>
      <dgm:spPr/>
      <dgm:t>
        <a:bodyPr/>
        <a:lstStyle/>
        <a:p>
          <a:pPr algn="ctr"/>
          <a:r>
            <a:rPr lang="es-ES" sz="800"/>
            <a:t>Impugnaciones</a:t>
          </a:r>
        </a:p>
      </dgm:t>
    </dgm:pt>
    <dgm:pt modelId="{D5790A6A-E15D-7044-8FBB-156F667341F9}" type="parTrans" cxnId="{4D958F70-16B6-144C-9026-33C117430D84}">
      <dgm:prSet/>
      <dgm:spPr/>
      <dgm:t>
        <a:bodyPr/>
        <a:lstStyle/>
        <a:p>
          <a:pPr algn="ctr"/>
          <a:endParaRPr lang="es-ES"/>
        </a:p>
      </dgm:t>
    </dgm:pt>
    <dgm:pt modelId="{FF4E8405-D953-D94C-AD7F-99D054542799}" type="sibTrans" cxnId="{4D958F70-16B6-144C-9026-33C117430D84}">
      <dgm:prSet/>
      <dgm:spPr/>
      <dgm:t>
        <a:bodyPr/>
        <a:lstStyle/>
        <a:p>
          <a:pPr algn="ctr"/>
          <a:endParaRPr lang="es-ES"/>
        </a:p>
      </dgm:t>
    </dgm:pt>
    <dgm:pt modelId="{34F049DD-B6E3-2541-B0B8-61C4167ECB41}">
      <dgm:prSet phldrT="[Texto]" custT="1"/>
      <dgm:spPr/>
      <dgm:t>
        <a:bodyPr/>
        <a:lstStyle/>
        <a:p>
          <a:pPr algn="ctr"/>
          <a:r>
            <a:rPr lang="es-ES" sz="800"/>
            <a:t>Multas</a:t>
          </a:r>
        </a:p>
      </dgm:t>
    </dgm:pt>
    <dgm:pt modelId="{4A9916F3-27DD-0942-8DEE-8A3925892B46}" type="parTrans" cxnId="{0F97C596-870E-2041-9D01-B4B87992D894}">
      <dgm:prSet/>
      <dgm:spPr/>
      <dgm:t>
        <a:bodyPr/>
        <a:lstStyle/>
        <a:p>
          <a:pPr algn="ctr"/>
          <a:endParaRPr lang="es-ES"/>
        </a:p>
      </dgm:t>
    </dgm:pt>
    <dgm:pt modelId="{B7B212EB-1ABA-724E-9595-545D98EF3EFD}" type="sibTrans" cxnId="{0F97C596-870E-2041-9D01-B4B87992D894}">
      <dgm:prSet/>
      <dgm:spPr/>
      <dgm:t>
        <a:bodyPr/>
        <a:lstStyle/>
        <a:p>
          <a:pPr algn="ctr"/>
          <a:endParaRPr lang="es-ES"/>
        </a:p>
      </dgm:t>
    </dgm:pt>
    <dgm:pt modelId="{C7EC64B5-C014-6C4A-BBDD-775B1CD5EE31}">
      <dgm:prSet phldrT="[Texto]" custT="1"/>
      <dgm:spPr/>
      <dgm:t>
        <a:bodyPr/>
        <a:lstStyle/>
        <a:p>
          <a:pPr algn="ctr"/>
          <a:r>
            <a:rPr lang="es-ES" sz="800"/>
            <a:t>Sanciones</a:t>
          </a:r>
        </a:p>
      </dgm:t>
    </dgm:pt>
    <dgm:pt modelId="{8CB15D36-FB04-CB46-86CB-6A4F45738AA5}" type="parTrans" cxnId="{8CC71497-10DF-4C43-B3FC-ECD016C79E1C}">
      <dgm:prSet/>
      <dgm:spPr/>
      <dgm:t>
        <a:bodyPr/>
        <a:lstStyle/>
        <a:p>
          <a:pPr algn="ctr"/>
          <a:endParaRPr lang="es-ES"/>
        </a:p>
      </dgm:t>
    </dgm:pt>
    <dgm:pt modelId="{66107D08-93DA-084F-A40A-1808EF1CA1DD}" type="sibTrans" cxnId="{8CC71497-10DF-4C43-B3FC-ECD016C79E1C}">
      <dgm:prSet/>
      <dgm:spPr/>
      <dgm:t>
        <a:bodyPr/>
        <a:lstStyle/>
        <a:p>
          <a:pPr algn="ctr"/>
          <a:endParaRPr lang="es-ES"/>
        </a:p>
      </dgm:t>
    </dgm:pt>
    <dgm:pt modelId="{84CBB5E3-8708-1A44-9EC8-AAE65A01C34F}">
      <dgm:prSet phldrT="[Texto]" custT="1"/>
      <dgm:spPr/>
      <dgm:t>
        <a:bodyPr/>
        <a:lstStyle/>
        <a:p>
          <a:pPr algn="ctr"/>
          <a:r>
            <a:rPr lang="es-ES" sz="800"/>
            <a:t>LGPP</a:t>
          </a:r>
        </a:p>
      </dgm:t>
    </dgm:pt>
    <dgm:pt modelId="{438E1DDE-73E4-AA4E-82DA-8D13F6C16328}" type="parTrans" cxnId="{B297DD3A-17E6-A942-A709-5FC72B81220C}">
      <dgm:prSet/>
      <dgm:spPr/>
      <dgm:t>
        <a:bodyPr/>
        <a:lstStyle/>
        <a:p>
          <a:pPr algn="ctr"/>
          <a:endParaRPr lang="es-ES"/>
        </a:p>
      </dgm:t>
    </dgm:pt>
    <dgm:pt modelId="{E4844F96-C954-E84A-9CE0-91359F20FC85}" type="sibTrans" cxnId="{B297DD3A-17E6-A942-A709-5FC72B81220C}">
      <dgm:prSet/>
      <dgm:spPr/>
      <dgm:t>
        <a:bodyPr/>
        <a:lstStyle/>
        <a:p>
          <a:pPr algn="ctr"/>
          <a:endParaRPr lang="es-ES"/>
        </a:p>
      </dgm:t>
    </dgm:pt>
    <dgm:pt modelId="{7ACF0159-5975-2749-A9D6-DE30913631B0}">
      <dgm:prSet phldrT="[Texto]" custT="1"/>
      <dgm:spPr/>
      <dgm:t>
        <a:bodyPr/>
        <a:lstStyle/>
        <a:p>
          <a:pPr algn="ctr"/>
          <a:r>
            <a:rPr lang="es-ES" sz="800"/>
            <a:t>LEGIPE</a:t>
          </a:r>
        </a:p>
      </dgm:t>
    </dgm:pt>
    <dgm:pt modelId="{0CAC67EA-41A1-AD43-9A25-9AC74299F90C}" type="parTrans" cxnId="{5AC85049-56A1-DE44-8941-7486E6DB102F}">
      <dgm:prSet/>
      <dgm:spPr/>
      <dgm:t>
        <a:bodyPr/>
        <a:lstStyle/>
        <a:p>
          <a:pPr algn="ctr"/>
          <a:endParaRPr lang="es-ES"/>
        </a:p>
      </dgm:t>
    </dgm:pt>
    <dgm:pt modelId="{42F4E041-1588-4441-9577-D0ECCE0AB8A0}" type="sibTrans" cxnId="{5AC85049-56A1-DE44-8941-7486E6DB102F}">
      <dgm:prSet/>
      <dgm:spPr/>
      <dgm:t>
        <a:bodyPr/>
        <a:lstStyle/>
        <a:p>
          <a:pPr algn="ctr"/>
          <a:endParaRPr lang="es-ES"/>
        </a:p>
      </dgm:t>
    </dgm:pt>
    <dgm:pt modelId="{BA19422B-8107-6243-B231-4D60042664A2}">
      <dgm:prSet phldrT="[Texto]" custT="1"/>
      <dgm:spPr/>
      <dgm:t>
        <a:bodyPr/>
        <a:lstStyle/>
        <a:p>
          <a:pPr algn="ctr"/>
          <a:endParaRPr lang="es-ES" sz="800"/>
        </a:p>
      </dgm:t>
    </dgm:pt>
    <dgm:pt modelId="{3C8C79AA-7B0A-8C43-AF05-64FFEAD202A0}" type="parTrans" cxnId="{997E06AB-5D02-C346-B563-A6146DDAFFC5}">
      <dgm:prSet/>
      <dgm:spPr/>
      <dgm:t>
        <a:bodyPr/>
        <a:lstStyle/>
        <a:p>
          <a:pPr algn="ctr"/>
          <a:endParaRPr lang="es-ES"/>
        </a:p>
      </dgm:t>
    </dgm:pt>
    <dgm:pt modelId="{3F252C5F-179B-D34B-9704-5FA3F55CD34A}" type="sibTrans" cxnId="{997E06AB-5D02-C346-B563-A6146DDAFFC5}">
      <dgm:prSet/>
      <dgm:spPr/>
      <dgm:t>
        <a:bodyPr/>
        <a:lstStyle/>
        <a:p>
          <a:pPr algn="ctr"/>
          <a:endParaRPr lang="es-ES"/>
        </a:p>
      </dgm:t>
    </dgm:pt>
    <dgm:pt modelId="{491A0EA6-8F1E-3E4E-A4A4-FA6A83848F41}">
      <dgm:prSet phldrT="[Texto]" custT="1"/>
      <dgm:spPr/>
      <dgm:t>
        <a:bodyPr/>
        <a:lstStyle/>
        <a:p>
          <a:pPr algn="ctr"/>
          <a:endParaRPr lang="es-ES" sz="800"/>
        </a:p>
      </dgm:t>
    </dgm:pt>
    <dgm:pt modelId="{F0073C4A-49CD-CD46-9432-13E10DEBCFBA}" type="parTrans" cxnId="{FED9DC70-065F-1948-97F4-BAC7AFFF7CC2}">
      <dgm:prSet/>
      <dgm:spPr/>
      <dgm:t>
        <a:bodyPr/>
        <a:lstStyle/>
        <a:p>
          <a:pPr algn="ctr"/>
          <a:endParaRPr lang="es-ES"/>
        </a:p>
      </dgm:t>
    </dgm:pt>
    <dgm:pt modelId="{5D44BA18-6D38-C545-AD50-DDDC270F156F}" type="sibTrans" cxnId="{FED9DC70-065F-1948-97F4-BAC7AFFF7CC2}">
      <dgm:prSet/>
      <dgm:spPr/>
      <dgm:t>
        <a:bodyPr/>
        <a:lstStyle/>
        <a:p>
          <a:pPr algn="ctr"/>
          <a:endParaRPr lang="es-ES"/>
        </a:p>
      </dgm:t>
    </dgm:pt>
    <dgm:pt modelId="{FCA42458-5C8A-4FED-976B-2BC8E06B0763}">
      <dgm:prSet phldrT="[Texto]" custT="1"/>
      <dgm:spPr/>
      <dgm:t>
        <a:bodyPr/>
        <a:lstStyle/>
        <a:p>
          <a:pPr algn="ctr"/>
          <a:endParaRPr lang="es-ES" sz="800"/>
        </a:p>
      </dgm:t>
    </dgm:pt>
    <dgm:pt modelId="{01A17047-41E5-4B64-8BE5-86ED4B5A794A}" type="parTrans" cxnId="{AFBB2EBE-62EF-40BD-B0BF-A2F9863B7236}">
      <dgm:prSet/>
      <dgm:spPr/>
      <dgm:t>
        <a:bodyPr/>
        <a:lstStyle/>
        <a:p>
          <a:pPr algn="ctr"/>
          <a:endParaRPr lang="es-ES"/>
        </a:p>
      </dgm:t>
    </dgm:pt>
    <dgm:pt modelId="{FB5CC084-1678-43B7-A4E3-0EEC132AE8D3}" type="sibTrans" cxnId="{AFBB2EBE-62EF-40BD-B0BF-A2F9863B7236}">
      <dgm:prSet/>
      <dgm:spPr/>
      <dgm:t>
        <a:bodyPr/>
        <a:lstStyle/>
        <a:p>
          <a:pPr algn="ctr"/>
          <a:endParaRPr lang="es-ES"/>
        </a:p>
      </dgm:t>
    </dgm:pt>
    <dgm:pt modelId="{1F9AC390-D085-4C55-BABB-6658E288E09F}">
      <dgm:prSet phldrT="[Texto]" custT="1"/>
      <dgm:spPr/>
      <dgm:t>
        <a:bodyPr/>
        <a:lstStyle/>
        <a:p>
          <a:pPr algn="ctr"/>
          <a:r>
            <a:rPr lang="es-ES" sz="800"/>
            <a:t>Reglamento de Fiscalización</a:t>
          </a:r>
        </a:p>
      </dgm:t>
    </dgm:pt>
    <dgm:pt modelId="{08004617-3CF2-4342-876B-2C1AAC80684D}" type="parTrans" cxnId="{E869E3B9-EDA8-4DDA-AEE6-EBF43B5727BF}">
      <dgm:prSet/>
      <dgm:spPr/>
      <dgm:t>
        <a:bodyPr/>
        <a:lstStyle/>
        <a:p>
          <a:pPr algn="ctr"/>
          <a:endParaRPr lang="es-ES"/>
        </a:p>
      </dgm:t>
    </dgm:pt>
    <dgm:pt modelId="{87FA4002-FC6C-4EFD-A05E-F18956737342}" type="sibTrans" cxnId="{E869E3B9-EDA8-4DDA-AEE6-EBF43B5727BF}">
      <dgm:prSet/>
      <dgm:spPr/>
      <dgm:t>
        <a:bodyPr/>
        <a:lstStyle/>
        <a:p>
          <a:pPr algn="ctr"/>
          <a:endParaRPr lang="es-ES"/>
        </a:p>
      </dgm:t>
    </dgm:pt>
    <dgm:pt modelId="{5B913D98-0F43-CD40-9398-88E8D588F2C7}">
      <dgm:prSet phldrT="[Texto]" custT="1"/>
      <dgm:spPr/>
      <dgm:t>
        <a:bodyPr/>
        <a:lstStyle/>
        <a:p>
          <a:pPr algn="ctr"/>
          <a:endParaRPr lang="es-ES" sz="800"/>
        </a:p>
      </dgm:t>
    </dgm:pt>
    <dgm:pt modelId="{4AC89832-233A-0A4F-ADB6-F5DCA1683EB8}" type="parTrans" cxnId="{BFC8B366-E674-1948-901E-AA0CDDE0F4C5}">
      <dgm:prSet/>
      <dgm:spPr/>
      <dgm:t>
        <a:bodyPr/>
        <a:lstStyle/>
        <a:p>
          <a:endParaRPr lang="es-ES"/>
        </a:p>
      </dgm:t>
    </dgm:pt>
    <dgm:pt modelId="{7C3236E3-E832-3746-AEA1-06780B9917BA}" type="sibTrans" cxnId="{BFC8B366-E674-1948-901E-AA0CDDE0F4C5}">
      <dgm:prSet/>
      <dgm:spPr/>
      <dgm:t>
        <a:bodyPr/>
        <a:lstStyle/>
        <a:p>
          <a:endParaRPr lang="es-ES"/>
        </a:p>
      </dgm:t>
    </dgm:pt>
    <dgm:pt modelId="{2196177A-7084-2949-AE59-AFF2A4078DC5}">
      <dgm:prSet phldrT="[Texto]" custT="1"/>
      <dgm:spPr/>
      <dgm:t>
        <a:bodyPr/>
        <a:lstStyle/>
        <a:p>
          <a:pPr algn="ctr"/>
          <a:endParaRPr lang="es-ES" sz="800"/>
        </a:p>
      </dgm:t>
    </dgm:pt>
    <dgm:pt modelId="{49EF63BB-A7BC-FC43-9422-DF90719563B1}" type="parTrans" cxnId="{87ED537D-2D25-DD4D-9EEC-DC7B21741822}">
      <dgm:prSet/>
      <dgm:spPr/>
      <dgm:t>
        <a:bodyPr/>
        <a:lstStyle/>
        <a:p>
          <a:endParaRPr lang="es-ES"/>
        </a:p>
      </dgm:t>
    </dgm:pt>
    <dgm:pt modelId="{416685C5-D13C-084E-A361-2B9BBF24D971}" type="sibTrans" cxnId="{87ED537D-2D25-DD4D-9EEC-DC7B21741822}">
      <dgm:prSet/>
      <dgm:spPr/>
      <dgm:t>
        <a:bodyPr/>
        <a:lstStyle/>
        <a:p>
          <a:endParaRPr lang="es-ES"/>
        </a:p>
      </dgm:t>
    </dgm:pt>
    <dgm:pt modelId="{47E7F700-9BAB-E941-9BAE-2C8B8373CBE4}" type="pres">
      <dgm:prSet presAssocID="{FD912BBF-7795-4C41-B5AB-3EDAE990B562}" presName="cycleMatrixDiagram" presStyleCnt="0">
        <dgm:presLayoutVars>
          <dgm:chMax val="1"/>
          <dgm:dir/>
          <dgm:animLvl val="lvl"/>
          <dgm:resizeHandles val="exact"/>
        </dgm:presLayoutVars>
      </dgm:prSet>
      <dgm:spPr/>
    </dgm:pt>
    <dgm:pt modelId="{54A1BB17-B7E7-734A-B45F-72CA99FA395A}" type="pres">
      <dgm:prSet presAssocID="{FD912BBF-7795-4C41-B5AB-3EDAE990B562}" presName="children" presStyleCnt="0"/>
      <dgm:spPr/>
    </dgm:pt>
    <dgm:pt modelId="{0A113C58-3D3E-EB43-93E5-F05A4D86860D}" type="pres">
      <dgm:prSet presAssocID="{FD912BBF-7795-4C41-B5AB-3EDAE990B562}" presName="child1group" presStyleCnt="0"/>
      <dgm:spPr/>
    </dgm:pt>
    <dgm:pt modelId="{5B2140EC-5B15-694F-A0C2-38D4404ECD81}" type="pres">
      <dgm:prSet presAssocID="{FD912BBF-7795-4C41-B5AB-3EDAE990B562}" presName="child1" presStyleLbl="bgAcc1" presStyleIdx="0" presStyleCnt="4" custScaleX="139109"/>
      <dgm:spPr/>
    </dgm:pt>
    <dgm:pt modelId="{26E1F6C4-3C3C-7647-B16B-2F9F7FD9F16E}" type="pres">
      <dgm:prSet presAssocID="{FD912BBF-7795-4C41-B5AB-3EDAE990B562}" presName="child1Text" presStyleLbl="bgAcc1" presStyleIdx="0" presStyleCnt="4">
        <dgm:presLayoutVars>
          <dgm:bulletEnabled val="1"/>
        </dgm:presLayoutVars>
      </dgm:prSet>
      <dgm:spPr/>
    </dgm:pt>
    <dgm:pt modelId="{9E94D24B-55A3-D246-9E61-B72F0EAFA28D}" type="pres">
      <dgm:prSet presAssocID="{FD912BBF-7795-4C41-B5AB-3EDAE990B562}" presName="child2group" presStyleCnt="0"/>
      <dgm:spPr/>
    </dgm:pt>
    <dgm:pt modelId="{A38822B9-620D-A045-BA91-AF4862BD5546}" type="pres">
      <dgm:prSet presAssocID="{FD912BBF-7795-4C41-B5AB-3EDAE990B562}" presName="child2" presStyleLbl="bgAcc1" presStyleIdx="1" presStyleCnt="4" custScaleX="139109" custLinFactNeighborX="27560"/>
      <dgm:spPr/>
    </dgm:pt>
    <dgm:pt modelId="{7ADDDE17-5DF8-D940-B237-7D90B99A8C7A}" type="pres">
      <dgm:prSet presAssocID="{FD912BBF-7795-4C41-B5AB-3EDAE990B562}" presName="child2Text" presStyleLbl="bgAcc1" presStyleIdx="1" presStyleCnt="4">
        <dgm:presLayoutVars>
          <dgm:bulletEnabled val="1"/>
        </dgm:presLayoutVars>
      </dgm:prSet>
      <dgm:spPr/>
    </dgm:pt>
    <dgm:pt modelId="{54EAE5EA-2BFB-9042-B7E3-19EA31C5BD83}" type="pres">
      <dgm:prSet presAssocID="{FD912BBF-7795-4C41-B5AB-3EDAE990B562}" presName="child3group" presStyleCnt="0"/>
      <dgm:spPr/>
    </dgm:pt>
    <dgm:pt modelId="{82625D73-6112-3649-BEF1-3458B158B7AF}" type="pres">
      <dgm:prSet presAssocID="{FD912BBF-7795-4C41-B5AB-3EDAE990B562}" presName="child3" presStyleLbl="bgAcc1" presStyleIdx="2" presStyleCnt="4" custScaleX="139109"/>
      <dgm:spPr/>
    </dgm:pt>
    <dgm:pt modelId="{80E24C23-51DC-A34A-A54D-3FB3D21E92F4}" type="pres">
      <dgm:prSet presAssocID="{FD912BBF-7795-4C41-B5AB-3EDAE990B562}" presName="child3Text" presStyleLbl="bgAcc1" presStyleIdx="2" presStyleCnt="4">
        <dgm:presLayoutVars>
          <dgm:bulletEnabled val="1"/>
        </dgm:presLayoutVars>
      </dgm:prSet>
      <dgm:spPr/>
    </dgm:pt>
    <dgm:pt modelId="{A33A1498-1531-2E4D-87EB-7C7367981B75}" type="pres">
      <dgm:prSet presAssocID="{FD912BBF-7795-4C41-B5AB-3EDAE990B562}" presName="child4group" presStyleCnt="0"/>
      <dgm:spPr/>
    </dgm:pt>
    <dgm:pt modelId="{775A49C5-AC31-2C42-8FCE-21DC978F747F}" type="pres">
      <dgm:prSet presAssocID="{FD912BBF-7795-4C41-B5AB-3EDAE990B562}" presName="child4" presStyleLbl="bgAcc1" presStyleIdx="3" presStyleCnt="4" custScaleX="139109"/>
      <dgm:spPr/>
    </dgm:pt>
    <dgm:pt modelId="{FBD161A6-9774-7E47-B7EC-24FBCF0506B4}" type="pres">
      <dgm:prSet presAssocID="{FD912BBF-7795-4C41-B5AB-3EDAE990B562}" presName="child4Text" presStyleLbl="bgAcc1" presStyleIdx="3" presStyleCnt="4">
        <dgm:presLayoutVars>
          <dgm:bulletEnabled val="1"/>
        </dgm:presLayoutVars>
      </dgm:prSet>
      <dgm:spPr/>
    </dgm:pt>
    <dgm:pt modelId="{ADF9E139-2597-7841-A684-2AF978427CB4}" type="pres">
      <dgm:prSet presAssocID="{FD912BBF-7795-4C41-B5AB-3EDAE990B562}" presName="childPlaceholder" presStyleCnt="0"/>
      <dgm:spPr/>
    </dgm:pt>
    <dgm:pt modelId="{A124C993-37AC-3945-9FB0-12C424E8F908}" type="pres">
      <dgm:prSet presAssocID="{FD912BBF-7795-4C41-B5AB-3EDAE990B562}" presName="circle" presStyleCnt="0"/>
      <dgm:spPr/>
    </dgm:pt>
    <dgm:pt modelId="{6CE98445-5D2A-C14E-A33A-866B1F120915}" type="pres">
      <dgm:prSet presAssocID="{FD912BBF-7795-4C41-B5AB-3EDAE990B562}" presName="quadrant1" presStyleLbl="node1" presStyleIdx="0" presStyleCnt="4">
        <dgm:presLayoutVars>
          <dgm:chMax val="1"/>
          <dgm:bulletEnabled val="1"/>
        </dgm:presLayoutVars>
      </dgm:prSet>
      <dgm:spPr/>
    </dgm:pt>
    <dgm:pt modelId="{E99C2354-BA88-9945-9344-BBDECE723E32}" type="pres">
      <dgm:prSet presAssocID="{FD912BBF-7795-4C41-B5AB-3EDAE990B562}" presName="quadrant2" presStyleLbl="node1" presStyleIdx="1" presStyleCnt="4">
        <dgm:presLayoutVars>
          <dgm:chMax val="1"/>
          <dgm:bulletEnabled val="1"/>
        </dgm:presLayoutVars>
      </dgm:prSet>
      <dgm:spPr/>
    </dgm:pt>
    <dgm:pt modelId="{98AE36EB-4D3A-8F43-B7FD-AA21BF5E984B}" type="pres">
      <dgm:prSet presAssocID="{FD912BBF-7795-4C41-B5AB-3EDAE990B562}" presName="quadrant3" presStyleLbl="node1" presStyleIdx="2" presStyleCnt="4">
        <dgm:presLayoutVars>
          <dgm:chMax val="1"/>
          <dgm:bulletEnabled val="1"/>
        </dgm:presLayoutVars>
      </dgm:prSet>
      <dgm:spPr/>
    </dgm:pt>
    <dgm:pt modelId="{2D6756D3-4425-8A43-972D-A337D7A5F452}" type="pres">
      <dgm:prSet presAssocID="{FD912BBF-7795-4C41-B5AB-3EDAE990B562}" presName="quadrant4" presStyleLbl="node1" presStyleIdx="3" presStyleCnt="4">
        <dgm:presLayoutVars>
          <dgm:chMax val="1"/>
          <dgm:bulletEnabled val="1"/>
        </dgm:presLayoutVars>
      </dgm:prSet>
      <dgm:spPr/>
    </dgm:pt>
    <dgm:pt modelId="{4DD36F04-C2C4-804A-B442-110559A2574F}" type="pres">
      <dgm:prSet presAssocID="{FD912BBF-7795-4C41-B5AB-3EDAE990B562}" presName="quadrantPlaceholder" presStyleCnt="0"/>
      <dgm:spPr/>
    </dgm:pt>
    <dgm:pt modelId="{A76BAEAD-DA80-C846-BB1E-22265F5F5F1E}" type="pres">
      <dgm:prSet presAssocID="{FD912BBF-7795-4C41-B5AB-3EDAE990B562}" presName="center1" presStyleLbl="fgShp" presStyleIdx="0" presStyleCnt="2"/>
      <dgm:spPr/>
    </dgm:pt>
    <dgm:pt modelId="{4C2B37AB-B720-7E41-A93E-4522D00A2E1B}" type="pres">
      <dgm:prSet presAssocID="{FD912BBF-7795-4C41-B5AB-3EDAE990B562}" presName="center2" presStyleLbl="fgShp" presStyleIdx="1" presStyleCnt="2"/>
      <dgm:spPr/>
    </dgm:pt>
  </dgm:ptLst>
  <dgm:cxnLst>
    <dgm:cxn modelId="{23E37E01-AF6B-4640-8B10-9103F274A24A}" type="presOf" srcId="{2196177A-7084-2949-AE59-AFF2A4078DC5}" destId="{775A49C5-AC31-2C42-8FCE-21DC978F747F}" srcOrd="0" destOrd="0" presId="urn:microsoft.com/office/officeart/2005/8/layout/cycle4"/>
    <dgm:cxn modelId="{0BE8070A-1748-4C45-8A63-8ABFBEEFD1CB}" srcId="{FD912BBF-7795-4C41-B5AB-3EDAE990B562}" destId="{D2B8F28D-DC83-8E4D-B4CC-416325709FF6}" srcOrd="3" destOrd="0" parTransId="{6A62DACF-3497-DD44-B7D1-8BFC39BD630A}" sibTransId="{5B9210AA-FE0F-C344-B34F-D9E3378489B0}"/>
    <dgm:cxn modelId="{51C5DA10-51E1-4DCE-B024-9865679BDB5A}" type="presOf" srcId="{84CBB5E3-8708-1A44-9EC8-AAE65A01C34F}" destId="{A38822B9-620D-A045-BA91-AF4862BD5546}" srcOrd="0" destOrd="2" presId="urn:microsoft.com/office/officeart/2005/8/layout/cycle4"/>
    <dgm:cxn modelId="{EA31C819-A85A-436B-A1FC-3BD140C64FB1}" type="presOf" srcId="{E7B89BEE-20EF-6F4A-BCE1-1FF605E6B421}" destId="{5B2140EC-5B15-694F-A0C2-38D4404ECD81}" srcOrd="0" destOrd="1" presId="urn:microsoft.com/office/officeart/2005/8/layout/cycle4"/>
    <dgm:cxn modelId="{74A9BF36-29B9-4D82-984C-89EE9373F03A}" type="presOf" srcId="{491A0EA6-8F1E-3E4E-A4A4-FA6A83848F41}" destId="{7ADDDE17-5DF8-D940-B237-7D90B99A8C7A}" srcOrd="1" destOrd="5" presId="urn:microsoft.com/office/officeart/2005/8/layout/cycle4"/>
    <dgm:cxn modelId="{B297DD3A-17E6-A942-A709-5FC72B81220C}" srcId="{BA05336A-6D51-8746-8B91-F4E2747481AE}" destId="{84CBB5E3-8708-1A44-9EC8-AAE65A01C34F}" srcOrd="2" destOrd="0" parTransId="{438E1DDE-73E4-AA4E-82DA-8D13F6C16328}" sibTransId="{E4844F96-C954-E84A-9CE0-91359F20FC85}"/>
    <dgm:cxn modelId="{069C2F3B-89EB-4CDE-989B-8D474E5B0E09}" type="presOf" srcId="{BA19422B-8107-6243-B231-4D60042664A2}" destId="{26E1F6C4-3C3C-7647-B16B-2F9F7FD9F16E}" srcOrd="1" destOrd="2" presId="urn:microsoft.com/office/officeart/2005/8/layout/cycle4"/>
    <dgm:cxn modelId="{3191333B-46DE-AA4D-87C9-65C72BEE6445}" srcId="{F1BE35FF-8CF6-2F44-923A-6DA91FBAFF08}" destId="{DD28CF32-60F1-7349-89E7-BF291D7B3095}" srcOrd="0" destOrd="0" parTransId="{E333A324-447E-0C4D-BA8E-BDA53C528160}" sibTransId="{0A74295E-AABC-5641-888B-AB5D4776B4C2}"/>
    <dgm:cxn modelId="{0ED95C42-CC3F-4224-96E1-6E65326C6C4E}" type="presOf" srcId="{50B8A526-7685-4846-BA08-B8E81E1F6641}" destId="{6CE98445-5D2A-C14E-A33A-866B1F120915}" srcOrd="0" destOrd="0" presId="urn:microsoft.com/office/officeart/2005/8/layout/cycle4"/>
    <dgm:cxn modelId="{5D283547-1404-4AF7-AFD8-AB946759302E}" type="presOf" srcId="{B2F43AD9-DED4-0F4F-950C-579E3EE15BE5}" destId="{775A49C5-AC31-2C42-8FCE-21DC978F747F}" srcOrd="0" destOrd="1" presId="urn:microsoft.com/office/officeart/2005/8/layout/cycle4"/>
    <dgm:cxn modelId="{5AC85049-56A1-DE44-8941-7486E6DB102F}" srcId="{BA05336A-6D51-8746-8B91-F4E2747481AE}" destId="{7ACF0159-5975-2749-A9D6-DE30913631B0}" srcOrd="1" destOrd="0" parTransId="{0CAC67EA-41A1-AD43-9A25-9AC74299F90C}" sibTransId="{42F4E041-1588-4441-9577-D0ECCE0AB8A0}"/>
    <dgm:cxn modelId="{B77BA957-2EDB-4FDA-83F4-AA4B90729B2C}" type="presOf" srcId="{84CBB5E3-8708-1A44-9EC8-AAE65A01C34F}" destId="{7ADDDE17-5DF8-D940-B237-7D90B99A8C7A}" srcOrd="1" destOrd="2" presId="urn:microsoft.com/office/officeart/2005/8/layout/cycle4"/>
    <dgm:cxn modelId="{84F2415B-B1DF-4AAC-A5AA-65D73AA6DDF2}" type="presOf" srcId="{E7B89BEE-20EF-6F4A-BCE1-1FF605E6B421}" destId="{26E1F6C4-3C3C-7647-B16B-2F9F7FD9F16E}" srcOrd="1" destOrd="1" presId="urn:microsoft.com/office/officeart/2005/8/layout/cycle4"/>
    <dgm:cxn modelId="{DD89825C-1DB2-2D4F-9F03-425B0FEF3E3C}" srcId="{FD912BBF-7795-4C41-B5AB-3EDAE990B562}" destId="{BA05336A-6D51-8746-8B91-F4E2747481AE}" srcOrd="1" destOrd="0" parTransId="{CDBAC14F-E5A8-424A-80F5-B2C35DE09F9F}" sibTransId="{D111F2FC-F34B-7946-A921-D527C33D3240}"/>
    <dgm:cxn modelId="{BFC8B366-E674-1948-901E-AA0CDDE0F4C5}" srcId="{50B8A526-7685-4846-BA08-B8E81E1F6641}" destId="{5B913D98-0F43-CD40-9398-88E8D588F2C7}" srcOrd="0" destOrd="0" parTransId="{4AC89832-233A-0A4F-ADB6-F5DCA1683EB8}" sibTransId="{7C3236E3-E832-3746-AEA1-06780B9917BA}"/>
    <dgm:cxn modelId="{8FBDFF6C-F7AA-894A-87C2-E0799AD0D92E}" srcId="{D2B8F28D-DC83-8E4D-B4CC-416325709FF6}" destId="{B2F43AD9-DED4-0F4F-950C-579E3EE15BE5}" srcOrd="1" destOrd="0" parTransId="{E2F33B84-6025-8044-88AE-ECBFE50591ED}" sibTransId="{64F315E4-E17A-234F-AC88-78AE0804244E}"/>
    <dgm:cxn modelId="{99A02D6F-8440-47F0-95CB-B54A08ECCDF3}" type="presOf" srcId="{1F9AC390-D085-4C55-BABB-6658E288E09F}" destId="{A38822B9-620D-A045-BA91-AF4862BD5546}" srcOrd="0" destOrd="3" presId="urn:microsoft.com/office/officeart/2005/8/layout/cycle4"/>
    <dgm:cxn modelId="{D12A566F-05AD-424B-B272-6A326D7899D0}" type="presOf" srcId="{BA19422B-8107-6243-B231-4D60042664A2}" destId="{5B2140EC-5B15-694F-A0C2-38D4404ECD81}" srcOrd="0" destOrd="2" presId="urn:microsoft.com/office/officeart/2005/8/layout/cycle4"/>
    <dgm:cxn modelId="{4D958F70-16B6-144C-9026-33C117430D84}" srcId="{D2B8F28D-DC83-8E4D-B4CC-416325709FF6}" destId="{51BB252E-3E89-6248-8E66-CBB9C7C9A834}" srcOrd="3" destOrd="0" parTransId="{D5790A6A-E15D-7044-8FBB-156F667341F9}" sibTransId="{FF4E8405-D953-D94C-AD7F-99D054542799}"/>
    <dgm:cxn modelId="{FED9DC70-065F-1948-97F4-BAC7AFFF7CC2}" srcId="{BA05336A-6D51-8746-8B91-F4E2747481AE}" destId="{491A0EA6-8F1E-3E4E-A4A4-FA6A83848F41}" srcOrd="5" destOrd="0" parTransId="{F0073C4A-49CD-CD46-9432-13E10DEBCFBA}" sibTransId="{5D44BA18-6D38-C545-AD50-DDDC270F156F}"/>
    <dgm:cxn modelId="{7A954D77-A6B9-4955-804F-0EFA4D4A94BC}" type="presOf" srcId="{51BB252E-3E89-6248-8E66-CBB9C7C9A834}" destId="{775A49C5-AC31-2C42-8FCE-21DC978F747F}" srcOrd="0" destOrd="3" presId="urn:microsoft.com/office/officeart/2005/8/layout/cycle4"/>
    <dgm:cxn modelId="{121DD77B-3C0E-45EF-A3E4-C3E74C7070B6}" type="presOf" srcId="{1F9AC390-D085-4C55-BABB-6658E288E09F}" destId="{7ADDDE17-5DF8-D940-B237-7D90B99A8C7A}" srcOrd="1" destOrd="3" presId="urn:microsoft.com/office/officeart/2005/8/layout/cycle4"/>
    <dgm:cxn modelId="{E124227D-3D9A-44F0-8F6C-AD0079512B86}" type="presOf" srcId="{34F049DD-B6E3-2541-B0B8-61C4167ECB41}" destId="{FBD161A6-9774-7E47-B7EC-24FBCF0506B4}" srcOrd="1" destOrd="2" presId="urn:microsoft.com/office/officeart/2005/8/layout/cycle4"/>
    <dgm:cxn modelId="{87ED537D-2D25-DD4D-9EEC-DC7B21741822}" srcId="{D2B8F28D-DC83-8E4D-B4CC-416325709FF6}" destId="{2196177A-7084-2949-AE59-AFF2A4078DC5}" srcOrd="0" destOrd="0" parTransId="{49EF63BB-A7BC-FC43-9422-DF90719563B1}" sibTransId="{416685C5-D13C-084E-A361-2B9BBF24D971}"/>
    <dgm:cxn modelId="{6B3C8D82-A31B-4F36-8E38-D4B467F4DFE6}" type="presOf" srcId="{BA05336A-6D51-8746-8B91-F4E2747481AE}" destId="{E99C2354-BA88-9945-9344-BBDECE723E32}" srcOrd="0" destOrd="0" presId="urn:microsoft.com/office/officeart/2005/8/layout/cycle4"/>
    <dgm:cxn modelId="{54299992-3EDC-4171-B561-9C5BA0B53433}" type="presOf" srcId="{DD28CF32-60F1-7349-89E7-BF291D7B3095}" destId="{82625D73-6112-3649-BEF1-3458B158B7AF}" srcOrd="0" destOrd="0" presId="urn:microsoft.com/office/officeart/2005/8/layout/cycle4"/>
    <dgm:cxn modelId="{82889596-2563-4FCB-B285-900042C99199}" type="presOf" srcId="{FCA42458-5C8A-4FED-976B-2BC8E06B0763}" destId="{A38822B9-620D-A045-BA91-AF4862BD5546}" srcOrd="0" destOrd="4" presId="urn:microsoft.com/office/officeart/2005/8/layout/cycle4"/>
    <dgm:cxn modelId="{0F97C596-870E-2041-9D01-B4B87992D894}" srcId="{D2B8F28D-DC83-8E4D-B4CC-416325709FF6}" destId="{34F049DD-B6E3-2541-B0B8-61C4167ECB41}" srcOrd="2" destOrd="0" parTransId="{4A9916F3-27DD-0942-8DEE-8A3925892B46}" sibTransId="{B7B212EB-1ABA-724E-9595-545D98EF3EFD}"/>
    <dgm:cxn modelId="{8CC71497-10DF-4C43-B3FC-ECD016C79E1C}" srcId="{F1BE35FF-8CF6-2F44-923A-6DA91FBAFF08}" destId="{C7EC64B5-C014-6C4A-BBDD-775B1CD5EE31}" srcOrd="1" destOrd="0" parTransId="{8CB15D36-FB04-CB46-86CB-6A4F45738AA5}" sibTransId="{66107D08-93DA-084F-A40A-1808EF1CA1DD}"/>
    <dgm:cxn modelId="{EA4E6298-00E9-4B7D-82AB-CACC86C4FFB6}" type="presOf" srcId="{7ACF0159-5975-2749-A9D6-DE30913631B0}" destId="{A38822B9-620D-A045-BA91-AF4862BD5546}" srcOrd="0" destOrd="1" presId="urn:microsoft.com/office/officeart/2005/8/layout/cycle4"/>
    <dgm:cxn modelId="{62C2F5A2-887D-F64B-8C1C-4036D27C24B8}" type="presOf" srcId="{2196177A-7084-2949-AE59-AFF2A4078DC5}" destId="{FBD161A6-9774-7E47-B7EC-24FBCF0506B4}" srcOrd="1" destOrd="0" presId="urn:microsoft.com/office/officeart/2005/8/layout/cycle4"/>
    <dgm:cxn modelId="{102BCEA5-17C0-8E4F-8331-9C09DF68573B}" srcId="{50B8A526-7685-4846-BA08-B8E81E1F6641}" destId="{E7B89BEE-20EF-6F4A-BCE1-1FF605E6B421}" srcOrd="1" destOrd="0" parTransId="{6DF0B469-CC32-114D-B7F1-CE66C9478618}" sibTransId="{A7DD19C3-E4A8-934F-993A-9C573E44E0C5}"/>
    <dgm:cxn modelId="{CB8921A6-1496-454B-A327-6F88C26451A5}" type="presOf" srcId="{26332913-9F84-624F-86B6-E902EF43DF04}" destId="{7ADDDE17-5DF8-D940-B237-7D90B99A8C7A}" srcOrd="1" destOrd="0" presId="urn:microsoft.com/office/officeart/2005/8/layout/cycle4"/>
    <dgm:cxn modelId="{DC5017A8-D7AB-44BA-9EE1-0C0618FF8206}" type="presOf" srcId="{7ACF0159-5975-2749-A9D6-DE30913631B0}" destId="{7ADDDE17-5DF8-D940-B237-7D90B99A8C7A}" srcOrd="1" destOrd="1" presId="urn:microsoft.com/office/officeart/2005/8/layout/cycle4"/>
    <dgm:cxn modelId="{997E06AB-5D02-C346-B563-A6146DDAFFC5}" srcId="{50B8A526-7685-4846-BA08-B8E81E1F6641}" destId="{BA19422B-8107-6243-B231-4D60042664A2}" srcOrd="2" destOrd="0" parTransId="{3C8C79AA-7B0A-8C43-AF05-64FFEAD202A0}" sibTransId="{3F252C5F-179B-D34B-9704-5FA3F55CD34A}"/>
    <dgm:cxn modelId="{246D84B4-394D-4F61-87FC-36C045A7DF40}" type="presOf" srcId="{C7EC64B5-C014-6C4A-BBDD-775B1CD5EE31}" destId="{82625D73-6112-3649-BEF1-3458B158B7AF}" srcOrd="0" destOrd="1" presId="urn:microsoft.com/office/officeart/2005/8/layout/cycle4"/>
    <dgm:cxn modelId="{3A3791B5-BCA0-4F26-A21C-087DDE735302}" type="presOf" srcId="{C7EC64B5-C014-6C4A-BBDD-775B1CD5EE31}" destId="{80E24C23-51DC-A34A-A54D-3FB3D21E92F4}" srcOrd="1" destOrd="1" presId="urn:microsoft.com/office/officeart/2005/8/layout/cycle4"/>
    <dgm:cxn modelId="{E869E3B9-EDA8-4DDA-AEE6-EBF43B5727BF}" srcId="{BA05336A-6D51-8746-8B91-F4E2747481AE}" destId="{1F9AC390-D085-4C55-BABB-6658E288E09F}" srcOrd="3" destOrd="0" parTransId="{08004617-3CF2-4342-876B-2C1AAC80684D}" sibTransId="{87FA4002-FC6C-4EFD-A05E-F18956737342}"/>
    <dgm:cxn modelId="{5B9332BB-A552-EA4D-BF99-2B1F31B5551E}" type="presOf" srcId="{5B913D98-0F43-CD40-9398-88E8D588F2C7}" destId="{5B2140EC-5B15-694F-A0C2-38D4404ECD81}" srcOrd="0" destOrd="0" presId="urn:microsoft.com/office/officeart/2005/8/layout/cycle4"/>
    <dgm:cxn modelId="{AFBB2EBE-62EF-40BD-B0BF-A2F9863B7236}" srcId="{BA05336A-6D51-8746-8B91-F4E2747481AE}" destId="{FCA42458-5C8A-4FED-976B-2BC8E06B0763}" srcOrd="4" destOrd="0" parTransId="{01A17047-41E5-4B64-8BE5-86ED4B5A794A}" sibTransId="{FB5CC084-1678-43B7-A4E3-0EEC132AE8D3}"/>
    <dgm:cxn modelId="{AB0A58C8-296F-4910-81C8-6BFAB426D1EF}" type="presOf" srcId="{34F049DD-B6E3-2541-B0B8-61C4167ECB41}" destId="{775A49C5-AC31-2C42-8FCE-21DC978F747F}" srcOrd="0" destOrd="2" presId="urn:microsoft.com/office/officeart/2005/8/layout/cycle4"/>
    <dgm:cxn modelId="{3C912CCB-56C0-45B5-88A7-CDC1EB1CBBFE}" type="presOf" srcId="{26332913-9F84-624F-86B6-E902EF43DF04}" destId="{A38822B9-620D-A045-BA91-AF4862BD5546}" srcOrd="0" destOrd="0" presId="urn:microsoft.com/office/officeart/2005/8/layout/cycle4"/>
    <dgm:cxn modelId="{1599B4CB-DB6C-436C-BFF8-88D834FE9F81}" type="presOf" srcId="{B2F43AD9-DED4-0F4F-950C-579E3EE15BE5}" destId="{FBD161A6-9774-7E47-B7EC-24FBCF0506B4}" srcOrd="1" destOrd="1" presId="urn:microsoft.com/office/officeart/2005/8/layout/cycle4"/>
    <dgm:cxn modelId="{0CBF60CD-ABA1-2F49-861D-321E37A85DEB}" type="presOf" srcId="{5B913D98-0F43-CD40-9398-88E8D588F2C7}" destId="{26E1F6C4-3C3C-7647-B16B-2F9F7FD9F16E}" srcOrd="1" destOrd="0" presId="urn:microsoft.com/office/officeart/2005/8/layout/cycle4"/>
    <dgm:cxn modelId="{1D65D8D3-44AF-40EE-9C12-59B9E40A1FDB}" type="presOf" srcId="{DD28CF32-60F1-7349-89E7-BF291D7B3095}" destId="{80E24C23-51DC-A34A-A54D-3FB3D21E92F4}" srcOrd="1" destOrd="0" presId="urn:microsoft.com/office/officeart/2005/8/layout/cycle4"/>
    <dgm:cxn modelId="{F1738EDE-B22E-8A4F-AA4E-C9C1FAF0AEB7}" srcId="{BA05336A-6D51-8746-8B91-F4E2747481AE}" destId="{26332913-9F84-624F-86B6-E902EF43DF04}" srcOrd="0" destOrd="0" parTransId="{FE3E47A6-7302-074A-A4B1-4CAB8658C498}" sibTransId="{792D81C9-1BE3-254B-9E81-5E59630687CB}"/>
    <dgm:cxn modelId="{FA649DE5-4E51-4251-BD62-D93FE51EB9D8}" type="presOf" srcId="{D2B8F28D-DC83-8E4D-B4CC-416325709FF6}" destId="{2D6756D3-4425-8A43-972D-A337D7A5F452}" srcOrd="0" destOrd="0" presId="urn:microsoft.com/office/officeart/2005/8/layout/cycle4"/>
    <dgm:cxn modelId="{1D03E5EA-A490-46B3-8D55-53EDA5D0B172}" type="presOf" srcId="{FCA42458-5C8A-4FED-976B-2BC8E06B0763}" destId="{7ADDDE17-5DF8-D940-B237-7D90B99A8C7A}" srcOrd="1" destOrd="4" presId="urn:microsoft.com/office/officeart/2005/8/layout/cycle4"/>
    <dgm:cxn modelId="{81202CEC-98B0-401D-BD03-2F3F58CB4A19}" type="presOf" srcId="{491A0EA6-8F1E-3E4E-A4A4-FA6A83848F41}" destId="{A38822B9-620D-A045-BA91-AF4862BD5546}" srcOrd="0" destOrd="5" presId="urn:microsoft.com/office/officeart/2005/8/layout/cycle4"/>
    <dgm:cxn modelId="{C30A65EF-647E-4F41-956C-74722C1D97FC}" srcId="{FD912BBF-7795-4C41-B5AB-3EDAE990B562}" destId="{50B8A526-7685-4846-BA08-B8E81E1F6641}" srcOrd="0" destOrd="0" parTransId="{377EB7BA-96AC-7043-A571-92077681D0EC}" sibTransId="{9F96BD66-31F4-F149-8975-0C8302C1D318}"/>
    <dgm:cxn modelId="{6425CBEF-247C-4322-B87F-33AA903BE37E}" type="presOf" srcId="{FD912BBF-7795-4C41-B5AB-3EDAE990B562}" destId="{47E7F700-9BAB-E941-9BAE-2C8B8373CBE4}" srcOrd="0" destOrd="0" presId="urn:microsoft.com/office/officeart/2005/8/layout/cycle4"/>
    <dgm:cxn modelId="{E7EF90F1-463C-48D5-9A6D-13AEDD0B6326}" type="presOf" srcId="{F1BE35FF-8CF6-2F44-923A-6DA91FBAFF08}" destId="{98AE36EB-4D3A-8F43-B7FD-AA21BF5E984B}" srcOrd="0" destOrd="0" presId="urn:microsoft.com/office/officeart/2005/8/layout/cycle4"/>
    <dgm:cxn modelId="{5E8BF6F3-E9E1-4F2E-871E-4996E6B6BBDA}" type="presOf" srcId="{51BB252E-3E89-6248-8E66-CBB9C7C9A834}" destId="{FBD161A6-9774-7E47-B7EC-24FBCF0506B4}" srcOrd="1" destOrd="3" presId="urn:microsoft.com/office/officeart/2005/8/layout/cycle4"/>
    <dgm:cxn modelId="{A67FBFFF-C2AE-5948-A477-3B847920A416}" srcId="{FD912BBF-7795-4C41-B5AB-3EDAE990B562}" destId="{F1BE35FF-8CF6-2F44-923A-6DA91FBAFF08}" srcOrd="2" destOrd="0" parTransId="{1381529B-4541-2F4C-B5A3-AAB8D07548F2}" sibTransId="{FA100897-6F33-514A-9100-76E9FF2273B4}"/>
    <dgm:cxn modelId="{15C17FCC-EFE8-4692-BAC3-3BB77FA42A42}" type="presParOf" srcId="{47E7F700-9BAB-E941-9BAE-2C8B8373CBE4}" destId="{54A1BB17-B7E7-734A-B45F-72CA99FA395A}" srcOrd="0" destOrd="0" presId="urn:microsoft.com/office/officeart/2005/8/layout/cycle4"/>
    <dgm:cxn modelId="{F0E97A74-4C4F-4CB6-B883-D6E51A76D5A1}" type="presParOf" srcId="{54A1BB17-B7E7-734A-B45F-72CA99FA395A}" destId="{0A113C58-3D3E-EB43-93E5-F05A4D86860D}" srcOrd="0" destOrd="0" presId="urn:microsoft.com/office/officeart/2005/8/layout/cycle4"/>
    <dgm:cxn modelId="{23C68999-2530-4401-8046-70C6AA9315EA}" type="presParOf" srcId="{0A113C58-3D3E-EB43-93E5-F05A4D86860D}" destId="{5B2140EC-5B15-694F-A0C2-38D4404ECD81}" srcOrd="0" destOrd="0" presId="urn:microsoft.com/office/officeart/2005/8/layout/cycle4"/>
    <dgm:cxn modelId="{66BEA23C-E2DA-4CC1-A7C3-60B4F8514191}" type="presParOf" srcId="{0A113C58-3D3E-EB43-93E5-F05A4D86860D}" destId="{26E1F6C4-3C3C-7647-B16B-2F9F7FD9F16E}" srcOrd="1" destOrd="0" presId="urn:microsoft.com/office/officeart/2005/8/layout/cycle4"/>
    <dgm:cxn modelId="{4320C8C7-9501-4860-8F7F-7AC42886944D}" type="presParOf" srcId="{54A1BB17-B7E7-734A-B45F-72CA99FA395A}" destId="{9E94D24B-55A3-D246-9E61-B72F0EAFA28D}" srcOrd="1" destOrd="0" presId="urn:microsoft.com/office/officeart/2005/8/layout/cycle4"/>
    <dgm:cxn modelId="{940BC405-D0CD-440D-8C89-F46F6731EBAD}" type="presParOf" srcId="{9E94D24B-55A3-D246-9E61-B72F0EAFA28D}" destId="{A38822B9-620D-A045-BA91-AF4862BD5546}" srcOrd="0" destOrd="0" presId="urn:microsoft.com/office/officeart/2005/8/layout/cycle4"/>
    <dgm:cxn modelId="{0FAF3126-A251-4E8A-B21D-1054FEB2C7A7}" type="presParOf" srcId="{9E94D24B-55A3-D246-9E61-B72F0EAFA28D}" destId="{7ADDDE17-5DF8-D940-B237-7D90B99A8C7A}" srcOrd="1" destOrd="0" presId="urn:microsoft.com/office/officeart/2005/8/layout/cycle4"/>
    <dgm:cxn modelId="{F88BE86A-60BE-4E7B-838C-C9C8AC670EEE}" type="presParOf" srcId="{54A1BB17-B7E7-734A-B45F-72CA99FA395A}" destId="{54EAE5EA-2BFB-9042-B7E3-19EA31C5BD83}" srcOrd="2" destOrd="0" presId="urn:microsoft.com/office/officeart/2005/8/layout/cycle4"/>
    <dgm:cxn modelId="{6499F949-8147-4614-BF7A-FF5A34A886E9}" type="presParOf" srcId="{54EAE5EA-2BFB-9042-B7E3-19EA31C5BD83}" destId="{82625D73-6112-3649-BEF1-3458B158B7AF}" srcOrd="0" destOrd="0" presId="urn:microsoft.com/office/officeart/2005/8/layout/cycle4"/>
    <dgm:cxn modelId="{6CB5F71F-80FB-4C6F-9A10-122A4F6AB22F}" type="presParOf" srcId="{54EAE5EA-2BFB-9042-B7E3-19EA31C5BD83}" destId="{80E24C23-51DC-A34A-A54D-3FB3D21E92F4}" srcOrd="1" destOrd="0" presId="urn:microsoft.com/office/officeart/2005/8/layout/cycle4"/>
    <dgm:cxn modelId="{01E237AD-9B32-466D-82C5-F272BE3E1814}" type="presParOf" srcId="{54A1BB17-B7E7-734A-B45F-72CA99FA395A}" destId="{A33A1498-1531-2E4D-87EB-7C7367981B75}" srcOrd="3" destOrd="0" presId="urn:microsoft.com/office/officeart/2005/8/layout/cycle4"/>
    <dgm:cxn modelId="{9248AC13-9299-43B3-AF50-5299A2606DA6}" type="presParOf" srcId="{A33A1498-1531-2E4D-87EB-7C7367981B75}" destId="{775A49C5-AC31-2C42-8FCE-21DC978F747F}" srcOrd="0" destOrd="0" presId="urn:microsoft.com/office/officeart/2005/8/layout/cycle4"/>
    <dgm:cxn modelId="{92B21D82-BCE1-4FE3-B1EB-E0B97DBE0823}" type="presParOf" srcId="{A33A1498-1531-2E4D-87EB-7C7367981B75}" destId="{FBD161A6-9774-7E47-B7EC-24FBCF0506B4}" srcOrd="1" destOrd="0" presId="urn:microsoft.com/office/officeart/2005/8/layout/cycle4"/>
    <dgm:cxn modelId="{F49D9794-C05D-4EDF-A345-DA6CA45C7A62}" type="presParOf" srcId="{54A1BB17-B7E7-734A-B45F-72CA99FA395A}" destId="{ADF9E139-2597-7841-A684-2AF978427CB4}" srcOrd="4" destOrd="0" presId="urn:microsoft.com/office/officeart/2005/8/layout/cycle4"/>
    <dgm:cxn modelId="{4D5DC4D1-A82A-4B4F-8816-3C7607D6C6F0}" type="presParOf" srcId="{47E7F700-9BAB-E941-9BAE-2C8B8373CBE4}" destId="{A124C993-37AC-3945-9FB0-12C424E8F908}" srcOrd="1" destOrd="0" presId="urn:microsoft.com/office/officeart/2005/8/layout/cycle4"/>
    <dgm:cxn modelId="{4BD4DADA-7736-4D8A-B001-8AD32582D557}" type="presParOf" srcId="{A124C993-37AC-3945-9FB0-12C424E8F908}" destId="{6CE98445-5D2A-C14E-A33A-866B1F120915}" srcOrd="0" destOrd="0" presId="urn:microsoft.com/office/officeart/2005/8/layout/cycle4"/>
    <dgm:cxn modelId="{A8D33A77-4AC3-409C-A7A7-79FC1FBEAC5F}" type="presParOf" srcId="{A124C993-37AC-3945-9FB0-12C424E8F908}" destId="{E99C2354-BA88-9945-9344-BBDECE723E32}" srcOrd="1" destOrd="0" presId="urn:microsoft.com/office/officeart/2005/8/layout/cycle4"/>
    <dgm:cxn modelId="{EEF2B29A-8A71-4090-A74D-215530368604}" type="presParOf" srcId="{A124C993-37AC-3945-9FB0-12C424E8F908}" destId="{98AE36EB-4D3A-8F43-B7FD-AA21BF5E984B}" srcOrd="2" destOrd="0" presId="urn:microsoft.com/office/officeart/2005/8/layout/cycle4"/>
    <dgm:cxn modelId="{5F75C1A2-D4A3-4E64-92BD-D8CF40E1B4B1}" type="presParOf" srcId="{A124C993-37AC-3945-9FB0-12C424E8F908}" destId="{2D6756D3-4425-8A43-972D-A337D7A5F452}" srcOrd="3" destOrd="0" presId="urn:microsoft.com/office/officeart/2005/8/layout/cycle4"/>
    <dgm:cxn modelId="{5B36A160-85A9-4401-9F2A-4081512C1007}" type="presParOf" srcId="{A124C993-37AC-3945-9FB0-12C424E8F908}" destId="{4DD36F04-C2C4-804A-B442-110559A2574F}" srcOrd="4" destOrd="0" presId="urn:microsoft.com/office/officeart/2005/8/layout/cycle4"/>
    <dgm:cxn modelId="{C734C051-D0AA-4CAA-AF18-6ABC195A3EB2}" type="presParOf" srcId="{47E7F700-9BAB-E941-9BAE-2C8B8373CBE4}" destId="{A76BAEAD-DA80-C846-BB1E-22265F5F5F1E}" srcOrd="2" destOrd="0" presId="urn:microsoft.com/office/officeart/2005/8/layout/cycle4"/>
    <dgm:cxn modelId="{483DB61F-AA22-4DB3-B7EA-A984539535D2}" type="presParOf" srcId="{47E7F700-9BAB-E941-9BAE-2C8B8373CBE4}" destId="{4C2B37AB-B720-7E41-A93E-4522D00A2E1B}" srcOrd="3" destOrd="0" presId="urn:microsoft.com/office/officeart/2005/8/layout/cycle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625D73-6112-3649-BEF1-3458B158B7AF}">
      <dsp:nvSpPr>
        <dsp:cNvPr id="0" name=""/>
        <dsp:cNvSpPr/>
      </dsp:nvSpPr>
      <dsp:spPr>
        <a:xfrm>
          <a:off x="2666655" y="1904237"/>
          <a:ext cx="1924396" cy="89611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ctr" defTabSz="355600">
            <a:lnSpc>
              <a:spcPct val="90000"/>
            </a:lnSpc>
            <a:spcBef>
              <a:spcPct val="0"/>
            </a:spcBef>
            <a:spcAft>
              <a:spcPct val="15000"/>
            </a:spcAft>
            <a:buChar char="•"/>
          </a:pPr>
          <a:r>
            <a:rPr lang="es-ES" sz="800" kern="1200"/>
            <a:t>Multas</a:t>
          </a:r>
        </a:p>
        <a:p>
          <a:pPr marL="57150" lvl="1" indent="-57150" algn="ctr" defTabSz="355600">
            <a:lnSpc>
              <a:spcPct val="90000"/>
            </a:lnSpc>
            <a:spcBef>
              <a:spcPct val="0"/>
            </a:spcBef>
            <a:spcAft>
              <a:spcPct val="15000"/>
            </a:spcAft>
            <a:buChar char="•"/>
          </a:pPr>
          <a:r>
            <a:rPr lang="es-ES" sz="800" kern="1200"/>
            <a:t>Sanciones</a:t>
          </a:r>
        </a:p>
      </dsp:txBody>
      <dsp:txXfrm>
        <a:off x="3263659" y="2147950"/>
        <a:ext cx="1307707" cy="632714"/>
      </dsp:txXfrm>
    </dsp:sp>
    <dsp:sp modelId="{775A49C5-AC31-2C42-8FCE-21DC978F747F}">
      <dsp:nvSpPr>
        <dsp:cNvPr id="0" name=""/>
        <dsp:cNvSpPr/>
      </dsp:nvSpPr>
      <dsp:spPr>
        <a:xfrm>
          <a:off x="409573" y="1904237"/>
          <a:ext cx="1924396" cy="89611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ctr" defTabSz="355600">
            <a:lnSpc>
              <a:spcPct val="90000"/>
            </a:lnSpc>
            <a:spcBef>
              <a:spcPct val="0"/>
            </a:spcBef>
            <a:spcAft>
              <a:spcPct val="15000"/>
            </a:spcAft>
            <a:buChar char="•"/>
          </a:pPr>
          <a:endParaRPr lang="es-ES" sz="800" kern="1200"/>
        </a:p>
        <a:p>
          <a:pPr marL="57150" lvl="1" indent="-57150" algn="ctr" defTabSz="355600">
            <a:lnSpc>
              <a:spcPct val="90000"/>
            </a:lnSpc>
            <a:spcBef>
              <a:spcPct val="0"/>
            </a:spcBef>
            <a:spcAft>
              <a:spcPct val="15000"/>
            </a:spcAft>
            <a:buChar char="•"/>
          </a:pPr>
          <a:r>
            <a:rPr lang="es-ES" sz="800" kern="1200"/>
            <a:t>Elementos de Revisión</a:t>
          </a:r>
        </a:p>
        <a:p>
          <a:pPr marL="57150" lvl="1" indent="-57150" algn="ctr" defTabSz="355600">
            <a:lnSpc>
              <a:spcPct val="90000"/>
            </a:lnSpc>
            <a:spcBef>
              <a:spcPct val="0"/>
            </a:spcBef>
            <a:spcAft>
              <a:spcPct val="15000"/>
            </a:spcAft>
            <a:buChar char="•"/>
          </a:pPr>
          <a:r>
            <a:rPr lang="es-ES" sz="800" kern="1200"/>
            <a:t>Multas</a:t>
          </a:r>
        </a:p>
        <a:p>
          <a:pPr marL="57150" lvl="1" indent="-57150" algn="ctr" defTabSz="355600">
            <a:lnSpc>
              <a:spcPct val="90000"/>
            </a:lnSpc>
            <a:spcBef>
              <a:spcPct val="0"/>
            </a:spcBef>
            <a:spcAft>
              <a:spcPct val="15000"/>
            </a:spcAft>
            <a:buChar char="•"/>
          </a:pPr>
          <a:r>
            <a:rPr lang="es-ES" sz="800" kern="1200"/>
            <a:t>Impugnaciones</a:t>
          </a:r>
        </a:p>
      </dsp:txBody>
      <dsp:txXfrm>
        <a:off x="429258" y="2147950"/>
        <a:ext cx="1307707" cy="632714"/>
      </dsp:txXfrm>
    </dsp:sp>
    <dsp:sp modelId="{A38822B9-620D-A045-BA91-AF4862BD5546}">
      <dsp:nvSpPr>
        <dsp:cNvPr id="0" name=""/>
        <dsp:cNvSpPr/>
      </dsp:nvSpPr>
      <dsp:spPr>
        <a:xfrm>
          <a:off x="3047913" y="0"/>
          <a:ext cx="1924396" cy="89611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ctr" defTabSz="355600">
            <a:lnSpc>
              <a:spcPct val="90000"/>
            </a:lnSpc>
            <a:spcBef>
              <a:spcPct val="0"/>
            </a:spcBef>
            <a:spcAft>
              <a:spcPct val="15000"/>
            </a:spcAft>
            <a:buChar char="•"/>
          </a:pPr>
          <a:r>
            <a:rPr lang="es-ES" sz="800" kern="1200"/>
            <a:t>Constitución Política de los Estados Unidos Mexicanos</a:t>
          </a:r>
        </a:p>
        <a:p>
          <a:pPr marL="57150" lvl="1" indent="-57150" algn="ctr" defTabSz="355600">
            <a:lnSpc>
              <a:spcPct val="90000"/>
            </a:lnSpc>
            <a:spcBef>
              <a:spcPct val="0"/>
            </a:spcBef>
            <a:spcAft>
              <a:spcPct val="15000"/>
            </a:spcAft>
            <a:buChar char="•"/>
          </a:pPr>
          <a:r>
            <a:rPr lang="es-ES" sz="800" kern="1200"/>
            <a:t>LEGIPE</a:t>
          </a:r>
        </a:p>
        <a:p>
          <a:pPr marL="57150" lvl="1" indent="-57150" algn="ctr" defTabSz="355600">
            <a:lnSpc>
              <a:spcPct val="90000"/>
            </a:lnSpc>
            <a:spcBef>
              <a:spcPct val="0"/>
            </a:spcBef>
            <a:spcAft>
              <a:spcPct val="15000"/>
            </a:spcAft>
            <a:buChar char="•"/>
          </a:pPr>
          <a:r>
            <a:rPr lang="es-ES" sz="800" kern="1200"/>
            <a:t>LGPP</a:t>
          </a:r>
        </a:p>
        <a:p>
          <a:pPr marL="57150" lvl="1" indent="-57150" algn="ctr" defTabSz="355600">
            <a:lnSpc>
              <a:spcPct val="90000"/>
            </a:lnSpc>
            <a:spcBef>
              <a:spcPct val="0"/>
            </a:spcBef>
            <a:spcAft>
              <a:spcPct val="15000"/>
            </a:spcAft>
            <a:buChar char="•"/>
          </a:pPr>
          <a:r>
            <a:rPr lang="es-ES" sz="800" kern="1200"/>
            <a:t>Reglamento de Fiscalización</a:t>
          </a:r>
        </a:p>
        <a:p>
          <a:pPr marL="57150" lvl="1" indent="-57150" algn="ctr" defTabSz="355600">
            <a:lnSpc>
              <a:spcPct val="90000"/>
            </a:lnSpc>
            <a:spcBef>
              <a:spcPct val="0"/>
            </a:spcBef>
            <a:spcAft>
              <a:spcPct val="15000"/>
            </a:spcAft>
            <a:buChar char="•"/>
          </a:pPr>
          <a:endParaRPr lang="es-ES" sz="800" kern="1200"/>
        </a:p>
        <a:p>
          <a:pPr marL="57150" lvl="1" indent="-57150" algn="ctr" defTabSz="355600">
            <a:lnSpc>
              <a:spcPct val="90000"/>
            </a:lnSpc>
            <a:spcBef>
              <a:spcPct val="0"/>
            </a:spcBef>
            <a:spcAft>
              <a:spcPct val="15000"/>
            </a:spcAft>
            <a:buChar char="•"/>
          </a:pPr>
          <a:endParaRPr lang="es-ES" sz="800" kern="1200"/>
        </a:p>
      </dsp:txBody>
      <dsp:txXfrm>
        <a:off x="3644916" y="19685"/>
        <a:ext cx="1307707" cy="632714"/>
      </dsp:txXfrm>
    </dsp:sp>
    <dsp:sp modelId="{5B2140EC-5B15-694F-A0C2-38D4404ECD81}">
      <dsp:nvSpPr>
        <dsp:cNvPr id="0" name=""/>
        <dsp:cNvSpPr/>
      </dsp:nvSpPr>
      <dsp:spPr>
        <a:xfrm>
          <a:off x="409573" y="0"/>
          <a:ext cx="1924396" cy="89611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ctr" defTabSz="355600">
            <a:lnSpc>
              <a:spcPct val="90000"/>
            </a:lnSpc>
            <a:spcBef>
              <a:spcPct val="0"/>
            </a:spcBef>
            <a:spcAft>
              <a:spcPct val="15000"/>
            </a:spcAft>
            <a:buChar char="•"/>
          </a:pPr>
          <a:endParaRPr lang="es-ES" sz="800" kern="1200"/>
        </a:p>
        <a:p>
          <a:pPr marL="57150" lvl="1" indent="-57150" algn="ctr" defTabSz="355600">
            <a:lnSpc>
              <a:spcPct val="90000"/>
            </a:lnSpc>
            <a:spcBef>
              <a:spcPct val="0"/>
            </a:spcBef>
            <a:spcAft>
              <a:spcPct val="15000"/>
            </a:spcAft>
            <a:buChar char="•"/>
          </a:pPr>
          <a:r>
            <a:rPr lang="es-ES" sz="800" kern="1200"/>
            <a:t>INE</a:t>
          </a:r>
        </a:p>
        <a:p>
          <a:pPr marL="57150" lvl="1" indent="-57150" algn="ctr" defTabSz="355600">
            <a:lnSpc>
              <a:spcPct val="90000"/>
            </a:lnSpc>
            <a:spcBef>
              <a:spcPct val="0"/>
            </a:spcBef>
            <a:spcAft>
              <a:spcPct val="15000"/>
            </a:spcAft>
            <a:buChar char="•"/>
          </a:pPr>
          <a:endParaRPr lang="es-ES" sz="800" kern="1200"/>
        </a:p>
      </dsp:txBody>
      <dsp:txXfrm>
        <a:off x="429258" y="19685"/>
        <a:ext cx="1307707" cy="632714"/>
      </dsp:txXfrm>
    </dsp:sp>
    <dsp:sp modelId="{6CE98445-5D2A-C14E-A33A-866B1F120915}">
      <dsp:nvSpPr>
        <dsp:cNvPr id="0" name=""/>
        <dsp:cNvSpPr/>
      </dsp:nvSpPr>
      <dsp:spPr>
        <a:xfrm>
          <a:off x="1259757" y="159619"/>
          <a:ext cx="1212551" cy="1212551"/>
        </a:xfrm>
        <a:prstGeom prst="pieWedg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ES" sz="1000" kern="1200"/>
            <a:t>Entes Fiscalizadores</a:t>
          </a:r>
        </a:p>
      </dsp:txBody>
      <dsp:txXfrm>
        <a:off x="1614905" y="514767"/>
        <a:ext cx="857403" cy="857403"/>
      </dsp:txXfrm>
    </dsp:sp>
    <dsp:sp modelId="{E99C2354-BA88-9945-9344-BBDECE723E32}">
      <dsp:nvSpPr>
        <dsp:cNvPr id="0" name=""/>
        <dsp:cNvSpPr/>
      </dsp:nvSpPr>
      <dsp:spPr>
        <a:xfrm rot="5400000">
          <a:off x="2528315" y="159619"/>
          <a:ext cx="1212551" cy="1212551"/>
        </a:xfrm>
        <a:prstGeom prst="pieWedg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ES" sz="1000" kern="1200"/>
            <a:t>Parámetros</a:t>
          </a:r>
        </a:p>
      </dsp:txBody>
      <dsp:txXfrm rot="-5400000">
        <a:off x="2528315" y="514767"/>
        <a:ext cx="857403" cy="857403"/>
      </dsp:txXfrm>
    </dsp:sp>
    <dsp:sp modelId="{98AE36EB-4D3A-8F43-B7FD-AA21BF5E984B}">
      <dsp:nvSpPr>
        <dsp:cNvPr id="0" name=""/>
        <dsp:cNvSpPr/>
      </dsp:nvSpPr>
      <dsp:spPr>
        <a:xfrm rot="10800000">
          <a:off x="2528315" y="1428178"/>
          <a:ext cx="1212551" cy="1212551"/>
        </a:xfrm>
        <a:prstGeom prst="pieWedg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ES" sz="1000" kern="1200"/>
            <a:t>Resultados Finales</a:t>
          </a:r>
        </a:p>
      </dsp:txBody>
      <dsp:txXfrm rot="10800000">
        <a:off x="2528315" y="1428178"/>
        <a:ext cx="857403" cy="857403"/>
      </dsp:txXfrm>
    </dsp:sp>
    <dsp:sp modelId="{2D6756D3-4425-8A43-972D-A337D7A5F452}">
      <dsp:nvSpPr>
        <dsp:cNvPr id="0" name=""/>
        <dsp:cNvSpPr/>
      </dsp:nvSpPr>
      <dsp:spPr>
        <a:xfrm rot="16200000">
          <a:off x="1259757" y="1428178"/>
          <a:ext cx="1212551" cy="1212551"/>
        </a:xfrm>
        <a:prstGeom prst="pieWedg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ES" sz="1000" kern="1200"/>
            <a:t>Resultados Previos</a:t>
          </a:r>
        </a:p>
      </dsp:txBody>
      <dsp:txXfrm rot="5400000">
        <a:off x="1614905" y="1428178"/>
        <a:ext cx="857403" cy="857403"/>
      </dsp:txXfrm>
    </dsp:sp>
    <dsp:sp modelId="{A76BAEAD-DA80-C846-BB1E-22265F5F5F1E}">
      <dsp:nvSpPr>
        <dsp:cNvPr id="0" name=""/>
        <dsp:cNvSpPr/>
      </dsp:nvSpPr>
      <dsp:spPr>
        <a:xfrm>
          <a:off x="2290986" y="1148143"/>
          <a:ext cx="418652" cy="364045"/>
        </a:xfrm>
        <a:prstGeom prst="circularArrow">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dsp:style>
    </dsp:sp>
    <dsp:sp modelId="{4C2B37AB-B720-7E41-A93E-4522D00A2E1B}">
      <dsp:nvSpPr>
        <dsp:cNvPr id="0" name=""/>
        <dsp:cNvSpPr/>
      </dsp:nvSpPr>
      <dsp:spPr>
        <a:xfrm rot="10800000">
          <a:off x="2290986" y="1288161"/>
          <a:ext cx="418652" cy="364045"/>
        </a:xfrm>
        <a:prstGeom prst="circularArrow">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6903B-2E25-C249-8B8C-6AE2BCBA1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207</Pages>
  <Words>68478</Words>
  <Characters>376633</Characters>
  <Application>Microsoft Office Word</Application>
  <DocSecurity>0</DocSecurity>
  <Lines>3138</Lines>
  <Paragraphs>888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444223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cp:lastPrinted>2019-06-25T22:29:00Z</cp:lastPrinted>
  <dcterms:created xsi:type="dcterms:W3CDTF">2019-07-17T03:47:00Z</dcterms:created>
  <dcterms:modified xsi:type="dcterms:W3CDTF">2019-07-17T05:45:00Z</dcterms:modified>
</cp:coreProperties>
</file>