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D37805" w14:textId="77777777" w:rsidR="00687577" w:rsidRDefault="00687577">
      <w:pPr>
        <w:jc w:val="center"/>
        <w:rPr>
          <w:rFonts w:ascii="Arial" w:hAnsi="Arial" w:cs="Arial"/>
          <w:b/>
          <w:sz w:val="24"/>
          <w:szCs w:val="24"/>
        </w:rPr>
      </w:pPr>
      <w:bookmarkStart w:id="0" w:name="_GoBack"/>
      <w:bookmarkEnd w:id="0"/>
    </w:p>
    <w:p w14:paraId="5EB03746" w14:textId="77777777" w:rsidR="00687577" w:rsidRDefault="00687577">
      <w:pPr>
        <w:jc w:val="center"/>
        <w:rPr>
          <w:rFonts w:ascii="Arial" w:hAnsi="Arial" w:cs="Arial"/>
          <w:b/>
          <w:sz w:val="24"/>
          <w:szCs w:val="24"/>
        </w:rPr>
      </w:pPr>
    </w:p>
    <w:p w14:paraId="29456201" w14:textId="77777777" w:rsidR="00687577" w:rsidRDefault="00687577">
      <w:pPr>
        <w:jc w:val="center"/>
        <w:rPr>
          <w:rFonts w:ascii="Arial" w:hAnsi="Arial" w:cs="Arial"/>
          <w:b/>
          <w:sz w:val="24"/>
          <w:szCs w:val="24"/>
        </w:rPr>
      </w:pPr>
    </w:p>
    <w:p w14:paraId="2AEABAC5" w14:textId="740D6745" w:rsidR="00255E04" w:rsidRPr="00C47701" w:rsidRDefault="00255E04" w:rsidP="00255E04">
      <w:pPr>
        <w:jc w:val="center"/>
        <w:rPr>
          <w:rFonts w:ascii="Arial" w:hAnsi="Arial" w:cs="Arial"/>
          <w:b/>
          <w:sz w:val="28"/>
          <w:szCs w:val="28"/>
        </w:rPr>
      </w:pPr>
      <w:r w:rsidRPr="00C47701">
        <w:rPr>
          <w:rFonts w:ascii="Arial" w:hAnsi="Arial" w:cs="Arial"/>
          <w:b/>
          <w:sz w:val="28"/>
          <w:szCs w:val="28"/>
        </w:rPr>
        <w:t>Universidad Autónoma del Estado de México</w:t>
      </w:r>
    </w:p>
    <w:p w14:paraId="413FB6F4" w14:textId="0A0A4FD7" w:rsidR="00255E04" w:rsidRPr="00C47701" w:rsidRDefault="00255E04" w:rsidP="00255E04">
      <w:pPr>
        <w:jc w:val="center"/>
        <w:rPr>
          <w:rFonts w:ascii="Arial" w:hAnsi="Arial" w:cs="Arial"/>
          <w:b/>
          <w:sz w:val="28"/>
          <w:szCs w:val="28"/>
        </w:rPr>
      </w:pPr>
      <w:r w:rsidRPr="00C47701">
        <w:rPr>
          <w:rFonts w:ascii="Arial" w:hAnsi="Arial" w:cs="Arial"/>
          <w:b/>
          <w:sz w:val="28"/>
          <w:szCs w:val="28"/>
        </w:rPr>
        <w:t>Facultad de Lenguas</w:t>
      </w:r>
    </w:p>
    <w:p w14:paraId="05F7DC5E" w14:textId="77777777" w:rsidR="00255E04" w:rsidRDefault="00255E04" w:rsidP="00255E04">
      <w:pPr>
        <w:jc w:val="center"/>
        <w:rPr>
          <w:rFonts w:ascii="Arial" w:hAnsi="Arial" w:cs="Arial"/>
          <w:b/>
          <w:sz w:val="40"/>
          <w:szCs w:val="24"/>
        </w:rPr>
      </w:pPr>
    </w:p>
    <w:p w14:paraId="223C56D7" w14:textId="77777777" w:rsidR="00255E04" w:rsidRDefault="00255E04" w:rsidP="00255E04">
      <w:pPr>
        <w:jc w:val="center"/>
        <w:rPr>
          <w:rFonts w:ascii="Arial" w:hAnsi="Arial" w:cs="Arial"/>
          <w:b/>
          <w:sz w:val="40"/>
          <w:szCs w:val="24"/>
        </w:rPr>
      </w:pPr>
    </w:p>
    <w:p w14:paraId="4B6A7444" w14:textId="277F2B16" w:rsidR="00255E04" w:rsidRDefault="00255E04" w:rsidP="00255E04">
      <w:pPr>
        <w:jc w:val="center"/>
        <w:rPr>
          <w:rFonts w:ascii="Arial" w:hAnsi="Arial" w:cs="Arial"/>
          <w:b/>
          <w:sz w:val="40"/>
          <w:szCs w:val="24"/>
        </w:rPr>
      </w:pPr>
    </w:p>
    <w:p w14:paraId="635F11EA" w14:textId="05AB6667" w:rsidR="00687577" w:rsidRPr="00C47701" w:rsidRDefault="00687577" w:rsidP="00255E04">
      <w:pPr>
        <w:jc w:val="center"/>
        <w:rPr>
          <w:rFonts w:ascii="Arial" w:hAnsi="Arial" w:cs="Arial"/>
          <w:b/>
          <w:sz w:val="32"/>
          <w:szCs w:val="32"/>
        </w:rPr>
      </w:pPr>
      <w:r w:rsidRPr="00C47701">
        <w:rPr>
          <w:rFonts w:ascii="Arial" w:hAnsi="Arial" w:cs="Arial"/>
          <w:b/>
          <w:sz w:val="32"/>
          <w:szCs w:val="32"/>
        </w:rPr>
        <w:t>El ejercicio periodístico en el Estado de México que está bajo el Mecanismo de Protección a Periodistas</w:t>
      </w:r>
    </w:p>
    <w:p w14:paraId="1B84346B" w14:textId="72A3B6D5" w:rsidR="00255E04" w:rsidRDefault="00255E04" w:rsidP="00255E04">
      <w:pPr>
        <w:jc w:val="center"/>
        <w:rPr>
          <w:rFonts w:ascii="Arial" w:hAnsi="Arial" w:cs="Arial"/>
          <w:b/>
          <w:sz w:val="36"/>
          <w:szCs w:val="36"/>
        </w:rPr>
      </w:pPr>
    </w:p>
    <w:p w14:paraId="0DAA0F21" w14:textId="0BE27B69" w:rsidR="00255E04" w:rsidRDefault="00255E04" w:rsidP="00255E04">
      <w:pPr>
        <w:jc w:val="center"/>
        <w:rPr>
          <w:rFonts w:ascii="Arial" w:hAnsi="Arial" w:cs="Arial"/>
          <w:b/>
          <w:sz w:val="36"/>
          <w:szCs w:val="36"/>
        </w:rPr>
      </w:pPr>
    </w:p>
    <w:p w14:paraId="0AA52EE2" w14:textId="757B83C8" w:rsidR="00255E04" w:rsidRDefault="00255E04" w:rsidP="00255E04">
      <w:pPr>
        <w:jc w:val="center"/>
        <w:rPr>
          <w:rFonts w:ascii="Arial" w:hAnsi="Arial" w:cs="Arial"/>
          <w:b/>
          <w:sz w:val="36"/>
          <w:szCs w:val="36"/>
        </w:rPr>
      </w:pPr>
    </w:p>
    <w:p w14:paraId="1E7B933C" w14:textId="320F8FE7" w:rsidR="00255E04" w:rsidRDefault="00255E04" w:rsidP="00255E04">
      <w:pPr>
        <w:jc w:val="center"/>
        <w:rPr>
          <w:rFonts w:ascii="Arial" w:hAnsi="Arial" w:cs="Arial"/>
          <w:b/>
          <w:sz w:val="36"/>
          <w:szCs w:val="36"/>
        </w:rPr>
      </w:pPr>
      <w:r>
        <w:rPr>
          <w:rFonts w:ascii="Arial" w:hAnsi="Arial" w:cs="Arial"/>
          <w:b/>
          <w:sz w:val="36"/>
          <w:szCs w:val="36"/>
        </w:rPr>
        <w:t>Maestría en Periodismo de Investigación</w:t>
      </w:r>
    </w:p>
    <w:p w14:paraId="1A1071E1" w14:textId="52C5252E" w:rsidR="00255E04" w:rsidRPr="00C47701" w:rsidRDefault="00255E04" w:rsidP="00255E04">
      <w:pPr>
        <w:jc w:val="center"/>
        <w:rPr>
          <w:rFonts w:ascii="Arial" w:hAnsi="Arial" w:cs="Arial"/>
          <w:b/>
          <w:sz w:val="28"/>
          <w:szCs w:val="28"/>
        </w:rPr>
      </w:pPr>
      <w:r w:rsidRPr="00C47701">
        <w:rPr>
          <w:rFonts w:ascii="Arial" w:hAnsi="Arial" w:cs="Arial"/>
          <w:b/>
          <w:sz w:val="28"/>
          <w:szCs w:val="28"/>
        </w:rPr>
        <w:t>Presenta: Enrique Ignacio Gómez Ordóñez</w:t>
      </w:r>
    </w:p>
    <w:p w14:paraId="0723F676" w14:textId="77777777" w:rsidR="00255E04" w:rsidRDefault="00255E04" w:rsidP="00255E04">
      <w:pPr>
        <w:jc w:val="center"/>
        <w:rPr>
          <w:rFonts w:ascii="Arial" w:hAnsi="Arial" w:cs="Arial"/>
          <w:b/>
          <w:sz w:val="36"/>
          <w:szCs w:val="36"/>
        </w:rPr>
      </w:pPr>
    </w:p>
    <w:p w14:paraId="77E912D7" w14:textId="77777777" w:rsidR="00255E04" w:rsidRDefault="00255E04" w:rsidP="00255E04">
      <w:pPr>
        <w:jc w:val="center"/>
        <w:rPr>
          <w:rFonts w:ascii="Arial" w:hAnsi="Arial" w:cs="Arial"/>
          <w:b/>
          <w:sz w:val="36"/>
          <w:szCs w:val="36"/>
        </w:rPr>
      </w:pPr>
    </w:p>
    <w:p w14:paraId="644F58A7" w14:textId="77777777" w:rsidR="00255E04" w:rsidRDefault="00255E04" w:rsidP="00255E04">
      <w:pPr>
        <w:jc w:val="center"/>
        <w:rPr>
          <w:rFonts w:ascii="Arial" w:hAnsi="Arial" w:cs="Arial"/>
          <w:b/>
          <w:sz w:val="36"/>
          <w:szCs w:val="36"/>
        </w:rPr>
      </w:pPr>
    </w:p>
    <w:p w14:paraId="2A2AB43C" w14:textId="77777777" w:rsidR="00255E04" w:rsidRPr="00C47701" w:rsidRDefault="00255E04" w:rsidP="00255E04">
      <w:pPr>
        <w:jc w:val="center"/>
        <w:rPr>
          <w:rFonts w:ascii="Arial" w:hAnsi="Arial" w:cs="Arial"/>
          <w:b/>
          <w:sz w:val="24"/>
          <w:szCs w:val="24"/>
        </w:rPr>
      </w:pPr>
    </w:p>
    <w:p w14:paraId="70302EA6" w14:textId="7730E76A" w:rsidR="00255E04" w:rsidRPr="00C47701" w:rsidRDefault="00255E04" w:rsidP="00255E04">
      <w:pPr>
        <w:jc w:val="center"/>
        <w:rPr>
          <w:rFonts w:ascii="Arial" w:hAnsi="Arial" w:cs="Arial"/>
          <w:b/>
          <w:sz w:val="24"/>
          <w:szCs w:val="24"/>
        </w:rPr>
      </w:pPr>
      <w:r w:rsidRPr="00C47701">
        <w:rPr>
          <w:rFonts w:ascii="Arial" w:hAnsi="Arial" w:cs="Arial"/>
          <w:b/>
          <w:sz w:val="24"/>
          <w:szCs w:val="24"/>
        </w:rPr>
        <w:t>Directora de tesis: Dr. Itzel Arriaga Hurtado</w:t>
      </w:r>
    </w:p>
    <w:p w14:paraId="513F3B5D" w14:textId="1CC4BE2F" w:rsidR="00687577" w:rsidRDefault="00687577">
      <w:pPr>
        <w:spacing w:before="240" w:line="360" w:lineRule="auto"/>
        <w:jc w:val="center"/>
        <w:rPr>
          <w:rFonts w:ascii="Arial" w:hAnsi="Arial" w:cs="Arial"/>
          <w:b/>
          <w:sz w:val="24"/>
          <w:szCs w:val="24"/>
        </w:rPr>
      </w:pPr>
    </w:p>
    <w:p w14:paraId="01D53435" w14:textId="4F9BD05C" w:rsidR="00687577" w:rsidRDefault="00BB56C1" w:rsidP="00BB56C1">
      <w:pPr>
        <w:jc w:val="right"/>
        <w:rPr>
          <w:rFonts w:ascii="Arial" w:hAnsi="Arial" w:cs="Arial"/>
          <w:b/>
          <w:sz w:val="24"/>
          <w:szCs w:val="24"/>
        </w:rPr>
      </w:pPr>
      <w:r>
        <w:rPr>
          <w:rFonts w:ascii="Arial" w:hAnsi="Arial" w:cs="Arial"/>
          <w:b/>
          <w:sz w:val="24"/>
          <w:szCs w:val="24"/>
        </w:rPr>
        <w:t>Junio de 2019</w:t>
      </w:r>
    </w:p>
    <w:p w14:paraId="6B408B6D" w14:textId="77777777" w:rsidR="00687577" w:rsidRDefault="00687577">
      <w:pPr>
        <w:pStyle w:val="Encabezadodelndice"/>
        <w:pageBreakBefore/>
        <w:rPr>
          <w:lang w:val="es-ES"/>
        </w:rPr>
      </w:pPr>
      <w:r>
        <w:rPr>
          <w:rFonts w:ascii="Arial" w:hAnsi="Arial" w:cs="Arial"/>
          <w:color w:val="00000A"/>
          <w:sz w:val="24"/>
          <w:szCs w:val="24"/>
          <w:lang w:val="es-ES"/>
        </w:rPr>
        <w:lastRenderedPageBreak/>
        <w:t>CONTENIDO</w:t>
      </w:r>
    </w:p>
    <w:p w14:paraId="2631BAF4" w14:textId="77777777" w:rsidR="00687577" w:rsidRDefault="00687577">
      <w:pPr>
        <w:rPr>
          <w:lang w:val="es-ES"/>
        </w:rPr>
      </w:pPr>
    </w:p>
    <w:p w14:paraId="5CDDF1D7" w14:textId="77777777" w:rsidR="00687577" w:rsidRDefault="00687577">
      <w:pPr>
        <w:pStyle w:val="TDC1"/>
        <w:tabs>
          <w:tab w:val="clear" w:pos="9972"/>
          <w:tab w:val="right" w:leader="dot" w:pos="9360"/>
        </w:tabs>
      </w:pPr>
      <w:r>
        <w:fldChar w:fldCharType="begin"/>
      </w:r>
      <w:r>
        <w:instrText xml:space="preserve"> TOC </w:instrText>
      </w:r>
      <w:r>
        <w:fldChar w:fldCharType="separate"/>
      </w:r>
      <w:hyperlink w:anchor="__RefHeading__2197_1000385367" w:history="1">
        <w:r>
          <w:t xml:space="preserve"> DEDICATORIA</w:t>
        </w:r>
        <w:r>
          <w:tab/>
          <w:t>3</w:t>
        </w:r>
      </w:hyperlink>
    </w:p>
    <w:p w14:paraId="49939EB8" w14:textId="77777777" w:rsidR="00687577" w:rsidRDefault="00577594">
      <w:pPr>
        <w:pStyle w:val="TDC1"/>
        <w:tabs>
          <w:tab w:val="clear" w:pos="9972"/>
          <w:tab w:val="right" w:leader="dot" w:pos="9360"/>
        </w:tabs>
      </w:pPr>
      <w:hyperlink w:anchor="__RefHeading__2199_1000385367" w:history="1">
        <w:r w:rsidR="00687577">
          <w:t>AGRADECIMIENTOS</w:t>
        </w:r>
        <w:r w:rsidR="00687577">
          <w:tab/>
          <w:t>4</w:t>
        </w:r>
      </w:hyperlink>
    </w:p>
    <w:p w14:paraId="3F3CDBF9" w14:textId="77777777" w:rsidR="00687577" w:rsidRDefault="00577594">
      <w:pPr>
        <w:pStyle w:val="TDC1"/>
        <w:tabs>
          <w:tab w:val="clear" w:pos="9972"/>
          <w:tab w:val="right" w:leader="dot" w:pos="9360"/>
        </w:tabs>
      </w:pPr>
      <w:hyperlink w:anchor="__RefHeading__2201_1000385367" w:history="1">
        <w:r w:rsidR="00687577">
          <w:t>INTRODUCCION</w:t>
        </w:r>
        <w:r w:rsidR="00687577">
          <w:tab/>
          <w:t>4</w:t>
        </w:r>
      </w:hyperlink>
    </w:p>
    <w:p w14:paraId="1CCFC536" w14:textId="77777777" w:rsidR="00687577" w:rsidRDefault="00577594">
      <w:pPr>
        <w:pStyle w:val="TDC1"/>
        <w:tabs>
          <w:tab w:val="clear" w:pos="9972"/>
          <w:tab w:val="right" w:leader="dot" w:pos="9360"/>
        </w:tabs>
      </w:pPr>
      <w:hyperlink w:anchor="__RefHeading__2203_1000385367" w:history="1">
        <w:r w:rsidR="00687577">
          <w:t>OBJETIVOS</w:t>
        </w:r>
        <w:r w:rsidR="00687577">
          <w:tab/>
          <w:t>5</w:t>
        </w:r>
      </w:hyperlink>
    </w:p>
    <w:p w14:paraId="69CD75B7" w14:textId="77777777" w:rsidR="00687577" w:rsidRDefault="00577594">
      <w:pPr>
        <w:pStyle w:val="TDC1"/>
        <w:tabs>
          <w:tab w:val="clear" w:pos="9972"/>
          <w:tab w:val="right" w:leader="dot" w:pos="9360"/>
        </w:tabs>
      </w:pPr>
      <w:hyperlink w:anchor="__RefHeading__2205_1000385367" w:history="1">
        <w:r w:rsidR="00687577">
          <w:t>Capitulo I.  Tipología del ejercicio periodístico</w:t>
        </w:r>
        <w:r w:rsidR="00687577">
          <w:tab/>
          <w:t>5</w:t>
        </w:r>
      </w:hyperlink>
    </w:p>
    <w:p w14:paraId="0A29EA2A" w14:textId="77777777" w:rsidR="00687577" w:rsidRDefault="00577594">
      <w:pPr>
        <w:pStyle w:val="TDC2"/>
        <w:tabs>
          <w:tab w:val="clear" w:pos="9689"/>
          <w:tab w:val="right" w:leader="dot" w:pos="9360"/>
        </w:tabs>
      </w:pPr>
      <w:hyperlink w:anchor="__RefHeading__2207_1000385367" w:history="1">
        <w:r w:rsidR="00687577">
          <w:t>I.a)Definición del ejercicio periodístico</w:t>
        </w:r>
        <w:r w:rsidR="00687577">
          <w:tab/>
          <w:t>5</w:t>
        </w:r>
      </w:hyperlink>
    </w:p>
    <w:p w14:paraId="05090A54" w14:textId="77777777" w:rsidR="00687577" w:rsidRDefault="00577594">
      <w:pPr>
        <w:pStyle w:val="TDC2"/>
        <w:tabs>
          <w:tab w:val="clear" w:pos="9689"/>
          <w:tab w:val="right" w:leader="dot" w:pos="9360"/>
        </w:tabs>
      </w:pPr>
      <w:hyperlink w:anchor="__RefHeading__2209_1000385367" w:history="1">
        <w:r w:rsidR="00687577">
          <w:t>I.b)Derecho a la información y ejercicio periodístico</w:t>
        </w:r>
        <w:r w:rsidR="00687577">
          <w:tab/>
          <w:t>8</w:t>
        </w:r>
      </w:hyperlink>
    </w:p>
    <w:p w14:paraId="46DDED6A" w14:textId="77777777" w:rsidR="00687577" w:rsidRDefault="00577594">
      <w:pPr>
        <w:pStyle w:val="TDC2"/>
        <w:tabs>
          <w:tab w:val="clear" w:pos="9689"/>
          <w:tab w:val="right" w:leader="dot" w:pos="9360"/>
        </w:tabs>
      </w:pPr>
      <w:hyperlink w:anchor="__RefHeading__2211_1000385367" w:history="1">
        <w:r w:rsidR="00687577">
          <w:t>I.c)Relación del ejercicio periodístico y libertad de expresión</w:t>
        </w:r>
        <w:r w:rsidR="00687577">
          <w:tab/>
          <w:t>13</w:t>
        </w:r>
      </w:hyperlink>
    </w:p>
    <w:p w14:paraId="4AE9DE7D" w14:textId="77777777" w:rsidR="00687577" w:rsidRDefault="00577594">
      <w:pPr>
        <w:pStyle w:val="TDC2"/>
        <w:tabs>
          <w:tab w:val="clear" w:pos="9689"/>
          <w:tab w:val="right" w:leader="dot" w:pos="9360"/>
        </w:tabs>
      </w:pPr>
      <w:hyperlink w:anchor="__RefHeading__2213_1000385367" w:history="1">
        <w:r w:rsidR="00687577">
          <w:t>I.d)Ética periodística</w:t>
        </w:r>
        <w:r w:rsidR="00687577">
          <w:tab/>
          <w:t>18</w:t>
        </w:r>
      </w:hyperlink>
    </w:p>
    <w:p w14:paraId="0909393B" w14:textId="77777777" w:rsidR="00687577" w:rsidRDefault="00577594">
      <w:pPr>
        <w:pStyle w:val="TDC1"/>
        <w:tabs>
          <w:tab w:val="clear" w:pos="9972"/>
          <w:tab w:val="right" w:leader="dot" w:pos="9360"/>
        </w:tabs>
      </w:pPr>
      <w:hyperlink w:anchor="__RefHeading__2215_1000385367" w:history="1">
        <w:r w:rsidR="00687577">
          <w:t>Capitulo II.  Regulación jurídica en la protección al ejercicio periodístico</w:t>
        </w:r>
        <w:r w:rsidR="00687577">
          <w:tab/>
          <w:t>26</w:t>
        </w:r>
      </w:hyperlink>
    </w:p>
    <w:p w14:paraId="41E53B6A" w14:textId="6E8AA188" w:rsidR="00687577" w:rsidRDefault="00BB56C1">
      <w:pPr>
        <w:pStyle w:val="TDC2"/>
        <w:tabs>
          <w:tab w:val="clear" w:pos="9689"/>
          <w:tab w:val="right" w:leader="dot" w:pos="9360"/>
        </w:tabs>
      </w:pPr>
      <w:r>
        <w:t>II.</w:t>
      </w:r>
      <w:hyperlink w:anchor="__RefHeading__2217_1000385367" w:history="1">
        <w:r>
          <w:t>a</w:t>
        </w:r>
        <w:r w:rsidR="00687577">
          <w:t>)</w:t>
        </w:r>
        <w:r>
          <w:t>Protección del ejercicio periodístico a nivel internacional</w:t>
        </w:r>
        <w:r w:rsidR="00687577">
          <w:tab/>
          <w:t>33</w:t>
        </w:r>
      </w:hyperlink>
    </w:p>
    <w:p w14:paraId="12252714" w14:textId="214BA2FA" w:rsidR="00687577" w:rsidRDefault="00577594">
      <w:pPr>
        <w:pStyle w:val="TDC2"/>
        <w:tabs>
          <w:tab w:val="clear" w:pos="9689"/>
          <w:tab w:val="right" w:leader="dot" w:pos="9360"/>
        </w:tabs>
      </w:pPr>
      <w:hyperlink w:anchor="__RefHeading__2219_1000385367" w:history="1">
        <w:r w:rsidR="00BB56C1">
          <w:t>II.b)Antecedentes del Mecanismo de Protección a Periodistas en México</w:t>
        </w:r>
        <w:r w:rsidR="00687577">
          <w:tab/>
          <w:t>38</w:t>
        </w:r>
      </w:hyperlink>
    </w:p>
    <w:p w14:paraId="3658EE60" w14:textId="0D0CC3E3" w:rsidR="00687577" w:rsidRDefault="00577594">
      <w:pPr>
        <w:pStyle w:val="TDC2"/>
        <w:tabs>
          <w:tab w:val="clear" w:pos="9689"/>
          <w:tab w:val="right" w:leader="dot" w:pos="9360"/>
        </w:tabs>
      </w:pPr>
      <w:hyperlink w:anchor="__RefHeading__2221_1000385367" w:history="1">
        <w:r w:rsidR="00BB56C1">
          <w:t>II.c)Fundamentos del Mecanismo de Protección a Periodistas</w:t>
        </w:r>
        <w:r w:rsidR="00687577">
          <w:tab/>
          <w:t>40</w:t>
        </w:r>
      </w:hyperlink>
    </w:p>
    <w:p w14:paraId="5BC3F161" w14:textId="141A8153" w:rsidR="007C6337" w:rsidRDefault="007C6337">
      <w:pPr>
        <w:pStyle w:val="TDC1"/>
        <w:tabs>
          <w:tab w:val="clear" w:pos="9972"/>
          <w:tab w:val="right" w:leader="dot" w:pos="9360"/>
        </w:tabs>
      </w:pPr>
      <w:r>
        <w:t>II.d)Funcionamiento del Mecanismo de Protección a Periodistas………………………………………………………….42</w:t>
      </w:r>
    </w:p>
    <w:p w14:paraId="0CBDB6FD" w14:textId="61141DB1" w:rsidR="00687577" w:rsidRDefault="00577594">
      <w:pPr>
        <w:pStyle w:val="TDC1"/>
        <w:tabs>
          <w:tab w:val="clear" w:pos="9972"/>
          <w:tab w:val="right" w:leader="dot" w:pos="9360"/>
        </w:tabs>
      </w:pPr>
      <w:hyperlink w:anchor="__RefHeading__2223_1000385367" w:history="1">
        <w:r w:rsidR="00687577">
          <w:t>Capitulo III.  Riesgos sociales en el ejercicio periodístico</w:t>
        </w:r>
        <w:r w:rsidR="00687577">
          <w:tab/>
          <w:t>48</w:t>
        </w:r>
      </w:hyperlink>
    </w:p>
    <w:p w14:paraId="6521C0C7" w14:textId="4270FF25" w:rsidR="00687577" w:rsidRDefault="007C6337">
      <w:pPr>
        <w:pStyle w:val="TDC2"/>
        <w:tabs>
          <w:tab w:val="clear" w:pos="9689"/>
          <w:tab w:val="right" w:leader="dot" w:pos="9360"/>
        </w:tabs>
      </w:pPr>
      <w:r>
        <w:t>III.</w:t>
      </w:r>
      <w:hyperlink w:anchor="__RefHeading__2225_1000385367" w:history="1">
        <w:r w:rsidR="00687577">
          <w:t>a)Libertad de expresión y su relación con el poder</w:t>
        </w:r>
        <w:r w:rsidR="00687577">
          <w:tab/>
          <w:t>48</w:t>
        </w:r>
      </w:hyperlink>
    </w:p>
    <w:p w14:paraId="5AED8D53" w14:textId="24900E1C" w:rsidR="00687577" w:rsidRDefault="007C6337">
      <w:pPr>
        <w:pStyle w:val="TDC2"/>
        <w:tabs>
          <w:tab w:val="clear" w:pos="9689"/>
          <w:tab w:val="right" w:leader="dot" w:pos="9360"/>
        </w:tabs>
      </w:pPr>
      <w:r>
        <w:t>III.</w:t>
      </w:r>
      <w:hyperlink w:anchor="__RefHeading__2227_1000385367" w:history="1">
        <w:r w:rsidR="00687577">
          <w:t>b)Violencia contra el ejercicio periodístico</w:t>
        </w:r>
        <w:r w:rsidR="00687577">
          <w:tab/>
          <w:t>51</w:t>
        </w:r>
      </w:hyperlink>
    </w:p>
    <w:p w14:paraId="1FA6422A" w14:textId="0A219A1F" w:rsidR="007C6337" w:rsidRDefault="007C6337">
      <w:pPr>
        <w:pStyle w:val="TDC1"/>
        <w:tabs>
          <w:tab w:val="clear" w:pos="9972"/>
          <w:tab w:val="right" w:leader="dot" w:pos="9360"/>
        </w:tabs>
      </w:pPr>
      <w:r>
        <w:t>III.c)Control gubernamental del ejercicio periodístico a partir de presupuestos públicos………………………61</w:t>
      </w:r>
    </w:p>
    <w:p w14:paraId="2B33E167" w14:textId="1634F039" w:rsidR="007C6337" w:rsidRDefault="007C6337">
      <w:pPr>
        <w:pStyle w:val="TDC1"/>
        <w:tabs>
          <w:tab w:val="clear" w:pos="9972"/>
          <w:tab w:val="right" w:leader="dot" w:pos="9360"/>
        </w:tabs>
      </w:pPr>
      <w:r>
        <w:t>III.d)Censura y autocensura en el ejercicio peri</w:t>
      </w:r>
      <w:r w:rsidR="008E7716">
        <w:t>o</w:t>
      </w:r>
      <w:r>
        <w:t>dístico…………………………………………………………………………68</w:t>
      </w:r>
    </w:p>
    <w:p w14:paraId="66538CBB" w14:textId="1607256F" w:rsidR="00687577" w:rsidRDefault="00577594">
      <w:pPr>
        <w:pStyle w:val="TDC1"/>
        <w:tabs>
          <w:tab w:val="clear" w:pos="9972"/>
          <w:tab w:val="right" w:leader="dot" w:pos="9360"/>
        </w:tabs>
      </w:pPr>
      <w:hyperlink w:anchor="__RefHeading__2229_1000385367" w:history="1">
        <w:r w:rsidR="00687577">
          <w:t>Capitulo IV. Evaluación del caso de estudio</w:t>
        </w:r>
        <w:r w:rsidR="00687577">
          <w:tab/>
          <w:t>59</w:t>
        </w:r>
      </w:hyperlink>
    </w:p>
    <w:p w14:paraId="2E4ACB22" w14:textId="52B41974" w:rsidR="00687577" w:rsidRDefault="008E7716">
      <w:pPr>
        <w:pStyle w:val="TDC2"/>
        <w:tabs>
          <w:tab w:val="clear" w:pos="9689"/>
          <w:tab w:val="right" w:leader="dot" w:pos="9360"/>
        </w:tabs>
      </w:pPr>
      <w:r>
        <w:t>IV.</w:t>
      </w:r>
      <w:hyperlink w:anchor="__RefHeading__2231_1000385367" w:history="1">
        <w:r>
          <w:t>a)Entorno del ejercicio periodístico que realiza el periodista Indalecio Benítez Mondragón………</w:t>
        </w:r>
        <w:r w:rsidR="00C47701">
          <w:t>….</w:t>
        </w:r>
        <w:r w:rsidR="00687577">
          <w:t>59</w:t>
        </w:r>
      </w:hyperlink>
    </w:p>
    <w:p w14:paraId="065FB218" w14:textId="11FEACAD" w:rsidR="00687577" w:rsidRDefault="008E7716">
      <w:pPr>
        <w:pStyle w:val="TDC2"/>
        <w:tabs>
          <w:tab w:val="clear" w:pos="9689"/>
          <w:tab w:val="right" w:leader="dot" w:pos="9360"/>
        </w:tabs>
      </w:pPr>
      <w:r>
        <w:t>IV.</w:t>
      </w:r>
      <w:hyperlink w:anchor="__RefHeading__2233_1000385367" w:history="1">
        <w:r>
          <w:t>b)Protección que le brinda el Mecanismo de Protección a Indalecio Benítez Mondragón</w:t>
        </w:r>
        <w:r w:rsidR="00687577">
          <w:tab/>
          <w:t>59</w:t>
        </w:r>
      </w:hyperlink>
    </w:p>
    <w:p w14:paraId="203FF4EC" w14:textId="03C75219" w:rsidR="00687577" w:rsidRDefault="008E7716">
      <w:pPr>
        <w:pStyle w:val="TDC2"/>
        <w:tabs>
          <w:tab w:val="clear" w:pos="9689"/>
          <w:tab w:val="right" w:leader="dot" w:pos="9360"/>
        </w:tabs>
      </w:pPr>
      <w:r>
        <w:t>IV.</w:t>
      </w:r>
      <w:hyperlink w:anchor="__RefHeading__2235_1000385367" w:history="1">
        <w:r w:rsidR="00687577">
          <w:t>c)Riesgos sociales en el ejercicio periodístico que enfrenta Indalecio Benítez</w:t>
        </w:r>
        <w:r w:rsidR="00687577">
          <w:tab/>
          <w:t>59</w:t>
        </w:r>
      </w:hyperlink>
    </w:p>
    <w:p w14:paraId="3770BBFE" w14:textId="1BBD89FB" w:rsidR="00687577" w:rsidRDefault="008E7716" w:rsidP="008E7716">
      <w:pPr>
        <w:pStyle w:val="TDC2"/>
        <w:tabs>
          <w:tab w:val="clear" w:pos="9689"/>
          <w:tab w:val="right" w:leader="dot" w:pos="9360"/>
        </w:tabs>
      </w:pPr>
      <w:r>
        <w:t>IV.</w:t>
      </w:r>
      <w:hyperlink w:anchor="__RefHeading__2237_1000385367" w:history="1">
        <w:r w:rsidR="00687577">
          <w:t>d)</w:t>
        </w:r>
        <w:r>
          <w:t>Evaluación del ejercicio periodístico de Indalecio Benítez Mondragón en materia de libertad de expresión</w:t>
        </w:r>
        <w:r w:rsidR="00687577">
          <w:tab/>
          <w:t>59</w:t>
        </w:r>
      </w:hyperlink>
    </w:p>
    <w:p w14:paraId="7AE8C720" w14:textId="77777777" w:rsidR="00687577" w:rsidRDefault="00577594">
      <w:pPr>
        <w:pStyle w:val="TDC1"/>
        <w:tabs>
          <w:tab w:val="clear" w:pos="9972"/>
          <w:tab w:val="right" w:leader="dot" w:pos="9360"/>
        </w:tabs>
      </w:pPr>
      <w:hyperlink w:anchor="__RefHeading__2241_1000385367" w:history="1">
        <w:r w:rsidR="00687577">
          <w:t>Conclusiones</w:t>
        </w:r>
        <w:r w:rsidR="00687577">
          <w:tab/>
          <w:t>60</w:t>
        </w:r>
      </w:hyperlink>
    </w:p>
    <w:p w14:paraId="4F2C1E3F" w14:textId="77777777" w:rsidR="00687577" w:rsidRDefault="00577594">
      <w:pPr>
        <w:pStyle w:val="TDC1"/>
        <w:tabs>
          <w:tab w:val="clear" w:pos="9972"/>
          <w:tab w:val="right" w:leader="dot" w:pos="9360"/>
        </w:tabs>
      </w:pPr>
      <w:hyperlink w:anchor="__RefHeading__2243_1000385367" w:history="1">
        <w:r w:rsidR="00687577">
          <w:t>Referencias:</w:t>
        </w:r>
        <w:r w:rsidR="00687577">
          <w:tab/>
          <w:t>61</w:t>
        </w:r>
      </w:hyperlink>
    </w:p>
    <w:p w14:paraId="6A912808" w14:textId="77777777" w:rsidR="00687577" w:rsidRDefault="00687577">
      <w:r>
        <w:fldChar w:fldCharType="end"/>
      </w:r>
      <w:hyperlink w:anchor="_Toc4083803" w:history="1"/>
    </w:p>
    <w:p w14:paraId="5DB9B03E" w14:textId="77777777" w:rsidR="00687577" w:rsidRDefault="00687577">
      <w:pPr>
        <w:rPr>
          <w:rFonts w:ascii="Arial" w:hAnsi="Arial" w:cs="Arial"/>
          <w:b/>
          <w:sz w:val="24"/>
          <w:szCs w:val="32"/>
        </w:rPr>
      </w:pPr>
      <w:bookmarkStart w:id="1" w:name="_Toc4083803"/>
    </w:p>
    <w:p w14:paraId="37AB2599" w14:textId="77777777" w:rsidR="00687577" w:rsidRDefault="00687577">
      <w:pPr>
        <w:pStyle w:val="Ttulo1"/>
        <w:pageBreakBefore/>
        <w:rPr>
          <w:rFonts w:ascii="Arial" w:hAnsi="Arial" w:cs="Arial"/>
          <w:b/>
          <w:sz w:val="24"/>
          <w:szCs w:val="24"/>
        </w:rPr>
      </w:pPr>
      <w:bookmarkStart w:id="2" w:name="__RefHeading__2197_1000385367"/>
      <w:bookmarkEnd w:id="2"/>
      <w:r>
        <w:rPr>
          <w:rFonts w:ascii="Arial" w:hAnsi="Arial" w:cs="Arial"/>
          <w:b/>
          <w:color w:val="00000A"/>
          <w:sz w:val="24"/>
        </w:rPr>
        <w:tab/>
        <w:t>DEDICATORIA</w:t>
      </w:r>
      <w:bookmarkEnd w:id="1"/>
      <w:r>
        <w:rPr>
          <w:rFonts w:ascii="Arial" w:hAnsi="Arial" w:cs="Arial"/>
          <w:b/>
          <w:color w:val="00000A"/>
          <w:sz w:val="24"/>
        </w:rPr>
        <w:commentReference w:id="3"/>
      </w:r>
    </w:p>
    <w:p w14:paraId="3BCE27B6" w14:textId="77777777" w:rsidR="00687577" w:rsidRDefault="00687577">
      <w:pPr>
        <w:rPr>
          <w:rFonts w:ascii="Arial" w:hAnsi="Arial" w:cs="Arial"/>
          <w:b/>
          <w:sz w:val="24"/>
          <w:szCs w:val="24"/>
        </w:rPr>
      </w:pPr>
    </w:p>
    <w:p w14:paraId="6ED655BE" w14:textId="77777777" w:rsidR="00687577" w:rsidRDefault="00687577">
      <w:pPr>
        <w:pStyle w:val="Ttulo1"/>
        <w:pageBreakBefore/>
        <w:ind w:left="708" w:firstLine="0"/>
      </w:pPr>
      <w:bookmarkStart w:id="4" w:name="__RefHeading__2199_1000385367"/>
      <w:bookmarkStart w:id="5" w:name="_Toc4083804"/>
      <w:bookmarkEnd w:id="4"/>
      <w:r>
        <w:rPr>
          <w:rFonts w:ascii="Arial" w:hAnsi="Arial" w:cs="Arial"/>
          <w:b/>
          <w:color w:val="00000A"/>
          <w:sz w:val="24"/>
          <w:szCs w:val="24"/>
        </w:rPr>
        <w:t>AGRADECIMIENTOS</w:t>
      </w:r>
      <w:bookmarkEnd w:id="5"/>
    </w:p>
    <w:p w14:paraId="2FA4580E" w14:textId="77777777" w:rsidR="00687577" w:rsidRDefault="00687577">
      <w:pPr>
        <w:rPr>
          <w:rFonts w:ascii="Arial" w:hAnsi="Arial" w:cs="Arial"/>
          <w:b/>
          <w:color w:val="00000A"/>
          <w:sz w:val="24"/>
        </w:rPr>
      </w:pPr>
      <w:r>
        <w:commentReference w:id="6"/>
      </w:r>
    </w:p>
    <w:p w14:paraId="4ED2D8A4" w14:textId="77777777" w:rsidR="00687577" w:rsidRDefault="00687577">
      <w:pPr>
        <w:pStyle w:val="Ttulo1"/>
        <w:spacing w:after="240" w:line="360" w:lineRule="auto"/>
        <w:ind w:left="0" w:firstLine="709"/>
        <w:rPr>
          <w:rFonts w:ascii="Arial" w:hAnsi="Arial" w:cs="Arial"/>
          <w:sz w:val="24"/>
          <w:szCs w:val="24"/>
        </w:rPr>
      </w:pPr>
      <w:bookmarkStart w:id="7" w:name="__RefHeading__2201_1000385367"/>
      <w:bookmarkStart w:id="8" w:name="_Toc4083805"/>
      <w:bookmarkEnd w:id="7"/>
      <w:r>
        <w:rPr>
          <w:rFonts w:ascii="Arial" w:hAnsi="Arial" w:cs="Arial"/>
          <w:b/>
          <w:color w:val="00000A"/>
          <w:sz w:val="24"/>
        </w:rPr>
        <w:t>INTRODUCCION</w:t>
      </w:r>
      <w:bookmarkEnd w:id="8"/>
      <w:r>
        <w:rPr>
          <w:rFonts w:ascii="Arial" w:hAnsi="Arial" w:cs="Arial"/>
          <w:b/>
          <w:color w:val="00000A"/>
          <w:sz w:val="24"/>
        </w:rPr>
        <w:commentReference w:id="9"/>
      </w:r>
    </w:p>
    <w:p w14:paraId="09CDF754" w14:textId="77777777" w:rsidR="00687577" w:rsidRDefault="00687577">
      <w:pPr>
        <w:spacing w:after="240" w:line="360" w:lineRule="auto"/>
        <w:ind w:firstLine="709"/>
        <w:jc w:val="both"/>
        <w:rPr>
          <w:rFonts w:ascii="Arial" w:hAnsi="Arial" w:cs="Arial"/>
          <w:sz w:val="24"/>
          <w:szCs w:val="24"/>
        </w:rPr>
      </w:pPr>
      <w:r>
        <w:rPr>
          <w:rFonts w:ascii="Arial" w:hAnsi="Arial" w:cs="Arial"/>
          <w:sz w:val="24"/>
          <w:szCs w:val="24"/>
        </w:rPr>
        <w:t>El presente proyecto de investigación, titulado “El ejercicio periodístico en el Estado de México que está bajo el Mecanismo de Protección a Periodistas” pretende ser un análisis de un caso muestra, en donde el ejercicio periodístico como objeto de estudio, es analizado a través de la Teoría de Sistemas Sociales de Niklas Luhmann, al determinar la interacción y afectación del objeto de estudio con diferentes elementos de los sistemas sociales en los que interactúa, pretendiendo determinar la forma de entropía del sistemas y sus elementos.</w:t>
      </w:r>
    </w:p>
    <w:p w14:paraId="3D960CA2" w14:textId="7DB19348" w:rsidR="00687577" w:rsidRDefault="0023671C">
      <w:pPr>
        <w:spacing w:after="240" w:line="360" w:lineRule="auto"/>
        <w:ind w:firstLine="709"/>
        <w:jc w:val="both"/>
        <w:rPr>
          <w:rFonts w:ascii="Arial" w:hAnsi="Arial" w:cs="Arial"/>
          <w:sz w:val="24"/>
          <w:szCs w:val="24"/>
        </w:rPr>
      </w:pPr>
      <w:r>
        <w:rPr>
          <w:rFonts w:ascii="Arial" w:hAnsi="Arial" w:cs="Arial"/>
          <w:sz w:val="24"/>
          <w:szCs w:val="24"/>
        </w:rPr>
        <w:t>Se analizará</w:t>
      </w:r>
      <w:r w:rsidR="00687577">
        <w:rPr>
          <w:rFonts w:ascii="Arial" w:hAnsi="Arial" w:cs="Arial"/>
          <w:sz w:val="24"/>
          <w:szCs w:val="24"/>
        </w:rPr>
        <w:t xml:space="preserve"> al objeto de estudio dentro del sistema social “Estado de México”, con especial énfasis en la interacción que se realiza con los subsistemas</w:t>
      </w:r>
      <w:r>
        <w:rPr>
          <w:rFonts w:ascii="Arial" w:hAnsi="Arial" w:cs="Arial"/>
          <w:sz w:val="24"/>
          <w:szCs w:val="24"/>
        </w:rPr>
        <w:t>: jurídico, político y cultural</w:t>
      </w:r>
      <w:r w:rsidR="00687577">
        <w:rPr>
          <w:rFonts w:ascii="Arial" w:hAnsi="Arial" w:cs="Arial"/>
          <w:sz w:val="24"/>
          <w:szCs w:val="24"/>
        </w:rPr>
        <w:t>.</w:t>
      </w:r>
    </w:p>
    <w:p w14:paraId="406F88C1" w14:textId="77777777" w:rsidR="00687577" w:rsidRDefault="00687577">
      <w:pPr>
        <w:spacing w:after="240" w:line="360" w:lineRule="auto"/>
        <w:ind w:firstLine="709"/>
        <w:jc w:val="both"/>
        <w:rPr>
          <w:rFonts w:ascii="Arial" w:hAnsi="Arial" w:cs="Arial"/>
          <w:sz w:val="24"/>
          <w:szCs w:val="24"/>
        </w:rPr>
      </w:pPr>
      <w:r>
        <w:rPr>
          <w:rFonts w:ascii="Arial" w:hAnsi="Arial" w:cs="Arial"/>
          <w:sz w:val="24"/>
          <w:szCs w:val="24"/>
        </w:rPr>
        <w:t>Se ha elegido el sistema jurídico como uno de los subsistemas determinantes en el desarrollo del objeto de estudio, toda vez que este es un derecho humano; que ha sido reconocido por los cuerpos legales del país; pero que al mismo tiempo puede representar el más grande obstáculo.</w:t>
      </w:r>
    </w:p>
    <w:p w14:paraId="11DE2F28" w14:textId="77777777" w:rsidR="00687577" w:rsidRDefault="00687577">
      <w:pPr>
        <w:spacing w:after="240" w:line="360" w:lineRule="auto"/>
        <w:ind w:firstLine="709"/>
        <w:jc w:val="both"/>
        <w:rPr>
          <w:rFonts w:ascii="Arial" w:hAnsi="Arial" w:cs="Arial"/>
          <w:sz w:val="24"/>
          <w:szCs w:val="24"/>
        </w:rPr>
      </w:pPr>
      <w:r>
        <w:rPr>
          <w:rFonts w:ascii="Arial" w:hAnsi="Arial" w:cs="Arial"/>
          <w:sz w:val="24"/>
          <w:szCs w:val="24"/>
        </w:rPr>
        <w:t>Por lo que hace al subsistema político, va muy de la mano con el jurídico, obedece y algunas ocasiones, dirige el camino a seguir del sistema legal; puesto que es la cortina que por un lado otorga protección y total libertad para ejercer el periodismo, mientras que por el otro, si no resulta conveniente a las cabezas políticas; son capaces de cortar de tajo toda posibilidad de ejercer dicha libertad de expresión.</w:t>
      </w:r>
    </w:p>
    <w:p w14:paraId="13C3B93F" w14:textId="32F0F949" w:rsidR="00687577" w:rsidRDefault="00687577">
      <w:pPr>
        <w:spacing w:after="240" w:line="360" w:lineRule="auto"/>
        <w:ind w:firstLine="709"/>
        <w:jc w:val="both"/>
        <w:rPr>
          <w:szCs w:val="32"/>
        </w:rPr>
      </w:pPr>
      <w:r>
        <w:rPr>
          <w:rFonts w:ascii="Arial" w:hAnsi="Arial" w:cs="Arial"/>
          <w:sz w:val="24"/>
          <w:szCs w:val="24"/>
        </w:rPr>
        <w:t>En última instancia, y debido a que el nombre del p</w:t>
      </w:r>
      <w:r w:rsidR="0023671C">
        <w:rPr>
          <w:rFonts w:ascii="Arial" w:hAnsi="Arial" w:cs="Arial"/>
          <w:sz w:val="24"/>
          <w:szCs w:val="24"/>
        </w:rPr>
        <w:t>rograma de estudios es Maestría en Periodismo de Investigación</w:t>
      </w:r>
      <w:r>
        <w:rPr>
          <w:rFonts w:ascii="Arial" w:hAnsi="Arial" w:cs="Arial"/>
          <w:sz w:val="24"/>
          <w:szCs w:val="24"/>
        </w:rPr>
        <w:t>, este proyecto obedece a un análisis mediático en el que resulta indispensable concebir al objeto de estudio de manera correcta para entender las limitaciones y sobre todo los grandes retos a los que se enfrenta este importante derecho.</w:t>
      </w:r>
    </w:p>
    <w:p w14:paraId="56A663B4" w14:textId="77777777" w:rsidR="00687577" w:rsidRDefault="00687577">
      <w:pPr>
        <w:rPr>
          <w:szCs w:val="32"/>
        </w:rPr>
      </w:pPr>
    </w:p>
    <w:p w14:paraId="484BC49C" w14:textId="77777777" w:rsidR="00687577" w:rsidRDefault="00687577">
      <w:pPr>
        <w:pStyle w:val="Ttulo1"/>
        <w:pageBreakBefore/>
        <w:rPr>
          <w:rFonts w:ascii="Arial" w:hAnsi="Arial" w:cs="Arial"/>
          <w:b/>
          <w:sz w:val="24"/>
        </w:rPr>
      </w:pPr>
      <w:bookmarkStart w:id="10" w:name="__RefHeading__2203_1000385367"/>
      <w:bookmarkStart w:id="11" w:name="_Toc4083806"/>
      <w:bookmarkEnd w:id="10"/>
      <w:r>
        <w:rPr>
          <w:rFonts w:ascii="Arial" w:hAnsi="Arial" w:cs="Arial"/>
          <w:b/>
          <w:color w:val="00000A"/>
          <w:sz w:val="24"/>
          <w:szCs w:val="24"/>
        </w:rPr>
        <w:t>OBJETIVOS</w:t>
      </w:r>
      <w:bookmarkEnd w:id="11"/>
      <w:r>
        <w:rPr>
          <w:rFonts w:ascii="Arial" w:hAnsi="Arial" w:cs="Arial"/>
          <w:b/>
          <w:color w:val="00000A"/>
          <w:sz w:val="24"/>
          <w:szCs w:val="24"/>
        </w:rPr>
        <w:commentReference w:id="12"/>
      </w:r>
    </w:p>
    <w:p w14:paraId="1DC274CF" w14:textId="77777777" w:rsidR="00687577" w:rsidRDefault="00687577">
      <w:pPr>
        <w:jc w:val="both"/>
        <w:rPr>
          <w:rFonts w:ascii="Arial" w:hAnsi="Arial" w:cs="Arial"/>
          <w:b/>
          <w:sz w:val="24"/>
        </w:rPr>
      </w:pPr>
    </w:p>
    <w:p w14:paraId="4807DE66" w14:textId="77777777" w:rsidR="00687577" w:rsidRDefault="00687577">
      <w:pPr>
        <w:jc w:val="both"/>
        <w:rPr>
          <w:rFonts w:ascii="Arial" w:hAnsi="Arial" w:cs="Arial"/>
          <w:b/>
          <w:sz w:val="24"/>
        </w:rPr>
      </w:pPr>
    </w:p>
    <w:p w14:paraId="70EBC78B" w14:textId="77777777" w:rsidR="00687577" w:rsidRDefault="00687577">
      <w:pPr>
        <w:jc w:val="both"/>
        <w:rPr>
          <w:rFonts w:ascii="Arial" w:hAnsi="Arial" w:cs="Arial"/>
          <w:sz w:val="24"/>
        </w:rPr>
      </w:pPr>
      <w:r>
        <w:rPr>
          <w:rFonts w:ascii="Arial" w:hAnsi="Arial" w:cs="Arial"/>
          <w:b/>
          <w:sz w:val="24"/>
        </w:rPr>
        <w:t>Objetivos generales</w:t>
      </w:r>
    </w:p>
    <w:p w14:paraId="20530D32" w14:textId="77777777" w:rsidR="00687577" w:rsidRDefault="00687577">
      <w:pPr>
        <w:jc w:val="both"/>
        <w:rPr>
          <w:rFonts w:ascii="Arial" w:hAnsi="Arial" w:cs="Arial"/>
          <w:b/>
          <w:sz w:val="24"/>
        </w:rPr>
      </w:pPr>
      <w:r>
        <w:rPr>
          <w:rFonts w:ascii="Arial" w:hAnsi="Arial" w:cs="Arial"/>
          <w:sz w:val="24"/>
        </w:rPr>
        <w:tab/>
        <w:t>Analizar al ejercicio periodístico del Estado de México que está bajo el Mecanismo de Protección a Periodistas a partir de las limitaciones en materia de libertad de expresión y los riesgos sociales que presenta.</w:t>
      </w:r>
    </w:p>
    <w:p w14:paraId="2D2DE7A5" w14:textId="77777777" w:rsidR="00687577" w:rsidRDefault="00687577">
      <w:pPr>
        <w:jc w:val="both"/>
        <w:rPr>
          <w:rFonts w:ascii="Arial" w:hAnsi="Arial" w:cs="Arial"/>
          <w:b/>
          <w:sz w:val="24"/>
        </w:rPr>
      </w:pPr>
    </w:p>
    <w:p w14:paraId="551C6C6C" w14:textId="042BB56F" w:rsidR="00687577" w:rsidRDefault="00687577">
      <w:pPr>
        <w:rPr>
          <w:rFonts w:ascii="Arial" w:hAnsi="Arial" w:cs="Arial"/>
          <w:b/>
          <w:sz w:val="24"/>
        </w:rPr>
      </w:pPr>
      <w:r>
        <w:rPr>
          <w:rFonts w:ascii="Arial" w:hAnsi="Arial" w:cs="Arial"/>
          <w:b/>
          <w:sz w:val="24"/>
        </w:rPr>
        <w:t>Objetivos específicos</w:t>
      </w:r>
    </w:p>
    <w:p w14:paraId="1BDC142E" w14:textId="67AD5796" w:rsidR="0023671C" w:rsidRDefault="0023671C">
      <w:pPr>
        <w:rPr>
          <w:rFonts w:ascii="Arial" w:hAnsi="Arial" w:cs="Arial"/>
          <w:b/>
          <w:sz w:val="24"/>
        </w:rPr>
      </w:pPr>
    </w:p>
    <w:p w14:paraId="000606F0" w14:textId="14340B3B" w:rsidR="0023671C" w:rsidRPr="0023671C" w:rsidRDefault="0023671C">
      <w:r w:rsidRPr="0023671C">
        <w:rPr>
          <w:rFonts w:ascii="Arial" w:hAnsi="Arial" w:cs="Arial"/>
          <w:sz w:val="24"/>
        </w:rPr>
        <w:t>Se desarrollan en el siguiente capitulado.</w:t>
      </w:r>
    </w:p>
    <w:p w14:paraId="3E785003" w14:textId="77777777" w:rsidR="00687577" w:rsidRDefault="00687577">
      <w:pPr>
        <w:pStyle w:val="Piedepgina"/>
      </w:pPr>
    </w:p>
    <w:p w14:paraId="28A268B2" w14:textId="77777777" w:rsidR="00687577" w:rsidRDefault="00687577">
      <w:pPr>
        <w:sectPr w:rsidR="00687577">
          <w:footerReference w:type="default" r:id="rId10"/>
          <w:pgSz w:w="12240" w:h="15840"/>
          <w:pgMar w:top="1440" w:right="1440" w:bottom="1440" w:left="1440" w:header="720" w:footer="708" w:gutter="0"/>
          <w:cols w:space="720"/>
          <w:docGrid w:linePitch="360" w:charSpace="-2049"/>
        </w:sectPr>
      </w:pPr>
    </w:p>
    <w:p w14:paraId="799733D3" w14:textId="77777777" w:rsidR="00687577" w:rsidRDefault="00687577">
      <w:pPr>
        <w:pStyle w:val="Ttulo1"/>
        <w:jc w:val="center"/>
        <w:rPr>
          <w:rFonts w:ascii="Arial" w:hAnsi="Arial" w:cs="Arial"/>
          <w:sz w:val="24"/>
          <w:szCs w:val="24"/>
        </w:rPr>
      </w:pPr>
      <w:bookmarkStart w:id="13" w:name="__RefHeading__2205_1000385367"/>
      <w:bookmarkStart w:id="14" w:name="_Toc4083807"/>
      <w:bookmarkEnd w:id="13"/>
      <w:r>
        <w:rPr>
          <w:rFonts w:ascii="Arial" w:hAnsi="Arial" w:cs="Arial"/>
          <w:b/>
          <w:color w:val="00000A"/>
          <w:sz w:val="24"/>
        </w:rPr>
        <w:t>Capitulo I.  Tipología del ejercicio periodístico</w:t>
      </w:r>
      <w:bookmarkEnd w:id="14"/>
    </w:p>
    <w:p w14:paraId="38AC2A93" w14:textId="77777777" w:rsidR="00687577" w:rsidRDefault="00687577">
      <w:pPr>
        <w:pStyle w:val="Prrafodelista1"/>
        <w:spacing w:before="240" w:line="360" w:lineRule="auto"/>
        <w:ind w:left="1080"/>
        <w:jc w:val="both"/>
        <w:rPr>
          <w:rFonts w:ascii="Arial" w:hAnsi="Arial" w:cs="Arial"/>
          <w:sz w:val="24"/>
          <w:szCs w:val="24"/>
        </w:rPr>
      </w:pPr>
    </w:p>
    <w:p w14:paraId="3FEA2C3C" w14:textId="77777777" w:rsidR="00687577" w:rsidRDefault="00687577">
      <w:pPr>
        <w:pStyle w:val="Ttulo2"/>
        <w:numPr>
          <w:ilvl w:val="2"/>
          <w:numId w:val="2"/>
        </w:numPr>
        <w:ind w:left="426" w:firstLine="0"/>
        <w:rPr>
          <w:rFonts w:ascii="Arial" w:hAnsi="Arial" w:cs="Arial"/>
          <w:sz w:val="24"/>
          <w:szCs w:val="24"/>
        </w:rPr>
      </w:pPr>
      <w:bookmarkStart w:id="15" w:name="__RefHeading__2207_1000385367"/>
      <w:bookmarkStart w:id="16" w:name="_Toc4083808"/>
      <w:bookmarkEnd w:id="15"/>
      <w:r>
        <w:rPr>
          <w:rFonts w:ascii="Arial" w:hAnsi="Arial" w:cs="Arial"/>
          <w:b/>
          <w:color w:val="00000A"/>
          <w:sz w:val="24"/>
        </w:rPr>
        <w:t>Definición del ejercicio periodístico</w:t>
      </w:r>
      <w:bookmarkEnd w:id="16"/>
    </w:p>
    <w:p w14:paraId="15AFC3AE"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Existen distintos conceptos del ejercicio periodístico, los cuales derivan de la visualización de esta profesión en el entorno social, de inicio, el periodismo es la actividad del periodista y un periodista es el profesional de la información (Gomis, 1991).</w:t>
      </w:r>
    </w:p>
    <w:p w14:paraId="12F2A170" w14:textId="1E407A0E"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En función del conocimiento objetivo</w:t>
      </w:r>
      <w:r>
        <w:rPr>
          <w:rStyle w:val="Refdenotaalpie"/>
        </w:rPr>
        <w:footnoteReference w:id="1"/>
      </w:r>
      <w:r>
        <w:rPr>
          <w:rFonts w:ascii="Arial" w:hAnsi="Arial" w:cs="Arial"/>
          <w:sz w:val="24"/>
          <w:szCs w:val="24"/>
        </w:rPr>
        <w:t>, el autor Gomis (1991) indica que gracias a los medios de comunicación se percibe la realidad social, quienes efectúan una actividad profesional de mediación, entre realidad global y audiencia (p.190), en tal virtud, la actividad profesional del periodismo tiene como objetivo ofrecer una visión concentra</w:t>
      </w:r>
      <w:r w:rsidR="00224CC8">
        <w:rPr>
          <w:rFonts w:ascii="Arial" w:hAnsi="Arial" w:cs="Arial"/>
          <w:sz w:val="24"/>
          <w:szCs w:val="24"/>
        </w:rPr>
        <w:t>da</w:t>
      </w:r>
      <w:r>
        <w:rPr>
          <w:rFonts w:ascii="Arial" w:hAnsi="Arial" w:cs="Arial"/>
          <w:sz w:val="24"/>
          <w:szCs w:val="24"/>
        </w:rPr>
        <w:t xml:space="preserve"> de la propia realidad social. </w:t>
      </w:r>
    </w:p>
    <w:p w14:paraId="0127F426" w14:textId="52F49D44"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Para Gomis (1991) el periodismo</w:t>
      </w:r>
      <w:r w:rsidR="00224CC8">
        <w:rPr>
          <w:rFonts w:ascii="Arial" w:hAnsi="Arial" w:cs="Arial"/>
          <w:sz w:val="24"/>
          <w:szCs w:val="24"/>
        </w:rPr>
        <w:t>,</w:t>
      </w:r>
      <w:r>
        <w:rPr>
          <w:rFonts w:ascii="Arial" w:hAnsi="Arial" w:cs="Arial"/>
          <w:sz w:val="24"/>
          <w:szCs w:val="24"/>
        </w:rPr>
        <w:t xml:space="preserve"> y su respectivo ejercicio profesional, son un método de interpretación sucesivo de la realidad. También da una primera caracterización objetiva, basada en la observación científica</w:t>
      </w:r>
      <w:r>
        <w:rPr>
          <w:rStyle w:val="Refdenotaalpie"/>
        </w:rPr>
        <w:footnoteReference w:id="2"/>
      </w:r>
      <w:r>
        <w:rPr>
          <w:rFonts w:ascii="Arial" w:hAnsi="Arial" w:cs="Arial"/>
          <w:sz w:val="24"/>
          <w:szCs w:val="24"/>
        </w:rPr>
        <w:t xml:space="preserve"> del ejercicio periodístico. Misma que deriva de su función como método interpretativo de la realidad:</w:t>
      </w:r>
    </w:p>
    <w:p w14:paraId="74CDFA97" w14:textId="043BD0AD" w:rsidR="00687577" w:rsidRPr="00224CC8" w:rsidRDefault="00224CC8" w:rsidP="00224CC8">
      <w:pPr>
        <w:spacing w:before="240" w:after="200" w:line="360" w:lineRule="auto"/>
        <w:ind w:left="1069"/>
        <w:jc w:val="both"/>
        <w:rPr>
          <w:rFonts w:ascii="Arial" w:hAnsi="Arial" w:cs="Arial"/>
          <w:sz w:val="24"/>
          <w:szCs w:val="24"/>
        </w:rPr>
      </w:pPr>
      <w:r>
        <w:rPr>
          <w:rFonts w:ascii="Arial" w:hAnsi="Arial" w:cs="Arial"/>
          <w:sz w:val="24"/>
          <w:szCs w:val="24"/>
        </w:rPr>
        <w:t>1.</w:t>
      </w:r>
      <w:r w:rsidR="00687577" w:rsidRPr="00224CC8">
        <w:rPr>
          <w:rFonts w:ascii="Arial" w:hAnsi="Arial" w:cs="Arial"/>
          <w:sz w:val="24"/>
          <w:szCs w:val="24"/>
        </w:rPr>
        <w:t>Interpretación de hechos o noticias. Su función es componer el presente social como un conjunto o mosaico de hechos. Su género propio es la noticia. 2. Interpretación de situaciones. Presenta personajes y situaciones en un lugar del mundo o en un ámbito temático. Es complementaria de la anterior. Su función es comprender mejor el presente (o actualidad) presentado noticiosamente como mosaico de hechos. Sus géneros son el reportaje y la crónica. 3. Interpretación moral o comentario. Analiza y juzga hechos y situaciones. Su función es esclarecer si los hechos o situaciones son buenos o malos, convenientes o inconvenientes y proyectar esos juicios sobre las acciones necesarias para conseguir que el futuro sea mejor (o menos malo) que el presente. Su género es el comentario (p.192).</w:t>
      </w:r>
    </w:p>
    <w:p w14:paraId="1D137A2E"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El ejercicio periodístico también adquiere el carácter de conocimiento objetivo mediante la tipología que utiliza Pereira (2010, p.123) al retomar a Jean Charron y Jean de Bonville</w:t>
      </w:r>
      <w:r>
        <w:rPr>
          <w:rStyle w:val="Refdenotaalpie"/>
        </w:rPr>
        <w:footnoteReference w:id="3"/>
      </w:r>
      <w:r>
        <w:rPr>
          <w:rFonts w:ascii="Arial" w:hAnsi="Arial" w:cs="Arial"/>
          <w:sz w:val="24"/>
          <w:szCs w:val="24"/>
        </w:rPr>
        <w:t>, quienes conceptualizan cuatro tipos de periodismo históricamente adaptados a las circunstancias sociales, mismos que son de transmisión, de opinión, de información y de comunicación; autores que plantean una relación con el tipo de estructura social con el cual se relaciona la prensa.</w:t>
      </w:r>
    </w:p>
    <w:p w14:paraId="0F42F761"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De ahí, que como apunta Pereira (2010), el periodismo puede conceptualizarse a partir de su práctica social (periodismo como mediador social) y como práctica discursiva (método interpretativo de la realidad); esto convierte al ejercicio periodístico en una actividad construida desde diferentes dialécticas</w:t>
      </w:r>
      <w:r>
        <w:rPr>
          <w:rStyle w:val="Refdenotaalpie"/>
        </w:rPr>
        <w:footnoteReference w:id="4"/>
      </w:r>
      <w:r>
        <w:rPr>
          <w:rFonts w:ascii="Arial" w:hAnsi="Arial" w:cs="Arial"/>
          <w:sz w:val="24"/>
          <w:szCs w:val="24"/>
        </w:rPr>
        <w:t>, que son “las relaciones entre individuo y sociedad, entre estructura e historia, entre homogeneidad y heterogeneidad de esa actividad, entre el plano simbólico (de las palabras) y el plano concreto de la práctica social (de las cosas)” (p. 104).</w:t>
      </w:r>
    </w:p>
    <w:p w14:paraId="1718EE5A"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Este proceso, que forzosamente requiere de una sustentación en hechos objetivos, le otorga al  objeto de estudio (el ejercicio periodístico) la posibilidad de involucrarse en una búsqueda científica, con la posibilidad de basarse en la Teoría del Periodismo, propuesta por De Aguinaga (2001), cuyo elemento principal sería considerar al ejercicio periodístico desde su concepción esencial o científica (p.45), es decir, desde la periodificación, la cual se describe así: “en cuanto periodificación, es un sistema de clasificación de la realidad en razón de la importancia de los hechos, sistema que enlaza con la tradición de la Taxonomía, representada por Linneo, como gran clasificador de la Naturaleza” (De Aguinaga, p.248).</w:t>
      </w:r>
    </w:p>
    <w:p w14:paraId="327CA952"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Desde esta Teoría del Periodismo existe un acercamiento a la ciencia, en función de que permite el análisis objetivo de la actividad o ejercicio periodístico, con el fin de valorar los actos instrumentales o técnicos de esta profesión y el ejercicio propiamente del periodismo.</w:t>
      </w:r>
    </w:p>
    <w:p w14:paraId="73787239" w14:textId="77777777" w:rsidR="00687577" w:rsidRDefault="00687577">
      <w:pPr>
        <w:spacing w:before="240" w:after="200" w:line="360" w:lineRule="auto"/>
        <w:ind w:left="708" w:firstLine="1"/>
        <w:jc w:val="both"/>
        <w:rPr>
          <w:rFonts w:ascii="Arial" w:hAnsi="Arial" w:cs="Arial"/>
          <w:sz w:val="24"/>
          <w:szCs w:val="24"/>
        </w:rPr>
      </w:pPr>
      <w:r>
        <w:rPr>
          <w:rFonts w:ascii="Arial" w:hAnsi="Arial" w:cs="Arial"/>
          <w:sz w:val="24"/>
          <w:szCs w:val="24"/>
        </w:rPr>
        <w:t>El acto periodístico (clasificatorio) se produce cuando el reportaje se instala o deja de instalarse, de un modo u otro modo, en un conjunto ordenado valorativamente para dar una versión de la realidad, una respuesta a la pregunta de Livingstone.</w:t>
      </w:r>
      <w:r>
        <w:rPr>
          <w:rStyle w:val="Refdenotaalpie"/>
        </w:rPr>
        <w:footnoteReference w:id="5"/>
      </w:r>
      <w:r>
        <w:rPr>
          <w:rFonts w:ascii="Arial" w:hAnsi="Arial" w:cs="Arial"/>
          <w:sz w:val="24"/>
          <w:szCs w:val="24"/>
        </w:rPr>
        <w:t xml:space="preserve"> El reporterismo o captación; el noticierismo o información; el comentarismo u opinión; y el publicismo o colaboración –sigue el escándalo dialéctico- son operaciones instrumentales, auxiliares o coadyuvantes del Periodismo, operaciones todo lo importantes y brillantes que se quiera pero, en la Teoría propuesta, no son el propio Periodismo (De Aguinaga, 2001, p.249).</w:t>
      </w:r>
    </w:p>
    <w:p w14:paraId="6EC2E0D3"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Esto porque De Aguinaga refiere que el periodismo no tiene como finalidad la información, pues al ser interpretativo, debe transformar esa información en conocimiento, lo cual es parte central de la Teoría del Periodismo, que a la vez lo ubicaría como elemento básico en la llamada Sociedad del Conocimiento.</w:t>
      </w:r>
      <w:r>
        <w:rPr>
          <w:rStyle w:val="Refdenotaalpie"/>
        </w:rPr>
        <w:footnoteReference w:id="6"/>
      </w:r>
      <w:r>
        <w:rPr>
          <w:rFonts w:ascii="Arial" w:hAnsi="Arial" w:cs="Arial"/>
          <w:sz w:val="24"/>
          <w:szCs w:val="24"/>
        </w:rPr>
        <w:t xml:space="preserve"> </w:t>
      </w:r>
    </w:p>
    <w:p w14:paraId="4538030D"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Con esta Teoría del Periodismo, el ejercicio periodístico no sólo es una práctica interpretativa y discursiva de la realidad social, sino una acción clasificatoria que finalmente ofrece una versión de esa realidad, en otras palabras, lo coloca en una posición dialéctica frente a las distintas estructuras sociales, como otro elemento más en la caracterización objetiva del periodismo.</w:t>
      </w:r>
    </w:p>
    <w:p w14:paraId="10D9E211" w14:textId="77777777" w:rsidR="00687577" w:rsidRDefault="00687577">
      <w:pPr>
        <w:spacing w:before="240" w:line="360" w:lineRule="auto"/>
        <w:ind w:firstLine="708"/>
        <w:jc w:val="both"/>
        <w:rPr>
          <w:rFonts w:ascii="Arial" w:hAnsi="Arial" w:cs="Arial"/>
          <w:b/>
          <w:color w:val="00000A"/>
          <w:sz w:val="24"/>
        </w:rPr>
      </w:pPr>
      <w:r>
        <w:rPr>
          <w:rFonts w:ascii="Arial" w:hAnsi="Arial" w:cs="Arial"/>
          <w:sz w:val="24"/>
          <w:szCs w:val="24"/>
        </w:rPr>
        <w:t xml:space="preserve">Es así que para efectos de esta investigación el ejercicio periodístico debe trascender su función instrumental u operacional de simple captación y sistematización de información social, que si bien es importante para la construcción de la objetividad, no es suficiente, pues requiere de una visión más amplia donde se consolide como una acción clasificatoria de la realidad, lo cual debe ir paralelo a una permanente mediación entre los hechos o noticias registradas y el entorno social. En otras palabras, el ejercicio periodístico es la vía para la búsqueda de la verdad, pero con plenas justificaciones basadas en el análisis sistemático del fenómeno o problemática a abordar, tanto en el plano simbólico como en la práctica social. </w:t>
      </w:r>
    </w:p>
    <w:p w14:paraId="11C25F93" w14:textId="77777777" w:rsidR="00687577" w:rsidRDefault="00687577">
      <w:pPr>
        <w:pStyle w:val="Ttulo2"/>
        <w:ind w:left="284" w:firstLine="0"/>
        <w:rPr>
          <w:rFonts w:ascii="Arial" w:hAnsi="Arial" w:cs="Arial"/>
          <w:b/>
          <w:color w:val="00000A"/>
          <w:sz w:val="24"/>
        </w:rPr>
      </w:pPr>
    </w:p>
    <w:p w14:paraId="68D9431F" w14:textId="77777777" w:rsidR="00687577" w:rsidRDefault="00687577">
      <w:pPr>
        <w:pStyle w:val="Ttulo2"/>
        <w:numPr>
          <w:ilvl w:val="2"/>
          <w:numId w:val="2"/>
        </w:numPr>
        <w:ind w:left="284" w:hanging="284"/>
      </w:pPr>
      <w:bookmarkStart w:id="17" w:name="__RefHeading__2209_1000385367"/>
      <w:bookmarkStart w:id="18" w:name="_Toc4083809"/>
      <w:bookmarkEnd w:id="17"/>
      <w:r>
        <w:rPr>
          <w:rFonts w:ascii="Arial" w:hAnsi="Arial" w:cs="Arial"/>
          <w:b/>
          <w:color w:val="00000A"/>
          <w:sz w:val="24"/>
        </w:rPr>
        <w:t>Derecho a la información y ejercicio periodístico</w:t>
      </w:r>
      <w:bookmarkEnd w:id="18"/>
    </w:p>
    <w:p w14:paraId="71F0E95B" w14:textId="77777777" w:rsidR="00687577" w:rsidRDefault="00687577"/>
    <w:p w14:paraId="423533E1" w14:textId="77777777" w:rsidR="00687577" w:rsidRDefault="00687577">
      <w:pPr>
        <w:spacing w:before="240" w:line="360" w:lineRule="auto"/>
        <w:ind w:firstLine="708"/>
        <w:jc w:val="both"/>
        <w:rPr>
          <w:rFonts w:ascii="Arial" w:hAnsi="Arial" w:cs="Arial"/>
          <w:sz w:val="24"/>
          <w:szCs w:val="24"/>
        </w:rPr>
      </w:pPr>
      <w:r>
        <w:rPr>
          <w:rFonts w:ascii="Arial" w:hAnsi="Arial" w:cs="Arial"/>
          <w:sz w:val="24"/>
          <w:szCs w:val="24"/>
        </w:rPr>
        <w:t xml:space="preserve">El </w:t>
      </w:r>
      <w:r>
        <w:rPr>
          <w:rFonts w:ascii="Arial" w:hAnsi="Arial" w:cs="Arial"/>
          <w:i/>
          <w:sz w:val="24"/>
          <w:szCs w:val="24"/>
        </w:rPr>
        <w:t xml:space="preserve">corpus </w:t>
      </w:r>
      <w:r>
        <w:rPr>
          <w:rFonts w:ascii="Arial" w:hAnsi="Arial" w:cs="Arial"/>
          <w:sz w:val="24"/>
          <w:szCs w:val="24"/>
        </w:rPr>
        <w:t>del ejercicio periodístico es el derecho a la información, el cual se conceptualiza a partir de las garantías que tiene toda persona para buscar, acceder y difundir información (Villanueva, 2008, p. 10).</w:t>
      </w:r>
    </w:p>
    <w:p w14:paraId="0E142744"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Este derecho está sustentado en distintos ordenamientos internacionales y nacionales. Derecho que está en el ámbito de lo que Norberto Bobbio identifica como el Estado Liberal:</w:t>
      </w:r>
    </w:p>
    <w:p w14:paraId="36331E17" w14:textId="77777777" w:rsidR="00687577" w:rsidRDefault="00687577">
      <w:pPr>
        <w:spacing w:before="240" w:after="200" w:line="360" w:lineRule="auto"/>
        <w:ind w:left="709"/>
        <w:jc w:val="both"/>
        <w:rPr>
          <w:rFonts w:ascii="Arial" w:hAnsi="Arial" w:cs="Arial"/>
          <w:sz w:val="24"/>
          <w:szCs w:val="24"/>
        </w:rPr>
      </w:pPr>
      <w:r>
        <w:rPr>
          <w:rFonts w:ascii="Arial" w:hAnsi="Arial" w:cs="Arial"/>
          <w:sz w:val="24"/>
          <w:szCs w:val="24"/>
        </w:rPr>
        <w:t>El presupuesto filosófico del Estado liberal, entendido como Estado limitado en contraposición al Estado absoluto, es la doctrina de los derechos del hombre elaborada por la escuela del derecho natural (o iusnaturalismo): la doctrina, de acuerdo con la cual el hombre, todos los hombres indistintamente tienen por naturaleza, y por tanto sin importar su voluntad, mucho menos la voluntad de unos cuantos o de uno solo, algunos derechos fundamentales como el derecho a la vida, a la libertad, a la seguridad, a la felicidad que el Estado, o más concretamente, aquellos que en determinado momento histórico detentan el poder legítimo de ejercer la fuerza para obtener la obediencia a sus mandatos, deben respetar no invadiéndolos y garantizarlos frente a cualquier intervención posible por parte de los demás (Bobbio, 2002, p.11).</w:t>
      </w:r>
    </w:p>
    <w:p w14:paraId="62162FA5"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 xml:space="preserve">Derivado de este concepto se deduce que el Estado Liberal tiene el monopolio de la violencia para asegurar el cumplimiento de sus acciones, sin embargo, frente a este poder surge el empoderamiento de la persona mediante derechos que son potestad de todo individuo por el sólo hecho de ser parte de su esencia. </w:t>
      </w:r>
    </w:p>
    <w:p w14:paraId="082EBE3D"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De conformidad con la Declaración Americana de los Derechos y Deberes del Hombre (DADDH) (1948, p.1), un derecho humano parte de la propia condición de toda persona, pues “los derechos esenciales del hombre no nacen del hecho de ser nacional de determinado Estado, sino que tienen como fundamento los atributos de la persona humana</w:t>
      </w:r>
      <w:r>
        <w:rPr>
          <w:rFonts w:ascii="Arial" w:hAnsi="Arial" w:cs="Arial"/>
          <w:sz w:val="24"/>
          <w:szCs w:val="24"/>
        </w:rPr>
        <w:commentReference w:id="19"/>
      </w:r>
      <w:r>
        <w:rPr>
          <w:rFonts w:ascii="Arial" w:hAnsi="Arial" w:cs="Arial"/>
          <w:sz w:val="24"/>
          <w:szCs w:val="24"/>
        </w:rPr>
        <w:t>”.</w:t>
      </w:r>
    </w:p>
    <w:p w14:paraId="0444CFDA" w14:textId="77777777" w:rsidR="00687577" w:rsidRDefault="00687577">
      <w:pPr>
        <w:spacing w:before="240" w:after="200" w:line="360" w:lineRule="auto"/>
        <w:ind w:left="709"/>
        <w:jc w:val="both"/>
        <w:rPr>
          <w:rFonts w:ascii="Arial" w:hAnsi="Arial" w:cs="Arial"/>
          <w:sz w:val="24"/>
          <w:szCs w:val="24"/>
        </w:rPr>
      </w:pPr>
      <w:r>
        <w:rPr>
          <w:rFonts w:ascii="Arial" w:hAnsi="Arial" w:cs="Arial"/>
          <w:sz w:val="24"/>
          <w:szCs w:val="24"/>
        </w:rPr>
        <w:t>Con el discurso liberal, la doctrina de la verdad del Estado sufre un gran golpe, pues esta nueva justificación del poder político postula que no existe nada en el Estado que no esté antes en los derechos de los individuos. De esta forma, el Estado aparece como fuerza agregada en las que los derechos individuales permanecen intactos; todo lo contrario al modelo absolutista, en el que el carácter organicista del Estado desdibuja el perfil individual de los derechos y los convierte en mera concesión y/o generosidad del gobernante (Rodríguez, 2004, p.28).</w:t>
      </w:r>
    </w:p>
    <w:p w14:paraId="5EE69FAE"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 xml:space="preserve">En este contexto resulta pertinente ubicar al derecho a la información, como garantía individual </w:t>
      </w:r>
      <w:r>
        <w:rPr>
          <w:rFonts w:ascii="Arial" w:hAnsi="Arial" w:cs="Arial"/>
          <w:sz w:val="24"/>
          <w:szCs w:val="24"/>
        </w:rPr>
        <w:commentReference w:id="20"/>
      </w:r>
      <w:r>
        <w:rPr>
          <w:rFonts w:ascii="Arial" w:hAnsi="Arial" w:cs="Arial"/>
          <w:sz w:val="24"/>
          <w:szCs w:val="24"/>
        </w:rPr>
        <w:t>que surge en un escenario de mayores libertades frente al Estado, en aras de evitar abusos o criterios absolutistas por parte de quienes detentan el poder.</w:t>
      </w:r>
    </w:p>
    <w:p w14:paraId="5088CCF9"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Los fundamentos del derecho a la información se encuentran en el artículo 19 de la Declaración Universal de los Derechos Humanos (DUDH, 1948, p. 2), el cual delinea que la libertad de expresión implica los derechos a informar, buscar información y ser informado, que también son fases básicas en el ejercicio periodístico.</w:t>
      </w:r>
    </w:p>
    <w:p w14:paraId="2B2C427A" w14:textId="77777777" w:rsidR="00687577" w:rsidRDefault="00687577">
      <w:pPr>
        <w:spacing w:before="240" w:after="200" w:line="360" w:lineRule="auto"/>
        <w:ind w:firstLine="708"/>
        <w:jc w:val="both"/>
        <w:rPr>
          <w:rFonts w:ascii="Arial" w:hAnsi="Arial" w:cs="Arial"/>
          <w:bCs/>
          <w:sz w:val="24"/>
          <w:szCs w:val="24"/>
          <w:lang w:val="es-ES"/>
        </w:rPr>
      </w:pPr>
      <w:r>
        <w:rPr>
          <w:rFonts w:ascii="Arial" w:hAnsi="Arial" w:cs="Arial"/>
          <w:sz w:val="24"/>
          <w:szCs w:val="24"/>
        </w:rPr>
        <w:t>Tal relación entre el derecho a la información y el ejercicio periodístico se advierte con la explicación de Villanueva, quien desglosa de esta forma el artículo 19 de la DUDH.</w:t>
      </w:r>
    </w:p>
    <w:p w14:paraId="5BFF09E0" w14:textId="77777777" w:rsidR="00687577" w:rsidRDefault="00687577">
      <w:pPr>
        <w:spacing w:before="240" w:after="200" w:line="360" w:lineRule="auto"/>
        <w:ind w:left="708" w:firstLine="1"/>
        <w:jc w:val="both"/>
        <w:rPr>
          <w:rFonts w:ascii="Arial" w:hAnsi="Arial" w:cs="Arial"/>
          <w:sz w:val="24"/>
          <w:szCs w:val="24"/>
        </w:rPr>
      </w:pPr>
      <w:r>
        <w:rPr>
          <w:rFonts w:ascii="Arial" w:hAnsi="Arial" w:cs="Arial"/>
          <w:bCs/>
          <w:sz w:val="24"/>
          <w:szCs w:val="24"/>
          <w:lang w:val="es-ES"/>
        </w:rPr>
        <w:t>1. El derecho a atraerse información. Incluye las facultades de a) acceso a los archivos, registros y documentos públicos y, b) la decisión de qué medio se lee, se escucha o se contempla.</w:t>
      </w:r>
    </w:p>
    <w:p w14:paraId="622AC21F" w14:textId="77777777" w:rsidR="00687577" w:rsidRDefault="00687577">
      <w:pPr>
        <w:spacing w:before="240" w:after="200" w:line="360" w:lineRule="auto"/>
        <w:ind w:left="708" w:firstLine="1"/>
        <w:jc w:val="both"/>
        <w:rPr>
          <w:rFonts w:ascii="Arial" w:hAnsi="Arial" w:cs="Arial"/>
          <w:sz w:val="24"/>
          <w:szCs w:val="24"/>
        </w:rPr>
      </w:pPr>
      <w:r>
        <w:rPr>
          <w:rFonts w:ascii="Arial" w:hAnsi="Arial" w:cs="Arial"/>
          <w:sz w:val="24"/>
          <w:szCs w:val="24"/>
        </w:rPr>
        <w:t xml:space="preserve">2. </w:t>
      </w:r>
      <w:r>
        <w:rPr>
          <w:rFonts w:ascii="Arial" w:hAnsi="Arial" w:cs="Arial"/>
          <w:bCs/>
          <w:sz w:val="24"/>
          <w:szCs w:val="24"/>
          <w:lang w:val="es-ES"/>
        </w:rPr>
        <w:t>El derecho a informar. Están incluidas: a) las libertades de expresión y de imprenta y b) el de constitución de sociedades y empresas informativas.</w:t>
      </w:r>
    </w:p>
    <w:p w14:paraId="1D6600BF" w14:textId="77777777" w:rsidR="00687577" w:rsidRDefault="00687577">
      <w:pPr>
        <w:spacing w:before="240" w:after="200" w:line="360" w:lineRule="auto"/>
        <w:ind w:left="708" w:firstLine="1"/>
        <w:jc w:val="both"/>
        <w:rPr>
          <w:rFonts w:ascii="Arial" w:hAnsi="Arial" w:cs="Arial"/>
          <w:sz w:val="24"/>
          <w:szCs w:val="24"/>
        </w:rPr>
      </w:pPr>
      <w:r>
        <w:rPr>
          <w:rFonts w:ascii="Arial" w:hAnsi="Arial" w:cs="Arial"/>
          <w:sz w:val="24"/>
          <w:szCs w:val="24"/>
        </w:rPr>
        <w:t xml:space="preserve">3. </w:t>
      </w:r>
      <w:r>
        <w:rPr>
          <w:rFonts w:ascii="Arial" w:hAnsi="Arial" w:cs="Arial"/>
          <w:bCs/>
          <w:sz w:val="24"/>
          <w:szCs w:val="24"/>
          <w:lang w:val="es-ES"/>
        </w:rPr>
        <w:t>El derecho a ser informado. Este derecho incluye las facultades de a) recibir información objetiva y oportuna, b) la cual debe ser completa, es decir, el derecho a enterarse de todas las noticias y, c) con carácter universal, o sea, que la información es para todas las personas sin exclusión alguna (Villanueva, 2008, p.10).</w:t>
      </w:r>
    </w:p>
    <w:p w14:paraId="6D375EEC" w14:textId="69CE238D"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 xml:space="preserve">De esta forma la libertad de expresión y el derecho a la información son garantías de todo ciudadano y ciudadana, </w:t>
      </w:r>
      <w:r w:rsidR="0094330E">
        <w:rPr>
          <w:rFonts w:ascii="Arial" w:hAnsi="Arial" w:cs="Arial"/>
          <w:sz w:val="24"/>
          <w:szCs w:val="24"/>
        </w:rPr>
        <w:t xml:space="preserve">además </w:t>
      </w:r>
      <w:r>
        <w:rPr>
          <w:rFonts w:ascii="Arial" w:hAnsi="Arial" w:cs="Arial"/>
          <w:sz w:val="24"/>
          <w:szCs w:val="24"/>
        </w:rPr>
        <w:t>van concatenados en virtud de que la primera engloba al der</w:t>
      </w:r>
      <w:r w:rsidR="0094330E">
        <w:rPr>
          <w:rFonts w:ascii="Arial" w:hAnsi="Arial" w:cs="Arial"/>
          <w:sz w:val="24"/>
          <w:szCs w:val="24"/>
        </w:rPr>
        <w:t xml:space="preserve">echo a la información, pero la segunda </w:t>
      </w:r>
      <w:r>
        <w:rPr>
          <w:rFonts w:ascii="Arial" w:hAnsi="Arial" w:cs="Arial"/>
          <w:sz w:val="24"/>
          <w:szCs w:val="24"/>
        </w:rPr>
        <w:t>le da vigor a esa libertad.</w:t>
      </w:r>
    </w:p>
    <w:p w14:paraId="00418524"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Tanto la libertad de expresión, como el derecho a la información, también encuentran una vía idónea para su desarrollo en el ejercicio periodístico, quien es una práctica clasificatoria de la realidad en búsqueda de la verdad, lo cual no puede ocurrir si no se cuenta con expresiones de libertad y derechos tutelados.</w:t>
      </w:r>
    </w:p>
    <w:p w14:paraId="6C9D5DDD"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En tal virtud, un enfoque adecuado es considerar al ejercicio periodístico como la optimización de un derecho humano, fundamental para toda persona, pero que al trasladarlo a una práctica profesional, sistematiza o normaliza al propio derecho humano.</w:t>
      </w:r>
    </w:p>
    <w:p w14:paraId="6C26D26F" w14:textId="77777777" w:rsidR="00687577" w:rsidRDefault="00687577">
      <w:pPr>
        <w:spacing w:before="240" w:after="200" w:line="360" w:lineRule="auto"/>
        <w:ind w:left="708" w:firstLine="1"/>
        <w:jc w:val="both"/>
        <w:rPr>
          <w:rFonts w:ascii="Arial" w:hAnsi="Arial" w:cs="Arial"/>
          <w:sz w:val="24"/>
          <w:szCs w:val="24"/>
        </w:rPr>
      </w:pPr>
      <w:r>
        <w:rPr>
          <w:rFonts w:ascii="Arial" w:hAnsi="Arial" w:cs="Arial"/>
          <w:sz w:val="24"/>
          <w:szCs w:val="24"/>
        </w:rPr>
        <w:t>Podemos decir que el periodismo es, dentro de la organización social, “la institucionalización del derecho de expresión”. Es decir, algunas personas aprenden comunicar profesionalmente las ideas, y con ello, conforman jurídicamente un mejor modo de expresar el pensamiento (Hidalgo, 2018, p.183).</w:t>
      </w:r>
    </w:p>
    <w:p w14:paraId="2863CAD0"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Derecho que también está asociado a la libertad de investigación, opinión, expresión y difusión, todos contemplados en el artículo IV de la DADDH, el cual indica, que la persona también tendrá derecho a la difusión del pensamiento por cualquier medio.</w:t>
      </w:r>
    </w:p>
    <w:p w14:paraId="176842FD" w14:textId="77777777" w:rsidR="00687577" w:rsidRDefault="00687577">
      <w:pPr>
        <w:spacing w:before="240" w:after="200" w:line="360" w:lineRule="auto"/>
        <w:ind w:firstLine="708"/>
        <w:jc w:val="both"/>
        <w:rPr>
          <w:rFonts w:ascii="Arial" w:hAnsi="Arial" w:cs="Arial"/>
          <w:color w:val="000000"/>
          <w:sz w:val="24"/>
          <w:szCs w:val="24"/>
          <w:lang w:val="es-UY"/>
        </w:rPr>
      </w:pPr>
      <w:r>
        <w:rPr>
          <w:rFonts w:ascii="Arial" w:hAnsi="Arial" w:cs="Arial"/>
          <w:sz w:val="24"/>
          <w:szCs w:val="24"/>
        </w:rPr>
        <w:t xml:space="preserve">A su vez la Declaración de Principios sobre Libertad de Expresión (DPLE, 2015, p. 1), en su principio </w:t>
      </w:r>
      <w:r>
        <w:rPr>
          <w:rFonts w:ascii="Arial" w:hAnsi="Arial" w:cs="Arial"/>
          <w:color w:val="000000"/>
          <w:sz w:val="24"/>
          <w:szCs w:val="24"/>
          <w:lang w:val="es-UY"/>
        </w:rPr>
        <w:t xml:space="preserve">2, visualiza de manera más clara la relación del ejercicio periodístico y los derechos humanos, pues indica que: </w:t>
      </w:r>
    </w:p>
    <w:p w14:paraId="15DEAAF2" w14:textId="10A9C78D" w:rsidR="00687577" w:rsidRDefault="00687577">
      <w:pPr>
        <w:spacing w:before="240" w:after="200" w:line="360" w:lineRule="auto"/>
        <w:ind w:left="709"/>
        <w:jc w:val="both"/>
        <w:rPr>
          <w:rFonts w:ascii="Arial" w:hAnsi="Arial" w:cs="Arial"/>
          <w:sz w:val="24"/>
        </w:rPr>
      </w:pPr>
      <w:r>
        <w:rPr>
          <w:rFonts w:ascii="Arial" w:hAnsi="Arial" w:cs="Arial"/>
          <w:color w:val="000000"/>
          <w:sz w:val="24"/>
          <w:szCs w:val="24"/>
          <w:lang w:val="es-UY"/>
        </w:rPr>
        <w:t xml:space="preserve">Toda persona tiene el derecho a buscar, recibir y difundir información y opiniones libremente en los términos que estipula el artículo 13 de la Convención Americana sobre Derechos Humanos. Todas las personas deben contar con igualdad de oportunidades para recibir, buscar e impartir información por cualquier medio de comunicación sin discriminación, por ningún motivo, inclusive los de raza, color, religión, sexo, idioma, opiniones </w:t>
      </w:r>
      <w:r>
        <w:rPr>
          <w:rFonts w:ascii="Arial" w:hAnsi="Arial" w:cs="Arial"/>
          <w:color w:val="000000"/>
          <w:sz w:val="24"/>
          <w:szCs w:val="24"/>
        </w:rPr>
        <w:t>políticas</w:t>
      </w:r>
      <w:r>
        <w:rPr>
          <w:rFonts w:ascii="Arial" w:hAnsi="Arial" w:cs="Arial"/>
          <w:color w:val="000000"/>
          <w:sz w:val="24"/>
          <w:szCs w:val="24"/>
          <w:lang w:val="es-AR"/>
        </w:rPr>
        <w:t xml:space="preserve"> o de cualquier otra índole, </w:t>
      </w:r>
      <w:r>
        <w:rPr>
          <w:rFonts w:ascii="Arial" w:hAnsi="Arial" w:cs="Arial"/>
          <w:color w:val="000000"/>
          <w:sz w:val="24"/>
          <w:szCs w:val="24"/>
          <w:lang w:val="es-UY"/>
        </w:rPr>
        <w:t>origen nacional o social, posición económica, nacimiento o cualquier ot</w:t>
      </w:r>
      <w:r w:rsidR="001F3533">
        <w:rPr>
          <w:rFonts w:ascii="Arial" w:hAnsi="Arial" w:cs="Arial"/>
          <w:color w:val="000000"/>
          <w:sz w:val="24"/>
          <w:szCs w:val="24"/>
          <w:lang w:val="es-UY"/>
        </w:rPr>
        <w:t>ra condición social (OEA, 2015)</w:t>
      </w:r>
      <w:r>
        <w:rPr>
          <w:rFonts w:ascii="Arial" w:hAnsi="Arial" w:cs="Arial"/>
          <w:color w:val="000000"/>
          <w:sz w:val="24"/>
          <w:szCs w:val="24"/>
          <w:lang w:val="es-UY"/>
        </w:rPr>
        <w:t>.</w:t>
      </w:r>
    </w:p>
    <w:p w14:paraId="1A50C0E3" w14:textId="77777777" w:rsidR="00687577" w:rsidRDefault="00687577">
      <w:pPr>
        <w:spacing w:line="360" w:lineRule="auto"/>
        <w:jc w:val="both"/>
        <w:rPr>
          <w:rFonts w:ascii="Arial" w:hAnsi="Arial" w:cs="Arial"/>
          <w:sz w:val="24"/>
        </w:rPr>
      </w:pPr>
      <w:r>
        <w:rPr>
          <w:rFonts w:ascii="Arial" w:hAnsi="Arial" w:cs="Arial"/>
          <w:sz w:val="24"/>
        </w:rPr>
        <w:tab/>
        <w:t xml:space="preserve">En tanto, el artículo 19 del Pacto Internacional de Derechos Civiles y Políticos (PIDCP, 1966, p. 3) apunta que nadie puede ser molestado por sus opiniones, pero advierte responsabilidades respecto al derecho los demás y la protección de la seguridad nacional, el orden público, la salud o la moral públicas, sin embargo, también reitera la libertad de buscar y difundir información. </w:t>
      </w:r>
    </w:p>
    <w:p w14:paraId="27047612" w14:textId="53D47BF5" w:rsidR="00687577" w:rsidRDefault="00687577" w:rsidP="001F3533">
      <w:pPr>
        <w:spacing w:line="360" w:lineRule="auto"/>
        <w:ind w:left="708"/>
        <w:jc w:val="both"/>
        <w:rPr>
          <w:rFonts w:ascii="Arial" w:hAnsi="Arial" w:cs="Arial"/>
          <w:sz w:val="24"/>
          <w:szCs w:val="24"/>
        </w:rPr>
      </w:pPr>
      <w:r>
        <w:rPr>
          <w:rFonts w:ascii="Arial" w:hAnsi="Arial" w:cs="Arial"/>
          <w:sz w:val="24"/>
        </w:rPr>
        <w:t>Toda persona tiene derecho a la libertad de expresión; este derecho comprende la libertad de buscar, recibir y difundir informaciones e ideas de toda índole, sin consideración de fronteras, ya sea oralmente, por escrito o en forma impresa o artística, o por cualquier otro procedimiento de su elección (ONU, 1966, p. 3).</w:t>
      </w:r>
    </w:p>
    <w:p w14:paraId="71324D74"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Para mayor abundamiento, el artículo 13 de la Convención Americana sobre Derechos Humanos del “Pacto de San José de Costa Rica” (CADH, 1969), mismo que fue ratificado por México en 1980, indica que:</w:t>
      </w:r>
    </w:p>
    <w:p w14:paraId="31D24ED5" w14:textId="77777777" w:rsidR="00687577" w:rsidRDefault="00687577">
      <w:pPr>
        <w:spacing w:before="240" w:after="200" w:line="360" w:lineRule="auto"/>
        <w:ind w:left="709"/>
        <w:jc w:val="both"/>
        <w:rPr>
          <w:rFonts w:ascii="Arial" w:hAnsi="Arial" w:cs="Arial"/>
          <w:sz w:val="24"/>
          <w:szCs w:val="24"/>
        </w:rPr>
      </w:pPr>
      <w:r>
        <w:rPr>
          <w:rFonts w:ascii="Arial" w:hAnsi="Arial" w:cs="Arial"/>
          <w:sz w:val="24"/>
          <w:szCs w:val="24"/>
        </w:rPr>
        <w:t>Toda persona tiene derecho a la libertad de pensamiento y de expresión. Este derecho comprende la libertad de buscar, recibir y difundir informaciones e ideas de toda índole, sin consideración de fronteras ya sea oralmente, por escrito o en forma impresa o artística, o por cualquier otro procedimiento de su elección (DOF, 1981).</w:t>
      </w:r>
    </w:p>
    <w:p w14:paraId="6C27063C"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En el ámbito nacional mexicano, el derecho a la información está contemplado en el artículo sexto de la Constitución Política de los Estados Unidos Mexicanos (CPEUM), donde se advierte que la manifestación de las ideas no será objeto de ninguna inquisición judicial administrativa, salvo excepciones como ataques a la moral, vida privada, derechos de terceros, se provoque algún delito o se perturbe el orden público, no obstante, reitera la importancia del derecho humano tutelado:</w:t>
      </w:r>
    </w:p>
    <w:p w14:paraId="3027293A" w14:textId="77777777" w:rsidR="00687577" w:rsidRDefault="00687577">
      <w:pPr>
        <w:spacing w:before="240" w:after="200" w:line="360" w:lineRule="auto"/>
        <w:ind w:left="709"/>
        <w:jc w:val="both"/>
        <w:rPr>
          <w:rFonts w:ascii="Arial" w:hAnsi="Arial" w:cs="Arial"/>
          <w:sz w:val="24"/>
          <w:szCs w:val="24"/>
        </w:rPr>
      </w:pPr>
      <w:r>
        <w:rPr>
          <w:rFonts w:ascii="Arial" w:hAnsi="Arial" w:cs="Arial"/>
          <w:sz w:val="24"/>
          <w:szCs w:val="24"/>
        </w:rPr>
        <w:t>Toda persona tiene derecho al libre acceso a información plural y oportuna, así como a buscar, recibir y difundir información e ideas de toda índole por cualquier medio de expresión (DOF, 2013).</w:t>
      </w:r>
    </w:p>
    <w:p w14:paraId="6965729B"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Tal derecho también forma parte del Catálogo de Derechos Humanos de la Comisión de Derechos Humanos de la Ciudad de México (CDHCDHCM, 2016, p. 12), donde se indica que el derecho a la información garantiza “la libre circulación de ideas, noticias y opiniones con los requisitos que señale la ley, así como el más amplio acceso a la información por parte del Estado y la sociedad en su conjunto”.</w:t>
      </w:r>
    </w:p>
    <w:p w14:paraId="73EA8AA8"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En el mismo sentido, el Catalogo para la Calificación de Violaciones a Derechos Humanos de la Comisión de Derechos Humanos del Estado de México (CCVDHCDHEM) precisa que del derecho a la información deriva el derecho al acceso a la información pública y que lo conceptualiza como:</w:t>
      </w:r>
    </w:p>
    <w:p w14:paraId="07D653E2" w14:textId="77777777" w:rsidR="00687577" w:rsidRDefault="00687577">
      <w:pPr>
        <w:spacing w:before="240" w:after="200" w:line="360" w:lineRule="auto"/>
        <w:ind w:left="708" w:firstLine="1"/>
        <w:jc w:val="both"/>
        <w:rPr>
          <w:rFonts w:ascii="Arial" w:hAnsi="Arial" w:cs="Arial"/>
          <w:sz w:val="24"/>
          <w:szCs w:val="24"/>
        </w:rPr>
      </w:pPr>
      <w:r>
        <w:rPr>
          <w:rFonts w:ascii="Arial" w:hAnsi="Arial" w:cs="Arial"/>
          <w:sz w:val="24"/>
          <w:szCs w:val="24"/>
        </w:rPr>
        <w:t>Derecho de toda persona a obtener información generada o en posesión de cualquier autoridad y organismo público, órganos autónomos, partidos políticos, fideicomisos y fondos públicos; así como de cualquier persona física y moral que ejerza recursos públicos o realice actos de autoridad (CDHEM, 2015, p. 193).</w:t>
      </w:r>
    </w:p>
    <w:p w14:paraId="445CBA87"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De las definiciones anteriormente expuestas, se deduce que el derecho a la información nace como una garantía que empodera al ciudadano frente al poder, no por el hecho de confrontarlo, sino como esencia misma del ser humano, lo cual no puede ser limitado, ni restringido (salvo por consecuencias ulteriores).</w:t>
      </w:r>
    </w:p>
    <w:p w14:paraId="346C9413" w14:textId="3DBB0A7C"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Así, el derecho a la información tiene una relación intrínseca con el ejercicio periodístico, pues las fases básicas de éste coinciden con los fundamentos de este derecho, sin embargo, la similitud no sólo es de tipo operacional, sino que encuentra lógica y razón en función del objetivo que se persigue, es decir, la generación de mayores libertades del ciudadano basadas en el acceso a información, que a la postre genera una sociedad con mayores conocimientos.</w:t>
      </w:r>
    </w:p>
    <w:p w14:paraId="0B1DDEE8" w14:textId="6135B6AD" w:rsidR="00C26D6B" w:rsidRDefault="00171E18">
      <w:pPr>
        <w:spacing w:before="240" w:after="200" w:line="360" w:lineRule="auto"/>
        <w:ind w:firstLine="708"/>
        <w:jc w:val="both"/>
        <w:rPr>
          <w:rFonts w:ascii="Arial" w:hAnsi="Arial" w:cs="Arial"/>
          <w:sz w:val="24"/>
          <w:szCs w:val="24"/>
        </w:rPr>
      </w:pPr>
      <w:r>
        <w:rPr>
          <w:rFonts w:ascii="Arial" w:hAnsi="Arial" w:cs="Arial"/>
          <w:sz w:val="24"/>
          <w:szCs w:val="24"/>
        </w:rPr>
        <w:t>Es pertinente resaltar que el derecho a la información tiene su fundamentos principales en el concepto de dignidad humana</w:t>
      </w:r>
      <w:r w:rsidR="00C26D6B">
        <w:rPr>
          <w:rFonts w:ascii="Arial" w:hAnsi="Arial" w:cs="Arial"/>
          <w:sz w:val="24"/>
          <w:szCs w:val="24"/>
        </w:rPr>
        <w:t>, el cual ya está establecido en la Constitución Federal, y a través del cual se le reconoce una calidad única a cada persona por el simple hecho de serlo</w:t>
      </w:r>
      <w:r w:rsidR="00C26D6B">
        <w:rPr>
          <w:rStyle w:val="Refdenotaalpie"/>
          <w:rFonts w:ascii="Arial" w:hAnsi="Arial" w:cs="Arial"/>
          <w:sz w:val="24"/>
          <w:szCs w:val="24"/>
        </w:rPr>
        <w:footnoteReference w:id="7"/>
      </w:r>
      <w:r w:rsidR="00C26D6B">
        <w:rPr>
          <w:rFonts w:ascii="Arial" w:hAnsi="Arial" w:cs="Arial"/>
          <w:sz w:val="24"/>
          <w:szCs w:val="24"/>
        </w:rPr>
        <w:t>, lo cual implica distintas libertades como podría ser la libertad de expresión y los derechos asociados con ella.</w:t>
      </w:r>
    </w:p>
    <w:p w14:paraId="44797E3C" w14:textId="77777777" w:rsidR="00687577" w:rsidRDefault="00687577">
      <w:pPr>
        <w:pStyle w:val="Ttulo2"/>
        <w:numPr>
          <w:ilvl w:val="2"/>
          <w:numId w:val="2"/>
        </w:numPr>
        <w:ind w:left="284" w:hanging="284"/>
        <w:rPr>
          <w:rFonts w:ascii="Arial" w:hAnsi="Arial" w:cs="Arial"/>
          <w:sz w:val="24"/>
          <w:szCs w:val="24"/>
        </w:rPr>
      </w:pPr>
      <w:bookmarkStart w:id="21" w:name="__RefHeading__2211_1000385367"/>
      <w:bookmarkStart w:id="22" w:name="_Toc4083810"/>
      <w:bookmarkEnd w:id="21"/>
      <w:r>
        <w:rPr>
          <w:rFonts w:ascii="Arial" w:hAnsi="Arial" w:cs="Arial"/>
          <w:b/>
          <w:color w:val="00000A"/>
          <w:sz w:val="24"/>
        </w:rPr>
        <w:t>Relación del ejercicio periodístico y libertad de expresión</w:t>
      </w:r>
      <w:bookmarkEnd w:id="22"/>
    </w:p>
    <w:p w14:paraId="03EC9BC4"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 xml:space="preserve">La libertada de expresión, como señala Savater (2014, p. 12), es una expresión de libertad; de ahí que exista una serie de definiciones y conceptos respecto a la libertad de expresión o derecho a la expresión que Hidalgo (2018, p. 1, 2) explica a partir de que desde su nacimiento la persona es libre para expresarse, por lo tanto, antes que un derecho es parte de la naturaleza del hombre, quien tiende a ser libre. </w:t>
      </w:r>
    </w:p>
    <w:p w14:paraId="27206B1F" w14:textId="77777777" w:rsidR="00687577" w:rsidRDefault="00687577">
      <w:pPr>
        <w:spacing w:before="240" w:after="200" w:line="360" w:lineRule="auto"/>
        <w:ind w:left="708" w:firstLine="1"/>
        <w:jc w:val="both"/>
        <w:rPr>
          <w:rFonts w:ascii="Arial" w:hAnsi="Arial" w:cs="Arial"/>
          <w:sz w:val="24"/>
          <w:szCs w:val="24"/>
        </w:rPr>
      </w:pPr>
      <w:r>
        <w:rPr>
          <w:rFonts w:ascii="Arial" w:hAnsi="Arial" w:cs="Arial"/>
          <w:sz w:val="24"/>
          <w:szCs w:val="24"/>
        </w:rPr>
        <w:t>Protegida por la totalidad de los tratados o convenciones internacionales sobre derechos humanos y como derecho fundamental en las distintas constituciones políticas de los estados, la libertad de expresión es, a la vez, un derecho fundamental y, de igual forma un derecho sujeto a límites tanto en la normativa internacional como en la constitucional (Hidalgo, 2018, p.2).</w:t>
      </w:r>
    </w:p>
    <w:p w14:paraId="21BA5197"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 xml:space="preserve">No obstante, Hidalgo (2018, p. 62) aclara que no “hay derechos de libertad”, sino en el caso de la expresión simplemente libertad, pues la persona es libre, sin embargo, hay exigencias de la propia libertad que materializadas producen derecho y esto deriva porque la libertad se da en sociedad, el derecho asume esa libertad, la protege y regula. </w:t>
      </w:r>
    </w:p>
    <w:p w14:paraId="03D8D2B8" w14:textId="0EA8E0CF" w:rsidR="00687577" w:rsidRDefault="00687577">
      <w:pPr>
        <w:spacing w:before="240" w:after="200" w:line="360" w:lineRule="auto"/>
        <w:ind w:left="708" w:firstLine="1"/>
        <w:jc w:val="both"/>
        <w:rPr>
          <w:rFonts w:ascii="Arial" w:hAnsi="Arial" w:cs="Arial"/>
          <w:sz w:val="24"/>
          <w:szCs w:val="24"/>
        </w:rPr>
      </w:pPr>
      <w:r>
        <w:rPr>
          <w:rFonts w:ascii="Arial" w:hAnsi="Arial" w:cs="Arial"/>
          <w:sz w:val="24"/>
          <w:szCs w:val="24"/>
        </w:rPr>
        <w:t xml:space="preserve">El expresarse es una facultad de la persona humana, una acción humana y, por ende, una acción que, en lo posible, porque es humana es libre. Por ende, hay libertad de expresión que, desde el derecho y desde sus fines, se ha de considerar distinta al derecho de </w:t>
      </w:r>
      <w:r w:rsidR="001F3533">
        <w:rPr>
          <w:rFonts w:ascii="Arial" w:hAnsi="Arial" w:cs="Arial"/>
          <w:sz w:val="24"/>
          <w:szCs w:val="24"/>
        </w:rPr>
        <w:t>expresión (Hidalgo, 2018, p.63)</w:t>
      </w:r>
      <w:r>
        <w:rPr>
          <w:rFonts w:ascii="Arial" w:hAnsi="Arial" w:cs="Arial"/>
          <w:sz w:val="24"/>
          <w:szCs w:val="24"/>
        </w:rPr>
        <w:t>.</w:t>
      </w:r>
    </w:p>
    <w:p w14:paraId="30188D8C"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Es preciso señalar que la libertad de expresión está asociada no sólo a un fin individual, sino a un objetivo social, lo cual la reviste de características vinculadas a la defensa de la persona frente al Estado.</w:t>
      </w:r>
    </w:p>
    <w:p w14:paraId="38FB103F" w14:textId="77777777" w:rsidR="00687577" w:rsidRDefault="00687577">
      <w:pPr>
        <w:spacing w:before="240" w:after="200" w:line="360" w:lineRule="auto"/>
        <w:ind w:left="708"/>
        <w:jc w:val="both"/>
        <w:rPr>
          <w:rFonts w:ascii="Arial" w:hAnsi="Arial" w:cs="Arial"/>
          <w:sz w:val="24"/>
          <w:szCs w:val="24"/>
        </w:rPr>
      </w:pPr>
      <w:r>
        <w:rPr>
          <w:rFonts w:ascii="Arial" w:hAnsi="Arial" w:cs="Arial"/>
          <w:sz w:val="24"/>
          <w:szCs w:val="24"/>
        </w:rPr>
        <w:t>La libertad de expresión se consolida en el pensamiento liberal burgués individualista, en el siglo XVIII, con un marcado carácter político: ante todo aparece como freno de la arbitrariedad de los gobernantes del Antiguo Régimen. Se trata de conseguir, a través de ella, que existe un control y un modo de criticar y denunciar las irregularidades del poder (Vallejo, 1992 p.22).</w:t>
      </w:r>
    </w:p>
    <w:p w14:paraId="12AB194E"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De ahí la relación histórica entre libertad de expresión y ejercicio periodístico, pues la Corte Interamericana de Derechos Humanos (CIDH) define al periodismo como la manifestación primaria de la libertad de expresión.</w:t>
      </w:r>
    </w:p>
    <w:p w14:paraId="48F685B3" w14:textId="77777777" w:rsidR="00687577" w:rsidRDefault="00687577">
      <w:pPr>
        <w:spacing w:before="240" w:after="200" w:line="360" w:lineRule="auto"/>
        <w:ind w:left="709"/>
        <w:jc w:val="both"/>
        <w:rPr>
          <w:rFonts w:ascii="Arial" w:hAnsi="Arial" w:cs="Arial"/>
          <w:sz w:val="24"/>
          <w:szCs w:val="24"/>
        </w:rPr>
      </w:pPr>
      <w:r>
        <w:rPr>
          <w:rFonts w:ascii="Arial" w:hAnsi="Arial" w:cs="Arial"/>
          <w:sz w:val="24"/>
          <w:szCs w:val="24"/>
        </w:rPr>
        <w:t>El periodismo es la manifestación primaria y principal de la libertad de expresión del pensamiento y, por esa razón, no puede concebirse meramente como la prestación de un servicio al público a través de la aplicación de unos conocimientos o capacitación adquiridos en una universidad o por quienes están inscritos en un determinado colegio profesional, como podría suceder con otras profesiones, pues está vinculado con la libertad de expresión, que es inherente a todo ser humano (García &amp; Gonza, 2007, p. 23-24).</w:t>
      </w:r>
    </w:p>
    <w:p w14:paraId="3473FEFE"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Tal definición da sustento a los conceptos vertidos por los autores de la Escuela de Chicago</w:t>
      </w:r>
      <w:r>
        <w:rPr>
          <w:rStyle w:val="Refdenotaalpie"/>
        </w:rPr>
        <w:footnoteReference w:id="8"/>
      </w:r>
      <w:r>
        <w:rPr>
          <w:rFonts w:ascii="Arial" w:hAnsi="Arial" w:cs="Arial"/>
          <w:sz w:val="24"/>
          <w:szCs w:val="24"/>
        </w:rPr>
        <w:t>, quienes ya advertían que el ejercicio periodístico cumplía una función asociada a la libertad del ciudadano frente a sus gobiernos (libertad de expresión con el involucramiento de derechos colectivos), que a su vez es una de las consecuencias inmediatas del derecho a la información.</w:t>
      </w:r>
    </w:p>
    <w:p w14:paraId="610A1D61" w14:textId="77777777" w:rsidR="00687577" w:rsidRDefault="00687577" w:rsidP="00AD7274">
      <w:pPr>
        <w:spacing w:before="240" w:after="200" w:line="360" w:lineRule="auto"/>
        <w:ind w:left="708"/>
        <w:jc w:val="both"/>
        <w:rPr>
          <w:rFonts w:ascii="Arial" w:hAnsi="Arial" w:cs="Arial"/>
          <w:sz w:val="24"/>
          <w:szCs w:val="24"/>
        </w:rPr>
      </w:pPr>
      <w:r>
        <w:rPr>
          <w:rFonts w:ascii="Arial" w:hAnsi="Arial" w:cs="Arial"/>
          <w:sz w:val="24"/>
          <w:szCs w:val="24"/>
        </w:rPr>
        <w:t xml:space="preserve">Las ideas de Lippman y de Merz son asombrosamente innovadoras, a casi un siglo de su publicación. Dicen ambos autores que el periodismo cumple una tarea fundamental en el siglo XX, que es la de liberar a los ciudadanos mediante la información, para que éstos puedan actuar controlando a sus gobiernos, luchando contra la </w:t>
      </w:r>
      <w:r>
        <w:rPr>
          <w:rFonts w:ascii="Arial" w:hAnsi="Arial" w:cs="Arial"/>
          <w:i/>
          <w:sz w:val="24"/>
          <w:szCs w:val="24"/>
        </w:rPr>
        <w:t>fábrica del consenso</w:t>
      </w:r>
      <w:r>
        <w:rPr>
          <w:rFonts w:ascii="Arial" w:hAnsi="Arial" w:cs="Arial"/>
          <w:sz w:val="24"/>
          <w:szCs w:val="24"/>
        </w:rPr>
        <w:t xml:space="preserve"> (Aladro, 2013, p. 71)</w:t>
      </w:r>
      <w:r>
        <w:rPr>
          <w:rFonts w:ascii="Arial" w:hAnsi="Arial" w:cs="Arial"/>
          <w:sz w:val="24"/>
          <w:szCs w:val="24"/>
        </w:rPr>
        <w:commentReference w:id="23"/>
      </w:r>
      <w:r>
        <w:rPr>
          <w:rFonts w:ascii="Arial" w:hAnsi="Arial" w:cs="Arial"/>
          <w:sz w:val="24"/>
          <w:szCs w:val="24"/>
        </w:rPr>
        <w:t>.</w:t>
      </w:r>
    </w:p>
    <w:p w14:paraId="5C15FA89"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Los representantes de la Escuela de Chicago distinguían entre información y propaganda, por ello sostenían que, si los ciudadanos no estaban protegidos respecto de la propaganda, sin calidad en otras evidencias, la sociedad viviría entre prejuicios y explotación, es decir, el periodismo va en sentido contrario a la fabricación de un consenso social que se geste de manera unilateral. Tales postulados, son el principio de la problematización del ejercicio periodístico en su relación dialéctica con las distintas estructuras sociales. Es la génesis del por qué el periodismo va acompañado de elementos como el conflicto.</w:t>
      </w:r>
    </w:p>
    <w:p w14:paraId="523953FA"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Esto tiene fundamento en la cita que hace Aladro (2013) de Lippman, pues el ejercicio periodístico desencadena conflictos a partir de su inherente función para obtener información que permite la toma de decisiones, lo cual limita la corrupción, y en el fondo es un acto de libertad.</w:t>
      </w:r>
    </w:p>
    <w:p w14:paraId="7C578179" w14:textId="77777777" w:rsidR="00687577" w:rsidRDefault="00687577">
      <w:pPr>
        <w:spacing w:before="240" w:after="200" w:line="360" w:lineRule="auto"/>
        <w:ind w:left="709" w:hanging="1"/>
        <w:jc w:val="both"/>
        <w:rPr>
          <w:rFonts w:ascii="Arial" w:hAnsi="Arial" w:cs="Arial"/>
          <w:sz w:val="24"/>
          <w:szCs w:val="24"/>
        </w:rPr>
      </w:pPr>
      <w:r>
        <w:rPr>
          <w:rFonts w:ascii="Arial" w:hAnsi="Arial" w:cs="Arial"/>
          <w:sz w:val="24"/>
          <w:szCs w:val="24"/>
        </w:rPr>
        <w:t>La acción social, verdadero funcionamiento asambleario y basado en la deliberación de decisiones a partir de la información de calidad y la formación ciudadana, es vital para la democracia, según el genial autor americano. Y esa acción social genuina que controla la corrupción política está fundada en el deseo de conocer, en la búsqueda de la información, que es uno de los primeros móviles para conseguir la libertad (p. 71).</w:t>
      </w:r>
    </w:p>
    <w:p w14:paraId="440EEF20" w14:textId="77777777" w:rsidR="00687577" w:rsidRDefault="00687577">
      <w:pPr>
        <w:spacing w:before="240" w:after="200" w:line="360" w:lineRule="auto"/>
        <w:ind w:firstLine="708"/>
        <w:jc w:val="both"/>
        <w:rPr>
          <w:rFonts w:ascii="Arial" w:hAnsi="Arial" w:cs="Arial"/>
          <w:bCs/>
          <w:sz w:val="24"/>
          <w:szCs w:val="24"/>
          <w:lang w:val="es-ES"/>
        </w:rPr>
      </w:pPr>
      <w:r>
        <w:rPr>
          <w:rFonts w:ascii="Arial" w:hAnsi="Arial" w:cs="Arial"/>
          <w:sz w:val="24"/>
          <w:szCs w:val="24"/>
        </w:rPr>
        <w:t>Este concepto del periodismo toca los linderos de la democracia, en sí, el ejercicio periodístico, sería un elemento democrático en función de su objetivo de buscar información para generar conocimiento útil a la sociedad, pero en un ejercicio de libertad que construye a su vez más libertades.</w:t>
      </w:r>
    </w:p>
    <w:p w14:paraId="0BF87552" w14:textId="77777777" w:rsidR="00687577" w:rsidRDefault="00687577">
      <w:pPr>
        <w:spacing w:before="240" w:after="200" w:line="360" w:lineRule="auto"/>
        <w:ind w:left="851"/>
        <w:jc w:val="both"/>
        <w:rPr>
          <w:rFonts w:ascii="Arial" w:hAnsi="Arial" w:cs="Arial"/>
          <w:sz w:val="24"/>
          <w:szCs w:val="24"/>
        </w:rPr>
      </w:pPr>
      <w:r>
        <w:rPr>
          <w:rFonts w:ascii="Arial" w:hAnsi="Arial" w:cs="Arial"/>
          <w:bCs/>
          <w:sz w:val="24"/>
          <w:szCs w:val="24"/>
          <w:lang w:val="es-ES"/>
        </w:rPr>
        <w:t>Son también instrumentos para supervisar estrechamente la acción de gobernantes y políticos. En caso de detectar anomalías o irregularidades en su desempeño público, lo difunden alertando a la ciudadanía, y a otros actores políticos, con lo cual favorecen que se eche a andar la maquinaria democrática que contribuye a la rendición de cuentas (Crespo, 2001, p. 41).</w:t>
      </w:r>
    </w:p>
    <w:p w14:paraId="55B98455"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Por ello la insistencia de que la actividad del periodista formaliza características inherentes a toda persona dentro de un entorno de libertad de expresión.</w:t>
      </w:r>
    </w:p>
    <w:p w14:paraId="49169DE6"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De ahí que el ejercicio periodístico, como aplicación del derecho a la información, tenga como segundo pilar a la libertad de expresión.</w:t>
      </w:r>
    </w:p>
    <w:p w14:paraId="03B4656A"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Esta libertad es definida en el Plan de Acción de las Naciones Unidas sobre la Seguridad de los Periodistas y la Cuestión de la Impunidad (PANUSPCI) como la posibilidad para que haya una sociedad informada, activa y comprometida, pues el periodismo ayuda a que los ciudadanos accedan a información de mejor calidad.</w:t>
      </w:r>
    </w:p>
    <w:p w14:paraId="3AA3335A"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En este contexto, es adecuado apuntar la definición que hizo la Relatoría Especial de la ONU para la Libertad de Expresión en su informe de 2012, sobre las personas que realizan la actividad periodística:</w:t>
      </w:r>
    </w:p>
    <w:p w14:paraId="21F5E51B" w14:textId="77777777" w:rsidR="00687577" w:rsidRDefault="00687577">
      <w:pPr>
        <w:spacing w:before="240" w:after="200" w:line="360" w:lineRule="auto"/>
        <w:ind w:left="709"/>
        <w:jc w:val="both"/>
        <w:rPr>
          <w:rFonts w:ascii="Arial" w:hAnsi="Arial" w:cs="Arial"/>
          <w:sz w:val="24"/>
          <w:szCs w:val="24"/>
        </w:rPr>
      </w:pPr>
      <w:r>
        <w:rPr>
          <w:rFonts w:ascii="Arial" w:hAnsi="Arial" w:cs="Arial"/>
          <w:sz w:val="24"/>
          <w:szCs w:val="24"/>
        </w:rPr>
        <w:t>Observan, describen, documentan y analizan los acontecimientos y documentan y analizan declaraciones, políticas y cualquier propuesta que pueda afectar a la sociedad, con el propósito de sistematizar esa información y reunir hechos y análisis para informar a los sectores de la sociedad o a esta en su conjunto (UNESCO, 2013, p.2).</w:t>
      </w:r>
    </w:p>
    <w:p w14:paraId="7162F560" w14:textId="77777777" w:rsidR="00687577" w:rsidRDefault="00687577">
      <w:pPr>
        <w:spacing w:before="240" w:after="200" w:line="360" w:lineRule="auto"/>
        <w:ind w:firstLine="708"/>
        <w:jc w:val="both"/>
        <w:rPr>
          <w:rFonts w:ascii="Arial" w:eastAsia="Times New Roman" w:hAnsi="Arial" w:cs="Arial"/>
          <w:color w:val="000000"/>
          <w:sz w:val="24"/>
          <w:szCs w:val="24"/>
        </w:rPr>
      </w:pPr>
      <w:r>
        <w:rPr>
          <w:rFonts w:ascii="Arial" w:hAnsi="Arial" w:cs="Arial"/>
          <w:sz w:val="24"/>
          <w:szCs w:val="24"/>
        </w:rPr>
        <w:t>Esto provoca que la libertad de expresión, y por ende el ejercicio periodístico, sean elementos básicos para el funcionamiento democrático de una sociedad</w:t>
      </w:r>
      <w:r>
        <w:rPr>
          <w:rStyle w:val="Refdenotaalpie"/>
        </w:rPr>
        <w:footnoteReference w:id="9"/>
      </w:r>
      <w:r>
        <w:rPr>
          <w:rFonts w:ascii="Arial" w:hAnsi="Arial" w:cs="Arial"/>
          <w:sz w:val="24"/>
          <w:szCs w:val="24"/>
        </w:rPr>
        <w:t>, pues empoderan con información y conocimientos al ciudadano, los cuales son diques para el Estado o para cualquier tipo de poder, quienes no deben incurrir en excesos o abusos que dañen al ciudadano.</w:t>
      </w:r>
    </w:p>
    <w:p w14:paraId="7C6C6965" w14:textId="77777777" w:rsidR="00687577" w:rsidRDefault="00687577">
      <w:pPr>
        <w:spacing w:before="240" w:after="200" w:line="360" w:lineRule="auto"/>
        <w:ind w:left="709"/>
        <w:jc w:val="both"/>
        <w:rPr>
          <w:rFonts w:ascii="Arial" w:eastAsia="Times New Roman" w:hAnsi="Arial" w:cs="Arial"/>
          <w:color w:val="000000"/>
          <w:sz w:val="24"/>
          <w:szCs w:val="24"/>
        </w:rPr>
      </w:pPr>
      <w:r>
        <w:rPr>
          <w:rFonts w:ascii="Arial" w:eastAsia="Times New Roman" w:hAnsi="Arial" w:cs="Arial"/>
          <w:color w:val="000000"/>
          <w:sz w:val="24"/>
          <w:szCs w:val="24"/>
        </w:rPr>
        <w:t>El derecho a la libertad de expresión tiene sus orígenes en la necesidad de proteger al individuo frente al Estado y constituir un contra peso a éste (Cabalin &amp; Lagos, 2009, p. 42).</w:t>
      </w:r>
    </w:p>
    <w:p w14:paraId="66143BE7" w14:textId="77777777" w:rsidR="00687577" w:rsidRDefault="00687577">
      <w:pPr>
        <w:spacing w:before="240" w:after="200" w:line="360" w:lineRule="auto"/>
        <w:ind w:firstLine="708"/>
        <w:jc w:val="both"/>
        <w:rPr>
          <w:rFonts w:ascii="Arial" w:eastAsia="Times New Roman" w:hAnsi="Arial" w:cs="Arial"/>
          <w:color w:val="000000"/>
          <w:sz w:val="24"/>
          <w:szCs w:val="24"/>
        </w:rPr>
      </w:pPr>
      <w:r>
        <w:rPr>
          <w:rFonts w:ascii="Arial" w:eastAsia="Times New Roman" w:hAnsi="Arial" w:cs="Arial"/>
          <w:color w:val="000000"/>
          <w:sz w:val="24"/>
          <w:szCs w:val="24"/>
        </w:rPr>
        <w:t xml:space="preserve">Derivado de lo anterior, y para efectos de este trabajo; se percibe que la libertad de expresión es una condición de toda persona, innata, de la cual derivan derechos, pero en una función social tiende a construir mayores libertades, pues nace como factor del ciudadano para expresar opiniones, juicios e informaciones que comúnmente se contraponen a un poder establecido por el sólo hecho de ser una expresión de libertad, que ante todo es una característica humana. </w:t>
      </w:r>
    </w:p>
    <w:p w14:paraId="314B02A2" w14:textId="77777777" w:rsidR="00687577" w:rsidRDefault="00687577">
      <w:pPr>
        <w:spacing w:before="240" w:after="200" w:line="360" w:lineRule="auto"/>
        <w:ind w:firstLine="708"/>
        <w:jc w:val="both"/>
        <w:rPr>
          <w:rFonts w:ascii="Arial" w:eastAsia="Times New Roman" w:hAnsi="Arial" w:cs="Arial"/>
          <w:color w:val="000000"/>
          <w:sz w:val="24"/>
          <w:szCs w:val="24"/>
        </w:rPr>
      </w:pPr>
      <w:r>
        <w:rPr>
          <w:rFonts w:ascii="Arial" w:eastAsia="Times New Roman" w:hAnsi="Arial" w:cs="Arial"/>
          <w:color w:val="000000"/>
          <w:sz w:val="24"/>
          <w:szCs w:val="24"/>
        </w:rPr>
        <w:t>De ahí su relación con los derechos humanos, con la esencia de la persona; situación por lo cual resulta inalienable, con excepción de las consecuencias ulteriores de dicha libertad, lo cual es parte del respeto a los derechos de terceros ante el ejercicio de la libertad de expresión.</w:t>
      </w:r>
    </w:p>
    <w:p w14:paraId="25B0C20B" w14:textId="77777777" w:rsidR="00687577" w:rsidRDefault="00687577">
      <w:pPr>
        <w:spacing w:before="240" w:after="200" w:line="360" w:lineRule="auto"/>
        <w:ind w:firstLine="708"/>
        <w:jc w:val="both"/>
        <w:rPr>
          <w:rFonts w:ascii="Arial" w:eastAsia="Times New Roman" w:hAnsi="Arial" w:cs="Arial"/>
          <w:color w:val="000000"/>
          <w:sz w:val="24"/>
          <w:szCs w:val="24"/>
        </w:rPr>
      </w:pPr>
      <w:r>
        <w:rPr>
          <w:rFonts w:ascii="Arial" w:eastAsia="Times New Roman" w:hAnsi="Arial" w:cs="Arial"/>
          <w:color w:val="000000"/>
          <w:sz w:val="24"/>
          <w:szCs w:val="24"/>
        </w:rPr>
        <w:t xml:space="preserve">En el marco de esta libertad crece el ejercicio periodístico, pues el periodismo al ser un mecanismo de interpretación social y discursiva requiere forzosamente de un entorno de libertades bajo la tutela de derechos humanos. A la inversa, el periodismo también es un baluarte para la defensa de la libertad de expresión, pues al igual que el derecho a la información, el ejercicio periodístico es una vía para normalizar la libertad de expresión al interior de una sociedad, lo cual se logra con la constante difusión, emisión y retroalimentación de mensajes que construyen una ciudadanía más atenta a su devenir. </w:t>
      </w:r>
    </w:p>
    <w:p w14:paraId="0910D486" w14:textId="77777777" w:rsidR="00687577" w:rsidRDefault="00687577">
      <w:pPr>
        <w:spacing w:before="240" w:after="200" w:line="360" w:lineRule="auto"/>
        <w:ind w:firstLine="708"/>
        <w:jc w:val="both"/>
        <w:rPr>
          <w:rFonts w:ascii="Arial" w:eastAsia="Times New Roman" w:hAnsi="Arial" w:cs="Arial"/>
          <w:color w:val="000000"/>
          <w:sz w:val="24"/>
          <w:szCs w:val="24"/>
        </w:rPr>
      </w:pPr>
      <w:r>
        <w:rPr>
          <w:rFonts w:ascii="Arial" w:eastAsia="Times New Roman" w:hAnsi="Arial" w:cs="Arial"/>
          <w:color w:val="000000"/>
          <w:sz w:val="24"/>
          <w:szCs w:val="24"/>
        </w:rPr>
        <w:t>En resumen, libertad de expresión y ejercicio periodístico van de la mano al perseguir un mismo fin: la revelación de la verdad, lo cual toca los linderos de la ética periodística.</w:t>
      </w:r>
    </w:p>
    <w:p w14:paraId="65B5D8D1" w14:textId="77777777" w:rsidR="00687577" w:rsidRDefault="00687577">
      <w:pPr>
        <w:spacing w:before="240" w:after="200" w:line="360" w:lineRule="auto"/>
        <w:ind w:firstLine="708"/>
        <w:jc w:val="both"/>
        <w:rPr>
          <w:rFonts w:ascii="Arial" w:eastAsia="Times New Roman" w:hAnsi="Arial" w:cs="Arial"/>
          <w:color w:val="000000"/>
          <w:sz w:val="24"/>
          <w:szCs w:val="24"/>
        </w:rPr>
      </w:pPr>
    </w:p>
    <w:p w14:paraId="0C4BB65A" w14:textId="77777777" w:rsidR="00687577" w:rsidRDefault="00687577">
      <w:pPr>
        <w:pStyle w:val="Ttulo2"/>
        <w:numPr>
          <w:ilvl w:val="2"/>
          <w:numId w:val="2"/>
        </w:numPr>
        <w:ind w:left="284" w:hanging="284"/>
      </w:pPr>
      <w:bookmarkStart w:id="24" w:name="__RefHeading__2213_1000385367"/>
      <w:bookmarkStart w:id="25" w:name="_Toc4083811"/>
      <w:bookmarkEnd w:id="24"/>
      <w:r>
        <w:rPr>
          <w:rFonts w:ascii="Arial" w:hAnsi="Arial" w:cs="Arial"/>
          <w:b/>
          <w:color w:val="00000A"/>
          <w:sz w:val="24"/>
        </w:rPr>
        <w:t>Ética periodística</w:t>
      </w:r>
      <w:bookmarkEnd w:id="25"/>
    </w:p>
    <w:p w14:paraId="4F9F47CD" w14:textId="77777777" w:rsidR="00687577" w:rsidRDefault="00687577"/>
    <w:p w14:paraId="2C926AA7" w14:textId="77777777" w:rsidR="00687577" w:rsidRDefault="00687577">
      <w:pPr>
        <w:spacing w:before="240" w:after="200" w:line="360" w:lineRule="auto"/>
        <w:ind w:firstLine="708"/>
        <w:jc w:val="both"/>
        <w:rPr>
          <w:rFonts w:ascii="Arial" w:hAnsi="Arial" w:cs="Arial"/>
          <w:sz w:val="24"/>
          <w:szCs w:val="24"/>
        </w:rPr>
      </w:pPr>
      <w:r>
        <w:rPr>
          <w:rFonts w:ascii="Arial" w:eastAsia="Times New Roman" w:hAnsi="Arial" w:cs="Arial"/>
          <w:color w:val="000000"/>
          <w:sz w:val="24"/>
          <w:szCs w:val="24"/>
        </w:rPr>
        <w:t>La ética periodística de acuerdo con Martínez (2016, p. 16) es el conjunto de valores o principios que podría utilizar una persona que tiene como profesión la de informar o que ejerce el periodismo; esto con el objetivo de cumplir los máximos deseables que tiendan a una valoración adecuada del periodismo por parte de la sociedad.</w:t>
      </w:r>
    </w:p>
    <w:p w14:paraId="081240B8" w14:textId="77777777" w:rsidR="00687577" w:rsidRDefault="00687577">
      <w:pPr>
        <w:spacing w:before="240" w:after="200" w:line="360" w:lineRule="auto"/>
        <w:ind w:left="708"/>
        <w:jc w:val="both"/>
        <w:rPr>
          <w:rFonts w:ascii="Arial" w:eastAsia="Times New Roman" w:hAnsi="Arial" w:cs="Arial"/>
          <w:color w:val="000000"/>
          <w:sz w:val="24"/>
          <w:szCs w:val="24"/>
        </w:rPr>
      </w:pPr>
      <w:r>
        <w:rPr>
          <w:rFonts w:ascii="Arial" w:hAnsi="Arial" w:cs="Arial"/>
          <w:sz w:val="24"/>
          <w:szCs w:val="24"/>
        </w:rPr>
        <w:t>Podemos sostener que la ética periodística es el conjunto de valores o principios de actuación deseables que hace suyos un informador para encarnar los objetivos que a su entender debiera cumplir el periodismo que él valora y respalda. La ética periodística, pues, no guarda distancia alguna de la ética sin adjetivos: sólo hay que aplicarla al ejercicio del periodismo (Martínez, 2016, p. 28).</w:t>
      </w:r>
    </w:p>
    <w:p w14:paraId="3F49813A" w14:textId="77777777" w:rsidR="00687577" w:rsidRDefault="00687577">
      <w:pPr>
        <w:spacing w:before="240" w:after="200" w:line="360" w:lineRule="auto"/>
        <w:ind w:firstLine="708"/>
        <w:jc w:val="both"/>
        <w:rPr>
          <w:rFonts w:ascii="Arial" w:eastAsia="Times New Roman" w:hAnsi="Arial" w:cs="Arial"/>
          <w:color w:val="000000"/>
          <w:sz w:val="24"/>
          <w:szCs w:val="24"/>
        </w:rPr>
      </w:pPr>
      <w:r>
        <w:rPr>
          <w:rFonts w:ascii="Arial" w:eastAsia="Times New Roman" w:hAnsi="Arial" w:cs="Arial"/>
          <w:color w:val="000000"/>
          <w:sz w:val="24"/>
          <w:szCs w:val="24"/>
        </w:rPr>
        <w:t>Para Savater (2014, p. 12) el periodismo es ética, técnica y estética de la transmisión de la verdad, lo cual acerca a un concepto más claro de la ética periodística, pues para cumplir con esa ética debe existir una relación con la verdad, que desde la perspectiva periodística la ubica en términos de lo que es útil para la construcción de ciudadanía.</w:t>
      </w:r>
    </w:p>
    <w:p w14:paraId="01EF5242" w14:textId="77777777" w:rsidR="00687577" w:rsidRDefault="00687577">
      <w:pPr>
        <w:spacing w:before="240" w:after="200" w:line="360" w:lineRule="auto"/>
        <w:ind w:left="708"/>
        <w:jc w:val="both"/>
        <w:rPr>
          <w:rFonts w:ascii="Arial" w:eastAsia="Times New Roman" w:hAnsi="Arial" w:cs="Arial"/>
          <w:color w:val="000000"/>
          <w:sz w:val="24"/>
          <w:szCs w:val="24"/>
        </w:rPr>
      </w:pPr>
      <w:r>
        <w:rPr>
          <w:rFonts w:ascii="Arial" w:eastAsia="Times New Roman" w:hAnsi="Arial" w:cs="Arial"/>
          <w:color w:val="000000"/>
          <w:sz w:val="24"/>
          <w:szCs w:val="24"/>
        </w:rPr>
        <w:t>El periodismo es el arte de transmitir la verdad. Pero a partir de Pilatos todos nos preguntamos qué es la verdad. Aristóteles, en los comienzos de la ética, establecía que no es lo mismo la verdad en matemática que en historia. La verdad es, fundamentalmente, los conocimientos y la objetividad relevante en un campo determinado. Relevante en el sentido de que es lo que un ciudadano tiene derecho a exigir y puede merecer, no lo que despierta curiosidad (Savater, 2014, p. 13).</w:t>
      </w:r>
    </w:p>
    <w:p w14:paraId="55336CB1" w14:textId="77777777" w:rsidR="00687577" w:rsidRDefault="00687577">
      <w:pPr>
        <w:spacing w:before="240" w:after="200" w:line="360" w:lineRule="auto"/>
        <w:ind w:firstLine="708"/>
        <w:jc w:val="both"/>
        <w:rPr>
          <w:rFonts w:ascii="Arial" w:eastAsia="Times New Roman" w:hAnsi="Arial" w:cs="Arial"/>
          <w:color w:val="000000"/>
          <w:sz w:val="24"/>
          <w:szCs w:val="24"/>
        </w:rPr>
      </w:pPr>
      <w:r>
        <w:rPr>
          <w:rFonts w:ascii="Arial" w:eastAsia="Times New Roman" w:hAnsi="Arial" w:cs="Arial"/>
          <w:color w:val="000000"/>
          <w:sz w:val="24"/>
          <w:szCs w:val="24"/>
        </w:rPr>
        <w:t xml:space="preserve">Este autor concluye que, verdad es lo que un ciudadano requiere para precisamente ejercer su función de ciudadano; en tal virtud, el periodista, quien es el actor político que le nutre de información, debe actuar con criterios éticos que garanticen información que cumpla con esos requerimientos. </w:t>
      </w:r>
    </w:p>
    <w:p w14:paraId="30DD9D6B" w14:textId="77777777" w:rsidR="00687577" w:rsidRDefault="00687577">
      <w:pPr>
        <w:spacing w:before="240" w:after="200" w:line="360" w:lineRule="auto"/>
        <w:ind w:left="708"/>
        <w:jc w:val="both"/>
        <w:rPr>
          <w:rFonts w:ascii="Arial" w:eastAsia="Times New Roman" w:hAnsi="Arial" w:cs="Arial"/>
          <w:color w:val="000000"/>
          <w:sz w:val="24"/>
          <w:szCs w:val="24"/>
        </w:rPr>
      </w:pPr>
      <w:r>
        <w:rPr>
          <w:rFonts w:ascii="Arial" w:eastAsia="Times New Roman" w:hAnsi="Arial" w:cs="Arial"/>
          <w:color w:val="000000"/>
          <w:sz w:val="24"/>
          <w:szCs w:val="24"/>
        </w:rPr>
        <w:t>Sólo hay un tipo de periodista reaccionario, sea de izquierda o de derecha: es aquel que conoce la verdad y dice otra cosa. Puede ser por oportunismo, por interés, por piedad o por creer que va a mejorar las cosas. Ese es el verdadero periodista reaccionario, el que no reconoce su obligación de decir la verdad (Savater, 2014, p.14).</w:t>
      </w:r>
    </w:p>
    <w:p w14:paraId="40ECD78E" w14:textId="77777777" w:rsidR="00687577" w:rsidRDefault="00687577">
      <w:pPr>
        <w:spacing w:before="240" w:after="200" w:line="360" w:lineRule="auto"/>
        <w:ind w:firstLine="708"/>
        <w:jc w:val="both"/>
        <w:rPr>
          <w:rFonts w:ascii="Arial" w:eastAsia="Times New Roman" w:hAnsi="Arial" w:cs="Arial"/>
          <w:color w:val="000000"/>
          <w:sz w:val="24"/>
          <w:szCs w:val="24"/>
        </w:rPr>
      </w:pPr>
      <w:r>
        <w:rPr>
          <w:rFonts w:ascii="Arial" w:eastAsia="Times New Roman" w:hAnsi="Arial" w:cs="Arial"/>
          <w:color w:val="000000"/>
          <w:sz w:val="24"/>
          <w:szCs w:val="24"/>
        </w:rPr>
        <w:t>El tema de la ética periodística parecería resuelto con el apego a la verdad, con el respaldo a la información útil y necesaria para el ciudadano, sin embargo, el fenómeno es complejo al visualizar que el ejercicio periodístico es una actividad política y por tanto el periodista es un actor político, asociado a la creación del Estado y las distintas formas de dominación, las cuales buscan evitar la anarquía en toda sociedad.</w:t>
      </w:r>
    </w:p>
    <w:p w14:paraId="59163994" w14:textId="77777777" w:rsidR="00687577" w:rsidRDefault="00687577">
      <w:pPr>
        <w:spacing w:before="240" w:after="200" w:line="360" w:lineRule="auto"/>
        <w:ind w:firstLine="708"/>
        <w:jc w:val="both"/>
        <w:rPr>
          <w:rFonts w:ascii="Arial" w:eastAsia="Times New Roman" w:hAnsi="Arial" w:cs="Arial"/>
          <w:color w:val="000000"/>
          <w:sz w:val="24"/>
          <w:szCs w:val="24"/>
        </w:rPr>
      </w:pPr>
      <w:r>
        <w:rPr>
          <w:rFonts w:ascii="Arial" w:eastAsia="Times New Roman" w:hAnsi="Arial" w:cs="Arial"/>
          <w:color w:val="000000"/>
          <w:sz w:val="24"/>
          <w:szCs w:val="24"/>
        </w:rPr>
        <w:t>Weber, (2004, p.14) en su descripción de los diferentes tipos de políticos indica que el periodista, junto con el publicista político, son los representantes más notables de la figura del demagogo moderno, debido a que una de sus materias primas es el discurso y la comunicación, además, el periodista en esa carrera política enfrenta una serie de desprecios, al grado que los periodistas podrían ser considerados como “parias” de la misma sociedad.</w:t>
      </w:r>
    </w:p>
    <w:p w14:paraId="44ABB82F" w14:textId="77777777" w:rsidR="00687577" w:rsidRDefault="00687577">
      <w:pPr>
        <w:spacing w:before="240" w:after="200" w:line="360" w:lineRule="auto"/>
        <w:ind w:left="708"/>
        <w:jc w:val="both"/>
        <w:rPr>
          <w:rFonts w:ascii="Arial" w:eastAsia="Times New Roman" w:hAnsi="Arial" w:cs="Arial"/>
          <w:color w:val="000000"/>
          <w:sz w:val="24"/>
          <w:szCs w:val="24"/>
        </w:rPr>
      </w:pPr>
      <w:r>
        <w:rPr>
          <w:rFonts w:ascii="Arial" w:eastAsia="Times New Roman" w:hAnsi="Arial" w:cs="Arial"/>
          <w:color w:val="000000"/>
          <w:sz w:val="24"/>
          <w:szCs w:val="24"/>
        </w:rPr>
        <w:t>La vida del periodista, por el contrario, es azarosa desde todos los puntos de vista y está rodeada de unas condiciones que ponen a prueba la seguridad interna como quizás no lo hace ninguna otra situación. Y tal vez no sean lo peor de ella las experiencias frecuentemente amargas de la vida profesional. Son precisamente los periodistas triunfantes los que se ven situados ante retos especialmente difíciles. No es ninguna bagatela eso de moverse en los salones de los grandes de este mundo, en pie de igualdad con ellos y, frecuentemente incluso, rodeado de halagos, originados en el temor, sabiendo al mismo tiempo que apenas haya uno salido, tal vez el anfitrión tenga que excusarse ante sus demás invitados por tratar a los ´pillos´ de la prensa (Weber, 2004, p.16).</w:t>
      </w:r>
    </w:p>
    <w:p w14:paraId="0AC5BF9D" w14:textId="77777777" w:rsidR="00687577" w:rsidRDefault="00687577">
      <w:pPr>
        <w:spacing w:before="240" w:after="200" w:line="360" w:lineRule="auto"/>
        <w:ind w:firstLine="708"/>
        <w:jc w:val="both"/>
        <w:rPr>
          <w:rFonts w:ascii="Arial" w:hAnsi="Arial" w:cs="Arial"/>
          <w:sz w:val="24"/>
          <w:szCs w:val="24"/>
        </w:rPr>
      </w:pPr>
      <w:r>
        <w:rPr>
          <w:rFonts w:ascii="Arial" w:eastAsia="Times New Roman" w:hAnsi="Arial" w:cs="Arial"/>
          <w:color w:val="000000"/>
          <w:sz w:val="24"/>
          <w:szCs w:val="24"/>
        </w:rPr>
        <w:t>Weber aclara que deben destacarse los ejemplos positivos del periodismo, no obstante, indica que toda actividad política, al colocarse por encima de lo cotidiano e incluso adquirir poder sobre otros, debe auto cuestionarse sobre cuál debe ser la actitud a adoptar, pues detenta un poder, por ello, este autor formula el argumento de que la ética se sustenta en la convicción (el actuar bien y dejar los resultados a la voluntad de Dios) y en la responsabilidad (tener presentes las posibles consecuencias de nuestra acción). Ambos elementos construyen la llamada “vocación política”.</w:t>
      </w:r>
    </w:p>
    <w:p w14:paraId="5F54AA06" w14:textId="77777777" w:rsidR="00687577" w:rsidRDefault="00687577">
      <w:pPr>
        <w:spacing w:before="240" w:after="200" w:line="360" w:lineRule="auto"/>
        <w:ind w:left="708"/>
        <w:jc w:val="both"/>
        <w:rPr>
          <w:rFonts w:ascii="Arial" w:hAnsi="Arial" w:cs="Arial"/>
          <w:sz w:val="24"/>
          <w:szCs w:val="24"/>
        </w:rPr>
      </w:pPr>
      <w:r>
        <w:rPr>
          <w:rFonts w:ascii="Arial" w:hAnsi="Arial" w:cs="Arial"/>
          <w:sz w:val="24"/>
          <w:szCs w:val="24"/>
        </w:rPr>
        <w:t>Es muy conmovedora la actitud de cualquier hombre maduro, de no importa cuántos años, que siente con toda su alma la responsabilidad por las consecuencias y actúa conforme a la ética correspondiente y que, llegado el caso, es capaz de decir: no puedo hacer nada más, aquí me detengo. Siento que esto es algo realmente humano y me caía hasta lo más profundo. Esta situación puede, en efecto, desafiar a cualquiera de nosotros, a condición de que no estemos muertos. Desde este punto de vista, la ética de la responsabilidad y la ética de la convicción no son términos opuestos entre sí; son elementos complementarios que deben concurrir a la formación del hombre auténtico, a la formación del hombre que pueda tener vocación política (Weber, 2004, p.37).</w:t>
      </w:r>
    </w:p>
    <w:p w14:paraId="4E0B86AA"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En esa combinación de convicción y responsabilidad estaría construyéndose la ética del ejercicio profesional del periodista, básica para la adecuada aplicación de un derecho humano como lo es el derecho a la información, así como el respeto a la libertad de expresión; materias primas de la democracia que tampoco deben ser utilizadas para un sesgado o viciado ejercicio profesional.</w:t>
      </w:r>
    </w:p>
    <w:p w14:paraId="2B3A0379"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Para dilucidar de mejor forma la importancia de la ética periodística es prudente remitirnos a la llamada trilogía argumentativa de Aristóteles</w:t>
      </w:r>
      <w:r>
        <w:rPr>
          <w:rStyle w:val="Refdenotaalpie"/>
        </w:rPr>
        <w:footnoteReference w:id="10"/>
      </w:r>
      <w:r>
        <w:rPr>
          <w:rFonts w:ascii="Arial" w:hAnsi="Arial" w:cs="Arial"/>
          <w:sz w:val="24"/>
          <w:szCs w:val="24"/>
        </w:rPr>
        <w:t>, quien ponderaba la relevancia del Ethos dentro del discurso, es decir, de la congruencia entre acciones y la comunicación.</w:t>
      </w:r>
    </w:p>
    <w:p w14:paraId="6BA3F905" w14:textId="77777777" w:rsidR="00687577" w:rsidRDefault="00687577">
      <w:pPr>
        <w:spacing w:before="240" w:after="200" w:line="360" w:lineRule="auto"/>
        <w:ind w:left="708"/>
        <w:jc w:val="both"/>
        <w:rPr>
          <w:rFonts w:ascii="Arial" w:hAnsi="Arial" w:cs="Arial"/>
          <w:sz w:val="24"/>
          <w:szCs w:val="24"/>
        </w:rPr>
      </w:pPr>
      <w:r>
        <w:rPr>
          <w:rFonts w:ascii="Arial" w:hAnsi="Arial" w:cs="Arial"/>
          <w:sz w:val="24"/>
          <w:szCs w:val="24"/>
        </w:rPr>
        <w:t>Nuestro hablar es una representación de lo que hemos hecho y/o de lo que vamos a hacer, y allí, bajo la forma de discurso, está representado nuestro ser. Hablar es entonces una actualización histórica, revelando las posibilidades de nuestro actuar ético (González-Domínguez, 2015, p. 187).</w:t>
      </w:r>
    </w:p>
    <w:p w14:paraId="0C951A46"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De esta forma la aplicación de una ética profesional para el periodismo o una ética periodística implica el establecer una correspondencia entre las acciones del periodista y el tipo de comunicaciones o mensajes que emite hacia la sociedad, los cuales deben estar regidos por los valores del Ethos, que González-Domínguez también identifica como benevolencia, virtud y sentido común.</w:t>
      </w:r>
    </w:p>
    <w:p w14:paraId="4F1DA0CF" w14:textId="77777777" w:rsidR="00687577" w:rsidRDefault="00687577">
      <w:pPr>
        <w:spacing w:before="240" w:after="200" w:line="360" w:lineRule="auto"/>
        <w:ind w:firstLine="708"/>
        <w:jc w:val="both"/>
        <w:rPr>
          <w:rFonts w:ascii="Arial" w:hAnsi="Arial" w:cs="Arial"/>
          <w:sz w:val="24"/>
          <w:szCs w:val="24"/>
        </w:rPr>
      </w:pPr>
      <w:r>
        <w:rPr>
          <w:rFonts w:ascii="Arial" w:hAnsi="Arial" w:cs="Arial"/>
          <w:sz w:val="24"/>
          <w:szCs w:val="24"/>
        </w:rPr>
        <w:t>El cómo lograr tales objetivos requiere de un amplio ejercicio de reconocimiento interior del periodista y del propio ejercicio periodístico, no obstante, Martínez (2016, p. 23) encuentra al menos cinco valores fundamentales en la ética periodística, lo cuales a continuación se enlistan:</w:t>
      </w:r>
    </w:p>
    <w:p w14:paraId="3EAEF393" w14:textId="77777777" w:rsidR="00687577" w:rsidRDefault="00687577">
      <w:pPr>
        <w:pStyle w:val="Prrafodelista1"/>
        <w:numPr>
          <w:ilvl w:val="0"/>
          <w:numId w:val="8"/>
        </w:numPr>
        <w:spacing w:before="240" w:line="360" w:lineRule="auto"/>
        <w:jc w:val="both"/>
        <w:rPr>
          <w:rFonts w:ascii="Arial" w:hAnsi="Arial" w:cs="Arial"/>
          <w:sz w:val="24"/>
          <w:szCs w:val="24"/>
        </w:rPr>
      </w:pPr>
      <w:r>
        <w:rPr>
          <w:rFonts w:ascii="Arial" w:hAnsi="Arial" w:cs="Arial"/>
          <w:sz w:val="24"/>
          <w:szCs w:val="24"/>
        </w:rPr>
        <w:t>Apego la veracidad: consiste en ponderar la honestidad para la obtención de información, lograr un equilibrio informativo, garantizar exactitud en el hecho relatado, e imparcialidad en la función periodística.</w:t>
      </w:r>
    </w:p>
    <w:p w14:paraId="58C32817" w14:textId="77777777" w:rsidR="00687577" w:rsidRDefault="00687577">
      <w:pPr>
        <w:pStyle w:val="Prrafodelista1"/>
        <w:numPr>
          <w:ilvl w:val="0"/>
          <w:numId w:val="8"/>
        </w:numPr>
        <w:spacing w:before="240" w:line="360" w:lineRule="auto"/>
        <w:jc w:val="both"/>
        <w:rPr>
          <w:rFonts w:ascii="Arial" w:hAnsi="Arial" w:cs="Arial"/>
          <w:sz w:val="24"/>
          <w:szCs w:val="24"/>
        </w:rPr>
      </w:pPr>
      <w:r>
        <w:rPr>
          <w:rFonts w:ascii="Arial" w:hAnsi="Arial" w:cs="Arial"/>
          <w:sz w:val="24"/>
          <w:szCs w:val="24"/>
        </w:rPr>
        <w:t>Búsqueda de independencia: implica ejercer la libertad sin restricciones, pero con responsabilidad, mantener el coraje intelectual en la búsqueda de la verdad, dignidad profesional y autonomía de criterio al mantenerse alejado de intereses ajenos a la profesión.</w:t>
      </w:r>
    </w:p>
    <w:p w14:paraId="51E5E474" w14:textId="77777777" w:rsidR="00687577" w:rsidRDefault="00687577">
      <w:pPr>
        <w:pStyle w:val="Prrafodelista1"/>
        <w:numPr>
          <w:ilvl w:val="0"/>
          <w:numId w:val="8"/>
        </w:numPr>
        <w:spacing w:before="240" w:line="360" w:lineRule="auto"/>
        <w:jc w:val="both"/>
        <w:rPr>
          <w:rFonts w:ascii="Arial" w:hAnsi="Arial" w:cs="Arial"/>
          <w:sz w:val="24"/>
          <w:szCs w:val="24"/>
        </w:rPr>
      </w:pPr>
      <w:r>
        <w:rPr>
          <w:rFonts w:ascii="Arial" w:hAnsi="Arial" w:cs="Arial"/>
          <w:sz w:val="24"/>
          <w:szCs w:val="24"/>
        </w:rPr>
        <w:t>Asunción de responsabilidad: incluye el respetar la condición humana, tener sensibilidad frente a los asuntos de interés público, mantener la tolerancia ante distintas posturas, preservar el principio de humanidad para ayudar a los demás, reforzar la ecuanimidad para dominar emociones, y enarbolar un espíritu de justicia.</w:t>
      </w:r>
    </w:p>
    <w:p w14:paraId="7B7A17C5" w14:textId="77777777" w:rsidR="00687577" w:rsidRDefault="00687577">
      <w:pPr>
        <w:pStyle w:val="Prrafodelista1"/>
        <w:numPr>
          <w:ilvl w:val="0"/>
          <w:numId w:val="8"/>
        </w:numPr>
        <w:spacing w:before="240" w:line="360" w:lineRule="auto"/>
        <w:jc w:val="both"/>
        <w:rPr>
          <w:rFonts w:ascii="Arial" w:hAnsi="Arial" w:cs="Arial"/>
          <w:sz w:val="24"/>
          <w:szCs w:val="24"/>
        </w:rPr>
      </w:pPr>
      <w:r>
        <w:rPr>
          <w:rFonts w:ascii="Arial" w:hAnsi="Arial" w:cs="Arial"/>
          <w:sz w:val="24"/>
          <w:szCs w:val="24"/>
        </w:rPr>
        <w:t>Compromiso de integridad profesional: tiende al profesionalismo del periodista (preparación), congruencia en su actuar, rectitud frente conflictos de interés, amor propio para valorar su profesión, humildad para advertir errores, y credibilidad, lo cual va asociado a la confianza en la información generada.</w:t>
      </w:r>
    </w:p>
    <w:p w14:paraId="15EED469" w14:textId="77777777" w:rsidR="00687577" w:rsidRDefault="00687577">
      <w:pPr>
        <w:pStyle w:val="Prrafodelista1"/>
        <w:numPr>
          <w:ilvl w:val="0"/>
          <w:numId w:val="8"/>
        </w:numPr>
        <w:spacing w:before="240" w:line="360" w:lineRule="auto"/>
        <w:jc w:val="both"/>
        <w:rPr>
          <w:rFonts w:ascii="Arial" w:hAnsi="Arial" w:cs="Arial"/>
          <w:sz w:val="24"/>
          <w:szCs w:val="24"/>
        </w:rPr>
      </w:pPr>
      <w:r>
        <w:rPr>
          <w:rFonts w:ascii="Arial" w:hAnsi="Arial" w:cs="Arial"/>
          <w:sz w:val="24"/>
          <w:szCs w:val="24"/>
        </w:rPr>
        <w:t xml:space="preserve">Afán de servicio a la comunidad: representa el trabajar para el bien común, es decir, para el bienestar general, lo cual reitera que la función periodística debe servir a la sociedad, a través de sus distintos contenidos emitidos. También incluye la solidaridad como hacia causas sociales, la cooperación para un bien social, la perseverancia en el rigor hacia la realidad, y el amor, entendido como el sentimiento que busca el encuentro con los otros, el comunicar en la esfera social. </w:t>
      </w:r>
    </w:p>
    <w:p w14:paraId="62F2F854" w14:textId="511ADD28" w:rsidR="00687577" w:rsidRDefault="00687577" w:rsidP="00AD7274">
      <w:pPr>
        <w:pStyle w:val="Prrafodelista1"/>
        <w:spacing w:before="240" w:line="360" w:lineRule="auto"/>
        <w:ind w:left="0" w:firstLine="708"/>
        <w:jc w:val="both"/>
        <w:rPr>
          <w:rFonts w:ascii="Arial" w:hAnsi="Arial" w:cs="Arial"/>
          <w:sz w:val="24"/>
          <w:szCs w:val="24"/>
        </w:rPr>
      </w:pPr>
      <w:r>
        <w:rPr>
          <w:rFonts w:ascii="Arial" w:hAnsi="Arial" w:cs="Arial"/>
          <w:sz w:val="24"/>
          <w:szCs w:val="24"/>
        </w:rPr>
        <w:t>Con base en estos elementos puede deducirse que la ética periodística es una voluntaria disposición para adherirse a valores encaminados al fiel registro de la verdad; también se constituye en un medio para el reconocimiento de errores y aciertos para el enriquecimiento profesional, así como para la visualización global del individuo en sociedad.</w:t>
      </w:r>
    </w:p>
    <w:p w14:paraId="1E2DA9C6"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Si bien la ética periodística no es una norma o ley que obligue al periodista a seguirla, quien ejerce el periodismo debe admitir que al no apegarse a la ética estaría vulnerando los derechos y libertades bajos los cuales trabaja, como lo son el derecho a la información y la libertad de expresión, lo cual se constituye como la perversión de esta profesión; enarbolar valores éticos dentro del periodismo es una tarea compleja ante la serie de intereses que pueden participar e influir, sin embargo, como lo refiere el mismo Aristóteles</w:t>
      </w:r>
      <w:r>
        <w:rPr>
          <w:rStyle w:val="Refdenotaalpie"/>
        </w:rPr>
        <w:footnoteReference w:id="11"/>
      </w:r>
      <w:r>
        <w:rPr>
          <w:rFonts w:ascii="Arial" w:hAnsi="Arial" w:cs="Arial"/>
          <w:sz w:val="24"/>
          <w:szCs w:val="24"/>
        </w:rPr>
        <w:t xml:space="preserve">, la base de todo discurso está en el Ethos que lo sustenta, que a la postre será el factor para el éxito en toda comunicación. Esto llevado al periodismo significa reposicionarlo como un factor de credibilidad y confianza social, basado en una ética periodística. </w:t>
      </w:r>
    </w:p>
    <w:p w14:paraId="58D6E30D"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En términos generales se deduce que el ejercicio periodístico, en su relación con el derecho a la información, la libertad de expresión y la ética periodística, constituye una tipología bajo la cual puede interpretarse y redimensionarse con mayor utilidad social.</w:t>
      </w:r>
    </w:p>
    <w:p w14:paraId="46D1468F"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Como disciplina profesional el ejercicio periodístico es un método de intermediación simbólico y social, cuyo objetivo es la clasificación de la realidad con base en criterios de ponderación enfocados a la revelación de una verdad</w:t>
      </w:r>
      <w:r>
        <w:rPr>
          <w:rStyle w:val="Refdenotaalpie"/>
        </w:rPr>
        <w:footnoteReference w:id="12"/>
      </w:r>
      <w:r>
        <w:rPr>
          <w:rFonts w:ascii="Arial" w:hAnsi="Arial" w:cs="Arial"/>
          <w:sz w:val="24"/>
          <w:szCs w:val="24"/>
        </w:rPr>
        <w:t>. En este sentido, la función del ejercicio periodístico no se limita a la difusión de información, sino a la generación de interpretación a partir de datos y hechos que configuran conocimientos; dimensión donde esta profesión adquiere una connotación vinculada a los derechos humanos, pues la búsqueda o revelación de una verdad, contraria a la mentira, se convierte en una tarea democrática</w:t>
      </w:r>
      <w:r>
        <w:rPr>
          <w:rStyle w:val="Refdenotaalpie"/>
        </w:rPr>
        <w:footnoteReference w:id="13"/>
      </w:r>
      <w:r>
        <w:rPr>
          <w:rFonts w:ascii="Arial" w:hAnsi="Arial" w:cs="Arial"/>
          <w:sz w:val="24"/>
          <w:szCs w:val="24"/>
        </w:rPr>
        <w:t>; así, el principal objetivo del ejercicio periodístico está asociado con los derechos de toda persona para acceder y buscar información, además de difundirla e informar al resto de la sociedad, lo cual es sustento del derecho a la información, consagrado en el artículo 19 de la DUDH, así como en distintos tratados internacionales que mandatan el respeto a las libertades de expresión e información.</w:t>
      </w:r>
    </w:p>
    <w:p w14:paraId="658CB7CF"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A diferencia de otras disciplinas profesionales, el ejercicio periodístico trabaja con derechos que parten de la condición humana, los cuales no dependen de una prerrogativa reconocida por un Estado, sino que como refiere la DADDH, son parte de los atributos de toda persona.</w:t>
      </w:r>
    </w:p>
    <w:p w14:paraId="62747490"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 xml:space="preserve">En tal virtud, el ejercicio periodístico es considerado como una normalización social del derecho a la información, que ayuda a institucionalizar la garantía de todo individuo a buscar información. </w:t>
      </w:r>
    </w:p>
    <w:p w14:paraId="28A89586"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El periodismo también es una disciplina profesional que normaliza la libertad de expresión, misma que parte de la naturaleza humana, pues desde su nacimiento el individuo es libre y regulada por consecuencias ulteriores, dicha libertad también es fundamento para el ejercicio periodístico.</w:t>
      </w:r>
    </w:p>
    <w:p w14:paraId="667D0E05"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En la búsqueda para concretar los anteriores objetivos, esta disciplina profesional requiere de una vigilancia ética, pues si e</w:t>
      </w:r>
      <w:r>
        <w:rPr>
          <w:rFonts w:ascii="Arial" w:eastAsia="Times New Roman" w:hAnsi="Arial" w:cs="Arial"/>
          <w:color w:val="000000"/>
          <w:sz w:val="24"/>
          <w:szCs w:val="24"/>
        </w:rPr>
        <w:t xml:space="preserve">l periodismo es el arte de transmitir la verdad (Savater, 2014, p. 13), requiere forzosamente de lineamientos para no pervertir su función, pues se encuentra en una constante dialéctica con poderes e instituciones que pueden defender una verdad distinta. Dicha ética periodística va encaminada a garantizar que el periodista o periodismo proporcione información, interpretaciones y conocimientos necesarios para que la ciudadanía ejerza o mejore su función como ciudadanía, es decir, empoderarla para que los ciudadanos sean verdaderos políticos. </w:t>
      </w:r>
    </w:p>
    <w:p w14:paraId="668FB593"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En este marco, el ejercicio periodístico se sostiene en libertades y derechos humanos como la libertad de expresión y el derecho a la información, pero también es baluarte de ambos, con lo cual se constituye como un elemento de freno para evitar abusos contrarios a esas garantías; por lo tanto, el periodismo en su relación con el derecho a la información, libertad de expresión y ética periodística, adquiere una carga histórica donde los derechos del hombre viven en una constante dialéctica con los estados absolutos o que no garantizan el total respeto a las garantías individuales.</w:t>
      </w:r>
    </w:p>
    <w:p w14:paraId="3235A77D"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Es así que el ejercicio periodístico, al tener como función la generación de interpretaciones y conocimientos; y como objetivo la defensa de derechos humanos, necesita protección no sólo de la sociedad, sino del propio Estado; pues en su esencia esta profesión trabaja con derechos que deben ser tutelados por los distintos gobiernos.</w:t>
      </w:r>
    </w:p>
    <w:p w14:paraId="4F672D24"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Esta protección se justifica aún más porque la defensa de libertades, como se enunció anteriormente, no es una prerrogativa que el Estado brinde al ciudadano, sino por el contrario, son derechos que parten de la propia esencia del individuo.</w:t>
      </w:r>
    </w:p>
    <w:p w14:paraId="443BA9E6"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En este tenor, la defensa o protección del ejercicio periodístico va en función de su indisoluble relación con esos derechos humanos, pues como refiere la CIDH, el periodismo es la manifestación primaria de la libertad de expresión, es decir, es el punto de partida para la preservación de una libertad innata a toda persona.</w:t>
      </w:r>
    </w:p>
    <w:p w14:paraId="3FF1C501" w14:textId="77777777" w:rsidR="00687577" w:rsidRDefault="00687577">
      <w:pPr>
        <w:spacing w:before="240" w:after="200" w:line="360" w:lineRule="auto"/>
        <w:jc w:val="both"/>
        <w:rPr>
          <w:rFonts w:ascii="Arial" w:hAnsi="Arial" w:cs="Arial"/>
          <w:b/>
          <w:sz w:val="24"/>
          <w:szCs w:val="32"/>
        </w:rPr>
      </w:pPr>
      <w:r>
        <w:rPr>
          <w:rFonts w:ascii="Arial" w:hAnsi="Arial" w:cs="Arial"/>
          <w:sz w:val="24"/>
          <w:szCs w:val="24"/>
        </w:rPr>
        <w:tab/>
        <w:t xml:space="preserve">Dicha protección debe ocurrir mediante un órgano gubernamental, que en todo momento garantice la defensa física o colectiva de los actores de estos derechos, pero también debe salvaguardar la tipología del ejercicio periodístico ofrecida en este capítulo, es decir, el derecho a la información, la libertad de expresión y la ética periodística. </w:t>
      </w:r>
    </w:p>
    <w:p w14:paraId="391F9925" w14:textId="77777777" w:rsidR="00687577" w:rsidRDefault="00687577">
      <w:pPr>
        <w:rPr>
          <w:rFonts w:ascii="Arial" w:hAnsi="Arial" w:cs="Arial"/>
          <w:b/>
          <w:sz w:val="24"/>
          <w:szCs w:val="32"/>
        </w:rPr>
      </w:pPr>
    </w:p>
    <w:p w14:paraId="0C42FBDB" w14:textId="77777777" w:rsidR="00687577" w:rsidRDefault="00687577">
      <w:pPr>
        <w:pStyle w:val="Ttulo1"/>
        <w:pageBreakBefore/>
        <w:ind w:left="1080" w:firstLine="0"/>
        <w:jc w:val="center"/>
      </w:pPr>
      <w:bookmarkStart w:id="26" w:name="__RefHeading__2215_1000385367"/>
      <w:bookmarkStart w:id="27" w:name="_Toc4083812"/>
      <w:bookmarkEnd w:id="26"/>
      <w:r>
        <w:rPr>
          <w:rFonts w:ascii="Arial" w:hAnsi="Arial" w:cs="Arial"/>
          <w:b/>
          <w:color w:val="00000A"/>
          <w:sz w:val="24"/>
        </w:rPr>
        <w:t>Capitulo II.  Regulación jurídica en la protección al ejercicio periodístico</w:t>
      </w:r>
      <w:bookmarkEnd w:id="27"/>
    </w:p>
    <w:p w14:paraId="00C4CB1E" w14:textId="77777777" w:rsidR="00687577" w:rsidRDefault="00687577"/>
    <w:p w14:paraId="18B0E71D" w14:textId="52B9FB11" w:rsidR="00687577" w:rsidRDefault="0094330E" w:rsidP="0094330E">
      <w:pPr>
        <w:pStyle w:val="Prrafodelista10"/>
        <w:spacing w:before="240" w:after="200" w:line="360" w:lineRule="auto"/>
        <w:ind w:left="714"/>
        <w:jc w:val="both"/>
        <w:rPr>
          <w:rFonts w:ascii="Arial" w:hAnsi="Arial" w:cs="Arial"/>
          <w:sz w:val="24"/>
          <w:szCs w:val="24"/>
        </w:rPr>
      </w:pPr>
      <w:bookmarkStart w:id="28" w:name="_Toc4083813"/>
      <w:r>
        <w:rPr>
          <w:rStyle w:val="Ttulo2Car"/>
          <w:rFonts w:ascii="Arial" w:hAnsi="Arial" w:cs="Arial"/>
          <w:b/>
          <w:color w:val="00000A"/>
          <w:sz w:val="24"/>
        </w:rPr>
        <w:t xml:space="preserve">II.a) </w:t>
      </w:r>
      <w:r w:rsidR="00687577">
        <w:rPr>
          <w:rStyle w:val="Ttulo2Car"/>
          <w:rFonts w:ascii="Arial" w:hAnsi="Arial" w:cs="Arial"/>
          <w:b/>
          <w:color w:val="00000A"/>
          <w:sz w:val="24"/>
        </w:rPr>
        <w:t>Protección del ejercicio periodístico a nivel internacional</w:t>
      </w:r>
      <w:bookmarkEnd w:id="28"/>
    </w:p>
    <w:p w14:paraId="559EF344"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En 1766, Suecia fue el primer país en contar con una Ley para la Libertad de Prensa y del Derecho de Acceso a las Actas Públicas (Ackerman y Sandoval, 2005, p.13), lo cual de inicio marcó un hito histórico del vínculo entre el ejercicio periodístico y el derecho a la información, como pilares en la construcción de libertades democráticas para el ciudadano.</w:t>
      </w:r>
    </w:p>
    <w:p w14:paraId="4DE751BB"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Este ordenamiento jurídico podría ser considerado el primer antecedente en la era moderna de la protección al ejercicio periodístico, pues como señala Gutiérrez (2014, p. 189) contempla la relación directa entre el libre acceso a documentos oficiales y el intercambio de opiniones a partir de la generación de esta información.</w:t>
      </w:r>
    </w:p>
    <w:p w14:paraId="3E3742CF" w14:textId="77777777" w:rsidR="00687577" w:rsidRDefault="00687577">
      <w:pPr>
        <w:spacing w:before="240" w:after="200" w:line="360" w:lineRule="auto"/>
        <w:ind w:left="708"/>
        <w:jc w:val="both"/>
        <w:rPr>
          <w:rFonts w:ascii="Arial" w:hAnsi="Arial" w:cs="Arial"/>
          <w:sz w:val="24"/>
          <w:szCs w:val="24"/>
        </w:rPr>
      </w:pPr>
      <w:r>
        <w:rPr>
          <w:rFonts w:ascii="Arial" w:hAnsi="Arial" w:cs="Arial"/>
          <w:sz w:val="24"/>
          <w:szCs w:val="24"/>
        </w:rPr>
        <w:t>No es ninguna coincidencia que la primera ley de acceso a la información fuera simultáneamente una ley que aseguraba la libertad de prensa. El acceso a la información gubernamental y la libertad de expresión se encuentran íntimamente conectados en tanto que los dos forman parte del concepto más amplio del derecho a la información (Ackerman y Sandoval, 2005, p. 13).</w:t>
      </w:r>
    </w:p>
    <w:p w14:paraId="690ACACD"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Como refieren ambos autores ningún otro país registra un antecedente similar durante los siglos XVIII y XIX; sin embargo, estableció las bases para históricas para las posteriores leyes y reformas en el siglo XX y XXI en materia de transparencia gubernamental, lo cual confirma que el respeto a garantías individuales como el derecho a la información es el principio para la protección al ejercicio periodístico.</w:t>
      </w:r>
    </w:p>
    <w:p w14:paraId="5E12FEE0"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Un inmediato antecedente a dicho ordenamiento sueco lo constituyó, en 1787, la Constitución de los Estados Unidos, con su primera enmienda, y la Declaración de los Derechos del Hombre y del Ciudadano (DDHC, 1789), las cuales, como indican Cabalin y Lagos (2009, p.38), consideraron que la comunicación de los pensamientos y opiniones es de uno los derechos más importantes de ser humano, por lo cual escribir y publicar debe ser una actividad enmarcada por la libertad.</w:t>
      </w:r>
    </w:p>
    <w:p w14:paraId="19C8C081"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En el siglo XX destaca el Convenio para la Protección de los Derechos Humanos y las Libertades Fundamentales (CPDHLF), conocido como el Convenio de Roma del 4 de noviembre de 1950, en el cual se indica que toda persona tiene derecho a la libertad de expresión, lo cual implica la posibilidad de comunicar informaciones o ideas sin injerencia de autoridades públicas o fronteras.</w:t>
      </w:r>
    </w:p>
    <w:p w14:paraId="458DC245"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 xml:space="preserve">A su vez el Código Europeo de Deontología del Periodismo (CEDP), aprobado el primero de julio de 1993 por la Asamblea Parlamentaria del Consejo de Europa, adoptó una serie de principios éticos que recomienda sean instrumentados por las naciones de este continente. Entre las disposiciones de este Código destaca que los poderes públicos no deben considerarse propietarios de la información y que adicional a la libertad de los medios de comunicación deben existir libertades a interior de estos medios, con lo cual también se construyen derechos para la protección del ejercicio periodístico, en función de estas exigencias es necesario reforzar las garantías de libertad de expresión de los periodistas a quienes corresponde en última </w:t>
      </w:r>
      <w:r>
        <w:rPr>
          <w:rFonts w:ascii="Arial" w:hAnsi="Arial" w:cs="Arial"/>
          <w:sz w:val="24"/>
          <w:szCs w:val="24"/>
        </w:rPr>
        <w:tab/>
        <w:t>instancia ser los emisores finales de la información, en este sentido es necesario desarrollar jurídicamente y clarificar las figuras de la cláusula de conciencia y el secreto profesional de las fuentes confidenciales, armonizando las disposiciones nacionales sobre estas materias para ejercerlas en el marco más amplio del espacio democrático europeo (CEDP, 1993).</w:t>
      </w:r>
    </w:p>
    <w:p w14:paraId="6A62ADC0"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Del citado Código destaca el enfoque de proteger no sólo a la libertad de expresión como un derecho genérico, sino de establecer normas específicas para quienes ejercen de manera profesional el periodismo a través de figuras como la cláusula de conciencia y el secreto profesional, lo cual coadyuva en la protección del ejercicio periodístico.</w:t>
      </w:r>
    </w:p>
    <w:p w14:paraId="66B09309"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A nivel internacional, como ya se ha mencionado en el anterior capítulo, la protección del ejercicio profesional del periodismo es paralela a la salvaguarda del derecho a la información y la libertad de expresión, no obstante, deben existir lineamientos específicos para la actividad periodística en función de consistir en el ejercicio constante de tales derechos y libertades.</w:t>
      </w:r>
    </w:p>
    <w:p w14:paraId="1F05BCE1" w14:textId="77777777" w:rsidR="00687577" w:rsidRDefault="00687577">
      <w:pPr>
        <w:spacing w:before="240" w:after="200" w:line="360" w:lineRule="auto"/>
        <w:jc w:val="both"/>
        <w:rPr>
          <w:rFonts w:ascii="Arial" w:eastAsia="Times New Roman" w:hAnsi="Arial" w:cs="Arial"/>
          <w:color w:val="000000"/>
          <w:sz w:val="24"/>
          <w:szCs w:val="24"/>
          <w:lang w:val="es-ES"/>
        </w:rPr>
      </w:pPr>
      <w:r>
        <w:rPr>
          <w:rFonts w:ascii="Arial" w:hAnsi="Arial" w:cs="Arial"/>
          <w:sz w:val="24"/>
          <w:szCs w:val="24"/>
        </w:rPr>
        <w:tab/>
        <w:t xml:space="preserve">De manera más reciente la Organización de Estados Americanos (OEA, 2018) ha emitido distintas disposiciones como la Declaración Conjunta sobre la Independencia y la Diversidad de los Medios de Comunicación en la Era Digital (DCIDMCED), donde se reconoce el papel que pueden desempeñar los medios de comunicación independientes para las sociedades democráticas, el Estado de Derecho y la rendición de cuentas de las instituciones públicas. Dicho documento también aclara que debe existir conciencia sobre las diversas amenazas a la libertad de esos medios de comunicación, las cuales pueden ser de tipo jurídico, político, tecnológico y económico; en tal virtud la DCIDMCED plantea que los distintos Estados del hemisferio deben proteger la libertad de los medios de comunicación con las siguientes medidas: </w:t>
      </w:r>
    </w:p>
    <w:p w14:paraId="3A2BB9D6" w14:textId="77777777" w:rsidR="00687577" w:rsidRDefault="00687577">
      <w:pPr>
        <w:pStyle w:val="Prrafodelista1"/>
        <w:numPr>
          <w:ilvl w:val="0"/>
          <w:numId w:val="9"/>
        </w:numPr>
        <w:spacing w:before="240" w:line="360" w:lineRule="auto"/>
        <w:jc w:val="both"/>
        <w:rPr>
          <w:rFonts w:ascii="Arial" w:eastAsia="Times New Roman" w:hAnsi="Arial" w:cs="Arial"/>
          <w:color w:val="000000"/>
          <w:sz w:val="24"/>
          <w:szCs w:val="24"/>
          <w:lang w:val="es-ES"/>
        </w:rPr>
      </w:pPr>
      <w:r>
        <w:rPr>
          <w:rFonts w:ascii="Arial" w:eastAsia="Times New Roman" w:hAnsi="Arial" w:cs="Arial"/>
          <w:color w:val="000000"/>
          <w:sz w:val="24"/>
          <w:szCs w:val="24"/>
          <w:lang w:val="es-ES"/>
        </w:rPr>
        <w:t>Propiciar un entorno de trabajo seguro para los periodistas;</w:t>
      </w:r>
    </w:p>
    <w:p w14:paraId="3A852620" w14:textId="77777777" w:rsidR="00687577" w:rsidRDefault="00687577">
      <w:pPr>
        <w:pStyle w:val="Prrafodelista1"/>
        <w:numPr>
          <w:ilvl w:val="0"/>
          <w:numId w:val="9"/>
        </w:numPr>
        <w:spacing w:before="240" w:line="360" w:lineRule="auto"/>
        <w:jc w:val="both"/>
        <w:rPr>
          <w:rFonts w:ascii="Arial" w:eastAsia="Times New Roman" w:hAnsi="Arial" w:cs="Arial"/>
          <w:color w:val="000000"/>
          <w:sz w:val="24"/>
          <w:szCs w:val="24"/>
          <w:lang w:val="es-ES"/>
        </w:rPr>
      </w:pPr>
      <w:r>
        <w:rPr>
          <w:rFonts w:ascii="Arial" w:eastAsia="Times New Roman" w:hAnsi="Arial" w:cs="Arial"/>
          <w:color w:val="000000"/>
          <w:sz w:val="24"/>
          <w:szCs w:val="24"/>
          <w:lang w:val="es-ES"/>
        </w:rPr>
        <w:t>Garantizar el respeto de la independencia de los medios de comunicación y, en particular, la independencia editorial;</w:t>
      </w:r>
    </w:p>
    <w:p w14:paraId="21147C3C" w14:textId="77777777" w:rsidR="00687577" w:rsidRDefault="00687577">
      <w:pPr>
        <w:pStyle w:val="Prrafodelista1"/>
        <w:numPr>
          <w:ilvl w:val="0"/>
          <w:numId w:val="9"/>
        </w:numPr>
        <w:spacing w:before="240" w:line="360" w:lineRule="auto"/>
        <w:jc w:val="both"/>
        <w:rPr>
          <w:rFonts w:ascii="Arial" w:eastAsia="Times New Roman" w:hAnsi="Arial" w:cs="Arial"/>
          <w:color w:val="000000"/>
          <w:sz w:val="24"/>
          <w:szCs w:val="24"/>
          <w:lang w:val="es-ES"/>
        </w:rPr>
      </w:pPr>
      <w:r>
        <w:rPr>
          <w:rFonts w:ascii="Arial" w:eastAsia="Times New Roman" w:hAnsi="Arial" w:cs="Arial"/>
          <w:color w:val="000000"/>
          <w:sz w:val="24"/>
          <w:szCs w:val="24"/>
          <w:lang w:val="es-ES"/>
        </w:rPr>
        <w:t>Usar diversos instrumentos para promover la diversidad de los medios de comunicación, incluso a nivel local y, entre otras cosas, asegurar que los medios comunitarios tengan un espacio para operar en todas las plataformas de distribución y cuenten con recursos adecuados;</w:t>
      </w:r>
    </w:p>
    <w:p w14:paraId="29EEBEC6" w14:textId="77777777" w:rsidR="00687577" w:rsidRDefault="00687577">
      <w:pPr>
        <w:pStyle w:val="Prrafodelista1"/>
        <w:numPr>
          <w:ilvl w:val="0"/>
          <w:numId w:val="9"/>
        </w:numPr>
        <w:spacing w:before="240" w:line="360" w:lineRule="auto"/>
        <w:jc w:val="both"/>
        <w:rPr>
          <w:rFonts w:ascii="Arial" w:hAnsi="Arial" w:cs="Arial"/>
          <w:color w:val="000000"/>
          <w:sz w:val="24"/>
          <w:szCs w:val="24"/>
        </w:rPr>
      </w:pPr>
      <w:r>
        <w:rPr>
          <w:rFonts w:ascii="Arial" w:eastAsia="Times New Roman" w:hAnsi="Arial" w:cs="Arial"/>
          <w:color w:val="000000"/>
          <w:sz w:val="24"/>
          <w:szCs w:val="24"/>
          <w:lang w:val="es-ES"/>
        </w:rPr>
        <w:t>Abstenerse de aplicar formas indirectas de censura, como el abuso de los controles de la prensa, las frecuencias de radio o la infraestructura utilizada para difundir contenido de los medios;</w:t>
      </w:r>
    </w:p>
    <w:p w14:paraId="47197584" w14:textId="77777777" w:rsidR="00687577" w:rsidRDefault="00687577">
      <w:pPr>
        <w:pStyle w:val="Prrafodelista1"/>
        <w:numPr>
          <w:ilvl w:val="0"/>
          <w:numId w:val="9"/>
        </w:numPr>
        <w:spacing w:before="240" w:line="360" w:lineRule="auto"/>
        <w:jc w:val="both"/>
        <w:rPr>
          <w:rFonts w:ascii="Arial" w:eastAsia="Times New Roman" w:hAnsi="Arial" w:cs="Arial"/>
          <w:color w:val="000000"/>
          <w:sz w:val="24"/>
          <w:szCs w:val="24"/>
          <w:lang w:val="es-ES"/>
        </w:rPr>
      </w:pPr>
      <w:r>
        <w:rPr>
          <w:rFonts w:ascii="Arial" w:hAnsi="Arial" w:cs="Arial"/>
          <w:color w:val="000000"/>
          <w:sz w:val="24"/>
          <w:szCs w:val="24"/>
        </w:rPr>
        <w:t xml:space="preserve">Asegurar </w:t>
      </w:r>
      <w:r>
        <w:rPr>
          <w:rFonts w:ascii="Arial" w:eastAsia="Times New Roman" w:hAnsi="Arial" w:cs="Arial"/>
          <w:color w:val="000000"/>
          <w:sz w:val="24"/>
          <w:szCs w:val="24"/>
          <w:lang w:val="es-ES"/>
        </w:rPr>
        <w:t>la independencia de los órganos facultados para regular a los medios de comunicación;</w:t>
      </w:r>
    </w:p>
    <w:p w14:paraId="36BE1CA6" w14:textId="77777777" w:rsidR="00687577" w:rsidRDefault="00687577">
      <w:pPr>
        <w:pStyle w:val="Prrafodelista1"/>
        <w:numPr>
          <w:ilvl w:val="0"/>
          <w:numId w:val="9"/>
        </w:numPr>
        <w:spacing w:before="240" w:line="360" w:lineRule="auto"/>
        <w:jc w:val="both"/>
        <w:rPr>
          <w:rFonts w:ascii="Arial" w:eastAsia="Times New Roman" w:hAnsi="Arial" w:cs="Arial"/>
          <w:color w:val="000000"/>
          <w:sz w:val="24"/>
          <w:szCs w:val="24"/>
          <w:lang w:val="es-ES"/>
        </w:rPr>
      </w:pPr>
      <w:r>
        <w:rPr>
          <w:rFonts w:ascii="Arial" w:eastAsia="Times New Roman" w:hAnsi="Arial" w:cs="Arial"/>
          <w:color w:val="000000"/>
          <w:sz w:val="24"/>
          <w:szCs w:val="24"/>
          <w:lang w:val="es-ES"/>
        </w:rPr>
        <w:t>Salvaguardar el papel de los medios de comunicación públicos independientes y sostenibles, en particular con la finalidad de asegurar el suministro de información de buena calidad;</w:t>
      </w:r>
    </w:p>
    <w:p w14:paraId="365DE206" w14:textId="77777777" w:rsidR="00687577" w:rsidRDefault="00687577">
      <w:pPr>
        <w:pStyle w:val="Prrafodelista1"/>
        <w:numPr>
          <w:ilvl w:val="0"/>
          <w:numId w:val="9"/>
        </w:numPr>
        <w:spacing w:before="240" w:line="360" w:lineRule="auto"/>
        <w:jc w:val="both"/>
        <w:rPr>
          <w:rFonts w:ascii="Arial" w:eastAsia="Times New Roman" w:hAnsi="Arial" w:cs="Arial"/>
          <w:color w:val="000000"/>
          <w:sz w:val="24"/>
          <w:szCs w:val="24"/>
          <w:lang w:val="es-ES"/>
        </w:rPr>
      </w:pPr>
      <w:r>
        <w:rPr>
          <w:rFonts w:ascii="Arial" w:eastAsia="Times New Roman" w:hAnsi="Arial" w:cs="Arial"/>
          <w:color w:val="000000"/>
          <w:sz w:val="24"/>
          <w:szCs w:val="24"/>
          <w:lang w:val="es-ES"/>
        </w:rPr>
        <w:t xml:space="preserve">Garantizar el derecho a proteger las fuentes confidenciales de información, incluso con la protección del material en el que se identifique la fuente, como notas y archivos profesionales, de diversas formas, entre ellas el cifrado de las comunicaciones. </w:t>
      </w:r>
    </w:p>
    <w:p w14:paraId="4AB4D23A" w14:textId="77777777" w:rsidR="00687577" w:rsidRDefault="00687577">
      <w:pPr>
        <w:pStyle w:val="Prrafodelista1"/>
        <w:numPr>
          <w:ilvl w:val="0"/>
          <w:numId w:val="9"/>
        </w:numPr>
        <w:spacing w:before="240" w:line="360" w:lineRule="auto"/>
        <w:jc w:val="both"/>
        <w:rPr>
          <w:rFonts w:ascii="Arial" w:eastAsia="Times New Roman" w:hAnsi="Arial" w:cs="Arial"/>
          <w:color w:val="000000"/>
          <w:sz w:val="24"/>
          <w:szCs w:val="24"/>
          <w:lang w:val="es-ES"/>
        </w:rPr>
      </w:pPr>
      <w:r>
        <w:rPr>
          <w:rFonts w:ascii="Arial" w:eastAsia="Times New Roman" w:hAnsi="Arial" w:cs="Arial"/>
          <w:color w:val="000000"/>
          <w:sz w:val="24"/>
          <w:szCs w:val="24"/>
          <w:lang w:val="es-ES"/>
        </w:rPr>
        <w:t>Respetar la libertad de circulación de los periodistas tanto locales como extranjeros; y</w:t>
      </w:r>
    </w:p>
    <w:p w14:paraId="15F1D0F1" w14:textId="77777777" w:rsidR="00687577" w:rsidRDefault="00687577">
      <w:pPr>
        <w:pStyle w:val="Prrafodelista1"/>
        <w:numPr>
          <w:ilvl w:val="0"/>
          <w:numId w:val="9"/>
        </w:numPr>
        <w:spacing w:before="240" w:line="360" w:lineRule="auto"/>
        <w:jc w:val="both"/>
        <w:rPr>
          <w:rFonts w:ascii="Arial" w:eastAsia="Times New Roman" w:hAnsi="Arial" w:cs="Arial"/>
          <w:color w:val="333333"/>
          <w:sz w:val="24"/>
          <w:szCs w:val="24"/>
          <w:lang w:val="es-ES"/>
        </w:rPr>
      </w:pPr>
      <w:r>
        <w:rPr>
          <w:rFonts w:ascii="Arial" w:eastAsia="Times New Roman" w:hAnsi="Arial" w:cs="Arial"/>
          <w:color w:val="000000"/>
          <w:sz w:val="24"/>
          <w:szCs w:val="24"/>
          <w:lang w:val="es-ES"/>
        </w:rPr>
        <w:t>Crear salvaguardias apropiadas contra el registro y la incautación de material periodístico (OEA, 2018, p.2).</w:t>
      </w:r>
    </w:p>
    <w:p w14:paraId="78E9672B" w14:textId="77777777" w:rsidR="00687577" w:rsidRDefault="00687577">
      <w:pPr>
        <w:spacing w:before="240" w:after="200" w:line="360" w:lineRule="auto"/>
        <w:jc w:val="both"/>
        <w:rPr>
          <w:rFonts w:ascii="Arial" w:eastAsia="Times New Roman" w:hAnsi="Arial" w:cs="Arial"/>
          <w:color w:val="000000"/>
          <w:sz w:val="24"/>
          <w:szCs w:val="24"/>
          <w:lang w:val="es-ES"/>
        </w:rPr>
      </w:pPr>
      <w:r>
        <w:rPr>
          <w:rFonts w:ascii="Arial" w:eastAsia="Times New Roman" w:hAnsi="Arial" w:cs="Arial"/>
          <w:color w:val="333333"/>
          <w:sz w:val="24"/>
          <w:szCs w:val="24"/>
          <w:lang w:val="es-ES"/>
        </w:rPr>
        <w:tab/>
        <w:t xml:space="preserve">La </w:t>
      </w:r>
      <w:r>
        <w:rPr>
          <w:rFonts w:ascii="Arial" w:hAnsi="Arial" w:cs="Arial"/>
          <w:sz w:val="24"/>
          <w:szCs w:val="24"/>
        </w:rPr>
        <w:t>DCIDMCED aclara que toda protección de los derechos de los periodistas no debe focalizase en definiciones formales del periodista o periodismo, sino en criterios funcionales, es decir, la importancia de salvaguardar la difusión de información e ideas de interés público.</w:t>
      </w:r>
    </w:p>
    <w:p w14:paraId="2D27D09D" w14:textId="77777777" w:rsidR="00687577" w:rsidRDefault="00687577">
      <w:pPr>
        <w:spacing w:before="240" w:after="200" w:line="360" w:lineRule="auto"/>
        <w:ind w:left="709"/>
        <w:jc w:val="both"/>
        <w:rPr>
          <w:rFonts w:ascii="Arial" w:eastAsia="Times New Roman" w:hAnsi="Arial" w:cs="Arial"/>
          <w:color w:val="000000"/>
          <w:sz w:val="24"/>
          <w:szCs w:val="24"/>
          <w:lang w:val="es-ES"/>
        </w:rPr>
      </w:pPr>
      <w:r>
        <w:rPr>
          <w:rFonts w:ascii="Arial" w:eastAsia="Times New Roman" w:hAnsi="Arial" w:cs="Arial"/>
          <w:color w:val="000000"/>
          <w:sz w:val="24"/>
          <w:szCs w:val="24"/>
          <w:lang w:val="es-ES"/>
        </w:rPr>
        <w:t>Los Estados tienen la obligación positiva de proteger a los periodistas y a otros que corren el riesgo de ser atacados por ejercer su derecho a la libertad de expresión, de iniciar investigaciones eficaces cuando se producen dichos ataques, de manera tal que se exija la rendición de cuentas de los responsables, y de ofrecer reparaciones efectivas a las víctimas (OEA, 2018, p.3).</w:t>
      </w:r>
    </w:p>
    <w:p w14:paraId="6B7AD167" w14:textId="77777777" w:rsidR="00687577" w:rsidRDefault="00687577">
      <w:pPr>
        <w:spacing w:before="240" w:after="200" w:line="360" w:lineRule="auto"/>
        <w:jc w:val="both"/>
        <w:rPr>
          <w:rFonts w:ascii="Arial" w:eastAsia="Times New Roman" w:hAnsi="Arial" w:cs="Arial"/>
          <w:color w:val="000000"/>
          <w:sz w:val="24"/>
          <w:szCs w:val="24"/>
          <w:lang w:val="es-ES"/>
        </w:rPr>
      </w:pPr>
      <w:r>
        <w:rPr>
          <w:rFonts w:ascii="Arial" w:eastAsia="Times New Roman" w:hAnsi="Arial" w:cs="Arial"/>
          <w:color w:val="000000"/>
          <w:sz w:val="24"/>
          <w:szCs w:val="24"/>
          <w:lang w:val="es-ES"/>
        </w:rPr>
        <w:tab/>
        <w:t xml:space="preserve">La citada declaración también incluye una serie de recomendaciones para atender amenazas políticas, tecnológicas y económicas que pueden impactar en los medios de comunicación. </w:t>
      </w:r>
    </w:p>
    <w:p w14:paraId="61C0495D" w14:textId="77777777" w:rsidR="00687577" w:rsidRDefault="00687577">
      <w:pPr>
        <w:pStyle w:val="Prrafodelista10"/>
        <w:shd w:val="clear" w:color="auto" w:fill="FFFFFF"/>
        <w:spacing w:before="240" w:after="200" w:line="360" w:lineRule="auto"/>
        <w:ind w:left="0"/>
        <w:jc w:val="both"/>
        <w:rPr>
          <w:rFonts w:ascii="Arial" w:hAnsi="Arial" w:cs="Arial"/>
          <w:sz w:val="24"/>
          <w:szCs w:val="24"/>
        </w:rPr>
      </w:pPr>
      <w:r>
        <w:rPr>
          <w:rFonts w:ascii="Arial" w:eastAsia="Times New Roman" w:hAnsi="Arial" w:cs="Arial"/>
          <w:color w:val="000000"/>
          <w:sz w:val="24"/>
          <w:szCs w:val="24"/>
          <w:lang w:val="es-ES"/>
        </w:rPr>
        <w:tab/>
        <w:t>Entre dichas medidas se encuentran el que los políticos y funcionarios públicos deben evitar acciones que socaven la independencia de los medios de comunicación</w:t>
      </w:r>
      <w:r>
        <w:rPr>
          <w:rStyle w:val="Refdenotaalpie"/>
        </w:rPr>
        <w:footnoteReference w:id="14"/>
      </w:r>
      <w:r>
        <w:rPr>
          <w:rFonts w:ascii="Arial" w:eastAsia="Times New Roman" w:hAnsi="Arial" w:cs="Arial"/>
          <w:color w:val="000000"/>
          <w:sz w:val="24"/>
          <w:szCs w:val="24"/>
          <w:lang w:val="es-ES"/>
        </w:rPr>
        <w:t>, garantizar el derecho de réplica pero sin excesos, evitar la vigilancia digital, y crear un entorno económico que respalde a una diversidad de medios de comunicación, “con sistemas de subsidios independientes o uniformes y exoneraciones fiscales” (2018, p. 4).</w:t>
      </w:r>
    </w:p>
    <w:p w14:paraId="28CB52D2"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Es de advertirse que organismos internacionales como la OEA plantean una serie de medidas que no sólo alientan mecanismos para la proteger e incentivar el periodismo, sino también para dimensionarlo a la luz de una actividad de interés público al enfocarse a la aplicación de la libertad de expresión y el derecho a la información, como elementos fundamentales para la construcción de sociedades democráticas. Por ello, la deducción de lo vertido en los párrafos anteriores conduce a determinar que a nivel internacional el ejercicio periodístico es protegido no por la definición formal o técnica del periodismo, sino porque engloba la necesidad de toda persona por vivir en un ambiente democrático de permanente búsqueda, acceso, difusión y retroalimentación de información pública.</w:t>
      </w:r>
    </w:p>
    <w:p w14:paraId="1B351A8F"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Al ser derechos inherentes a la persona, distintas organizaciones no gubernamentales también han destacado a nivel internacional en materia de protección a periodistas o al ejercicio periodístico, entre ellas se encuentran las siguientes, así como las principales acciones realizadas:</w:t>
      </w:r>
    </w:p>
    <w:p w14:paraId="5F489260" w14:textId="77777777" w:rsidR="00687577" w:rsidRDefault="00687577">
      <w:pPr>
        <w:pStyle w:val="Prrafodelista1"/>
        <w:numPr>
          <w:ilvl w:val="0"/>
          <w:numId w:val="10"/>
        </w:numPr>
        <w:spacing w:before="240" w:line="360" w:lineRule="auto"/>
        <w:jc w:val="both"/>
        <w:rPr>
          <w:rFonts w:ascii="Arial" w:hAnsi="Arial" w:cs="Arial"/>
          <w:color w:val="000000"/>
          <w:sz w:val="24"/>
          <w:szCs w:val="24"/>
        </w:rPr>
      </w:pPr>
      <w:r>
        <w:rPr>
          <w:rFonts w:ascii="Arial" w:hAnsi="Arial" w:cs="Arial"/>
          <w:sz w:val="24"/>
          <w:szCs w:val="24"/>
        </w:rPr>
        <w:t xml:space="preserve">Federación Internacional de Periodistas (FIP): </w:t>
      </w:r>
      <w:r>
        <w:rPr>
          <w:rFonts w:ascii="Arial" w:hAnsi="Arial" w:cs="Arial"/>
          <w:color w:val="000000"/>
          <w:sz w:val="24"/>
          <w:szCs w:val="24"/>
        </w:rPr>
        <w:t xml:space="preserve">elaboró un “Manual de Protección para Periodistas” y creó un Fondo de Solidaridad en favor de los periodistas amenazados, a fin de proporcionarles ayuda material y asistencia jurídica. </w:t>
      </w:r>
    </w:p>
    <w:p w14:paraId="7E245014" w14:textId="77777777" w:rsidR="00687577" w:rsidRDefault="00687577">
      <w:pPr>
        <w:pStyle w:val="Prrafodelista1"/>
        <w:numPr>
          <w:ilvl w:val="0"/>
          <w:numId w:val="10"/>
        </w:numPr>
        <w:spacing w:before="240" w:line="360" w:lineRule="auto"/>
        <w:jc w:val="both"/>
        <w:rPr>
          <w:rFonts w:ascii="Arial" w:hAnsi="Arial" w:cs="Arial"/>
          <w:color w:val="000000"/>
          <w:sz w:val="24"/>
          <w:szCs w:val="24"/>
        </w:rPr>
      </w:pPr>
      <w:r>
        <w:rPr>
          <w:rFonts w:ascii="Arial" w:hAnsi="Arial" w:cs="Arial"/>
          <w:color w:val="000000"/>
          <w:sz w:val="24"/>
          <w:szCs w:val="24"/>
        </w:rPr>
        <w:t xml:space="preserve">Comité para la Protección de los Periodistas (CPJ): recopiló el “Índice de impunidad”, mediante el cual se enumeran los países donde, a lo largo del último decenio, los poderes públicos han sido incapaces de dilucidar asesinatos de profesionales de los medios de información. </w:t>
      </w:r>
    </w:p>
    <w:p w14:paraId="5220FBFC" w14:textId="77777777" w:rsidR="00687577" w:rsidRDefault="00687577">
      <w:pPr>
        <w:pStyle w:val="Prrafodelista1"/>
        <w:numPr>
          <w:ilvl w:val="0"/>
          <w:numId w:val="10"/>
        </w:numPr>
        <w:spacing w:before="240" w:line="360" w:lineRule="auto"/>
        <w:jc w:val="both"/>
        <w:rPr>
          <w:rFonts w:ascii="Arial" w:hAnsi="Arial" w:cs="Arial"/>
          <w:color w:val="000000"/>
          <w:sz w:val="24"/>
          <w:szCs w:val="24"/>
        </w:rPr>
      </w:pPr>
      <w:r>
        <w:rPr>
          <w:rFonts w:ascii="Arial" w:hAnsi="Arial" w:cs="Arial"/>
          <w:color w:val="000000"/>
          <w:sz w:val="24"/>
          <w:szCs w:val="24"/>
        </w:rPr>
        <w:t xml:space="preserve">Reporteros sin Fronteras (RSF): creo un mapamundi digital en el que figuran, en color rojo, países calificados como “predadores”, es decir, donde no existe libertad de prensa o donde ésta peligra seriamente. También elaboró un “Barómetro de la libertad de prensa” en el que figura una lista actualizada de periodistas asesinados y presos, así como de “net-ciudadanos” (blogueros) encarcelados. </w:t>
      </w:r>
    </w:p>
    <w:p w14:paraId="566FE1F7" w14:textId="77777777" w:rsidR="00687577" w:rsidRDefault="00687577">
      <w:pPr>
        <w:pStyle w:val="Prrafodelista1"/>
        <w:numPr>
          <w:ilvl w:val="0"/>
          <w:numId w:val="10"/>
        </w:numPr>
        <w:spacing w:before="240" w:line="360" w:lineRule="auto"/>
        <w:jc w:val="both"/>
        <w:rPr>
          <w:rFonts w:ascii="Arial" w:hAnsi="Arial" w:cs="Arial"/>
          <w:color w:val="000000"/>
          <w:sz w:val="24"/>
          <w:szCs w:val="24"/>
        </w:rPr>
      </w:pPr>
      <w:r>
        <w:rPr>
          <w:rFonts w:ascii="Arial" w:hAnsi="Arial" w:cs="Arial"/>
          <w:color w:val="000000"/>
          <w:sz w:val="24"/>
          <w:szCs w:val="24"/>
        </w:rPr>
        <w:t xml:space="preserve">Instituto Internacional para la Seguridad de la Prensa (INSI): elaboró programas de seguridad para todos los trabajadores de los medios de comunicación a nivel mundial y local. Entre sus objetivos figura el establecimiento de una red mundial de organizaciones dedicadas a la reducción de riesgos. </w:t>
      </w:r>
    </w:p>
    <w:p w14:paraId="1D3C9E65" w14:textId="77777777" w:rsidR="00687577" w:rsidRDefault="00687577">
      <w:pPr>
        <w:pStyle w:val="Prrafodelista1"/>
        <w:numPr>
          <w:ilvl w:val="0"/>
          <w:numId w:val="10"/>
        </w:numPr>
        <w:spacing w:before="240" w:line="360" w:lineRule="auto"/>
        <w:jc w:val="both"/>
        <w:rPr>
          <w:rFonts w:ascii="Arial" w:hAnsi="Arial" w:cs="Arial"/>
          <w:color w:val="000000"/>
          <w:sz w:val="24"/>
          <w:szCs w:val="24"/>
        </w:rPr>
      </w:pPr>
      <w:r>
        <w:rPr>
          <w:rFonts w:ascii="Arial" w:hAnsi="Arial" w:cs="Arial"/>
          <w:color w:val="000000"/>
          <w:sz w:val="24"/>
          <w:szCs w:val="24"/>
        </w:rPr>
        <w:t>Instituto Internacional de la Prensa (IIP): Construyó un “contador” de periodistas asesinados. Manifiesta un especial interés por los periodistas que se ven confrontados a una denegación de justicia y publica.</w:t>
      </w:r>
    </w:p>
    <w:p w14:paraId="39953E1E" w14:textId="77777777" w:rsidR="00687577" w:rsidRDefault="00687577">
      <w:pPr>
        <w:pStyle w:val="Prrafodelista1"/>
        <w:numPr>
          <w:ilvl w:val="0"/>
          <w:numId w:val="10"/>
        </w:numPr>
        <w:spacing w:before="240" w:line="360" w:lineRule="auto"/>
        <w:jc w:val="both"/>
        <w:rPr>
          <w:rFonts w:ascii="Arial" w:hAnsi="Arial" w:cs="Arial"/>
          <w:color w:val="000000"/>
          <w:sz w:val="24"/>
          <w:szCs w:val="24"/>
        </w:rPr>
      </w:pPr>
      <w:r>
        <w:rPr>
          <w:rFonts w:ascii="Arial" w:hAnsi="Arial" w:cs="Arial"/>
          <w:color w:val="000000"/>
          <w:sz w:val="24"/>
          <w:szCs w:val="24"/>
        </w:rPr>
        <w:t xml:space="preserve">Asociación Mundial de Periódicos (WAN): su objetivo es denunciar los atentados contra la libertad de prensa, indicando el número de profesionales de prensa asesinados y señalando las violaciones más graves de la libertad de expresión e información. </w:t>
      </w:r>
    </w:p>
    <w:p w14:paraId="2D7CCBEF" w14:textId="77777777" w:rsidR="00687577" w:rsidRDefault="00687577">
      <w:pPr>
        <w:pStyle w:val="Prrafodelista1"/>
        <w:numPr>
          <w:ilvl w:val="0"/>
          <w:numId w:val="10"/>
        </w:numPr>
        <w:spacing w:before="240" w:line="360" w:lineRule="auto"/>
        <w:jc w:val="both"/>
        <w:rPr>
          <w:rFonts w:ascii="Arial" w:hAnsi="Arial" w:cs="Arial"/>
          <w:color w:val="000000"/>
          <w:sz w:val="24"/>
          <w:szCs w:val="24"/>
        </w:rPr>
      </w:pPr>
      <w:r>
        <w:rPr>
          <w:rFonts w:ascii="Arial" w:hAnsi="Arial" w:cs="Arial"/>
          <w:color w:val="000000"/>
          <w:sz w:val="24"/>
          <w:szCs w:val="24"/>
        </w:rPr>
        <w:t xml:space="preserve">Intercambio Internacional por la Libertad de Expresión (IFEX): es una red mundial formada por 88 organizaciones nacionales y regionales de defensa de la libertad de prensa y los derechos humanos, que se dedican a la salvaguardia y promoción del derecho a la libertad de expresión. </w:t>
      </w:r>
    </w:p>
    <w:p w14:paraId="27A84ACB" w14:textId="77777777" w:rsidR="00687577" w:rsidRDefault="00687577">
      <w:pPr>
        <w:pStyle w:val="Prrafodelista1"/>
        <w:numPr>
          <w:ilvl w:val="0"/>
          <w:numId w:val="10"/>
        </w:numPr>
        <w:spacing w:before="240" w:line="360" w:lineRule="auto"/>
        <w:jc w:val="both"/>
        <w:rPr>
          <w:rFonts w:ascii="Arial" w:hAnsi="Arial" w:cs="Arial"/>
          <w:color w:val="000000"/>
          <w:sz w:val="24"/>
          <w:szCs w:val="24"/>
        </w:rPr>
      </w:pPr>
      <w:r>
        <w:rPr>
          <w:rFonts w:ascii="Arial" w:hAnsi="Arial" w:cs="Arial"/>
          <w:color w:val="000000"/>
          <w:sz w:val="24"/>
          <w:szCs w:val="24"/>
        </w:rPr>
        <w:t xml:space="preserve">Instituto para el Reportaje de Guerra y de Paz (IWPR): tiene por objetivo coadyuvar a la creación de condiciones propicias para la instauración de la paz y la democracia mediante una prensa libre. </w:t>
      </w:r>
    </w:p>
    <w:p w14:paraId="7E4A25B5" w14:textId="77777777" w:rsidR="00687577" w:rsidRDefault="00687577">
      <w:pPr>
        <w:pStyle w:val="Prrafodelista1"/>
        <w:numPr>
          <w:ilvl w:val="0"/>
          <w:numId w:val="10"/>
        </w:numPr>
        <w:spacing w:before="240" w:line="360" w:lineRule="auto"/>
        <w:jc w:val="both"/>
        <w:rPr>
          <w:rFonts w:ascii="Arial" w:hAnsi="Arial" w:cs="Arial"/>
          <w:color w:val="000000"/>
          <w:sz w:val="24"/>
          <w:szCs w:val="24"/>
        </w:rPr>
      </w:pPr>
      <w:r>
        <w:rPr>
          <w:rFonts w:ascii="Arial" w:hAnsi="Arial" w:cs="Arial"/>
          <w:color w:val="000000"/>
          <w:sz w:val="24"/>
          <w:szCs w:val="24"/>
        </w:rPr>
        <w:t>Memorial de los Periodistas: es un sitio web en el que figuran los nombres de los profesionales de la prensa asesinados desde 1944, con la fecha de su muerte y la indicación del medio de información para el que trabajaban (UNESCO, 2018).</w:t>
      </w:r>
    </w:p>
    <w:p w14:paraId="7D959A65" w14:textId="77777777" w:rsidR="00687577" w:rsidRDefault="00687577">
      <w:pPr>
        <w:spacing w:before="240" w:after="200" w:line="360" w:lineRule="auto"/>
        <w:jc w:val="both"/>
        <w:rPr>
          <w:rFonts w:ascii="Arial" w:hAnsi="Arial" w:cs="Arial"/>
          <w:color w:val="000000"/>
          <w:sz w:val="24"/>
          <w:szCs w:val="24"/>
        </w:rPr>
      </w:pPr>
      <w:r>
        <w:rPr>
          <w:rFonts w:ascii="Arial" w:hAnsi="Arial" w:cs="Arial"/>
          <w:color w:val="000000"/>
          <w:sz w:val="24"/>
          <w:szCs w:val="24"/>
        </w:rPr>
        <w:tab/>
        <w:t>Se advierte que a nivel internacional existe una preocupación creciente respecto de las agresiones a periodistas, así como de la necesidad para fortalecer los mecanismos de protección a quienes ejercen el periodismo, lo cual es una línea constante impulsada desde organismos como la ONU.</w:t>
      </w:r>
    </w:p>
    <w:p w14:paraId="6F510874" w14:textId="77777777" w:rsidR="00687577" w:rsidRDefault="00687577">
      <w:pPr>
        <w:spacing w:before="240" w:after="200" w:line="360" w:lineRule="auto"/>
        <w:ind w:left="708"/>
        <w:jc w:val="both"/>
        <w:rPr>
          <w:rFonts w:ascii="Arial" w:hAnsi="Arial" w:cs="Arial"/>
          <w:color w:val="000000"/>
          <w:sz w:val="24"/>
          <w:szCs w:val="24"/>
        </w:rPr>
      </w:pPr>
      <w:r>
        <w:rPr>
          <w:rFonts w:ascii="Arial" w:hAnsi="Arial" w:cs="Arial"/>
          <w:color w:val="000000"/>
          <w:sz w:val="24"/>
          <w:szCs w:val="24"/>
        </w:rPr>
        <w:t>A escala internacional, el Consejo de Seguridad de la Naciones Unidas ha adoptado ocho resoluciones sobre seguridad de periodistas y, en 2013, la Asamblea General declaró el 2 de noviembre el Día Internacional para poner fin a la impunidad de los crímenes contra periodistas. Por su parte, el Oficina del Alto Comisionado para los Derechos Humanos (ACNUDH) ha elaborado distintos informes para el Consejo de Derechos Humanos de la Asamblea General, por medio de la prestación de asesoramiento técnico a las autoridades nacionales y el seguimiento de las violaciones contra periodistas, la sensibilización y la formación de los profesionales de la información (Díaz y de Frutos, 2017, p. 1421).</w:t>
      </w:r>
    </w:p>
    <w:p w14:paraId="12BE3C69" w14:textId="77777777" w:rsidR="00687577" w:rsidRDefault="00687577">
      <w:pPr>
        <w:spacing w:before="240" w:after="200" w:line="360" w:lineRule="auto"/>
        <w:jc w:val="both"/>
        <w:rPr>
          <w:rFonts w:ascii="Arial" w:hAnsi="Arial" w:cs="Arial"/>
          <w:color w:val="000000"/>
          <w:sz w:val="24"/>
          <w:szCs w:val="24"/>
        </w:rPr>
      </w:pPr>
      <w:r>
        <w:rPr>
          <w:rFonts w:ascii="Arial" w:hAnsi="Arial" w:cs="Arial"/>
          <w:color w:val="000000"/>
          <w:sz w:val="24"/>
          <w:szCs w:val="24"/>
        </w:rPr>
        <w:tab/>
        <w:t>Sin embargo, como también lo refieren ambos autores, el “énfasis internacional en la protección de los profesionales de la información no se ha visto correspondido con la disminución del número de agresiones” (2017, p. 1421), lo anterior, debido a una serie de factores que parten de la inseguridad profesional, laboral, jurídica y económica de los propios periodistas.</w:t>
      </w:r>
    </w:p>
    <w:p w14:paraId="27203BC6" w14:textId="77777777" w:rsidR="00687577" w:rsidRDefault="00687577">
      <w:pPr>
        <w:spacing w:before="240" w:after="200" w:line="360" w:lineRule="auto"/>
        <w:ind w:left="708"/>
        <w:jc w:val="both"/>
        <w:rPr>
          <w:rFonts w:ascii="Arial" w:hAnsi="Arial" w:cs="Arial"/>
          <w:color w:val="000000"/>
          <w:sz w:val="24"/>
          <w:szCs w:val="24"/>
        </w:rPr>
      </w:pPr>
      <w:r>
        <w:rPr>
          <w:rFonts w:ascii="Arial" w:hAnsi="Arial" w:cs="Arial"/>
          <w:color w:val="000000"/>
          <w:sz w:val="24"/>
          <w:szCs w:val="24"/>
        </w:rPr>
        <w:t>Situación crítica determinada por la multiplicidad de perpetradores, la inseguridad de los profesionales de la información y un escenario de impunidad permanente que perpetúa estas condiciones de vulnerabilidad. México, Colombia, Honduras, Brasil y Guatemala son los países más peligrosos para el ejercicio profesional durante los primeros 17 años del s. XXI.  Si bien el asesinato es la forma extrema de atentar contra la libertad de expresión, los hostigamientos y agresiones de todo tipo, el temor, la desprotección o la impunidad se perpetúan como herramientas para que la verdad no sea publicada (Díaz y de Frutos, 2017, p. 1431).</w:t>
      </w:r>
    </w:p>
    <w:p w14:paraId="1AA1D42D" w14:textId="77777777" w:rsidR="00687577" w:rsidRDefault="00687577">
      <w:pPr>
        <w:spacing w:before="240" w:after="200" w:line="360" w:lineRule="auto"/>
        <w:jc w:val="both"/>
        <w:rPr>
          <w:rFonts w:ascii="Arial" w:hAnsi="Arial" w:cs="Arial"/>
          <w:color w:val="000000"/>
          <w:sz w:val="24"/>
          <w:szCs w:val="24"/>
        </w:rPr>
      </w:pPr>
      <w:r>
        <w:rPr>
          <w:rFonts w:ascii="Arial" w:hAnsi="Arial" w:cs="Arial"/>
          <w:color w:val="000000"/>
          <w:sz w:val="24"/>
          <w:szCs w:val="24"/>
        </w:rPr>
        <w:tab/>
        <w:t>El problema radica en la dificultad para permear dichas disposiciones internacionales en las respectivas regulaciones jurídicas de los distintos países, situación que agrava la profesión del periodista, pues el alejarse de tales recomendaciones internacionales genera un ambiente que desvirtúa la propia actividad periodística, entendida como una manifestación primaria de defensa de los derechos humanos.</w:t>
      </w:r>
    </w:p>
    <w:p w14:paraId="4D55937F" w14:textId="77777777" w:rsidR="00687577" w:rsidRDefault="00687577">
      <w:pPr>
        <w:spacing w:before="240" w:after="200" w:line="360" w:lineRule="auto"/>
        <w:jc w:val="both"/>
        <w:rPr>
          <w:rFonts w:ascii="Arial" w:hAnsi="Arial" w:cs="Arial"/>
          <w:b/>
          <w:color w:val="00000A"/>
          <w:sz w:val="24"/>
        </w:rPr>
      </w:pPr>
      <w:r>
        <w:rPr>
          <w:rFonts w:ascii="Arial" w:hAnsi="Arial" w:cs="Arial"/>
          <w:color w:val="000000"/>
          <w:sz w:val="24"/>
          <w:szCs w:val="24"/>
        </w:rPr>
        <w:tab/>
        <w:t>Como refieren Gómez y Méndez (2014), la ONU y UNESCO reconocían que en muchos países “los periodistas y otros profesionales de los Medios de Comunicación encuentran obstáculos sistemáticos para dar una información veraz, desde la censura, la detención y el encarcelamiento hasta los actos de intimidación, los ataques e incluso el asesinato”.</w:t>
      </w:r>
    </w:p>
    <w:p w14:paraId="67083E1C" w14:textId="23B12BFD" w:rsidR="00687577" w:rsidRDefault="0094330E" w:rsidP="0094330E">
      <w:pPr>
        <w:pStyle w:val="Ttulo2"/>
        <w:numPr>
          <w:ilvl w:val="0"/>
          <w:numId w:val="0"/>
        </w:numPr>
        <w:ind w:left="714"/>
        <w:rPr>
          <w:rFonts w:ascii="Arial" w:hAnsi="Arial" w:cs="Arial"/>
          <w:sz w:val="24"/>
          <w:szCs w:val="24"/>
        </w:rPr>
      </w:pPr>
      <w:bookmarkStart w:id="29" w:name="__RefHeading__2217_1000385367"/>
      <w:bookmarkStart w:id="30" w:name="_Toc4083814"/>
      <w:bookmarkEnd w:id="29"/>
      <w:r>
        <w:rPr>
          <w:rFonts w:ascii="Arial" w:hAnsi="Arial" w:cs="Arial"/>
          <w:b/>
          <w:color w:val="00000A"/>
          <w:sz w:val="24"/>
        </w:rPr>
        <w:t xml:space="preserve">II.b) </w:t>
      </w:r>
      <w:r w:rsidR="00687577">
        <w:rPr>
          <w:rFonts w:ascii="Arial" w:hAnsi="Arial" w:cs="Arial"/>
          <w:b/>
          <w:color w:val="00000A"/>
          <w:sz w:val="24"/>
        </w:rPr>
        <w:t>Antecedentes del Mecanismo de Protección a Periodistas en México</w:t>
      </w:r>
      <w:bookmarkEnd w:id="30"/>
    </w:p>
    <w:p w14:paraId="4243A33F"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En México la creación del Mecanismo de Protección de Personas Defensoras de Derechos Humanos y Periodistas (MPPDDHP), el cual depende de la Secretaría de Gobernación, tiene su antecedente en la necesidad de proteger la vida de quienes ejercen esta profesión, sin embargo, distintos periodistas han advertido que no sólo debe protegerse la vida de los periodistas, sino tutelarse el derecho de quienes han elegido como profesión la constante búsqueda de información para su posterior divulgación.</w:t>
      </w:r>
    </w:p>
    <w:p w14:paraId="37DA7104"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Hernández (1999, p. 109-110) explica que hasta la última década del siglo anterior los periodistas trabajaban sin ningún marco jurídico que los protegiera en el ámbito laboral y político; contaban con sus garantías individuales, como todo ciudadano, sin embargo, adolecían de derechos profesionales. El mismo autor refería la necesidad de 10 derechos profesionales mínimos de los periodistas, los cuales ya eran reconocidos en otros países:</w:t>
      </w:r>
    </w:p>
    <w:p w14:paraId="522E8B15" w14:textId="77777777" w:rsidR="00687577" w:rsidRDefault="00687577">
      <w:pPr>
        <w:numPr>
          <w:ilvl w:val="0"/>
          <w:numId w:val="11"/>
        </w:numPr>
        <w:spacing w:before="240" w:after="200" w:line="360" w:lineRule="auto"/>
        <w:jc w:val="both"/>
        <w:rPr>
          <w:rFonts w:ascii="Arial" w:hAnsi="Arial" w:cs="Arial"/>
          <w:sz w:val="24"/>
          <w:szCs w:val="24"/>
        </w:rPr>
      </w:pPr>
      <w:r>
        <w:rPr>
          <w:rFonts w:ascii="Arial" w:hAnsi="Arial" w:cs="Arial"/>
          <w:sz w:val="24"/>
          <w:szCs w:val="24"/>
        </w:rPr>
        <w:t>Ser reconocido legalmente como periodista, incluidos los agentes libres (free lance). Derecho que daría lugar a un estatuto de relaciones, salarios y prestaciones a nivel profesional.</w:t>
      </w:r>
    </w:p>
    <w:p w14:paraId="5E9A7C4B" w14:textId="77777777" w:rsidR="00687577" w:rsidRDefault="00687577">
      <w:pPr>
        <w:numPr>
          <w:ilvl w:val="0"/>
          <w:numId w:val="11"/>
        </w:numPr>
        <w:spacing w:before="240" w:after="200" w:line="360" w:lineRule="auto"/>
        <w:jc w:val="both"/>
        <w:rPr>
          <w:rFonts w:ascii="Arial" w:hAnsi="Arial" w:cs="Arial"/>
          <w:sz w:val="24"/>
          <w:szCs w:val="24"/>
        </w:rPr>
      </w:pPr>
      <w:r>
        <w:rPr>
          <w:rFonts w:ascii="Arial" w:hAnsi="Arial" w:cs="Arial"/>
          <w:sz w:val="24"/>
          <w:szCs w:val="24"/>
        </w:rPr>
        <w:t xml:space="preserve">Acceso pleno a la información de interés público. </w:t>
      </w:r>
    </w:p>
    <w:p w14:paraId="679F3704" w14:textId="77777777" w:rsidR="00687577" w:rsidRDefault="00687577">
      <w:pPr>
        <w:numPr>
          <w:ilvl w:val="0"/>
          <w:numId w:val="11"/>
        </w:numPr>
        <w:spacing w:before="240" w:after="200" w:line="360" w:lineRule="auto"/>
        <w:jc w:val="both"/>
        <w:rPr>
          <w:rFonts w:ascii="Arial" w:hAnsi="Arial" w:cs="Arial"/>
          <w:sz w:val="24"/>
          <w:szCs w:val="24"/>
        </w:rPr>
      </w:pPr>
      <w:r>
        <w:rPr>
          <w:rFonts w:ascii="Arial" w:hAnsi="Arial" w:cs="Arial"/>
          <w:sz w:val="24"/>
          <w:szCs w:val="24"/>
        </w:rPr>
        <w:t>Circular y acceder a todo sitio donde haya información.</w:t>
      </w:r>
    </w:p>
    <w:p w14:paraId="620E7243" w14:textId="77777777" w:rsidR="00687577" w:rsidRDefault="00687577">
      <w:pPr>
        <w:numPr>
          <w:ilvl w:val="0"/>
          <w:numId w:val="11"/>
        </w:numPr>
        <w:spacing w:before="240" w:after="200" w:line="360" w:lineRule="auto"/>
        <w:jc w:val="both"/>
        <w:rPr>
          <w:rFonts w:ascii="Arial" w:hAnsi="Arial" w:cs="Arial"/>
          <w:sz w:val="24"/>
          <w:szCs w:val="24"/>
        </w:rPr>
      </w:pPr>
      <w:r>
        <w:rPr>
          <w:rFonts w:ascii="Arial" w:hAnsi="Arial" w:cs="Arial"/>
          <w:sz w:val="24"/>
          <w:szCs w:val="24"/>
        </w:rPr>
        <w:t>Escribir y divulgar libremente (sin las excesivas subordinaciones que imponen los gobernantes y los empresarios de la prensa).</w:t>
      </w:r>
    </w:p>
    <w:p w14:paraId="5F425E10" w14:textId="77777777" w:rsidR="00687577" w:rsidRDefault="00687577">
      <w:pPr>
        <w:numPr>
          <w:ilvl w:val="0"/>
          <w:numId w:val="11"/>
        </w:numPr>
        <w:spacing w:before="240" w:after="200" w:line="360" w:lineRule="auto"/>
        <w:jc w:val="both"/>
        <w:rPr>
          <w:rFonts w:ascii="Arial" w:hAnsi="Arial" w:cs="Arial"/>
          <w:sz w:val="24"/>
          <w:szCs w:val="24"/>
        </w:rPr>
      </w:pPr>
      <w:r>
        <w:rPr>
          <w:rFonts w:ascii="Arial" w:hAnsi="Arial" w:cs="Arial"/>
          <w:sz w:val="24"/>
          <w:szCs w:val="24"/>
        </w:rPr>
        <w:t>Mantener el secreto profesional de sus fuentes.</w:t>
      </w:r>
    </w:p>
    <w:p w14:paraId="101F70F8" w14:textId="77777777" w:rsidR="00687577" w:rsidRDefault="00687577">
      <w:pPr>
        <w:numPr>
          <w:ilvl w:val="0"/>
          <w:numId w:val="11"/>
        </w:numPr>
        <w:spacing w:before="240" w:after="200" w:line="360" w:lineRule="auto"/>
        <w:jc w:val="both"/>
        <w:rPr>
          <w:rFonts w:ascii="Arial" w:hAnsi="Arial" w:cs="Arial"/>
          <w:sz w:val="24"/>
          <w:szCs w:val="24"/>
        </w:rPr>
      </w:pPr>
      <w:r>
        <w:rPr>
          <w:rFonts w:ascii="Arial" w:hAnsi="Arial" w:cs="Arial"/>
          <w:sz w:val="24"/>
          <w:szCs w:val="24"/>
        </w:rPr>
        <w:t>Contrarréplica (en caso de inconformidades externas su manejo de la información).</w:t>
      </w:r>
    </w:p>
    <w:p w14:paraId="213D95D0" w14:textId="77777777" w:rsidR="00687577" w:rsidRDefault="00687577">
      <w:pPr>
        <w:numPr>
          <w:ilvl w:val="0"/>
          <w:numId w:val="11"/>
        </w:numPr>
        <w:spacing w:before="240" w:after="200" w:line="360" w:lineRule="auto"/>
        <w:jc w:val="both"/>
        <w:rPr>
          <w:rFonts w:ascii="Arial" w:hAnsi="Arial" w:cs="Arial"/>
          <w:sz w:val="24"/>
          <w:szCs w:val="24"/>
        </w:rPr>
      </w:pPr>
      <w:r>
        <w:rPr>
          <w:rFonts w:ascii="Arial" w:hAnsi="Arial" w:cs="Arial"/>
          <w:sz w:val="24"/>
          <w:szCs w:val="24"/>
        </w:rPr>
        <w:t xml:space="preserve">De conciencia (que permite discrepar públicamente del manejo que hagan las empresas de las cabezas y de la misma información original). </w:t>
      </w:r>
    </w:p>
    <w:p w14:paraId="52A91D7C" w14:textId="77777777" w:rsidR="00687577" w:rsidRDefault="00687577">
      <w:pPr>
        <w:numPr>
          <w:ilvl w:val="0"/>
          <w:numId w:val="11"/>
        </w:numPr>
        <w:spacing w:before="240" w:after="200" w:line="360" w:lineRule="auto"/>
        <w:jc w:val="both"/>
        <w:rPr>
          <w:rFonts w:ascii="Arial" w:hAnsi="Arial" w:cs="Arial"/>
          <w:sz w:val="24"/>
          <w:szCs w:val="24"/>
        </w:rPr>
      </w:pPr>
      <w:r>
        <w:rPr>
          <w:rFonts w:ascii="Arial" w:hAnsi="Arial" w:cs="Arial"/>
          <w:sz w:val="24"/>
          <w:szCs w:val="24"/>
        </w:rPr>
        <w:t>De protección pública ante agresiones de terceros.</w:t>
      </w:r>
    </w:p>
    <w:p w14:paraId="3CDCFE7B" w14:textId="77777777" w:rsidR="00687577" w:rsidRDefault="00687577">
      <w:pPr>
        <w:numPr>
          <w:ilvl w:val="0"/>
          <w:numId w:val="11"/>
        </w:numPr>
        <w:spacing w:before="240" w:after="200" w:line="360" w:lineRule="auto"/>
        <w:jc w:val="both"/>
        <w:rPr>
          <w:rFonts w:ascii="Arial" w:hAnsi="Arial" w:cs="Arial"/>
          <w:sz w:val="24"/>
          <w:szCs w:val="24"/>
        </w:rPr>
      </w:pPr>
      <w:r>
        <w:rPr>
          <w:rFonts w:ascii="Arial" w:hAnsi="Arial" w:cs="Arial"/>
          <w:sz w:val="24"/>
          <w:szCs w:val="24"/>
        </w:rPr>
        <w:t>De formación profesional continua.</w:t>
      </w:r>
    </w:p>
    <w:p w14:paraId="051B85C3" w14:textId="77777777" w:rsidR="00687577" w:rsidRDefault="00687577">
      <w:pPr>
        <w:numPr>
          <w:ilvl w:val="0"/>
          <w:numId w:val="11"/>
        </w:numPr>
        <w:spacing w:before="240" w:after="200" w:line="360" w:lineRule="auto"/>
        <w:jc w:val="both"/>
        <w:rPr>
          <w:rFonts w:ascii="Arial" w:hAnsi="Arial" w:cs="Arial"/>
          <w:sz w:val="24"/>
          <w:szCs w:val="24"/>
        </w:rPr>
      </w:pPr>
      <w:r>
        <w:rPr>
          <w:rFonts w:ascii="Arial" w:hAnsi="Arial" w:cs="Arial"/>
          <w:sz w:val="24"/>
          <w:szCs w:val="24"/>
        </w:rPr>
        <w:t>De organización colegiada (Hernández, 1999, p. 111-112).</w:t>
      </w:r>
    </w:p>
    <w:p w14:paraId="0BE72B7C"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La desprotección en la cual laboraban los periodistas mexicanos era diametralmente opuesta a la que presentaban colegas de otras latitudes, lo cual representaba una vulneración de derechos en dos dimensiones, pues como advierte Rosas (2010) los periodistas ejercen la libertad de expresión en dos dimensiones, de ahí la importancia de proteger el ejercicio periodístico.</w:t>
      </w:r>
    </w:p>
    <w:p w14:paraId="3E7BFCE1" w14:textId="77777777" w:rsidR="00687577" w:rsidRDefault="00687577">
      <w:pPr>
        <w:spacing w:before="240" w:after="200" w:line="360" w:lineRule="auto"/>
        <w:ind w:left="709"/>
        <w:jc w:val="both"/>
        <w:rPr>
          <w:rFonts w:ascii="Arial" w:hAnsi="Arial" w:cs="Arial"/>
          <w:sz w:val="24"/>
          <w:szCs w:val="24"/>
        </w:rPr>
      </w:pPr>
      <w:r>
        <w:rPr>
          <w:rFonts w:ascii="Arial" w:hAnsi="Arial" w:cs="Arial"/>
          <w:sz w:val="24"/>
          <w:szCs w:val="24"/>
        </w:rPr>
        <w:t xml:space="preserve">Los periodistas al buscar, recibir, emitir y difundir ideas, opiniones e información a través de los medios de comunicación social ejercitan de una forma particular su derecho humano fundamental a la libertad de expresión en sus dos dimensiones: individual y colectiva o social (p. 141). </w:t>
      </w:r>
    </w:p>
    <w:p w14:paraId="35A10C7F" w14:textId="77777777" w:rsidR="00687577" w:rsidRDefault="00687577">
      <w:pPr>
        <w:shd w:val="clear" w:color="auto" w:fill="FFFFFF"/>
        <w:spacing w:before="240" w:after="200" w:line="360" w:lineRule="auto"/>
        <w:jc w:val="both"/>
        <w:rPr>
          <w:rFonts w:ascii="Arial" w:hAnsi="Arial" w:cs="Arial"/>
          <w:sz w:val="24"/>
          <w:szCs w:val="24"/>
        </w:rPr>
      </w:pPr>
      <w:r>
        <w:rPr>
          <w:rFonts w:ascii="Arial" w:hAnsi="Arial" w:cs="Arial"/>
          <w:sz w:val="24"/>
          <w:szCs w:val="24"/>
        </w:rPr>
        <w:tab/>
        <w:t>De manera histórica el ejercicio de esta libertad ha provocado presiones hacia quienes la abanderan, sin embargo, es a partir de las postrimerías del anterior siglo y principios del actual cuando a nivel internacional México comienza a confirmarse como un país donde el periodismo es una actividad profesional de riesgo.</w:t>
      </w:r>
    </w:p>
    <w:p w14:paraId="7E6925EC" w14:textId="77777777" w:rsidR="00687577" w:rsidRDefault="00687577">
      <w:pPr>
        <w:shd w:val="clear" w:color="auto" w:fill="FFFFFF"/>
        <w:spacing w:before="240" w:after="200" w:line="360" w:lineRule="auto"/>
        <w:ind w:left="709"/>
        <w:jc w:val="both"/>
        <w:rPr>
          <w:rFonts w:ascii="Arial" w:hAnsi="Arial" w:cs="Arial"/>
          <w:sz w:val="24"/>
          <w:szCs w:val="24"/>
        </w:rPr>
      </w:pPr>
      <w:r>
        <w:rPr>
          <w:rFonts w:ascii="Arial" w:hAnsi="Arial" w:cs="Arial"/>
          <w:sz w:val="24"/>
          <w:szCs w:val="24"/>
        </w:rPr>
        <w:t>Según distintas fuentes, entre 2000 y 2005 se registraron 208 agresiones contra periodistas, 60% más que el lustro previo. Por otra parte, entre noviembre de 1987 y abril de 2006 han sido asesinados 51 periodistas, notablemente menos que en Colombia, donde hubo 118 asesinatos en ese periodo, pero mucho más que en Brasil, donde se registraron 19 (Vital, 2006, p. 28).</w:t>
      </w:r>
    </w:p>
    <w:p w14:paraId="22E0BB02" w14:textId="77777777" w:rsidR="00687577" w:rsidRDefault="00687577">
      <w:pPr>
        <w:shd w:val="clear" w:color="auto" w:fill="FFFFFF"/>
        <w:spacing w:before="240" w:after="200" w:line="360" w:lineRule="auto"/>
        <w:jc w:val="both"/>
        <w:rPr>
          <w:rFonts w:ascii="Arial" w:hAnsi="Arial" w:cs="Arial"/>
          <w:sz w:val="24"/>
          <w:szCs w:val="24"/>
        </w:rPr>
      </w:pPr>
      <w:r>
        <w:rPr>
          <w:rFonts w:ascii="Arial" w:hAnsi="Arial" w:cs="Arial"/>
          <w:sz w:val="24"/>
          <w:szCs w:val="24"/>
        </w:rPr>
        <w:tab/>
        <w:t>En la primera década del actual siglo, señala Vital, la reacción gubernamental consistió en la creación de una fiscalía especial para la atención de delitos cometidos contra periodistas, tardíamente pues la Comisión Nacional de Derechos Humanos (CNDH) había creado un programa para la atención de agravios a periodistas hacía unos 15 años</w:t>
      </w:r>
      <w:r>
        <w:rPr>
          <w:rFonts w:ascii="Arial" w:hAnsi="Arial" w:cs="Arial"/>
          <w:sz w:val="24"/>
          <w:szCs w:val="24"/>
        </w:rPr>
        <w:commentReference w:id="31"/>
      </w:r>
      <w:r>
        <w:rPr>
          <w:rStyle w:val="Refdenotaalpie"/>
        </w:rPr>
        <w:footnoteReference w:id="15"/>
      </w:r>
      <w:r>
        <w:rPr>
          <w:rFonts w:ascii="Arial" w:hAnsi="Arial" w:cs="Arial"/>
          <w:sz w:val="24"/>
          <w:szCs w:val="24"/>
        </w:rPr>
        <w:t>. El autor comenta que paralelamente en 2006 se promovió en el Código Penal federal la eliminación de los delitos de injurias, difamación y calumnia, con el fin, de ser el caso, de optar por sanciones relativas al daño moral. Además de que en la anterior década se alentaron algunos derechos de periodistas como el secreto profesional, un ejemplo fue la Ley del Secreto Profesional del Periodista, la cual fue aprobada por la Asamblea Legislativa del Distrito Federal en abril de 2006; Además, refiere la aprobación de la Ley Federal de Transparencia y Acceso a la Información Pública, la cual está vigente desde 2001, la cual se suma a la serie de ordenamientos que coadyuvan a la funcionalidad del ejercicio periodístico.</w:t>
      </w:r>
    </w:p>
    <w:p w14:paraId="22730156" w14:textId="77777777" w:rsidR="00687577" w:rsidRDefault="00687577">
      <w:pPr>
        <w:shd w:val="clear" w:color="auto" w:fill="FFFFFF"/>
        <w:spacing w:before="240" w:after="200" w:line="360" w:lineRule="auto"/>
        <w:jc w:val="both"/>
        <w:rPr>
          <w:rFonts w:ascii="Arial" w:hAnsi="Arial" w:cs="Arial"/>
          <w:sz w:val="24"/>
          <w:szCs w:val="24"/>
        </w:rPr>
      </w:pPr>
      <w:r>
        <w:rPr>
          <w:rFonts w:ascii="Arial" w:hAnsi="Arial" w:cs="Arial"/>
          <w:sz w:val="24"/>
          <w:szCs w:val="24"/>
        </w:rPr>
        <w:tab/>
        <w:t>En materia de protección al ejercicio periodístico también destaca el llamado Acuerdo para la Cobertura Informativa de la Violencia, firmado por 715 medios de nuestro país en 2011</w:t>
      </w:r>
      <w:r>
        <w:rPr>
          <w:rStyle w:val="Refdenotaalpie"/>
        </w:rPr>
        <w:footnoteReference w:id="16"/>
      </w:r>
      <w:r>
        <w:commentReference w:id="32"/>
      </w:r>
      <w:r>
        <w:rPr>
          <w:rFonts w:ascii="Arial" w:hAnsi="Arial" w:cs="Arial"/>
          <w:sz w:val="24"/>
          <w:szCs w:val="24"/>
        </w:rPr>
        <w:t>. Dicho documento es considerado como un intento de autorregulación de los propios medios de comunicación, sin embargo, derivó de la guerra contra el narcotráfico instrumentada por el gobierno de Felipe Calderón (2006-2012), lo cual agravó la situación de vulnerabilidad de los periodistas frente a coberturas del crimen organizado o delincuencia.</w:t>
      </w:r>
    </w:p>
    <w:p w14:paraId="31071044" w14:textId="77777777" w:rsidR="00687577" w:rsidRDefault="00687577">
      <w:pPr>
        <w:shd w:val="clear" w:color="auto" w:fill="FFFFFF"/>
        <w:spacing w:before="240" w:after="200" w:line="360" w:lineRule="auto"/>
        <w:jc w:val="both"/>
        <w:rPr>
          <w:rFonts w:ascii="Arial" w:hAnsi="Arial" w:cs="Arial"/>
          <w:sz w:val="24"/>
          <w:szCs w:val="24"/>
        </w:rPr>
      </w:pPr>
      <w:r>
        <w:rPr>
          <w:rFonts w:ascii="Arial" w:hAnsi="Arial" w:cs="Arial"/>
          <w:sz w:val="24"/>
          <w:szCs w:val="24"/>
        </w:rPr>
        <w:tab/>
        <w:t>Entre los 10 criterios editoriales que adoptarían los medios firmantes destacan al menos dos relaciones con la protección directa al ejercicio periodístico:</w:t>
      </w:r>
    </w:p>
    <w:p w14:paraId="7707DA3D" w14:textId="77777777" w:rsidR="00687577" w:rsidRDefault="00687577">
      <w:pPr>
        <w:shd w:val="clear" w:color="auto" w:fill="FFFFFF"/>
        <w:spacing w:before="240" w:after="200" w:line="360" w:lineRule="auto"/>
        <w:ind w:left="708"/>
        <w:jc w:val="both"/>
        <w:rPr>
          <w:rFonts w:ascii="Arial" w:hAnsi="Arial" w:cs="Arial"/>
          <w:sz w:val="24"/>
          <w:szCs w:val="24"/>
        </w:rPr>
      </w:pPr>
      <w:r>
        <w:rPr>
          <w:rFonts w:ascii="Arial" w:hAnsi="Arial" w:cs="Arial"/>
          <w:sz w:val="24"/>
          <w:szCs w:val="24"/>
        </w:rPr>
        <w:t>8. Proteger a los periodistas. Cada medio debe instituir protocolos y medidas para la seguridad de sus periodistas y reporteros al cubrir la información proveniente de la delincuencia organizada.</w:t>
      </w:r>
    </w:p>
    <w:p w14:paraId="034C58B0" w14:textId="77777777" w:rsidR="00687577" w:rsidRDefault="00687577">
      <w:pPr>
        <w:shd w:val="clear" w:color="auto" w:fill="FFFFFF"/>
        <w:spacing w:before="240" w:after="200" w:line="360" w:lineRule="auto"/>
        <w:ind w:left="708"/>
        <w:jc w:val="both"/>
        <w:rPr>
          <w:rFonts w:ascii="Arial" w:hAnsi="Arial" w:cs="Arial"/>
          <w:sz w:val="24"/>
          <w:szCs w:val="24"/>
        </w:rPr>
      </w:pPr>
      <w:r>
        <w:rPr>
          <w:rFonts w:ascii="Arial" w:hAnsi="Arial" w:cs="Arial"/>
          <w:sz w:val="24"/>
          <w:szCs w:val="24"/>
        </w:rPr>
        <w:t>9. Solidarizarse ante cualquier amenaza o acción contra reporteros y medios. En caso de que algún reportero o medio de comunicación sufra amenazas y acciones de la delincuencia organizada para influir en su línea editorial y contenido informativo, los demás medios debemos solidarizarnos en contra de estas presiones, pero en los términos que mejor le convengan al reportero o al medio afectado (Lozano, 2016, p. 21).</w:t>
      </w:r>
    </w:p>
    <w:p w14:paraId="22F31B9A" w14:textId="77777777" w:rsidR="00687577" w:rsidRDefault="00687577">
      <w:pPr>
        <w:shd w:val="clear" w:color="auto" w:fill="FFFFFF"/>
        <w:spacing w:before="240" w:after="200" w:line="360" w:lineRule="auto"/>
        <w:jc w:val="both"/>
        <w:rPr>
          <w:rFonts w:ascii="Arial" w:hAnsi="Arial" w:cs="Arial"/>
          <w:sz w:val="24"/>
          <w:szCs w:val="24"/>
        </w:rPr>
      </w:pPr>
      <w:r>
        <w:rPr>
          <w:rFonts w:ascii="Arial" w:hAnsi="Arial" w:cs="Arial"/>
          <w:sz w:val="24"/>
          <w:szCs w:val="24"/>
        </w:rPr>
        <w:tab/>
        <w:t>No obstante, dicho acuerdo no generó políticas públicas de autorregulación, ni tampoco  ofreció mayores garantías de protección para los periodistas, salvo las que pudieran ofrecerles los propios medios de comunicación a sus respectivos reporteros</w:t>
      </w:r>
      <w:r>
        <w:rPr>
          <w:rStyle w:val="Refdenotaalpie"/>
        </w:rPr>
        <w:footnoteReference w:id="17"/>
      </w:r>
      <w:r>
        <w:rPr>
          <w:rFonts w:ascii="Arial" w:hAnsi="Arial" w:cs="Arial"/>
          <w:sz w:val="24"/>
          <w:szCs w:val="24"/>
        </w:rPr>
        <w:t>.</w:t>
      </w:r>
    </w:p>
    <w:p w14:paraId="6376973F" w14:textId="77777777" w:rsidR="00687577" w:rsidRDefault="00687577">
      <w:pPr>
        <w:shd w:val="clear" w:color="auto" w:fill="FFFFFF"/>
        <w:spacing w:before="240" w:after="200" w:line="360" w:lineRule="auto"/>
        <w:jc w:val="both"/>
        <w:rPr>
          <w:rFonts w:ascii="Arial" w:hAnsi="Arial" w:cs="Arial"/>
          <w:sz w:val="24"/>
          <w:szCs w:val="24"/>
        </w:rPr>
      </w:pPr>
      <w:r>
        <w:rPr>
          <w:rFonts w:ascii="Arial" w:hAnsi="Arial" w:cs="Arial"/>
          <w:sz w:val="24"/>
          <w:szCs w:val="24"/>
        </w:rPr>
        <w:tab/>
        <w:t>Otro antecedente importante del citado Mecanismo fue la transición democrática registrada en México a partir del año 2000, lo cual derivó en un mayor escrutinio de organismos internacionales sobre la problemática nacional en materia de derechos humanos</w:t>
      </w:r>
      <w:r>
        <w:rPr>
          <w:rStyle w:val="Refdenotaalpie"/>
        </w:rPr>
        <w:footnoteReference w:id="18"/>
      </w:r>
      <w:r>
        <w:rPr>
          <w:rFonts w:ascii="Arial" w:hAnsi="Arial" w:cs="Arial"/>
          <w:sz w:val="24"/>
          <w:szCs w:val="24"/>
        </w:rPr>
        <w:t>; así, la Oficina del Alto Comisionado de las Naciones Unidas para los Derechos Humanos (OACNUDH) presentó en 2003 el Diagnóstico sobre la Situación de los Derechos Humanos en México, donde enunció distintas recomendaciones para la protección del ejercicio periodístico, además de la necesidad de crear protocolos específicos.</w:t>
      </w:r>
    </w:p>
    <w:p w14:paraId="5795347C" w14:textId="77777777" w:rsidR="00687577" w:rsidRDefault="00687577">
      <w:pPr>
        <w:shd w:val="clear" w:color="auto" w:fill="FFFFFF"/>
        <w:spacing w:before="240" w:after="200" w:line="360" w:lineRule="auto"/>
        <w:ind w:left="709"/>
        <w:jc w:val="both"/>
        <w:rPr>
          <w:rFonts w:ascii="Arial" w:hAnsi="Arial" w:cs="Arial"/>
          <w:sz w:val="24"/>
          <w:szCs w:val="24"/>
        </w:rPr>
      </w:pPr>
      <w:r>
        <w:rPr>
          <w:rFonts w:ascii="Arial" w:hAnsi="Arial" w:cs="Arial"/>
          <w:sz w:val="24"/>
          <w:szCs w:val="24"/>
        </w:rPr>
        <w:t>El periodismo es una de las principales manifestaciones de la libertad de expresión, y por lo tanto es obligación del Estado garantizar a los comunicadores de todos los medios un ejercicio profesional digno y seguro. Sin embargo, no existe en México una normatividad federal en ese sentido, por lo cual la labor de los periodistas se ve amenazada y la libertad de expresión, lesionada (OACNUDH, 2003, p. 47).</w:t>
      </w:r>
    </w:p>
    <w:p w14:paraId="120B68C5" w14:textId="77777777" w:rsidR="00687577" w:rsidRDefault="00687577">
      <w:pPr>
        <w:shd w:val="clear" w:color="auto" w:fill="FFFFFF"/>
        <w:spacing w:before="240" w:after="200" w:line="360" w:lineRule="auto"/>
        <w:jc w:val="both"/>
        <w:rPr>
          <w:rFonts w:ascii="Arial" w:hAnsi="Arial" w:cs="Arial"/>
          <w:sz w:val="24"/>
          <w:szCs w:val="24"/>
        </w:rPr>
      </w:pPr>
      <w:r>
        <w:rPr>
          <w:rFonts w:ascii="Arial" w:hAnsi="Arial" w:cs="Arial"/>
          <w:sz w:val="24"/>
          <w:szCs w:val="24"/>
        </w:rPr>
        <w:tab/>
        <w:t>La posición del OACNUDH advertía la complejidad e importancia del ejercicio periodístico, en función de su dimensión social, por lo cual entre sus propuestas normativas para México incluía:</w:t>
      </w:r>
    </w:p>
    <w:p w14:paraId="5ABEFA5F" w14:textId="77777777" w:rsidR="00687577" w:rsidRDefault="00687577">
      <w:pPr>
        <w:shd w:val="clear" w:color="auto" w:fill="FFFFFF"/>
        <w:spacing w:before="240" w:after="200" w:line="360" w:lineRule="auto"/>
        <w:ind w:left="709"/>
        <w:jc w:val="both"/>
        <w:rPr>
          <w:rFonts w:ascii="Arial" w:hAnsi="Arial" w:cs="Arial"/>
          <w:sz w:val="24"/>
          <w:szCs w:val="24"/>
        </w:rPr>
      </w:pPr>
      <w:r>
        <w:rPr>
          <w:rFonts w:ascii="Arial" w:hAnsi="Arial" w:cs="Arial"/>
          <w:sz w:val="24"/>
          <w:szCs w:val="24"/>
        </w:rPr>
        <w:t xml:space="preserve">Regular los supuestos y las modalidades en que se deba otorgar protección especial a periodistas y comunicadores en general. </w:t>
      </w:r>
    </w:p>
    <w:p w14:paraId="6B98002D" w14:textId="77777777" w:rsidR="00687577" w:rsidRDefault="00687577">
      <w:pPr>
        <w:shd w:val="clear" w:color="auto" w:fill="FFFFFF"/>
        <w:spacing w:before="240" w:after="200" w:line="360" w:lineRule="auto"/>
        <w:ind w:left="709"/>
        <w:jc w:val="both"/>
        <w:rPr>
          <w:rFonts w:ascii="Arial" w:hAnsi="Arial" w:cs="Arial"/>
          <w:sz w:val="24"/>
          <w:szCs w:val="24"/>
        </w:rPr>
      </w:pPr>
      <w:r>
        <w:rPr>
          <w:rFonts w:ascii="Arial" w:hAnsi="Arial" w:cs="Arial"/>
          <w:sz w:val="24"/>
          <w:szCs w:val="24"/>
        </w:rPr>
        <w:t>Establecer un protocolo para la adecuada investigación de hechos de hostigamiento, amenaza y otros delitos cometidos contra periodistas y comunicadores (OACNUDH, 2003, p. 48).</w:t>
      </w:r>
    </w:p>
    <w:p w14:paraId="414BAD3E" w14:textId="77777777" w:rsidR="00687577" w:rsidRDefault="00687577">
      <w:pPr>
        <w:shd w:val="clear" w:color="auto" w:fill="FFFFFF"/>
        <w:spacing w:before="240" w:after="200" w:line="360" w:lineRule="auto"/>
        <w:jc w:val="both"/>
        <w:rPr>
          <w:rFonts w:ascii="Arial" w:hAnsi="Arial" w:cs="Arial"/>
          <w:sz w:val="24"/>
          <w:szCs w:val="24"/>
        </w:rPr>
      </w:pPr>
      <w:r>
        <w:rPr>
          <w:rFonts w:ascii="Arial" w:hAnsi="Arial" w:cs="Arial"/>
          <w:sz w:val="24"/>
          <w:szCs w:val="24"/>
        </w:rPr>
        <w:tab/>
        <w:t xml:space="preserve">Como refiere Cedano (2015, p. 7) el llamado Espacio de Organizaciones de la Sociedad Civil, que surgió en 2008, también fue uno de los impulsores de la creación del Mecanismo para la defensa de activistas en materia de derechos humanos. Esto ocurrió en un contexto donde se agudizaron las agresiones contra periodistas, justo cuando estaba por aprobarse la </w:t>
      </w:r>
      <w:r>
        <w:rPr>
          <w:rFonts w:ascii="Arial" w:eastAsia="Times New Roman" w:hAnsi="Arial" w:cs="Arial"/>
          <w:color w:val="000000"/>
          <w:sz w:val="24"/>
          <w:szCs w:val="24"/>
        </w:rPr>
        <w:t>Ley para la Protección de Personas Defensoras de Derechos Humanos y Periodistas, la cual permitió la creación de dicho Mecanismo.</w:t>
      </w:r>
    </w:p>
    <w:p w14:paraId="0F41F6C6" w14:textId="77777777" w:rsidR="00687577" w:rsidRDefault="00687577">
      <w:pPr>
        <w:shd w:val="clear" w:color="auto" w:fill="FFFFFF"/>
        <w:spacing w:before="240" w:after="200" w:line="360" w:lineRule="auto"/>
        <w:ind w:left="709"/>
        <w:jc w:val="both"/>
        <w:rPr>
          <w:rFonts w:ascii="Arial" w:hAnsi="Arial" w:cs="Arial"/>
          <w:sz w:val="24"/>
          <w:szCs w:val="24"/>
        </w:rPr>
      </w:pPr>
      <w:r>
        <w:rPr>
          <w:rFonts w:ascii="Arial" w:hAnsi="Arial" w:cs="Arial"/>
          <w:sz w:val="24"/>
          <w:szCs w:val="24"/>
        </w:rPr>
        <w:t>Dentro de los hechos inmediatos anteriores están entre otros, el homicidio de Alberto Velázquez reportero del periódico Expresiones de Tulum, el martes 22 de diciembre de 2011. Y justamente en el periodo en que la ley pasaba de una cámara a otra para su aprobación se cometió el homicidio de Regina Martínez, de la Revista Proceso. El asesinato de Regina Martínez aceleró definitivamente la discusión en la Cámara de Diputados para que se aprobara por unanimidad la ley (Cedano, 2015, p. 9).</w:t>
      </w:r>
    </w:p>
    <w:p w14:paraId="70A4B5D6" w14:textId="77777777" w:rsidR="00687577" w:rsidRDefault="00687577">
      <w:pPr>
        <w:shd w:val="clear" w:color="auto" w:fill="FFFFFF"/>
        <w:spacing w:before="240" w:after="200" w:line="360" w:lineRule="auto"/>
        <w:jc w:val="both"/>
        <w:rPr>
          <w:rFonts w:ascii="Arial" w:hAnsi="Arial" w:cs="Arial"/>
          <w:sz w:val="24"/>
          <w:szCs w:val="24"/>
        </w:rPr>
      </w:pPr>
      <w:r>
        <w:rPr>
          <w:rFonts w:ascii="Arial" w:hAnsi="Arial" w:cs="Arial"/>
          <w:sz w:val="24"/>
          <w:szCs w:val="24"/>
        </w:rPr>
        <w:tab/>
        <w:t>Como es de apreciarse, hasta antes de la creación del Mecanismo de Protección a Periodistas, quienes ejercían esta profesión contaban con las garantías individuales otorgadas a todo ciudadano, lo cual representaba una omisión, pues el ejercicio periodístico implica dos dimensiones en materia de libertad de expresión: la individual y social</w:t>
      </w:r>
      <w:r>
        <w:rPr>
          <w:rStyle w:val="Refdenotaalpie"/>
        </w:rPr>
        <w:footnoteReference w:id="19"/>
      </w:r>
      <w:r>
        <w:commentReference w:id="33"/>
      </w:r>
      <w:r>
        <w:rPr>
          <w:rFonts w:ascii="Arial" w:hAnsi="Arial" w:cs="Arial"/>
          <w:sz w:val="24"/>
          <w:szCs w:val="24"/>
        </w:rPr>
        <w:t>, lo cual hace obligado un marco normativo especial para el ejercicio periodístico.</w:t>
      </w:r>
    </w:p>
    <w:p w14:paraId="3DD344A6" w14:textId="6737F290" w:rsidR="00687577" w:rsidRDefault="00687577">
      <w:pPr>
        <w:shd w:val="clear" w:color="auto" w:fill="FFFFFF"/>
        <w:spacing w:before="240" w:after="200" w:line="360" w:lineRule="auto"/>
        <w:jc w:val="both"/>
        <w:rPr>
          <w:rFonts w:ascii="Arial" w:hAnsi="Arial" w:cs="Arial"/>
          <w:sz w:val="24"/>
          <w:szCs w:val="24"/>
        </w:rPr>
      </w:pPr>
      <w:r>
        <w:rPr>
          <w:rFonts w:ascii="Arial" w:hAnsi="Arial" w:cs="Arial"/>
          <w:sz w:val="24"/>
          <w:szCs w:val="24"/>
        </w:rPr>
        <w:tab/>
        <w:t>Adicional a ello, la crisis en materia de seguridad pública detonó que los propios medios advirtieran los riesgos para sus periodistas, no obstante, el problema radicaba en la articulación de una política pública concreta que marcara objetivos claros. Lo cual contrastaba con la presión de organismos internacionales, así como de la sociedad civil, quienes insistían en la necesidad de garantizar la protección de los dere</w:t>
      </w:r>
      <w:r w:rsidR="0094330E">
        <w:rPr>
          <w:rFonts w:ascii="Arial" w:hAnsi="Arial" w:cs="Arial"/>
          <w:sz w:val="24"/>
          <w:szCs w:val="24"/>
        </w:rPr>
        <w:t>chos humanos en México.</w:t>
      </w:r>
    </w:p>
    <w:p w14:paraId="686172C0" w14:textId="77777777" w:rsidR="0094330E" w:rsidRDefault="0094330E">
      <w:pPr>
        <w:shd w:val="clear" w:color="auto" w:fill="FFFFFF"/>
        <w:spacing w:before="240" w:after="200" w:line="360" w:lineRule="auto"/>
        <w:jc w:val="both"/>
        <w:rPr>
          <w:rFonts w:ascii="Arial" w:hAnsi="Arial" w:cs="Arial"/>
          <w:sz w:val="24"/>
          <w:szCs w:val="24"/>
        </w:rPr>
      </w:pPr>
    </w:p>
    <w:p w14:paraId="50DC1A19" w14:textId="14452790" w:rsidR="00687577" w:rsidRDefault="0094330E" w:rsidP="0094330E">
      <w:pPr>
        <w:pStyle w:val="Ttulo2"/>
        <w:numPr>
          <w:ilvl w:val="0"/>
          <w:numId w:val="0"/>
        </w:numPr>
        <w:ind w:left="714"/>
        <w:rPr>
          <w:rFonts w:ascii="Arial" w:hAnsi="Arial" w:cs="Arial"/>
          <w:b/>
          <w:color w:val="00000A"/>
          <w:sz w:val="24"/>
        </w:rPr>
      </w:pPr>
      <w:bookmarkStart w:id="34" w:name="__RefHeading__2219_1000385367"/>
      <w:bookmarkStart w:id="35" w:name="_Toc4083815"/>
      <w:bookmarkEnd w:id="34"/>
      <w:r>
        <w:rPr>
          <w:rFonts w:ascii="Arial" w:hAnsi="Arial" w:cs="Arial"/>
          <w:b/>
          <w:color w:val="00000A"/>
          <w:sz w:val="24"/>
        </w:rPr>
        <w:t xml:space="preserve">II.c) </w:t>
      </w:r>
      <w:r w:rsidR="00687577">
        <w:rPr>
          <w:rFonts w:ascii="Arial" w:hAnsi="Arial" w:cs="Arial"/>
          <w:b/>
          <w:color w:val="00000A"/>
          <w:sz w:val="24"/>
        </w:rPr>
        <w:t>Fundamentos del Mecanismo de Protección a Periodistas en México</w:t>
      </w:r>
      <w:bookmarkEnd w:id="35"/>
    </w:p>
    <w:p w14:paraId="0D441F23" w14:textId="77777777" w:rsidR="0094330E" w:rsidRPr="0094330E" w:rsidRDefault="0094330E" w:rsidP="0094330E">
      <w:pPr>
        <w:pStyle w:val="Textoindependiente"/>
      </w:pPr>
    </w:p>
    <w:p w14:paraId="26E202D5"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 xml:space="preserve">Tanto las normas internacionales, como las nacionales, pueden encontrar un enfoque hacia la construcción de políticas públicas en materia de protección a la libertad de expresión. </w:t>
      </w:r>
      <w:r>
        <w:rPr>
          <w:rFonts w:ascii="Arial" w:eastAsia="Times New Roman" w:hAnsi="Arial" w:cs="Arial"/>
          <w:color w:val="000000"/>
          <w:sz w:val="24"/>
          <w:szCs w:val="24"/>
        </w:rPr>
        <w:t>Cabe recordar que en el caso mexicano</w:t>
      </w:r>
      <w:r>
        <w:rPr>
          <w:rFonts w:ascii="Arial" w:hAnsi="Arial" w:cs="Arial"/>
          <w:sz w:val="24"/>
          <w:szCs w:val="24"/>
        </w:rPr>
        <w:t>, el eje rector de las distintas políticas públicas es el Plan Nacional de Desarrollo 2013-2018</w:t>
      </w:r>
      <w:r>
        <w:rPr>
          <w:rStyle w:val="Refdenotaalpie"/>
        </w:rPr>
        <w:footnoteReference w:id="20"/>
      </w:r>
      <w:r>
        <w:rPr>
          <w:rFonts w:ascii="Arial" w:hAnsi="Arial" w:cs="Arial"/>
          <w:sz w:val="24"/>
          <w:szCs w:val="24"/>
        </w:rPr>
        <w:t>, mismo que hace énfasis en la dignidad humana, al señalar que se busca una sociedad donde todos los ciudadanos tengan un acceso efectivo a los derechos, además de generar igualdad de oportunidades y evitar la discriminación, entre otros elementos; aspectos donde el ejercicio periodístico, bajo el Mecanismo de Protección a Periodistas, juega un papel fundamental, al ser un instrumento para garantizar el ejercicio pleno de derechos, derivados de la libertad de expresión, además de que también sirve para contrarrestar la opacidad en la rendición de cuentas, que es otro objetivo del mismo Plan Nacional de Desarrollo.</w:t>
      </w:r>
    </w:p>
    <w:p w14:paraId="47935F60" w14:textId="77777777" w:rsidR="00687577" w:rsidRDefault="00687577">
      <w:pPr>
        <w:spacing w:before="240" w:after="200" w:line="360" w:lineRule="auto"/>
        <w:jc w:val="both"/>
        <w:rPr>
          <w:rFonts w:ascii="Arial" w:hAnsi="Arial" w:cs="Arial"/>
          <w:sz w:val="24"/>
          <w:szCs w:val="24"/>
        </w:rPr>
      </w:pPr>
      <w:r>
        <w:rPr>
          <w:rFonts w:ascii="Arial" w:hAnsi="Arial" w:cs="Arial"/>
          <w:sz w:val="24"/>
          <w:szCs w:val="24"/>
        </w:rPr>
        <w:tab/>
        <w:t xml:space="preserve">Dicho Mecanismo deriva de la </w:t>
      </w:r>
      <w:r>
        <w:rPr>
          <w:rFonts w:ascii="Arial" w:eastAsia="Times New Roman" w:hAnsi="Arial" w:cs="Arial"/>
          <w:color w:val="000000"/>
          <w:sz w:val="24"/>
          <w:szCs w:val="24"/>
        </w:rPr>
        <w:t xml:space="preserve">Ley para la Protección de Personas Defensoras de Derechos Humanos y Periodistas (LPPDDHP) (Congreso de la Unión, 2012). </w:t>
      </w:r>
      <w:r>
        <w:rPr>
          <w:rFonts w:ascii="Arial" w:hAnsi="Arial" w:cs="Arial"/>
          <w:bCs/>
          <w:sz w:val="24"/>
          <w:szCs w:val="24"/>
          <w:lang w:val="es-ES"/>
        </w:rPr>
        <w:t>Esta Ley, en su artículo primero, indica que debe</w:t>
      </w:r>
      <w:r>
        <w:rPr>
          <w:rFonts w:ascii="Arial" w:eastAsia="Times New Roman" w:hAnsi="Arial" w:cs="Arial"/>
          <w:color w:val="000000"/>
          <w:sz w:val="24"/>
          <w:szCs w:val="24"/>
        </w:rPr>
        <w:t xml:space="preserve"> garantizarse la vida y seguridad de quienes estén en riesgo por el ejercicio de la libertad de expresión y el periodismo. </w:t>
      </w:r>
    </w:p>
    <w:p w14:paraId="7BBEAFFA" w14:textId="77777777" w:rsidR="00687577" w:rsidRDefault="00687577">
      <w:pPr>
        <w:spacing w:before="240" w:after="200" w:line="360" w:lineRule="auto"/>
        <w:ind w:left="708"/>
        <w:jc w:val="both"/>
        <w:rPr>
          <w:rFonts w:ascii="Arial" w:hAnsi="Arial" w:cs="Arial"/>
          <w:sz w:val="24"/>
          <w:szCs w:val="24"/>
        </w:rPr>
      </w:pPr>
      <w:r>
        <w:rPr>
          <w:rFonts w:ascii="Arial" w:hAnsi="Arial" w:cs="Arial"/>
          <w:sz w:val="24"/>
          <w:szCs w:val="24"/>
        </w:rPr>
        <w:t>La presente Ley es de orden público, interés social y de observancia general en toda la República y tiene por objeto establecer la cooperación entre la Federación y las Entidades Federativas para implementar y operar las Medidas de Prevención, Medidas Preventivas y Medidas Urgentes de Protección que garanticen la vida, integridad, libertad y seguridad de las personas que se encuentren en situación de riesgo como consecuencia de la defensa o promoción de los derechos humanos, y del ejercicio de la libertad de expresión y el periodismo (Congreso de la Unión, 2012, p. 1).</w:t>
      </w:r>
    </w:p>
    <w:p w14:paraId="5D71FC4F" w14:textId="77777777" w:rsidR="00687577" w:rsidRDefault="00687577">
      <w:pPr>
        <w:spacing w:before="240" w:after="200" w:line="360" w:lineRule="auto"/>
        <w:jc w:val="both"/>
        <w:rPr>
          <w:rFonts w:ascii="Arial" w:eastAsia="Times New Roman" w:hAnsi="Arial" w:cs="Arial"/>
          <w:color w:val="000000"/>
          <w:sz w:val="24"/>
          <w:szCs w:val="24"/>
        </w:rPr>
      </w:pPr>
      <w:r>
        <w:rPr>
          <w:rFonts w:ascii="Arial" w:hAnsi="Arial" w:cs="Arial"/>
          <w:sz w:val="24"/>
          <w:szCs w:val="24"/>
        </w:rPr>
        <w:tab/>
        <w:t xml:space="preserve">Tales acciones son realizadas mediante el citado Mecanismo de Protección para Personas Defensoras de Derechos Humanos y Periodistas, organismo que garantizaría su cumplimiento por parte del Estado mexicano. </w:t>
      </w:r>
      <w:r>
        <w:rPr>
          <w:rFonts w:ascii="Arial" w:eastAsia="Times New Roman" w:hAnsi="Arial" w:cs="Arial"/>
          <w:color w:val="000000"/>
          <w:sz w:val="24"/>
          <w:szCs w:val="24"/>
        </w:rPr>
        <w:t xml:space="preserve">Este Mecanismo, de acuerdo con el informe </w:t>
      </w:r>
      <w:r>
        <w:rPr>
          <w:rFonts w:ascii="Arial" w:eastAsia="Times New Roman" w:hAnsi="Arial" w:cs="Arial"/>
          <w:i/>
          <w:color w:val="000000"/>
          <w:sz w:val="24"/>
          <w:szCs w:val="24"/>
        </w:rPr>
        <w:t>La Deuda del Estado Mexicano</w:t>
      </w:r>
      <w:r>
        <w:rPr>
          <w:rFonts w:ascii="Arial" w:eastAsia="Times New Roman" w:hAnsi="Arial" w:cs="Arial"/>
          <w:color w:val="000000"/>
          <w:sz w:val="24"/>
          <w:szCs w:val="24"/>
        </w:rPr>
        <w:t xml:space="preserve"> (</w:t>
      </w:r>
      <w:r>
        <w:rPr>
          <w:rFonts w:ascii="Arial" w:hAnsi="Arial" w:cs="Arial"/>
          <w:color w:val="000000"/>
          <w:sz w:val="24"/>
          <w:szCs w:val="24"/>
        </w:rPr>
        <w:t>Espacio_OSC</w:t>
      </w:r>
      <w:r>
        <w:rPr>
          <w:rFonts w:ascii="Arial" w:eastAsia="Times New Roman" w:hAnsi="Arial" w:cs="Arial"/>
          <w:color w:val="000000"/>
          <w:sz w:val="24"/>
          <w:szCs w:val="24"/>
        </w:rPr>
        <w:t>, 2017), también debe ser una pieza fundamental para la articulación de una política pública de prevención, atención y sanción de las violaciones a derechos de los periodistas, es decir, resguardar y proteger al profesional de la información para que pueda continuar con el ejercicio de la libertad de expresión.</w:t>
      </w:r>
    </w:p>
    <w:p w14:paraId="78E95184" w14:textId="3376EE55" w:rsidR="00687577" w:rsidRDefault="00687577" w:rsidP="00421E1E">
      <w:pPr>
        <w:shd w:val="clear" w:color="auto" w:fill="FFFFFF"/>
        <w:spacing w:before="240" w:after="200" w:line="360" w:lineRule="auto"/>
        <w:ind w:left="708"/>
        <w:jc w:val="both"/>
        <w:rPr>
          <w:rFonts w:ascii="Arial" w:eastAsia="Times New Roman" w:hAnsi="Arial" w:cs="Arial"/>
          <w:color w:val="000000"/>
          <w:sz w:val="24"/>
          <w:szCs w:val="24"/>
        </w:rPr>
      </w:pPr>
      <w:r>
        <w:rPr>
          <w:rFonts w:ascii="Arial" w:eastAsia="Times New Roman" w:hAnsi="Arial" w:cs="Arial"/>
          <w:color w:val="000000"/>
          <w:sz w:val="24"/>
          <w:szCs w:val="24"/>
        </w:rPr>
        <w:t>La Federación y las Entidades Federativas, en el ámbito de sus respectivas competencias promoverán el reconocimiento público y social de la importante labor de las Personas Defensoras de Derechos Humanos y Periodistas, para la consolidación del Estado Democrático de Derecho, y condenarán, investigarán y sancionarán las agresiones de las que sean objeto (LPPDDHP, 2012, p.11).</w:t>
      </w:r>
    </w:p>
    <w:p w14:paraId="29E92798" w14:textId="77777777" w:rsidR="00687577" w:rsidRDefault="00687577">
      <w:pPr>
        <w:shd w:val="clear" w:color="auto" w:fill="FFFFFF"/>
        <w:spacing w:before="240" w:after="200" w:line="360" w:lineRule="auto"/>
        <w:jc w:val="both"/>
        <w:rPr>
          <w:rFonts w:ascii="Arial" w:eastAsia="Times New Roman" w:hAnsi="Arial" w:cs="Arial"/>
          <w:b/>
          <w:color w:val="00000A"/>
          <w:sz w:val="24"/>
        </w:rPr>
      </w:pPr>
      <w:r>
        <w:rPr>
          <w:rFonts w:ascii="Arial" w:eastAsia="Times New Roman" w:hAnsi="Arial" w:cs="Arial"/>
          <w:color w:val="000000"/>
          <w:sz w:val="24"/>
          <w:szCs w:val="24"/>
        </w:rPr>
        <w:tab/>
        <w:t>De lo anterior puede apreciarse que el fundamento de esta Ley apunta a revaluar el ejercicio periodístico como una función primordial para la generación de un ambiente de mayor pluralidad, es decir, donde prevalezca el interés de las mayorías, de ahí la importancia de preservar y resguardad esta actividad, protegiendo a quienes por ejercerla hayan generado algún riesgo para ellos o sus cercanos.</w:t>
      </w:r>
    </w:p>
    <w:p w14:paraId="70A0C8C2" w14:textId="77777777" w:rsidR="00687577" w:rsidRDefault="00687577">
      <w:pPr>
        <w:pStyle w:val="Ttulo2"/>
        <w:rPr>
          <w:rFonts w:ascii="Arial" w:eastAsia="Times New Roman" w:hAnsi="Arial" w:cs="Arial"/>
          <w:b/>
          <w:color w:val="00000A"/>
          <w:sz w:val="24"/>
        </w:rPr>
      </w:pPr>
    </w:p>
    <w:p w14:paraId="6342B2CF" w14:textId="6FD4B362" w:rsidR="00687577" w:rsidRDefault="0094330E" w:rsidP="0094330E">
      <w:pPr>
        <w:pStyle w:val="Ttulo2"/>
        <w:numPr>
          <w:ilvl w:val="0"/>
          <w:numId w:val="0"/>
        </w:numPr>
        <w:ind w:left="714"/>
        <w:rPr>
          <w:rFonts w:ascii="Arial" w:hAnsi="Arial" w:cs="Arial"/>
          <w:sz w:val="24"/>
          <w:szCs w:val="24"/>
        </w:rPr>
      </w:pPr>
      <w:bookmarkStart w:id="36" w:name="__RefHeading__2221_1000385367"/>
      <w:bookmarkStart w:id="37" w:name="_Toc4083816"/>
      <w:bookmarkEnd w:id="36"/>
      <w:r>
        <w:rPr>
          <w:rFonts w:ascii="Arial" w:hAnsi="Arial" w:cs="Arial"/>
          <w:b/>
          <w:color w:val="00000A"/>
          <w:sz w:val="24"/>
        </w:rPr>
        <w:t xml:space="preserve">II.d) </w:t>
      </w:r>
      <w:r w:rsidR="00687577">
        <w:rPr>
          <w:rFonts w:ascii="Arial" w:hAnsi="Arial" w:cs="Arial"/>
          <w:b/>
          <w:color w:val="00000A"/>
          <w:sz w:val="24"/>
        </w:rPr>
        <w:t>Funcionamiento del Mecanismo de Protección a Periodistas</w:t>
      </w:r>
      <w:bookmarkEnd w:id="37"/>
    </w:p>
    <w:p w14:paraId="10D2A49D" w14:textId="77777777" w:rsidR="00687577" w:rsidRDefault="00687577">
      <w:pPr>
        <w:pStyle w:val="Prrafodelista10"/>
        <w:spacing w:before="240" w:after="200" w:line="360" w:lineRule="auto"/>
        <w:ind w:left="0"/>
        <w:jc w:val="both"/>
        <w:rPr>
          <w:rFonts w:ascii="Arial" w:hAnsi="Arial" w:cs="Arial"/>
          <w:sz w:val="24"/>
          <w:szCs w:val="24"/>
        </w:rPr>
      </w:pPr>
    </w:p>
    <w:p w14:paraId="7C01E6B6" w14:textId="77777777" w:rsidR="00687577" w:rsidRDefault="00687577">
      <w:pPr>
        <w:pStyle w:val="Prrafodelista10"/>
        <w:spacing w:before="240" w:after="200" w:line="360" w:lineRule="auto"/>
        <w:ind w:left="0"/>
        <w:jc w:val="both"/>
        <w:rPr>
          <w:rFonts w:ascii="Arial" w:eastAsia="Times New Roman" w:hAnsi="Arial" w:cs="Arial"/>
          <w:color w:val="000000"/>
          <w:sz w:val="24"/>
          <w:szCs w:val="24"/>
        </w:rPr>
      </w:pPr>
      <w:r>
        <w:rPr>
          <w:rFonts w:ascii="Arial" w:hAnsi="Arial" w:cs="Arial"/>
          <w:sz w:val="24"/>
          <w:szCs w:val="24"/>
        </w:rPr>
        <w:tab/>
        <w:t xml:space="preserve">El funcionamiento del Mecanismo de Protección de Personas Defensoras de Derechos Humanos y Periodistas (MPPDDHP), con base en la </w:t>
      </w:r>
      <w:r>
        <w:rPr>
          <w:rFonts w:ascii="Arial" w:eastAsia="Times New Roman" w:hAnsi="Arial" w:cs="Arial"/>
          <w:color w:val="000000"/>
          <w:sz w:val="24"/>
          <w:szCs w:val="24"/>
        </w:rPr>
        <w:t>LPPDDHP se esquematiza de la siguiente manera:</w:t>
      </w:r>
    </w:p>
    <w:p w14:paraId="6FFCBF7D" w14:textId="77777777" w:rsidR="00687577" w:rsidRDefault="00687577">
      <w:pPr>
        <w:pStyle w:val="Prrafodelista10"/>
        <w:spacing w:before="240" w:after="200" w:line="360" w:lineRule="auto"/>
        <w:ind w:left="0"/>
        <w:jc w:val="both"/>
        <w:rPr>
          <w:rFonts w:ascii="Arial" w:eastAsia="Times New Roman" w:hAnsi="Arial" w:cs="Arial"/>
          <w:color w:val="000000"/>
          <w:sz w:val="24"/>
          <w:szCs w:val="24"/>
        </w:rPr>
      </w:pPr>
      <w:r>
        <w:rPr>
          <w:rFonts w:ascii="Arial" w:eastAsia="Times New Roman" w:hAnsi="Arial" w:cs="Arial"/>
          <w:color w:val="000000"/>
          <w:sz w:val="24"/>
          <w:szCs w:val="24"/>
        </w:rPr>
        <w:tab/>
        <w:t>Para su funcionamiento cuenta una Junta de Gobierno, un Consejo Consultivo y una Coordinación Ejecutiva Nacional, a su vez todo el Mecanismo es operado por la Secretaría de Gobernación.</w:t>
      </w:r>
    </w:p>
    <w:p w14:paraId="4E4B037D" w14:textId="77777777" w:rsidR="00687577" w:rsidRDefault="00687577">
      <w:pPr>
        <w:pStyle w:val="Prrafodelista10"/>
        <w:spacing w:before="240" w:after="200" w:line="360" w:lineRule="auto"/>
        <w:ind w:left="0"/>
        <w:jc w:val="both"/>
        <w:rPr>
          <w:rFonts w:ascii="Arial" w:eastAsia="Times New Roman" w:hAnsi="Arial" w:cs="Arial"/>
          <w:color w:val="000000"/>
          <w:sz w:val="24"/>
          <w:szCs w:val="24"/>
        </w:rPr>
      </w:pPr>
      <w:r>
        <w:rPr>
          <w:rFonts w:ascii="Arial" w:eastAsia="Times New Roman" w:hAnsi="Arial" w:cs="Arial"/>
          <w:color w:val="000000"/>
          <w:sz w:val="24"/>
          <w:szCs w:val="24"/>
        </w:rPr>
        <w:tab/>
        <w:t>La Junta de Gobierno es la instancia máxima y el principal órgano en la toma de decisiones para la prevención y protección de personas defensoras y derechos humanos y periodistas, sus integrantes son representantes de las siguientes áreas:</w:t>
      </w:r>
    </w:p>
    <w:p w14:paraId="2ED1AD99" w14:textId="77777777" w:rsidR="00687577" w:rsidRDefault="00687577">
      <w:pPr>
        <w:pStyle w:val="Prrafodelista10"/>
        <w:numPr>
          <w:ilvl w:val="2"/>
          <w:numId w:val="12"/>
        </w:numPr>
        <w:spacing w:before="240" w:after="20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Secretaría de Gobernación.</w:t>
      </w:r>
    </w:p>
    <w:p w14:paraId="3CFDA298" w14:textId="77777777" w:rsidR="00687577" w:rsidRDefault="00687577">
      <w:pPr>
        <w:pStyle w:val="Prrafodelista10"/>
        <w:numPr>
          <w:ilvl w:val="2"/>
          <w:numId w:val="12"/>
        </w:numPr>
        <w:spacing w:before="240" w:after="20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Procuraduría General de la República.</w:t>
      </w:r>
    </w:p>
    <w:p w14:paraId="69537D27" w14:textId="77777777" w:rsidR="00687577" w:rsidRDefault="00687577">
      <w:pPr>
        <w:pStyle w:val="Prrafodelista10"/>
        <w:numPr>
          <w:ilvl w:val="2"/>
          <w:numId w:val="12"/>
        </w:numPr>
        <w:spacing w:before="240" w:after="20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Secretaría de Seguridad Pública.</w:t>
      </w:r>
    </w:p>
    <w:p w14:paraId="42F53C80" w14:textId="77777777" w:rsidR="00687577" w:rsidRDefault="00687577">
      <w:pPr>
        <w:pStyle w:val="Prrafodelista10"/>
        <w:numPr>
          <w:ilvl w:val="2"/>
          <w:numId w:val="12"/>
        </w:numPr>
        <w:spacing w:before="240" w:after="20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 xml:space="preserve">Secretaría de Relaciones Exteriores. </w:t>
      </w:r>
    </w:p>
    <w:p w14:paraId="551ED397" w14:textId="77777777" w:rsidR="00687577" w:rsidRDefault="00687577">
      <w:pPr>
        <w:pStyle w:val="Prrafodelista10"/>
        <w:numPr>
          <w:ilvl w:val="2"/>
          <w:numId w:val="12"/>
        </w:numPr>
        <w:spacing w:before="240" w:after="20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 xml:space="preserve">Comisión Nacional de los Derechos Humanos. </w:t>
      </w:r>
    </w:p>
    <w:p w14:paraId="1AA82093" w14:textId="77777777" w:rsidR="00687577" w:rsidRDefault="00687577">
      <w:pPr>
        <w:pStyle w:val="Prrafodelista10"/>
        <w:numPr>
          <w:ilvl w:val="2"/>
          <w:numId w:val="12"/>
        </w:numPr>
        <w:spacing w:before="240" w:after="20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Cuatro representantes del Consejo Consultivo.</w:t>
      </w:r>
    </w:p>
    <w:p w14:paraId="3EF65D47" w14:textId="77777777" w:rsidR="00687577" w:rsidRDefault="00687577">
      <w:pPr>
        <w:pStyle w:val="Prrafodelista10"/>
        <w:spacing w:before="240" w:after="200" w:line="360" w:lineRule="auto"/>
        <w:ind w:left="0"/>
        <w:jc w:val="both"/>
        <w:rPr>
          <w:rFonts w:ascii="Arial" w:eastAsia="Times New Roman" w:hAnsi="Arial" w:cs="Arial"/>
          <w:color w:val="000000"/>
          <w:sz w:val="24"/>
          <w:szCs w:val="24"/>
        </w:rPr>
      </w:pPr>
      <w:r>
        <w:rPr>
          <w:rFonts w:ascii="Arial" w:eastAsia="Times New Roman" w:hAnsi="Arial" w:cs="Arial"/>
          <w:color w:val="000000"/>
          <w:sz w:val="24"/>
          <w:szCs w:val="24"/>
        </w:rPr>
        <w:tab/>
        <w:t>La citada Ley establece que los representantes del Poder Ejecutivo Federal deberán tener un nivel mínimo de subsecretario y el de la Comisión Nacional de Derechos Humanos, el de visitador o sus equivalentes.</w:t>
      </w:r>
    </w:p>
    <w:p w14:paraId="0C653746" w14:textId="77777777" w:rsidR="00687577" w:rsidRDefault="00687577">
      <w:pPr>
        <w:pStyle w:val="Prrafodelista10"/>
        <w:spacing w:before="240" w:after="200" w:line="360" w:lineRule="auto"/>
        <w:ind w:left="0"/>
        <w:jc w:val="both"/>
        <w:rPr>
          <w:rFonts w:ascii="Arial" w:eastAsia="Times New Roman" w:hAnsi="Arial" w:cs="Arial"/>
          <w:color w:val="000000"/>
          <w:sz w:val="24"/>
          <w:szCs w:val="24"/>
        </w:rPr>
      </w:pPr>
      <w:r>
        <w:rPr>
          <w:rFonts w:ascii="Arial" w:eastAsia="Times New Roman" w:hAnsi="Arial" w:cs="Arial"/>
          <w:color w:val="000000"/>
          <w:sz w:val="24"/>
          <w:szCs w:val="24"/>
        </w:rPr>
        <w:tab/>
        <w:t xml:space="preserve">Esta Junta de Gobierno deberá invitar a todas sus sesiones con derecho a voz a las siguientes instancias: </w:t>
      </w:r>
    </w:p>
    <w:p w14:paraId="2206410A" w14:textId="77777777" w:rsidR="00687577" w:rsidRDefault="00687577">
      <w:pPr>
        <w:pStyle w:val="Prrafodelista10"/>
        <w:numPr>
          <w:ilvl w:val="1"/>
          <w:numId w:val="13"/>
        </w:numPr>
        <w:spacing w:before="240" w:after="20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 xml:space="preserve">Un representante de la Oficina en México del Alto Comisionado de las Naciones Unidas para los Derechos Humanos. </w:t>
      </w:r>
    </w:p>
    <w:p w14:paraId="64F9D07B" w14:textId="77777777" w:rsidR="00687577" w:rsidRDefault="00687577">
      <w:pPr>
        <w:pStyle w:val="Prrafodelista10"/>
        <w:numPr>
          <w:ilvl w:val="1"/>
          <w:numId w:val="13"/>
        </w:numPr>
        <w:spacing w:before="240" w:after="20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 xml:space="preserve">Un representante de la Conferencia Nacional de Gobernadores. </w:t>
      </w:r>
    </w:p>
    <w:p w14:paraId="5EBFF332" w14:textId="77777777" w:rsidR="00687577" w:rsidRDefault="00687577">
      <w:pPr>
        <w:pStyle w:val="Prrafodelista10"/>
        <w:numPr>
          <w:ilvl w:val="1"/>
          <w:numId w:val="13"/>
        </w:numPr>
        <w:spacing w:before="240" w:after="20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 xml:space="preserve">Un representante del Poder Judicial de la Federación. </w:t>
      </w:r>
    </w:p>
    <w:p w14:paraId="04E1B051" w14:textId="77777777" w:rsidR="00687577" w:rsidRDefault="00687577">
      <w:pPr>
        <w:pStyle w:val="Prrafodelista10"/>
        <w:numPr>
          <w:ilvl w:val="1"/>
          <w:numId w:val="13"/>
        </w:numPr>
        <w:spacing w:before="240" w:after="20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 xml:space="preserve">Al presidente de la comisión de Derechos Humanos del Senado de la República. </w:t>
      </w:r>
    </w:p>
    <w:p w14:paraId="6135BD29" w14:textId="77777777" w:rsidR="00687577" w:rsidRDefault="00687577">
      <w:pPr>
        <w:pStyle w:val="Prrafodelista10"/>
        <w:numPr>
          <w:ilvl w:val="1"/>
          <w:numId w:val="13"/>
        </w:numPr>
        <w:spacing w:before="240" w:after="20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Al presidente de la comisión de Derechos Humanos de la Cámara de Diputados.</w:t>
      </w:r>
    </w:p>
    <w:p w14:paraId="65A6AE66" w14:textId="6F2BC5A0" w:rsidR="00687577" w:rsidRDefault="00421E1E">
      <w:pPr>
        <w:pStyle w:val="Prrafodelista10"/>
        <w:spacing w:before="240" w:after="200" w:line="360" w:lineRule="auto"/>
        <w:ind w:left="0"/>
        <w:jc w:val="both"/>
        <w:rPr>
          <w:rFonts w:ascii="Arial" w:eastAsia="Times New Roman" w:hAnsi="Arial" w:cs="Arial"/>
          <w:color w:val="000000"/>
          <w:sz w:val="24"/>
          <w:szCs w:val="24"/>
        </w:rPr>
      </w:pPr>
      <w:r>
        <w:rPr>
          <w:rFonts w:ascii="Arial" w:eastAsia="Times New Roman" w:hAnsi="Arial" w:cs="Arial"/>
          <w:color w:val="000000"/>
          <w:sz w:val="24"/>
          <w:szCs w:val="24"/>
        </w:rPr>
        <w:tab/>
        <w:t xml:space="preserve">De la propia </w:t>
      </w:r>
      <w:r w:rsidR="00687577">
        <w:rPr>
          <w:rFonts w:ascii="Arial" w:eastAsia="Times New Roman" w:hAnsi="Arial" w:cs="Arial"/>
          <w:color w:val="000000"/>
          <w:sz w:val="24"/>
          <w:szCs w:val="24"/>
        </w:rPr>
        <w:t>LPPDDHP se desprende que la Junta de Gobierno concentra todas las acciones sustantivas del citado Mecanismo, entre las cuales destacan las siguientes:</w:t>
      </w:r>
    </w:p>
    <w:p w14:paraId="467D7D75" w14:textId="77777777" w:rsidR="00687577" w:rsidRDefault="00687577">
      <w:pPr>
        <w:pStyle w:val="Prrafodelista10"/>
        <w:numPr>
          <w:ilvl w:val="1"/>
          <w:numId w:val="14"/>
        </w:numPr>
        <w:spacing w:before="240" w:after="20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Determinar, decretar, evaluar, suspender y en su caso, modificar las Medidas Preventivas y las Medidas de Protección, a partir de la información elaborada por las unidades de la Coordinación.</w:t>
      </w:r>
    </w:p>
    <w:p w14:paraId="5742DBC0" w14:textId="77777777" w:rsidR="00687577" w:rsidRDefault="00687577">
      <w:pPr>
        <w:pStyle w:val="Prrafodelista10"/>
        <w:numPr>
          <w:ilvl w:val="1"/>
          <w:numId w:val="14"/>
        </w:numPr>
        <w:spacing w:before="240" w:after="20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Evaluar, suspender y en su caso, modificar las Medidas Urgentes de Protección, a partir de la información elaborada por las unidades de la Coordinación.</w:t>
      </w:r>
    </w:p>
    <w:p w14:paraId="3AF54452" w14:textId="77777777" w:rsidR="00687577" w:rsidRDefault="00687577">
      <w:pPr>
        <w:pStyle w:val="Prrafodelista10"/>
        <w:numPr>
          <w:ilvl w:val="1"/>
          <w:numId w:val="14"/>
        </w:numPr>
        <w:spacing w:before="240" w:after="20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Aprobar los manuales y protocolos de Medidas Preventivas, Medidas de Protección y Medidas Urgentes de Protección elaborados por la Coordinación.</w:t>
      </w:r>
    </w:p>
    <w:p w14:paraId="6E4AC305" w14:textId="77777777" w:rsidR="00687577" w:rsidRDefault="00687577">
      <w:pPr>
        <w:pStyle w:val="Prrafodelista10"/>
        <w:numPr>
          <w:ilvl w:val="1"/>
          <w:numId w:val="14"/>
        </w:numPr>
        <w:spacing w:before="240" w:after="20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Convocar al peticionario o beneficiario de las Medidas de Protección, a las sesiones donde se decidirá sobre su caso.</w:t>
      </w:r>
    </w:p>
    <w:p w14:paraId="452890BA" w14:textId="77777777" w:rsidR="00687577" w:rsidRDefault="00687577">
      <w:pPr>
        <w:pStyle w:val="Prrafodelista10"/>
        <w:numPr>
          <w:ilvl w:val="1"/>
          <w:numId w:val="14"/>
        </w:numPr>
        <w:spacing w:before="240" w:after="20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Revisar y aprobar el plan anual de trabajo elaborado por la Coordinación.</w:t>
      </w:r>
    </w:p>
    <w:p w14:paraId="4044F76D" w14:textId="77777777" w:rsidR="00687577" w:rsidRDefault="00687577">
      <w:pPr>
        <w:pStyle w:val="Prrafodelista10"/>
        <w:numPr>
          <w:ilvl w:val="1"/>
          <w:numId w:val="14"/>
        </w:numPr>
        <w:spacing w:before="240" w:after="20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Presentar públicamente informes anuales sobre la situación nacional en materia de seguridad de las personas defensoras de derechos humanos y periodistas con datos desagregados y con perspectiva de género.</w:t>
      </w:r>
    </w:p>
    <w:p w14:paraId="30D4F1DB" w14:textId="77777777" w:rsidR="00687577" w:rsidRDefault="00687577">
      <w:pPr>
        <w:pStyle w:val="Prrafodelista10"/>
        <w:numPr>
          <w:ilvl w:val="1"/>
          <w:numId w:val="14"/>
        </w:numPr>
        <w:spacing w:before="240" w:after="20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Proponer e impulsar, a través de la Coordinación, políticas públicas y reformas legislativas relacionadas con el objeto de esta Ley.</w:t>
      </w:r>
    </w:p>
    <w:p w14:paraId="744F2F8E" w14:textId="77777777" w:rsidR="00687577" w:rsidRDefault="00687577">
      <w:pPr>
        <w:pStyle w:val="Prrafodelista10"/>
        <w:numPr>
          <w:ilvl w:val="1"/>
          <w:numId w:val="14"/>
        </w:numPr>
        <w:spacing w:before="240" w:after="200" w:line="360" w:lineRule="auto"/>
        <w:jc w:val="both"/>
        <w:rPr>
          <w:rFonts w:ascii="Arial" w:hAnsi="Arial" w:cs="Arial"/>
          <w:sz w:val="24"/>
        </w:rPr>
      </w:pPr>
      <w:r>
        <w:rPr>
          <w:rFonts w:ascii="Arial" w:eastAsia="Times New Roman" w:hAnsi="Arial" w:cs="Arial"/>
          <w:color w:val="000000"/>
          <w:sz w:val="24"/>
          <w:szCs w:val="24"/>
        </w:rPr>
        <w:t>Emitir las convocatorias públicas correspondientes a solicitud del Consejo Consultivo para la elección de sus miembros.</w:t>
      </w:r>
    </w:p>
    <w:p w14:paraId="1CE041FD" w14:textId="77777777" w:rsidR="00687577" w:rsidRDefault="00687577">
      <w:pPr>
        <w:pStyle w:val="Prrafodelista10"/>
        <w:numPr>
          <w:ilvl w:val="1"/>
          <w:numId w:val="14"/>
        </w:numPr>
        <w:spacing w:before="240" w:after="200" w:line="360" w:lineRule="auto"/>
        <w:jc w:val="both"/>
        <w:rPr>
          <w:rFonts w:ascii="Arial" w:hAnsi="Arial" w:cs="Arial"/>
          <w:sz w:val="24"/>
        </w:rPr>
      </w:pPr>
      <w:r>
        <w:rPr>
          <w:rFonts w:ascii="Arial" w:hAnsi="Arial" w:cs="Arial"/>
          <w:sz w:val="24"/>
        </w:rPr>
        <w:t>Conocer las recomendaciones del Consejo Consultivo sobre los programas y actividades que realicen la Coordinación y, fundamentar y motivar su decisión.</w:t>
      </w:r>
    </w:p>
    <w:p w14:paraId="625053DC" w14:textId="77777777" w:rsidR="00687577" w:rsidRDefault="00687577">
      <w:pPr>
        <w:pStyle w:val="Prrafodelista10"/>
        <w:numPr>
          <w:ilvl w:val="1"/>
          <w:numId w:val="14"/>
        </w:numPr>
        <w:spacing w:before="240" w:after="200" w:line="360" w:lineRule="auto"/>
        <w:jc w:val="both"/>
        <w:rPr>
          <w:rFonts w:ascii="Arial" w:hAnsi="Arial" w:cs="Arial"/>
          <w:sz w:val="24"/>
        </w:rPr>
      </w:pPr>
      <w:r>
        <w:rPr>
          <w:rFonts w:ascii="Arial" w:hAnsi="Arial" w:cs="Arial"/>
          <w:sz w:val="24"/>
        </w:rPr>
        <w:t>Recibir y difundir el informe anual del Consejo Consultivo.</w:t>
      </w:r>
    </w:p>
    <w:p w14:paraId="3EAE0DAB" w14:textId="77777777" w:rsidR="00687577" w:rsidRDefault="00687577">
      <w:pPr>
        <w:pStyle w:val="Prrafodelista10"/>
        <w:numPr>
          <w:ilvl w:val="1"/>
          <w:numId w:val="14"/>
        </w:numPr>
        <w:spacing w:before="240" w:after="200" w:line="360" w:lineRule="auto"/>
        <w:jc w:val="both"/>
        <w:rPr>
          <w:rFonts w:ascii="Arial" w:hAnsi="Arial" w:cs="Arial"/>
          <w:sz w:val="24"/>
        </w:rPr>
      </w:pPr>
      <w:r>
        <w:rPr>
          <w:rFonts w:ascii="Arial" w:hAnsi="Arial" w:cs="Arial"/>
          <w:sz w:val="24"/>
        </w:rPr>
        <w:t>Aprobar el informe anual de actividades y el informe sobre el ejercicio presupuestal de la Coordinación.</w:t>
      </w:r>
    </w:p>
    <w:p w14:paraId="364F1E6E" w14:textId="77777777" w:rsidR="00687577" w:rsidRDefault="00687577">
      <w:pPr>
        <w:pStyle w:val="Prrafodelista10"/>
        <w:numPr>
          <w:ilvl w:val="1"/>
          <w:numId w:val="14"/>
        </w:numPr>
        <w:spacing w:before="240" w:after="200" w:line="360" w:lineRule="auto"/>
        <w:jc w:val="both"/>
        <w:rPr>
          <w:rFonts w:ascii="Arial" w:hAnsi="Arial" w:cs="Arial"/>
          <w:sz w:val="24"/>
        </w:rPr>
      </w:pPr>
      <w:r>
        <w:rPr>
          <w:rFonts w:ascii="Arial" w:hAnsi="Arial" w:cs="Arial"/>
          <w:sz w:val="24"/>
        </w:rPr>
        <w:t>Aprobar los perfiles para la designación de los integrantes de la Unidad de Recepción de Casos y Reacción Rápida, de la Unidad de Evaluación de Riesgo y de la Unidad de Prevención, Seguimiento y Evaluación.</w:t>
      </w:r>
    </w:p>
    <w:p w14:paraId="144F3C7A" w14:textId="77777777" w:rsidR="00687577" w:rsidRDefault="00687577">
      <w:pPr>
        <w:pStyle w:val="Prrafodelista10"/>
        <w:numPr>
          <w:ilvl w:val="1"/>
          <w:numId w:val="14"/>
        </w:numPr>
        <w:spacing w:before="240" w:after="200" w:line="360" w:lineRule="auto"/>
        <w:jc w:val="both"/>
        <w:rPr>
          <w:rFonts w:ascii="Arial" w:eastAsia="Times New Roman" w:hAnsi="Arial" w:cs="Arial"/>
          <w:color w:val="000000"/>
          <w:sz w:val="24"/>
          <w:szCs w:val="24"/>
        </w:rPr>
      </w:pPr>
      <w:r>
        <w:rPr>
          <w:rFonts w:ascii="Arial" w:hAnsi="Arial" w:cs="Arial"/>
          <w:sz w:val="24"/>
        </w:rPr>
        <w:t>Aprobar las reglas de operación y el presupuesto operativo del fondo.</w:t>
      </w:r>
    </w:p>
    <w:p w14:paraId="3ECFD7FB" w14:textId="77777777" w:rsidR="00687577" w:rsidRDefault="00687577">
      <w:pPr>
        <w:pStyle w:val="Prrafodelista10"/>
        <w:spacing w:before="240" w:after="200" w:line="360" w:lineRule="auto"/>
        <w:ind w:left="0"/>
        <w:jc w:val="both"/>
        <w:rPr>
          <w:rFonts w:ascii="Arial" w:eastAsia="Times New Roman" w:hAnsi="Arial" w:cs="Arial"/>
          <w:color w:val="000000"/>
          <w:sz w:val="24"/>
          <w:szCs w:val="24"/>
        </w:rPr>
      </w:pPr>
      <w:r>
        <w:rPr>
          <w:rFonts w:ascii="Arial" w:eastAsia="Times New Roman" w:hAnsi="Arial" w:cs="Arial"/>
          <w:color w:val="000000"/>
          <w:sz w:val="24"/>
          <w:szCs w:val="24"/>
        </w:rPr>
        <w:tab/>
        <w:t>A su vez, el Consejo Consultivo del MPPDDHP está integrado por nueve consejeros que serán electos de entre personas expertas en la defensa de los derechos humanos y del ejercicio de la libertad de expresión y el periodismo.</w:t>
      </w:r>
    </w:p>
    <w:p w14:paraId="469D92D9" w14:textId="77777777" w:rsidR="00687577" w:rsidRDefault="00687577">
      <w:pPr>
        <w:pStyle w:val="Prrafodelista10"/>
        <w:spacing w:before="240" w:after="200" w:line="360" w:lineRule="auto"/>
        <w:ind w:left="0"/>
        <w:jc w:val="both"/>
        <w:rPr>
          <w:rFonts w:ascii="Arial" w:eastAsia="Times New Roman" w:hAnsi="Arial" w:cs="Arial"/>
          <w:color w:val="000000"/>
          <w:sz w:val="24"/>
          <w:szCs w:val="24"/>
        </w:rPr>
      </w:pPr>
      <w:r>
        <w:rPr>
          <w:rFonts w:ascii="Arial" w:eastAsia="Times New Roman" w:hAnsi="Arial" w:cs="Arial"/>
          <w:color w:val="000000"/>
          <w:sz w:val="24"/>
          <w:szCs w:val="24"/>
        </w:rPr>
        <w:tab/>
        <w:t xml:space="preserve">Estos consejeros serán electos derivado de una convocatoria pública que emita la Junta de Gobierno y no reciben ningún salario o compensación económica por su labor que dura cuatro años, con posibilidad de reelección por un periodo consecutivo. </w:t>
      </w:r>
    </w:p>
    <w:p w14:paraId="2617606E" w14:textId="77777777" w:rsidR="00687577" w:rsidRDefault="00687577">
      <w:pPr>
        <w:pStyle w:val="Prrafodelista10"/>
        <w:spacing w:before="240" w:after="200" w:line="360" w:lineRule="auto"/>
        <w:ind w:left="0"/>
        <w:jc w:val="both"/>
        <w:rPr>
          <w:rFonts w:ascii="Arial" w:eastAsia="Times New Roman" w:hAnsi="Arial" w:cs="Arial"/>
          <w:color w:val="000000"/>
          <w:sz w:val="24"/>
          <w:szCs w:val="24"/>
        </w:rPr>
      </w:pPr>
      <w:r>
        <w:rPr>
          <w:rFonts w:ascii="Arial" w:eastAsia="Times New Roman" w:hAnsi="Arial" w:cs="Arial"/>
          <w:color w:val="000000"/>
          <w:sz w:val="24"/>
          <w:szCs w:val="24"/>
        </w:rPr>
        <w:tab/>
        <w:t>Las funciones de este Consejo Consultivo se enuncian a continuación:</w:t>
      </w:r>
    </w:p>
    <w:p w14:paraId="69DB2E61" w14:textId="77777777" w:rsidR="00687577" w:rsidRDefault="00687577">
      <w:pPr>
        <w:pStyle w:val="Prrafodelista10"/>
        <w:numPr>
          <w:ilvl w:val="0"/>
          <w:numId w:val="15"/>
        </w:numPr>
        <w:spacing w:before="240" w:after="200" w:line="360" w:lineRule="auto"/>
        <w:ind w:left="720" w:hanging="371"/>
        <w:jc w:val="both"/>
        <w:rPr>
          <w:rFonts w:ascii="Arial" w:eastAsia="Times New Roman" w:hAnsi="Arial" w:cs="Arial"/>
          <w:color w:val="000000"/>
          <w:sz w:val="24"/>
          <w:szCs w:val="24"/>
        </w:rPr>
      </w:pPr>
      <w:r>
        <w:rPr>
          <w:rFonts w:ascii="Arial" w:eastAsia="Times New Roman" w:hAnsi="Arial" w:cs="Arial"/>
          <w:color w:val="000000"/>
          <w:sz w:val="24"/>
          <w:szCs w:val="24"/>
        </w:rPr>
        <w:t>Atender las consultas y formular las opiniones que le sean solicitadas por la Junta de Gobierno.</w:t>
      </w:r>
    </w:p>
    <w:p w14:paraId="188F37F3" w14:textId="77777777" w:rsidR="00687577" w:rsidRDefault="00687577">
      <w:pPr>
        <w:pStyle w:val="Prrafodelista10"/>
        <w:numPr>
          <w:ilvl w:val="0"/>
          <w:numId w:val="15"/>
        </w:numPr>
        <w:spacing w:before="240" w:after="200" w:line="360" w:lineRule="auto"/>
        <w:ind w:left="720" w:hanging="371"/>
        <w:jc w:val="both"/>
        <w:rPr>
          <w:rFonts w:ascii="Arial" w:eastAsia="Times New Roman" w:hAnsi="Arial" w:cs="Arial"/>
          <w:color w:val="000000"/>
          <w:sz w:val="24"/>
          <w:szCs w:val="24"/>
        </w:rPr>
      </w:pPr>
      <w:r>
        <w:rPr>
          <w:rFonts w:ascii="Arial" w:eastAsia="Times New Roman" w:hAnsi="Arial" w:cs="Arial"/>
          <w:color w:val="000000"/>
          <w:sz w:val="24"/>
          <w:szCs w:val="24"/>
        </w:rPr>
        <w:t>Formular a la Junta de Gobierno recomendaciones sobre los programas y actividades que realice la Coordinación.</w:t>
      </w:r>
    </w:p>
    <w:p w14:paraId="496230A8" w14:textId="77777777" w:rsidR="00687577" w:rsidRDefault="00687577">
      <w:pPr>
        <w:pStyle w:val="Prrafodelista10"/>
        <w:numPr>
          <w:ilvl w:val="0"/>
          <w:numId w:val="15"/>
        </w:numPr>
        <w:spacing w:before="240" w:after="200" w:line="360" w:lineRule="auto"/>
        <w:ind w:left="720" w:hanging="371"/>
        <w:jc w:val="both"/>
        <w:rPr>
          <w:rFonts w:ascii="Arial" w:eastAsia="Times New Roman" w:hAnsi="Arial" w:cs="Arial"/>
          <w:color w:val="000000"/>
          <w:sz w:val="24"/>
          <w:szCs w:val="24"/>
        </w:rPr>
      </w:pPr>
      <w:r>
        <w:rPr>
          <w:rFonts w:ascii="Arial" w:eastAsia="Times New Roman" w:hAnsi="Arial" w:cs="Arial"/>
          <w:color w:val="000000"/>
          <w:sz w:val="24"/>
          <w:szCs w:val="24"/>
        </w:rPr>
        <w:t>Colaborar con la Coordinación en el diseño de su plan anual de trabajo.</w:t>
      </w:r>
    </w:p>
    <w:p w14:paraId="56F16C87" w14:textId="77777777" w:rsidR="00687577" w:rsidRDefault="00687577">
      <w:pPr>
        <w:pStyle w:val="Prrafodelista10"/>
        <w:numPr>
          <w:ilvl w:val="0"/>
          <w:numId w:val="15"/>
        </w:numPr>
        <w:spacing w:before="240" w:after="200" w:line="360" w:lineRule="auto"/>
        <w:ind w:left="720" w:hanging="371"/>
        <w:jc w:val="both"/>
        <w:rPr>
          <w:rFonts w:ascii="Arial" w:eastAsia="Times New Roman" w:hAnsi="Arial" w:cs="Arial"/>
          <w:color w:val="000000"/>
          <w:sz w:val="24"/>
          <w:szCs w:val="24"/>
        </w:rPr>
      </w:pPr>
      <w:r>
        <w:rPr>
          <w:rFonts w:ascii="Arial" w:eastAsia="Times New Roman" w:hAnsi="Arial" w:cs="Arial"/>
          <w:color w:val="000000"/>
          <w:sz w:val="24"/>
          <w:szCs w:val="24"/>
        </w:rPr>
        <w:t>Remitir a la Junta de Gobierno inconformidades presentadas por peticionarios o beneficiarios sobre la implementación de Medidas Preventivas, Medidas de Protección y Medidas Urgentes de Protección.</w:t>
      </w:r>
    </w:p>
    <w:p w14:paraId="06DD6C89" w14:textId="77777777" w:rsidR="00687577" w:rsidRDefault="00687577">
      <w:pPr>
        <w:pStyle w:val="Prrafodelista10"/>
        <w:numPr>
          <w:ilvl w:val="0"/>
          <w:numId w:val="15"/>
        </w:numPr>
        <w:spacing w:before="240" w:after="200" w:line="360" w:lineRule="auto"/>
        <w:ind w:left="720" w:hanging="371"/>
        <w:jc w:val="both"/>
        <w:rPr>
          <w:rFonts w:ascii="Arial" w:eastAsia="Times New Roman" w:hAnsi="Arial" w:cs="Arial"/>
          <w:color w:val="000000"/>
          <w:sz w:val="24"/>
          <w:szCs w:val="24"/>
        </w:rPr>
      </w:pPr>
      <w:r>
        <w:rPr>
          <w:rFonts w:ascii="Arial" w:eastAsia="Times New Roman" w:hAnsi="Arial" w:cs="Arial"/>
          <w:color w:val="000000"/>
          <w:sz w:val="24"/>
          <w:szCs w:val="24"/>
        </w:rPr>
        <w:t>Comisionar Estudios de Evaluación de Riesgo independientes solicitados por la Junta de Gobierno para resolver las inconformidades presentadas.</w:t>
      </w:r>
    </w:p>
    <w:p w14:paraId="7799700D" w14:textId="77777777" w:rsidR="00687577" w:rsidRDefault="00687577">
      <w:pPr>
        <w:pStyle w:val="Prrafodelista10"/>
        <w:numPr>
          <w:ilvl w:val="0"/>
          <w:numId w:val="15"/>
        </w:numPr>
        <w:spacing w:before="240" w:after="200" w:line="360" w:lineRule="auto"/>
        <w:ind w:left="720" w:hanging="371"/>
        <w:jc w:val="both"/>
        <w:rPr>
          <w:rFonts w:ascii="Arial" w:eastAsia="Times New Roman" w:hAnsi="Arial" w:cs="Arial"/>
          <w:color w:val="000000"/>
          <w:sz w:val="24"/>
          <w:szCs w:val="24"/>
        </w:rPr>
      </w:pPr>
      <w:r>
        <w:rPr>
          <w:rFonts w:ascii="Arial" w:eastAsia="Times New Roman" w:hAnsi="Arial" w:cs="Arial"/>
          <w:color w:val="000000"/>
          <w:sz w:val="24"/>
          <w:szCs w:val="24"/>
        </w:rPr>
        <w:t>Contribuir en la promoción de las acciones, políticas públicas, programas y proyectos relacionados con el objeto de esta Ley.</w:t>
      </w:r>
    </w:p>
    <w:p w14:paraId="546C89F9" w14:textId="77777777" w:rsidR="00687577" w:rsidRDefault="00687577">
      <w:pPr>
        <w:pStyle w:val="Prrafodelista10"/>
        <w:numPr>
          <w:ilvl w:val="0"/>
          <w:numId w:val="15"/>
        </w:numPr>
        <w:spacing w:before="240" w:after="200" w:line="360" w:lineRule="auto"/>
        <w:ind w:left="720" w:hanging="371"/>
        <w:jc w:val="both"/>
        <w:rPr>
          <w:rFonts w:ascii="Arial" w:eastAsia="Times New Roman" w:hAnsi="Arial" w:cs="Arial"/>
          <w:color w:val="000000"/>
          <w:sz w:val="24"/>
          <w:szCs w:val="24"/>
        </w:rPr>
      </w:pPr>
      <w:r>
        <w:rPr>
          <w:rFonts w:ascii="Arial" w:eastAsia="Times New Roman" w:hAnsi="Arial" w:cs="Arial"/>
          <w:color w:val="000000"/>
          <w:sz w:val="24"/>
          <w:szCs w:val="24"/>
        </w:rPr>
        <w:t>Presentar ante la Junta de Gobierno su informe anual de actividades.</w:t>
      </w:r>
    </w:p>
    <w:p w14:paraId="62F5FAFC" w14:textId="77777777" w:rsidR="00687577" w:rsidRDefault="00687577">
      <w:pPr>
        <w:pStyle w:val="Prrafodelista10"/>
        <w:spacing w:before="240" w:after="200" w:line="360" w:lineRule="auto"/>
        <w:ind w:left="0"/>
        <w:jc w:val="both"/>
        <w:rPr>
          <w:rFonts w:ascii="Arial" w:eastAsia="Times New Roman" w:hAnsi="Arial" w:cs="Arial"/>
          <w:color w:val="000000"/>
          <w:sz w:val="24"/>
          <w:szCs w:val="24"/>
        </w:rPr>
      </w:pPr>
      <w:r>
        <w:rPr>
          <w:rFonts w:ascii="Arial" w:eastAsia="Times New Roman" w:hAnsi="Arial" w:cs="Arial"/>
          <w:color w:val="000000"/>
          <w:sz w:val="24"/>
          <w:szCs w:val="24"/>
        </w:rPr>
        <w:tab/>
        <w:t>El siguiente órgano del Mecanismo es la Coordinación Ejecutiva Nacional, él tiene un carácter administrativo, al estar integrada por la Unidades de Recepción de Casos y Reacción Rápida, de Evaluación de Riesgos, y de Prevención, Seguimiento y Análisis.</w:t>
      </w:r>
    </w:p>
    <w:p w14:paraId="11AA741C" w14:textId="77777777" w:rsidR="00687577" w:rsidRDefault="00687577">
      <w:pPr>
        <w:pStyle w:val="Prrafodelista10"/>
        <w:spacing w:before="240" w:after="200" w:line="360" w:lineRule="auto"/>
        <w:ind w:left="0"/>
        <w:jc w:val="both"/>
        <w:rPr>
          <w:rFonts w:ascii="Arial" w:eastAsia="Times New Roman" w:hAnsi="Arial" w:cs="Arial"/>
          <w:color w:val="000000"/>
          <w:sz w:val="24"/>
          <w:szCs w:val="24"/>
        </w:rPr>
      </w:pPr>
      <w:r>
        <w:rPr>
          <w:rFonts w:ascii="Arial" w:eastAsia="Times New Roman" w:hAnsi="Arial" w:cs="Arial"/>
          <w:color w:val="000000"/>
          <w:sz w:val="24"/>
          <w:szCs w:val="24"/>
        </w:rPr>
        <w:tab/>
        <w:t>Dicha Coordinación está encabezada por un funcionario de la Secretaría de Gobernación, con rango inmediato inferior a subsecretario o equivalente.</w:t>
      </w:r>
    </w:p>
    <w:p w14:paraId="5335127D" w14:textId="77777777" w:rsidR="00687577" w:rsidRDefault="00687577">
      <w:pPr>
        <w:pStyle w:val="Prrafodelista10"/>
        <w:spacing w:before="240" w:after="200" w:line="360" w:lineRule="auto"/>
        <w:ind w:left="0"/>
        <w:jc w:val="both"/>
        <w:rPr>
          <w:rFonts w:ascii="Arial" w:eastAsia="Times New Roman" w:hAnsi="Arial" w:cs="Arial"/>
          <w:color w:val="000000"/>
          <w:sz w:val="24"/>
          <w:szCs w:val="24"/>
        </w:rPr>
      </w:pPr>
      <w:r>
        <w:rPr>
          <w:rFonts w:ascii="Arial" w:eastAsia="Times New Roman" w:hAnsi="Arial" w:cs="Arial"/>
          <w:color w:val="000000"/>
          <w:sz w:val="24"/>
          <w:szCs w:val="24"/>
        </w:rPr>
        <w:tab/>
        <w:t>Las funciones de esta Coordinación son las siguientes:</w:t>
      </w:r>
    </w:p>
    <w:p w14:paraId="361327B8" w14:textId="77777777" w:rsidR="00687577" w:rsidRDefault="00687577">
      <w:pPr>
        <w:pStyle w:val="Prrafodelista10"/>
        <w:numPr>
          <w:ilvl w:val="2"/>
          <w:numId w:val="16"/>
        </w:numPr>
        <w:spacing w:before="240" w:after="200" w:line="360" w:lineRule="auto"/>
        <w:ind w:left="1134" w:firstLine="0"/>
        <w:jc w:val="both"/>
        <w:rPr>
          <w:rFonts w:ascii="Arial" w:eastAsia="Times New Roman" w:hAnsi="Arial" w:cs="Arial"/>
          <w:color w:val="000000"/>
          <w:sz w:val="24"/>
          <w:szCs w:val="24"/>
        </w:rPr>
      </w:pPr>
      <w:r>
        <w:rPr>
          <w:rFonts w:ascii="Arial" w:eastAsia="Times New Roman" w:hAnsi="Arial" w:cs="Arial"/>
          <w:color w:val="000000"/>
          <w:sz w:val="24"/>
          <w:szCs w:val="24"/>
        </w:rPr>
        <w:t>Recibir y compilar la información generada por las Unidades a su cargo y remitirla a la Junta de Gobierno con al menos cinco días naturales previó a su reunión.</w:t>
      </w:r>
    </w:p>
    <w:p w14:paraId="17E77D50" w14:textId="77777777" w:rsidR="00687577" w:rsidRDefault="00687577">
      <w:pPr>
        <w:pStyle w:val="Prrafodelista10"/>
        <w:numPr>
          <w:ilvl w:val="2"/>
          <w:numId w:val="16"/>
        </w:numPr>
        <w:spacing w:before="240" w:after="200" w:line="360" w:lineRule="auto"/>
        <w:ind w:left="1134" w:firstLine="0"/>
        <w:jc w:val="both"/>
        <w:rPr>
          <w:rFonts w:ascii="Arial" w:eastAsia="Times New Roman" w:hAnsi="Arial" w:cs="Arial"/>
          <w:color w:val="000000"/>
          <w:sz w:val="24"/>
          <w:szCs w:val="24"/>
        </w:rPr>
      </w:pPr>
      <w:r>
        <w:rPr>
          <w:rFonts w:ascii="Arial" w:eastAsia="Times New Roman" w:hAnsi="Arial" w:cs="Arial"/>
          <w:color w:val="000000"/>
          <w:sz w:val="24"/>
          <w:szCs w:val="24"/>
        </w:rPr>
        <w:t>Comunicar los acuerdos presupuestales asignados para el cumplimiento de la Ley.</w:t>
      </w:r>
    </w:p>
    <w:p w14:paraId="26BF13C5" w14:textId="77777777" w:rsidR="00687577" w:rsidRDefault="00687577">
      <w:pPr>
        <w:pStyle w:val="Prrafodelista10"/>
        <w:numPr>
          <w:ilvl w:val="2"/>
          <w:numId w:val="16"/>
        </w:numPr>
        <w:spacing w:before="240" w:after="200" w:line="360" w:lineRule="auto"/>
        <w:ind w:left="1134" w:firstLine="0"/>
        <w:jc w:val="both"/>
        <w:rPr>
          <w:rFonts w:ascii="Arial" w:eastAsia="Times New Roman" w:hAnsi="Arial" w:cs="Arial"/>
          <w:color w:val="000000"/>
          <w:sz w:val="24"/>
          <w:szCs w:val="24"/>
        </w:rPr>
      </w:pPr>
      <w:r>
        <w:rPr>
          <w:rFonts w:ascii="Arial" w:eastAsia="Times New Roman" w:hAnsi="Arial" w:cs="Arial"/>
          <w:color w:val="000000"/>
          <w:sz w:val="24"/>
          <w:szCs w:val="24"/>
        </w:rPr>
        <w:t>Proveer a la Junta de Gobierno y al Consejo Consultivo los recursos para el desempeño de sus funciones.</w:t>
      </w:r>
    </w:p>
    <w:p w14:paraId="0B663EC4" w14:textId="77777777" w:rsidR="00687577" w:rsidRDefault="00687577">
      <w:pPr>
        <w:pStyle w:val="Prrafodelista10"/>
        <w:numPr>
          <w:ilvl w:val="2"/>
          <w:numId w:val="16"/>
        </w:numPr>
        <w:spacing w:before="240" w:after="200" w:line="360" w:lineRule="auto"/>
        <w:ind w:left="1134" w:firstLine="0"/>
        <w:jc w:val="both"/>
        <w:rPr>
          <w:rFonts w:ascii="Arial" w:eastAsia="Times New Roman" w:hAnsi="Arial" w:cs="Arial"/>
          <w:color w:val="000000"/>
          <w:sz w:val="24"/>
          <w:szCs w:val="24"/>
        </w:rPr>
      </w:pPr>
      <w:r>
        <w:rPr>
          <w:rFonts w:ascii="Arial" w:eastAsia="Times New Roman" w:hAnsi="Arial" w:cs="Arial"/>
          <w:color w:val="000000"/>
          <w:sz w:val="24"/>
          <w:szCs w:val="24"/>
        </w:rPr>
        <w:t>Elaborar y proponer, para su aprobación a la Junta de Gobierno, los manuales y protocolos de Medidas Preventivas, Medidas de Protección y Medidas Urgentes de Protección.</w:t>
      </w:r>
    </w:p>
    <w:p w14:paraId="6C82A2A4" w14:textId="77777777" w:rsidR="00687577" w:rsidRDefault="00687577">
      <w:pPr>
        <w:pStyle w:val="Prrafodelista10"/>
        <w:numPr>
          <w:ilvl w:val="2"/>
          <w:numId w:val="16"/>
        </w:numPr>
        <w:spacing w:before="240" w:after="200" w:line="360" w:lineRule="auto"/>
        <w:ind w:left="1134" w:firstLine="0"/>
        <w:jc w:val="both"/>
        <w:rPr>
          <w:rFonts w:ascii="Arial" w:eastAsia="Times New Roman" w:hAnsi="Arial" w:cs="Arial"/>
          <w:color w:val="000000"/>
          <w:sz w:val="24"/>
          <w:szCs w:val="24"/>
        </w:rPr>
      </w:pPr>
      <w:r>
        <w:rPr>
          <w:rFonts w:ascii="Arial" w:eastAsia="Times New Roman" w:hAnsi="Arial" w:cs="Arial"/>
          <w:color w:val="000000"/>
          <w:sz w:val="24"/>
          <w:szCs w:val="24"/>
        </w:rPr>
        <w:t>Facilitar y promover protocolos, manuales y en general instrumentos que contengan las mejores prácticas disponibles para el cumplimiento del objeto de la Ley a entidades federativas, dependencias de la administración pública federal y organismos autónomos.</w:t>
      </w:r>
    </w:p>
    <w:p w14:paraId="6AA66BAE" w14:textId="77777777" w:rsidR="00687577" w:rsidRDefault="00687577">
      <w:pPr>
        <w:pStyle w:val="Prrafodelista10"/>
        <w:numPr>
          <w:ilvl w:val="2"/>
          <w:numId w:val="16"/>
        </w:numPr>
        <w:spacing w:before="240" w:after="200" w:line="360" w:lineRule="auto"/>
        <w:ind w:left="1134" w:firstLine="0"/>
        <w:jc w:val="both"/>
        <w:rPr>
          <w:rFonts w:ascii="Arial" w:eastAsia="Times New Roman" w:hAnsi="Arial" w:cs="Arial"/>
          <w:color w:val="000000"/>
          <w:sz w:val="24"/>
          <w:szCs w:val="24"/>
        </w:rPr>
      </w:pPr>
      <w:r>
        <w:rPr>
          <w:rFonts w:ascii="Arial" w:eastAsia="Times New Roman" w:hAnsi="Arial" w:cs="Arial"/>
          <w:color w:val="000000"/>
          <w:sz w:val="24"/>
          <w:szCs w:val="24"/>
        </w:rPr>
        <w:t>Instrumentar los manuales y protocolos de Medidas Preventivas, Medidas de Protección y Medidas Urgentes de Protección.</w:t>
      </w:r>
    </w:p>
    <w:p w14:paraId="0D7DE707" w14:textId="77777777" w:rsidR="00687577" w:rsidRDefault="00687577">
      <w:pPr>
        <w:pStyle w:val="Prrafodelista10"/>
        <w:numPr>
          <w:ilvl w:val="2"/>
          <w:numId w:val="16"/>
        </w:numPr>
        <w:spacing w:before="240" w:after="200" w:line="360" w:lineRule="auto"/>
        <w:ind w:left="1134" w:firstLine="0"/>
        <w:jc w:val="both"/>
        <w:rPr>
          <w:rFonts w:ascii="Arial" w:eastAsia="Times New Roman" w:hAnsi="Arial" w:cs="Arial"/>
          <w:color w:val="000000"/>
          <w:sz w:val="24"/>
          <w:szCs w:val="24"/>
        </w:rPr>
      </w:pPr>
      <w:r>
        <w:rPr>
          <w:rFonts w:ascii="Arial" w:eastAsia="Times New Roman" w:hAnsi="Arial" w:cs="Arial"/>
          <w:color w:val="000000"/>
          <w:sz w:val="24"/>
          <w:szCs w:val="24"/>
        </w:rPr>
        <w:t>Diseñar, con la colaboración del Consejo Consultivo, su plan anual de trabajo.</w:t>
      </w:r>
    </w:p>
    <w:p w14:paraId="3214B1D7" w14:textId="77777777" w:rsidR="00687577" w:rsidRDefault="00687577">
      <w:pPr>
        <w:pStyle w:val="Prrafodelista10"/>
        <w:numPr>
          <w:ilvl w:val="2"/>
          <w:numId w:val="16"/>
        </w:numPr>
        <w:spacing w:before="240" w:after="200" w:line="360" w:lineRule="auto"/>
        <w:ind w:left="1134" w:firstLine="0"/>
        <w:jc w:val="both"/>
        <w:rPr>
          <w:rFonts w:ascii="Arial" w:eastAsia="Times New Roman" w:hAnsi="Arial" w:cs="Arial"/>
          <w:color w:val="000000"/>
          <w:sz w:val="24"/>
          <w:szCs w:val="24"/>
        </w:rPr>
      </w:pPr>
      <w:r>
        <w:rPr>
          <w:rFonts w:ascii="Arial" w:eastAsia="Times New Roman" w:hAnsi="Arial" w:cs="Arial"/>
          <w:color w:val="000000"/>
          <w:sz w:val="24"/>
          <w:szCs w:val="24"/>
        </w:rPr>
        <w:t>Celebrar los acuerdos específicos necesarios para el cumplimiento de los fines del Mecanismo.</w:t>
      </w:r>
    </w:p>
    <w:p w14:paraId="5EF744B8" w14:textId="77777777" w:rsidR="00687577" w:rsidRDefault="00687577">
      <w:pPr>
        <w:pStyle w:val="Prrafodelista10"/>
        <w:numPr>
          <w:ilvl w:val="2"/>
          <w:numId w:val="16"/>
        </w:numPr>
        <w:spacing w:before="240" w:after="200" w:line="360" w:lineRule="auto"/>
        <w:ind w:left="1134" w:firstLine="0"/>
        <w:jc w:val="both"/>
        <w:rPr>
          <w:rFonts w:ascii="Arial" w:eastAsia="Times New Roman" w:hAnsi="Arial" w:cs="Arial"/>
          <w:color w:val="000000"/>
          <w:sz w:val="24"/>
          <w:szCs w:val="24"/>
        </w:rPr>
      </w:pPr>
      <w:r>
        <w:rPr>
          <w:rFonts w:ascii="Arial" w:eastAsia="Times New Roman" w:hAnsi="Arial" w:cs="Arial"/>
          <w:color w:val="000000"/>
          <w:sz w:val="24"/>
          <w:szCs w:val="24"/>
        </w:rPr>
        <w:t>Dar seguimiento e implementar las decisiones de la Junta de Gobierno.</w:t>
      </w:r>
    </w:p>
    <w:p w14:paraId="4F1428D9" w14:textId="77777777" w:rsidR="00687577" w:rsidRDefault="00687577">
      <w:pPr>
        <w:pStyle w:val="Prrafodelista10"/>
        <w:numPr>
          <w:ilvl w:val="2"/>
          <w:numId w:val="16"/>
        </w:numPr>
        <w:spacing w:before="240" w:after="200" w:line="360" w:lineRule="auto"/>
        <w:ind w:left="1134" w:firstLine="0"/>
        <w:jc w:val="both"/>
        <w:rPr>
          <w:rFonts w:ascii="Arial" w:eastAsia="Times New Roman" w:hAnsi="Arial" w:cs="Arial"/>
          <w:color w:val="000000"/>
          <w:sz w:val="24"/>
          <w:szCs w:val="24"/>
        </w:rPr>
      </w:pPr>
      <w:r>
        <w:rPr>
          <w:rFonts w:ascii="Arial" w:eastAsia="Times New Roman" w:hAnsi="Arial" w:cs="Arial"/>
          <w:color w:val="000000"/>
          <w:sz w:val="24"/>
          <w:szCs w:val="24"/>
        </w:rPr>
        <w:t>Someter a la Junta de Gobierno su informe anual de actividades incluyendo su ejercicio presupuestal.</w:t>
      </w:r>
    </w:p>
    <w:p w14:paraId="536FFD26" w14:textId="77777777" w:rsidR="00687577" w:rsidRDefault="00687577">
      <w:pPr>
        <w:pStyle w:val="Prrafodelista10"/>
        <w:spacing w:before="240" w:after="200" w:line="360" w:lineRule="auto"/>
        <w:ind w:left="0"/>
        <w:jc w:val="both"/>
        <w:rPr>
          <w:rFonts w:ascii="Arial" w:eastAsia="Times New Roman" w:hAnsi="Arial" w:cs="Arial"/>
          <w:color w:val="000000"/>
          <w:sz w:val="24"/>
          <w:szCs w:val="24"/>
        </w:rPr>
      </w:pPr>
      <w:r>
        <w:rPr>
          <w:rFonts w:ascii="Arial" w:eastAsia="Times New Roman" w:hAnsi="Arial" w:cs="Arial"/>
          <w:color w:val="000000"/>
          <w:sz w:val="24"/>
          <w:szCs w:val="24"/>
        </w:rPr>
        <w:tab/>
        <w:t>Respecto a las Unidades integradas en esta coordinación responden a la naturaleza de su propio nombre como se describe a continuación:</w:t>
      </w:r>
    </w:p>
    <w:p w14:paraId="0A4F7F5D" w14:textId="77777777" w:rsidR="00687577" w:rsidRDefault="00687577">
      <w:pPr>
        <w:pStyle w:val="Prrafodelista10"/>
        <w:numPr>
          <w:ilvl w:val="0"/>
          <w:numId w:val="17"/>
        </w:numPr>
        <w:spacing w:before="240" w:after="200" w:line="360" w:lineRule="auto"/>
        <w:ind w:left="1134" w:firstLine="0"/>
        <w:jc w:val="both"/>
        <w:rPr>
          <w:rFonts w:ascii="Arial" w:eastAsia="Times New Roman" w:hAnsi="Arial" w:cs="Arial"/>
          <w:color w:val="000000"/>
          <w:sz w:val="24"/>
          <w:szCs w:val="24"/>
        </w:rPr>
      </w:pPr>
      <w:r>
        <w:rPr>
          <w:rFonts w:ascii="Arial" w:eastAsia="Times New Roman" w:hAnsi="Arial" w:cs="Arial"/>
          <w:color w:val="000000"/>
          <w:sz w:val="24"/>
          <w:szCs w:val="24"/>
        </w:rPr>
        <w:t>Unidad de Recepción de Casos y Reacción Rápida: recibe solicitudes de incorporación al Mecanismo, realiza el estudio de evaluación de acción inmediata, implementa, en su caso, las Medidas Urgentes de Protección, y auxilia al peticionario o beneficiario en la presentación de quejas o denuncias ante las autoridades correspondientes, entre otras funciones.</w:t>
      </w:r>
    </w:p>
    <w:p w14:paraId="26D5BD1F" w14:textId="77777777" w:rsidR="00687577" w:rsidRDefault="00687577">
      <w:pPr>
        <w:pStyle w:val="Prrafodelista10"/>
        <w:numPr>
          <w:ilvl w:val="0"/>
          <w:numId w:val="17"/>
        </w:numPr>
        <w:spacing w:before="240" w:after="200" w:line="360" w:lineRule="auto"/>
        <w:ind w:left="1134" w:firstLine="0"/>
        <w:jc w:val="both"/>
        <w:rPr>
          <w:rFonts w:ascii="Arial" w:eastAsia="Times New Roman" w:hAnsi="Arial" w:cs="Arial"/>
          <w:color w:val="000000"/>
          <w:sz w:val="24"/>
          <w:szCs w:val="24"/>
        </w:rPr>
      </w:pPr>
      <w:r>
        <w:rPr>
          <w:rFonts w:ascii="Arial" w:eastAsia="Times New Roman" w:hAnsi="Arial" w:cs="Arial"/>
          <w:color w:val="000000"/>
          <w:sz w:val="24"/>
          <w:szCs w:val="24"/>
        </w:rPr>
        <w:t>Unidad de Evaluación de Riesgos: elabora el estudio de evaluación de riesgo, define las medidas preventivas o las medidas de protección, y da seguimiento periódico a la implementación de las Medidas Preventivas o de Protección para posteriormente recomendar su continuidad, adecuación o conclusión, entre otras funciones.</w:t>
      </w:r>
    </w:p>
    <w:p w14:paraId="70C519C9" w14:textId="77777777" w:rsidR="00687577" w:rsidRDefault="00687577">
      <w:pPr>
        <w:pStyle w:val="Prrafodelista10"/>
        <w:numPr>
          <w:ilvl w:val="0"/>
          <w:numId w:val="17"/>
        </w:numPr>
        <w:spacing w:before="240" w:after="200" w:line="360" w:lineRule="auto"/>
        <w:ind w:left="1134" w:firstLine="0"/>
        <w:jc w:val="both"/>
        <w:rPr>
          <w:rFonts w:ascii="Arial" w:eastAsia="Times New Roman" w:hAnsi="Arial" w:cs="Arial"/>
          <w:color w:val="000000"/>
          <w:sz w:val="24"/>
          <w:szCs w:val="24"/>
        </w:rPr>
      </w:pPr>
      <w:r>
        <w:rPr>
          <w:rFonts w:ascii="Arial" w:eastAsia="Times New Roman" w:hAnsi="Arial" w:cs="Arial"/>
          <w:color w:val="000000"/>
          <w:sz w:val="24"/>
          <w:szCs w:val="24"/>
        </w:rPr>
        <w:t>Unidad de Prevención, Seguimiento y Análisis: propone medidas de prevención, realiza el monitoreo anual de las agresiones con el objeto de recopilar, sistematizar la información desagregada en bases de datos y elaborar reportes mensuales; también identifica los patrones de agresiones y elabora mapas de riesgos, además de evaluar la eficacia de las Medidas Preventivas, Medidas de Protección y Medidas Urgentes de Protección implementadas.</w:t>
      </w:r>
    </w:p>
    <w:p w14:paraId="547B37D1" w14:textId="77777777" w:rsidR="00687577" w:rsidRDefault="00687577">
      <w:pPr>
        <w:pStyle w:val="Prrafodelista10"/>
        <w:spacing w:before="240" w:after="200" w:line="360" w:lineRule="auto"/>
        <w:ind w:left="0"/>
        <w:jc w:val="both"/>
        <w:rPr>
          <w:rFonts w:ascii="Arial" w:eastAsia="Times New Roman" w:hAnsi="Arial" w:cs="Arial"/>
          <w:color w:val="000000"/>
          <w:sz w:val="24"/>
          <w:szCs w:val="24"/>
        </w:rPr>
      </w:pPr>
      <w:r>
        <w:rPr>
          <w:rFonts w:ascii="Arial" w:eastAsia="Times New Roman" w:hAnsi="Arial" w:cs="Arial"/>
          <w:color w:val="000000"/>
          <w:sz w:val="24"/>
          <w:szCs w:val="24"/>
        </w:rPr>
        <w:tab/>
        <w:t>Uno de los objetivos fundamentales del MPPDDHP es evitar la integridad física, psicológica, moral o económica de la persona defensora de derechos humanos o periodista, así como cónyuge, concubino, concubina, ascendientes, descendientes o dependientes de la víctima.</w:t>
      </w:r>
    </w:p>
    <w:p w14:paraId="16193A40" w14:textId="77777777" w:rsidR="00687577" w:rsidRDefault="00687577">
      <w:pPr>
        <w:pStyle w:val="Prrafodelista10"/>
        <w:spacing w:before="240" w:after="200" w:line="360" w:lineRule="auto"/>
        <w:ind w:left="0"/>
        <w:jc w:val="both"/>
        <w:rPr>
          <w:rFonts w:ascii="Arial" w:eastAsia="Times New Roman" w:hAnsi="Arial" w:cs="Arial"/>
          <w:color w:val="000000"/>
          <w:sz w:val="24"/>
          <w:szCs w:val="24"/>
        </w:rPr>
      </w:pPr>
      <w:r>
        <w:rPr>
          <w:rFonts w:ascii="Arial" w:eastAsia="Times New Roman" w:hAnsi="Arial" w:cs="Arial"/>
          <w:color w:val="000000"/>
          <w:sz w:val="24"/>
          <w:szCs w:val="24"/>
        </w:rPr>
        <w:tab/>
        <w:t>También quedan protegidas las personas que participen en las mismas actividades, bienes de las personas y demás personas que se determine en la evaluación del riesgo.</w:t>
      </w:r>
    </w:p>
    <w:p w14:paraId="60DC5D40" w14:textId="77777777" w:rsidR="00687577" w:rsidRDefault="00687577">
      <w:pPr>
        <w:pStyle w:val="Prrafodelista10"/>
        <w:spacing w:before="240" w:after="200" w:line="360" w:lineRule="auto"/>
        <w:ind w:left="0"/>
        <w:jc w:val="both"/>
        <w:rPr>
          <w:rFonts w:ascii="Arial" w:eastAsia="Times New Roman" w:hAnsi="Arial" w:cs="Arial"/>
          <w:color w:val="000000"/>
          <w:sz w:val="24"/>
          <w:szCs w:val="24"/>
        </w:rPr>
      </w:pPr>
      <w:r>
        <w:rPr>
          <w:rFonts w:ascii="Arial" w:eastAsia="Times New Roman" w:hAnsi="Arial" w:cs="Arial"/>
          <w:color w:val="000000"/>
          <w:sz w:val="24"/>
          <w:szCs w:val="24"/>
        </w:rPr>
        <w:tab/>
        <w:t xml:space="preserve">La ruta para solicitar ayuda al Mecanismo puede sintetizarse de la siguiente forma: </w:t>
      </w:r>
    </w:p>
    <w:p w14:paraId="00F23C57" w14:textId="77777777" w:rsidR="00687577" w:rsidRDefault="00687577">
      <w:pPr>
        <w:pStyle w:val="Prrafodelista10"/>
        <w:numPr>
          <w:ilvl w:val="2"/>
          <w:numId w:val="4"/>
        </w:numPr>
        <w:spacing w:before="240" w:after="200" w:line="360" w:lineRule="auto"/>
        <w:ind w:left="851" w:hanging="218"/>
        <w:jc w:val="both"/>
        <w:rPr>
          <w:rFonts w:ascii="Arial" w:eastAsia="Times New Roman" w:hAnsi="Arial" w:cs="Arial"/>
          <w:color w:val="000000"/>
          <w:sz w:val="24"/>
          <w:szCs w:val="24"/>
        </w:rPr>
      </w:pPr>
      <w:r>
        <w:rPr>
          <w:rFonts w:ascii="Arial" w:eastAsia="Times New Roman" w:hAnsi="Arial" w:cs="Arial"/>
          <w:color w:val="000000"/>
          <w:sz w:val="24"/>
          <w:szCs w:val="24"/>
        </w:rPr>
        <w:t>La Unidad de Recepción de Casos y Reacción Rápida recibe las solicitudes para determinar el procedimiento a seguir. En caso de que el peticionario advierta un riesgo inminente el caso será considerado de riesgo algo y se inicia un procedimiento extraordinario para emitir las Medidas Urgentes de Protección e implementarlas en un plazo no mayor a nueve horas.</w:t>
      </w:r>
    </w:p>
    <w:p w14:paraId="68019225" w14:textId="77777777" w:rsidR="00687577" w:rsidRDefault="00687577">
      <w:pPr>
        <w:pStyle w:val="Prrafodelista10"/>
        <w:spacing w:before="240" w:after="200" w:line="360" w:lineRule="auto"/>
        <w:ind w:left="851"/>
        <w:jc w:val="both"/>
        <w:rPr>
          <w:rFonts w:ascii="Arial" w:eastAsia="Times New Roman" w:hAnsi="Arial" w:cs="Arial"/>
          <w:color w:val="000000"/>
          <w:sz w:val="24"/>
          <w:szCs w:val="24"/>
        </w:rPr>
      </w:pPr>
      <w:r>
        <w:rPr>
          <w:rFonts w:ascii="Arial" w:eastAsia="Times New Roman" w:hAnsi="Arial" w:cs="Arial"/>
          <w:color w:val="000000"/>
          <w:sz w:val="24"/>
          <w:szCs w:val="24"/>
        </w:rPr>
        <w:t>De manera simultánea se elabora un estudio de Evaluación de Acción Inmediata.</w:t>
      </w:r>
    </w:p>
    <w:p w14:paraId="1F508CA8" w14:textId="77777777" w:rsidR="00687577" w:rsidRDefault="00687577">
      <w:pPr>
        <w:pStyle w:val="Prrafodelista10"/>
        <w:numPr>
          <w:ilvl w:val="2"/>
          <w:numId w:val="4"/>
        </w:numPr>
        <w:spacing w:before="240" w:after="200" w:line="360" w:lineRule="auto"/>
        <w:ind w:left="851" w:firstLine="0"/>
        <w:jc w:val="both"/>
        <w:rPr>
          <w:rFonts w:ascii="Arial" w:eastAsia="Times New Roman" w:hAnsi="Arial" w:cs="Arial"/>
          <w:color w:val="000000"/>
          <w:sz w:val="24"/>
          <w:szCs w:val="24"/>
        </w:rPr>
      </w:pPr>
      <w:r>
        <w:rPr>
          <w:rFonts w:ascii="Arial" w:eastAsia="Times New Roman" w:hAnsi="Arial" w:cs="Arial"/>
          <w:color w:val="000000"/>
          <w:sz w:val="24"/>
          <w:szCs w:val="24"/>
        </w:rPr>
        <w:t xml:space="preserve">En caso de no implicar un riesgo inminente la petición se remite a la Unidad de Evaluación de Riesgos, la cual en plazo de 10 días naturales contados a partir de la presentación de la solicitud deberá elaborar el estudio de evaluación de riesgo, determinar el nivel de riesgo y beneficiarios, y definir las medidas de protección. </w:t>
      </w:r>
    </w:p>
    <w:p w14:paraId="7030C798" w14:textId="77777777" w:rsidR="00687577" w:rsidRDefault="00687577">
      <w:pPr>
        <w:pStyle w:val="Prrafodelista10"/>
        <w:numPr>
          <w:ilvl w:val="2"/>
          <w:numId w:val="4"/>
        </w:numPr>
        <w:spacing w:before="240" w:after="200" w:line="360" w:lineRule="auto"/>
        <w:ind w:left="851" w:firstLine="0"/>
        <w:jc w:val="both"/>
        <w:rPr>
          <w:rFonts w:ascii="Arial" w:eastAsia="Times New Roman" w:hAnsi="Arial" w:cs="Arial"/>
          <w:color w:val="000000"/>
          <w:sz w:val="24"/>
          <w:szCs w:val="24"/>
        </w:rPr>
      </w:pPr>
      <w:r>
        <w:rPr>
          <w:rFonts w:ascii="Arial" w:eastAsia="Times New Roman" w:hAnsi="Arial" w:cs="Arial"/>
          <w:color w:val="000000"/>
          <w:sz w:val="24"/>
          <w:szCs w:val="24"/>
        </w:rPr>
        <w:t>Una vez definidas las medidas por parte de la Unidad de Evaluación de Riesgos, la Junta de Gobierno decretará las Medidas Preventivas o Medidas de Protección.</w:t>
      </w:r>
    </w:p>
    <w:p w14:paraId="1A6605C3" w14:textId="77777777" w:rsidR="00687577" w:rsidRDefault="00687577">
      <w:pPr>
        <w:pStyle w:val="Prrafodelista10"/>
        <w:numPr>
          <w:ilvl w:val="2"/>
          <w:numId w:val="4"/>
        </w:numPr>
        <w:spacing w:before="240" w:after="200" w:line="360" w:lineRule="auto"/>
        <w:ind w:left="851" w:firstLine="0"/>
        <w:jc w:val="both"/>
        <w:rPr>
          <w:rFonts w:ascii="Arial" w:eastAsia="Times New Roman" w:hAnsi="Arial" w:cs="Arial"/>
          <w:color w:val="000000"/>
          <w:sz w:val="24"/>
          <w:szCs w:val="24"/>
        </w:rPr>
      </w:pPr>
      <w:r>
        <w:rPr>
          <w:rFonts w:ascii="Arial" w:eastAsia="Times New Roman" w:hAnsi="Arial" w:cs="Arial"/>
          <w:color w:val="000000"/>
          <w:sz w:val="24"/>
          <w:szCs w:val="24"/>
        </w:rPr>
        <w:t xml:space="preserve">Las Medidas Preventivas, las Medidas de Protección y las Medidas Urgentes de Protección deberán reducir al máximo la exposición al riesgo, serán idóneas, eficaces y temporales. En ningún caso dichas medidas deben restringir las actividades de los beneficiarios, ni implicarán vigilancia o intrusiones no deseadas en sus vidas laborales o personales. </w:t>
      </w:r>
    </w:p>
    <w:p w14:paraId="56F7C0E9" w14:textId="77777777" w:rsidR="00687577" w:rsidRDefault="00687577">
      <w:pPr>
        <w:pStyle w:val="Prrafodelista10"/>
        <w:spacing w:before="240" w:after="200" w:line="360" w:lineRule="auto"/>
        <w:ind w:left="0"/>
        <w:jc w:val="both"/>
        <w:rPr>
          <w:rFonts w:ascii="Arial" w:eastAsia="Times New Roman" w:hAnsi="Arial" w:cs="Arial"/>
          <w:color w:val="000000"/>
          <w:sz w:val="24"/>
          <w:szCs w:val="24"/>
        </w:rPr>
      </w:pPr>
      <w:r>
        <w:rPr>
          <w:rFonts w:ascii="Arial" w:eastAsia="Times New Roman" w:hAnsi="Arial" w:cs="Arial"/>
          <w:color w:val="000000"/>
          <w:sz w:val="24"/>
          <w:szCs w:val="24"/>
        </w:rPr>
        <w:tab/>
        <w:t>La misma LPPDDHP, específica que las medidas instrumentar por el MPPDDHP se esquematizan de la siguiente forma:</w:t>
      </w:r>
    </w:p>
    <w:p w14:paraId="79B097E3" w14:textId="77777777" w:rsidR="00687577" w:rsidRDefault="00687577">
      <w:pPr>
        <w:pStyle w:val="Prrafodelista10"/>
        <w:numPr>
          <w:ilvl w:val="0"/>
          <w:numId w:val="18"/>
        </w:numPr>
        <w:spacing w:before="240" w:after="20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Medidas Urgentes de Protección: evacuación, reubicación temporal, escoltas de cuerpos especializados, protección de inmuebles y las demás que se requieran.</w:t>
      </w:r>
    </w:p>
    <w:p w14:paraId="06BFD93A" w14:textId="77777777" w:rsidR="00687577" w:rsidRDefault="00687577">
      <w:pPr>
        <w:pStyle w:val="Prrafodelista10"/>
        <w:numPr>
          <w:ilvl w:val="0"/>
          <w:numId w:val="18"/>
        </w:numPr>
        <w:spacing w:before="240" w:after="20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Medidas de Protección: entrega de equipo celular, radio o telefonía satelital, instalación de cámaras, cerraduras, luces u otras medidas de seguridad en las instalaciones de un grupo o casa de la persona, chalecos antibalas, detector de metales, autos blindados y las demás que se requieran.</w:t>
      </w:r>
    </w:p>
    <w:p w14:paraId="08FD3FFE" w14:textId="77777777" w:rsidR="00687577" w:rsidRDefault="00687577">
      <w:pPr>
        <w:pStyle w:val="Prrafodelista10"/>
        <w:numPr>
          <w:ilvl w:val="0"/>
          <w:numId w:val="18"/>
        </w:numPr>
        <w:spacing w:before="240" w:after="20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Medidas preventivas: instructivos, manuales, cursos de autoprotección tanto individuales como colectivos, acompañamiento de observadores de derechos humanos y periodistas y las demás que se requieran.</w:t>
      </w:r>
    </w:p>
    <w:p w14:paraId="768CB668" w14:textId="73CD3FD1" w:rsidR="00687577" w:rsidRDefault="00421E1E">
      <w:pPr>
        <w:pStyle w:val="Prrafodelista10"/>
        <w:spacing w:before="240" w:after="200" w:line="360" w:lineRule="auto"/>
        <w:ind w:left="0"/>
        <w:jc w:val="both"/>
        <w:rPr>
          <w:rFonts w:ascii="Arial" w:eastAsia="Times New Roman" w:hAnsi="Arial" w:cs="Arial"/>
          <w:color w:val="000000"/>
          <w:sz w:val="24"/>
          <w:szCs w:val="24"/>
        </w:rPr>
      </w:pPr>
      <w:r>
        <w:rPr>
          <w:rFonts w:ascii="Arial" w:eastAsia="Times New Roman" w:hAnsi="Arial" w:cs="Arial"/>
          <w:color w:val="000000"/>
          <w:sz w:val="24"/>
          <w:szCs w:val="24"/>
        </w:rPr>
        <w:tab/>
        <w:t xml:space="preserve">Adicionalmente la </w:t>
      </w:r>
      <w:r w:rsidR="00687577">
        <w:rPr>
          <w:rFonts w:ascii="Arial" w:eastAsia="Times New Roman" w:hAnsi="Arial" w:cs="Arial"/>
          <w:color w:val="000000"/>
          <w:sz w:val="24"/>
          <w:szCs w:val="24"/>
        </w:rPr>
        <w:t>LPPDDHP enuncia que la Federación y las entidades federativas instrumentarán medidas de prevención, además de recopilar y analizar toda la información que sirva para evitar agresiones potenciales a personas defensoras de derechos humanos y periodistas.</w:t>
      </w:r>
    </w:p>
    <w:p w14:paraId="0F3EAA65" w14:textId="77777777" w:rsidR="00687577" w:rsidRDefault="00687577">
      <w:pPr>
        <w:pStyle w:val="Prrafodelista10"/>
        <w:spacing w:before="240" w:after="200" w:line="360" w:lineRule="auto"/>
        <w:ind w:left="0"/>
        <w:jc w:val="both"/>
        <w:rPr>
          <w:rFonts w:ascii="Arial" w:eastAsia="Times New Roman" w:hAnsi="Arial" w:cs="Arial"/>
          <w:color w:val="000000"/>
          <w:sz w:val="24"/>
          <w:szCs w:val="24"/>
        </w:rPr>
      </w:pPr>
      <w:r>
        <w:rPr>
          <w:rFonts w:ascii="Arial" w:eastAsia="Times New Roman" w:hAnsi="Arial" w:cs="Arial"/>
          <w:color w:val="000000"/>
          <w:sz w:val="24"/>
          <w:szCs w:val="24"/>
        </w:rPr>
        <w:tab/>
        <w:t>Estas medidas, que contarán un con fondo especial para su respectiva operación, deberán estar encaminadas al diseño de sistemas de alerta temprana y planes de contingencia para evitar potenciales agresiones.</w:t>
      </w:r>
    </w:p>
    <w:p w14:paraId="721BACD8" w14:textId="77777777" w:rsidR="00687577" w:rsidRDefault="00687577">
      <w:pPr>
        <w:pStyle w:val="Prrafodelista10"/>
        <w:spacing w:before="240" w:after="200" w:line="360" w:lineRule="auto"/>
        <w:ind w:left="0"/>
        <w:jc w:val="both"/>
        <w:rPr>
          <w:rFonts w:ascii="Arial" w:eastAsia="Times New Roman" w:hAnsi="Arial" w:cs="Arial"/>
          <w:color w:val="000000"/>
          <w:sz w:val="24"/>
          <w:szCs w:val="24"/>
        </w:rPr>
      </w:pPr>
      <w:r>
        <w:rPr>
          <w:rFonts w:ascii="Arial" w:eastAsia="Times New Roman" w:hAnsi="Arial" w:cs="Arial"/>
          <w:color w:val="000000"/>
          <w:sz w:val="24"/>
          <w:szCs w:val="24"/>
        </w:rPr>
        <w:tab/>
        <w:t xml:space="preserve">Del análisis de la Ley puede advertirse que garantiza un protocolo de actuación cuando existe la denuncia o queja respectiva del defensor de derechos humanos o periodista, mediante una serie de medidas que pueden aplicarse, así como áreas enfocadas a su operación. </w:t>
      </w:r>
    </w:p>
    <w:p w14:paraId="2AC2D79A" w14:textId="77777777" w:rsidR="00687577" w:rsidRDefault="00687577">
      <w:pPr>
        <w:pStyle w:val="Prrafodelista10"/>
        <w:spacing w:before="240" w:after="200" w:line="360" w:lineRule="auto"/>
        <w:ind w:left="0"/>
        <w:jc w:val="both"/>
        <w:rPr>
          <w:rFonts w:ascii="Arial" w:hAnsi="Arial" w:cs="Arial"/>
          <w:b/>
          <w:sz w:val="24"/>
          <w:szCs w:val="24"/>
        </w:rPr>
      </w:pPr>
      <w:r>
        <w:rPr>
          <w:rFonts w:ascii="Arial" w:eastAsia="Times New Roman" w:hAnsi="Arial" w:cs="Arial"/>
          <w:color w:val="000000"/>
          <w:sz w:val="24"/>
          <w:szCs w:val="24"/>
        </w:rPr>
        <w:tab/>
        <w:t>También enuncia la necesidad de instrumentar medidas preventivas, así como la coordinación con otras dependencias y entidades federativas, pero sin precisar cuáles serían las acciones para garantizar un cambio en el entorno del defensor o periodista víctima de alguna agresión, pues en general las medidas apuntan a la preservación de la seguridad de la persona, pero no a la continuidad de su ejercicio profesional, ya que en algunos casos extremos se opta por la evacuación de la persona afectada.</w:t>
      </w:r>
    </w:p>
    <w:p w14:paraId="0FD5EF9D" w14:textId="77777777" w:rsidR="00687577" w:rsidRDefault="00687577">
      <w:pPr>
        <w:rPr>
          <w:rFonts w:ascii="Arial" w:hAnsi="Arial" w:cs="Arial"/>
          <w:b/>
          <w:sz w:val="24"/>
          <w:szCs w:val="24"/>
        </w:rPr>
      </w:pPr>
    </w:p>
    <w:p w14:paraId="1D560426" w14:textId="77777777" w:rsidR="00687577" w:rsidRDefault="00687577">
      <w:pPr>
        <w:pStyle w:val="Ttulo1"/>
        <w:pageBreakBefore/>
        <w:jc w:val="center"/>
        <w:rPr>
          <w:rFonts w:ascii="Arial" w:hAnsi="Arial" w:cs="Arial"/>
          <w:b/>
          <w:color w:val="00000A"/>
          <w:sz w:val="24"/>
        </w:rPr>
      </w:pPr>
      <w:bookmarkStart w:id="38" w:name="__RefHeading__2223_1000385367"/>
      <w:bookmarkStart w:id="39" w:name="_Toc4083817"/>
      <w:bookmarkEnd w:id="38"/>
      <w:r>
        <w:rPr>
          <w:rFonts w:ascii="Arial" w:hAnsi="Arial" w:cs="Arial"/>
          <w:b/>
          <w:color w:val="00000A"/>
          <w:sz w:val="24"/>
        </w:rPr>
        <w:t>Capitulo III.  Riesgos sociales en el ejercicio periodístico</w:t>
      </w:r>
      <w:bookmarkEnd w:id="39"/>
    </w:p>
    <w:p w14:paraId="07E9DC6E" w14:textId="77777777" w:rsidR="00687577" w:rsidRDefault="00687577">
      <w:pPr>
        <w:pStyle w:val="Ttulo2"/>
        <w:rPr>
          <w:rFonts w:ascii="Arial" w:hAnsi="Arial" w:cs="Arial"/>
          <w:b/>
          <w:color w:val="00000A"/>
          <w:sz w:val="24"/>
        </w:rPr>
      </w:pPr>
    </w:p>
    <w:p w14:paraId="31BA2B66" w14:textId="77777777" w:rsidR="00687577" w:rsidRDefault="00687577">
      <w:pPr>
        <w:pStyle w:val="Ttulo2"/>
        <w:rPr>
          <w:rFonts w:ascii="Arial" w:hAnsi="Arial" w:cs="Arial"/>
          <w:b/>
          <w:color w:val="00000A"/>
          <w:sz w:val="24"/>
        </w:rPr>
      </w:pPr>
    </w:p>
    <w:p w14:paraId="305BE286" w14:textId="26DA3ACE" w:rsidR="00687577" w:rsidRDefault="00BB13A8" w:rsidP="00BB13A8">
      <w:pPr>
        <w:pStyle w:val="Ttulo2"/>
        <w:numPr>
          <w:ilvl w:val="0"/>
          <w:numId w:val="0"/>
        </w:numPr>
        <w:ind w:left="576"/>
        <w:rPr>
          <w:rFonts w:ascii="Arial" w:hAnsi="Arial" w:cs="Arial"/>
          <w:b/>
          <w:color w:val="00000A"/>
          <w:sz w:val="24"/>
        </w:rPr>
      </w:pPr>
      <w:bookmarkStart w:id="40" w:name="__RefHeading__2225_1000385367"/>
      <w:bookmarkStart w:id="41" w:name="_Toc4083818"/>
      <w:bookmarkEnd w:id="40"/>
      <w:r>
        <w:rPr>
          <w:rFonts w:ascii="Arial" w:hAnsi="Arial" w:cs="Arial"/>
          <w:b/>
          <w:color w:val="00000A"/>
          <w:sz w:val="24"/>
        </w:rPr>
        <w:t xml:space="preserve">III.a) </w:t>
      </w:r>
      <w:r w:rsidR="00687577">
        <w:rPr>
          <w:rFonts w:ascii="Arial" w:hAnsi="Arial" w:cs="Arial"/>
          <w:b/>
          <w:color w:val="00000A"/>
          <w:sz w:val="24"/>
        </w:rPr>
        <w:t>Libertad de expresión y su relación con el poder</w:t>
      </w:r>
      <w:bookmarkEnd w:id="41"/>
    </w:p>
    <w:p w14:paraId="03FAA310" w14:textId="77777777" w:rsidR="00BB13A8" w:rsidRPr="00BB13A8" w:rsidRDefault="00BB13A8" w:rsidP="00BB13A8">
      <w:pPr>
        <w:pStyle w:val="Textoindependiente"/>
      </w:pPr>
    </w:p>
    <w:p w14:paraId="500DFFFA" w14:textId="77777777" w:rsidR="00687577" w:rsidRDefault="00687577">
      <w:pPr>
        <w:spacing w:before="240" w:line="360" w:lineRule="auto"/>
        <w:ind w:firstLine="709"/>
        <w:jc w:val="both"/>
        <w:rPr>
          <w:rFonts w:ascii="Arial" w:hAnsi="Arial" w:cs="Arial"/>
          <w:sz w:val="24"/>
          <w:szCs w:val="24"/>
        </w:rPr>
      </w:pPr>
      <w:r>
        <w:rPr>
          <w:rFonts w:ascii="Arial" w:hAnsi="Arial" w:cs="Arial"/>
          <w:sz w:val="24"/>
          <w:szCs w:val="24"/>
        </w:rPr>
        <w:t>La libertad de expresión y el poder son conceptos que suelen contraponerse por los fundamentos de ambos, mientras, la primera es la garantía inherente que tiene toda persona a ejercer su derecho de buscar, acceder y difundir información, el poder nos remite a lo señalado por Foucault (Piedra, 2004), quien advierte que el poder deriva de las relaciones humanas. Desde su perspectiva el poder está en todas partes –en el espacio y en el tiempo-, en toda relación humana, en la medida en que existen contextos históricos específicos que se definen a través de los discursos, instituciones, normas, valores, etc. (Piedra, 2004, p.  125).</w:t>
      </w:r>
    </w:p>
    <w:p w14:paraId="4421F6BB" w14:textId="77777777" w:rsidR="00687577" w:rsidRDefault="00687577">
      <w:pPr>
        <w:spacing w:before="240" w:line="360" w:lineRule="auto"/>
        <w:ind w:firstLine="709"/>
        <w:jc w:val="both"/>
        <w:rPr>
          <w:rFonts w:ascii="Arial" w:hAnsi="Arial" w:cs="Arial"/>
          <w:sz w:val="24"/>
          <w:szCs w:val="24"/>
        </w:rPr>
      </w:pPr>
      <w:r>
        <w:rPr>
          <w:rFonts w:ascii="Arial" w:hAnsi="Arial" w:cs="Arial"/>
          <w:sz w:val="24"/>
          <w:szCs w:val="24"/>
        </w:rPr>
        <w:t xml:space="preserve">La autora expone que, para Foucault esto deriva en la construcción de verdades que construyen un discurso dominante, lo cual provoca que al interior de la propia sociedad se presenten distintos roles o relaciones de poder; Tal descripción, desde la visión de Foucault, no debe considerarse como negativa, sino por el contrario refiere un efecto positivo, en función de la creación de una </w:t>
      </w:r>
      <w:r>
        <w:rPr>
          <w:rFonts w:ascii="Arial" w:hAnsi="Arial" w:cs="Arial"/>
          <w:i/>
          <w:sz w:val="24"/>
          <w:szCs w:val="24"/>
        </w:rPr>
        <w:t>sociedad disciplinaria,</w:t>
      </w:r>
      <w:r>
        <w:rPr>
          <w:rFonts w:ascii="Arial" w:hAnsi="Arial" w:cs="Arial"/>
          <w:sz w:val="24"/>
          <w:szCs w:val="24"/>
        </w:rPr>
        <w:t xml:space="preserve"> donde existen conductas individuales reguladas a través de la razón.</w:t>
      </w:r>
    </w:p>
    <w:p w14:paraId="660346C3" w14:textId="77777777" w:rsidR="00687577" w:rsidRDefault="00687577" w:rsidP="00EB310F">
      <w:pPr>
        <w:spacing w:before="240" w:line="360" w:lineRule="auto"/>
        <w:ind w:left="708" w:firstLine="1"/>
        <w:jc w:val="both"/>
        <w:rPr>
          <w:rFonts w:ascii="Arial" w:hAnsi="Arial" w:cs="Arial"/>
          <w:sz w:val="24"/>
          <w:szCs w:val="24"/>
        </w:rPr>
      </w:pPr>
      <w:r>
        <w:rPr>
          <w:rFonts w:ascii="Arial" w:hAnsi="Arial" w:cs="Arial"/>
          <w:sz w:val="24"/>
          <w:szCs w:val="24"/>
        </w:rPr>
        <w:t>La sociedad disciplinaria se pone en marcha a través del aseguramiento de la obediencia a sus reglas, procedimientos y mecanismos de inclusión y de exclusión, aseguramiento que se logra por medio de instituciones disciplinarias como la prisión, la fábrica, el asilo, el hospital, la universidad y la escuela, las cuales estructuran el terreno social y presentan lógicas adecuadas (Giraldo, 2006, p. 108).</w:t>
      </w:r>
    </w:p>
    <w:p w14:paraId="26BE9716" w14:textId="77777777" w:rsidR="00687577" w:rsidRDefault="00687577">
      <w:pPr>
        <w:spacing w:before="240" w:line="360" w:lineRule="auto"/>
        <w:ind w:firstLine="709"/>
        <w:jc w:val="both"/>
        <w:rPr>
          <w:rFonts w:ascii="Arial" w:hAnsi="Arial" w:cs="Arial"/>
          <w:sz w:val="24"/>
          <w:szCs w:val="24"/>
        </w:rPr>
      </w:pPr>
      <w:r>
        <w:rPr>
          <w:rFonts w:ascii="Arial" w:hAnsi="Arial" w:cs="Arial"/>
          <w:sz w:val="24"/>
          <w:szCs w:val="24"/>
        </w:rPr>
        <w:t>En esta tesitura el poder es un conjunto de relaciones de poder que se combinan entre sí, lo cual favorece una disputa permanente por el ejercicio de este poder (Rangel, 2009).</w:t>
      </w:r>
    </w:p>
    <w:p w14:paraId="78B6DE36" w14:textId="77777777" w:rsidR="00687577" w:rsidRDefault="00687577">
      <w:pPr>
        <w:spacing w:before="240" w:line="360" w:lineRule="auto"/>
        <w:ind w:firstLine="709"/>
        <w:jc w:val="both"/>
        <w:rPr>
          <w:rFonts w:ascii="Arial" w:hAnsi="Arial" w:cs="Arial"/>
          <w:sz w:val="24"/>
          <w:szCs w:val="24"/>
        </w:rPr>
      </w:pPr>
      <w:r>
        <w:rPr>
          <w:rFonts w:ascii="Arial" w:hAnsi="Arial" w:cs="Arial"/>
          <w:sz w:val="24"/>
          <w:szCs w:val="24"/>
        </w:rPr>
        <w:t>Existe una tendencia historicista y de comportamiento progresivo en la concepción de poder, donde la fuerza, el saber o el contrato establecen una relación donde unos dominan y otros son dominados. Esta relación en su mayoría esta signada por un discurso teleológico. En contraposición, Foucault expresa la existencia de múltiples fuentes de poder en una red compleja y multidireccional, discontinua y azarosa (Rangel, 2009, p. 63). En estos roles de poder, el periodismo, como ejercicio profesional, convive en los subsistemas jurídico, político y cultural de nuestro sistema social, lo cual hace que esté en constante interacción con distintas tendencias dominantes.</w:t>
      </w:r>
    </w:p>
    <w:p w14:paraId="1A77B8CD" w14:textId="77777777" w:rsidR="00687577" w:rsidRDefault="00687577">
      <w:pPr>
        <w:spacing w:before="240" w:line="360" w:lineRule="auto"/>
        <w:ind w:firstLine="709"/>
        <w:jc w:val="both"/>
        <w:rPr>
          <w:rFonts w:ascii="Arial" w:hAnsi="Arial" w:cs="Arial"/>
          <w:sz w:val="24"/>
          <w:szCs w:val="24"/>
        </w:rPr>
      </w:pPr>
      <w:r>
        <w:rPr>
          <w:rFonts w:ascii="Arial" w:hAnsi="Arial" w:cs="Arial"/>
          <w:sz w:val="24"/>
          <w:szCs w:val="24"/>
        </w:rPr>
        <w:t>Dentro esta red de poderes, el ejercicio profesional del periodismo juega un papel singular al fortalecer la interacción discursiva, que para Habermas (1994) es el sostenimiento de toda democracia, en otras palabras, el periodismo apunta hacia uno de los aspectos nodales del poder: la construcción del discurso dominante, lo cual ahonda la presión sobre quienes ejercen esta profesión.</w:t>
      </w:r>
    </w:p>
    <w:p w14:paraId="7DF95B9F" w14:textId="77777777" w:rsidR="00687577" w:rsidRDefault="00687577">
      <w:pPr>
        <w:spacing w:before="240" w:line="360" w:lineRule="auto"/>
        <w:ind w:firstLine="709"/>
        <w:jc w:val="both"/>
        <w:rPr>
          <w:rFonts w:ascii="Arial" w:hAnsi="Arial" w:cs="Arial"/>
          <w:sz w:val="24"/>
          <w:szCs w:val="24"/>
        </w:rPr>
      </w:pPr>
      <w:r>
        <w:rPr>
          <w:rFonts w:ascii="Arial" w:hAnsi="Arial" w:cs="Arial"/>
          <w:sz w:val="24"/>
          <w:szCs w:val="24"/>
        </w:rPr>
        <w:t>En este contexto, la libertad de expresión juega un papel predominante frente los distintos poderes y a la vez implica el empoderamiento de quienes ejercen el periodismo, además de ser un factor para acceder al poder, pues los ciudadanos se involucran en la citada interacción discursiva. Desde este enfoque quien ejerce la libertad de expresión también está ejerciendo un poder y sus acciones se convierten en actos de poder que impactan en los roles de poder ya establecidos en los subsistemas político, jurídico y cultural.</w:t>
      </w:r>
    </w:p>
    <w:p w14:paraId="623CEA15" w14:textId="77777777" w:rsidR="00687577" w:rsidRDefault="00687577">
      <w:pPr>
        <w:spacing w:before="240" w:line="360" w:lineRule="auto"/>
        <w:ind w:firstLine="709"/>
        <w:jc w:val="both"/>
        <w:rPr>
          <w:rFonts w:ascii="Arial" w:hAnsi="Arial" w:cs="Arial"/>
          <w:sz w:val="24"/>
          <w:szCs w:val="24"/>
        </w:rPr>
      </w:pPr>
      <w:r>
        <w:rPr>
          <w:rFonts w:ascii="Arial" w:hAnsi="Arial" w:cs="Arial"/>
          <w:sz w:val="24"/>
          <w:szCs w:val="24"/>
        </w:rPr>
        <w:t>En tal virtud, la libertad de expresión y el poder, como representaciones simbólicas del Estado moderno, son elementos que configuran un subsistema democrático dentro del sistema social.</w:t>
      </w:r>
    </w:p>
    <w:p w14:paraId="55ED0344" w14:textId="7F31F279" w:rsidR="00687577" w:rsidRDefault="00687577">
      <w:pPr>
        <w:spacing w:before="240" w:line="360" w:lineRule="auto"/>
        <w:ind w:firstLine="709"/>
        <w:jc w:val="both"/>
        <w:rPr>
          <w:rFonts w:ascii="Arial" w:hAnsi="Arial" w:cs="Arial"/>
          <w:bCs/>
          <w:sz w:val="24"/>
          <w:szCs w:val="24"/>
          <w:lang w:val="es-ES"/>
        </w:rPr>
      </w:pPr>
      <w:r>
        <w:rPr>
          <w:rFonts w:ascii="Arial" w:hAnsi="Arial" w:cs="Arial"/>
          <w:sz w:val="24"/>
          <w:szCs w:val="24"/>
        </w:rPr>
        <w:t xml:space="preserve">Para mayor abundamiento, toda democracia debe contar con una </w:t>
      </w:r>
      <w:r>
        <w:rPr>
          <w:rFonts w:ascii="Arial" w:hAnsi="Arial" w:cs="Arial"/>
          <w:bCs/>
          <w:sz w:val="24"/>
          <w:szCs w:val="24"/>
          <w:lang w:val="es-ES"/>
        </w:rPr>
        <w:t xml:space="preserve">“matriz participativa”, como comenta Ausín (2014), es decir, un espacio que garantice el respeto a los derechos y libertades por los cuales se sustenta todo gobierno democrático; que, por otro lado, está íntimamente ligada a la misma deliberación, pues la participación significa la toma colectiva de las decisiones con la intervención de (todos) los que han de ser afectados por la decisión o por sus representantes (elegidos por el cuerpo social). Participación que se ha de producir no sólo en el momento de la decisión, de la votación, sino también, y de modo muy relevante, en el momento de la deliberación y el intercambio de razones y </w:t>
      </w:r>
      <w:r w:rsidR="00EB310F">
        <w:rPr>
          <w:rFonts w:ascii="Arial" w:hAnsi="Arial" w:cs="Arial"/>
          <w:bCs/>
          <w:sz w:val="24"/>
          <w:szCs w:val="24"/>
          <w:lang w:val="es-ES"/>
        </w:rPr>
        <w:t>argumentos (Ausín, 2014, p. 63).</w:t>
      </w:r>
      <w:r>
        <w:rPr>
          <w:rFonts w:ascii="Arial" w:hAnsi="Arial" w:cs="Arial"/>
          <w:bCs/>
          <w:sz w:val="24"/>
          <w:szCs w:val="24"/>
          <w:lang w:val="es-ES"/>
        </w:rPr>
        <w:t xml:space="preserve"> Participación que lleva implícita la libertad de expresión, como factor inherente para generar la deliberación en la construcción del poder dominante, por lo cual un gobierno emanado de este sistema, en teoría, debería ser congruente con el entorno democrático en el cual se ha gestado.</w:t>
      </w:r>
    </w:p>
    <w:p w14:paraId="00A3272A" w14:textId="77777777" w:rsidR="00687577" w:rsidRDefault="00687577">
      <w:pPr>
        <w:spacing w:before="240" w:line="360" w:lineRule="auto"/>
        <w:ind w:firstLine="709"/>
        <w:jc w:val="both"/>
        <w:rPr>
          <w:rFonts w:ascii="Arial" w:hAnsi="Arial" w:cs="Arial"/>
          <w:sz w:val="24"/>
          <w:szCs w:val="24"/>
          <w:lang w:val="es-ES"/>
        </w:rPr>
      </w:pPr>
      <w:r>
        <w:rPr>
          <w:rFonts w:ascii="Arial" w:hAnsi="Arial" w:cs="Arial"/>
          <w:bCs/>
          <w:sz w:val="24"/>
          <w:szCs w:val="24"/>
          <w:lang w:val="es-ES"/>
        </w:rPr>
        <w:t xml:space="preserve">Sin embargo, no siempre ocurre así, pues Méndez (2014) también refiere el concepto de déficit democrático, el cual se presenta cuando no existe una adecuada comunicación entre la sociedad y gobierno, lo cual representaría la necesidad de hacer más democrática a una democracia, pues este sistema de gobierno, dice, estaría impregnado de genes monárquicos y aristocráticos. </w:t>
      </w:r>
    </w:p>
    <w:p w14:paraId="0E223979" w14:textId="77777777" w:rsidR="00687577" w:rsidRDefault="00687577" w:rsidP="00EB310F">
      <w:pPr>
        <w:spacing w:before="240" w:line="360" w:lineRule="auto"/>
        <w:ind w:left="708" w:firstLine="1"/>
        <w:jc w:val="both"/>
        <w:rPr>
          <w:rFonts w:ascii="Arial" w:hAnsi="Arial" w:cs="Arial"/>
          <w:sz w:val="24"/>
          <w:szCs w:val="24"/>
          <w:lang w:val="es-ES"/>
        </w:rPr>
      </w:pPr>
      <w:r>
        <w:rPr>
          <w:rFonts w:ascii="Arial" w:hAnsi="Arial" w:cs="Arial"/>
          <w:sz w:val="24"/>
          <w:szCs w:val="24"/>
          <w:lang w:val="es-ES"/>
        </w:rPr>
        <w:t>Queda claro que la democracia es la mejor forma de gobierno, la única en el horizonte; pero surge cierto malestar dentro de las sociedades democráticas cuando éstas perciben que podrían ser todavía más democráticas de lo que realmente son; esto es, entre otros factores, un problema de representación. (Méndez, 2014, p.  14)</w:t>
      </w:r>
    </w:p>
    <w:p w14:paraId="520387D0" w14:textId="77777777" w:rsidR="00687577" w:rsidRDefault="00687577">
      <w:pPr>
        <w:spacing w:before="240" w:line="360" w:lineRule="auto"/>
        <w:ind w:firstLine="709"/>
        <w:jc w:val="both"/>
        <w:rPr>
          <w:rFonts w:ascii="Arial" w:hAnsi="Arial" w:cs="Arial"/>
          <w:sz w:val="24"/>
          <w:szCs w:val="24"/>
        </w:rPr>
      </w:pPr>
      <w:r>
        <w:rPr>
          <w:rFonts w:ascii="Arial" w:hAnsi="Arial" w:cs="Arial"/>
          <w:sz w:val="24"/>
          <w:szCs w:val="24"/>
          <w:lang w:val="es-ES"/>
        </w:rPr>
        <w:t xml:space="preserve">Tal </w:t>
      </w:r>
      <w:r>
        <w:rPr>
          <w:rFonts w:ascii="Arial" w:hAnsi="Arial" w:cs="Arial"/>
          <w:sz w:val="24"/>
          <w:szCs w:val="24"/>
        </w:rPr>
        <w:t>situación provoca que los gobiernos emergidos de sistemas democráticos puedan establecer directrices distintas a las que les dieron origen, lo cual es una cuestión de ideología,</w:t>
      </w:r>
      <w:r>
        <w:rPr>
          <w:rStyle w:val="Refdenotaalpie"/>
        </w:rPr>
        <w:footnoteReference w:id="21"/>
      </w:r>
      <w:r>
        <w:rPr>
          <w:rFonts w:ascii="Arial" w:hAnsi="Arial" w:cs="Arial"/>
          <w:sz w:val="24"/>
          <w:szCs w:val="24"/>
        </w:rPr>
        <w:t xml:space="preserve"> pero desde la visión de Foucault significaría el constante contrapunteo al cual se ven expuestos los distintos roles de poder; dicha cuestión coloca al periodismo, como manifestación primaria de la libertad de expresión, en una posición de confrontación en caso de que dichos roles de poder sean contrarios a la libertad de expresión, que como ya se indicó también constituye un acto de poder.</w:t>
      </w:r>
    </w:p>
    <w:p w14:paraId="6C7E0606" w14:textId="77777777" w:rsidR="00687577" w:rsidRDefault="00687577">
      <w:pPr>
        <w:spacing w:before="240" w:line="360" w:lineRule="auto"/>
        <w:ind w:firstLine="709"/>
        <w:jc w:val="both"/>
        <w:rPr>
          <w:rFonts w:ascii="Arial" w:hAnsi="Arial" w:cs="Arial"/>
          <w:sz w:val="24"/>
          <w:szCs w:val="24"/>
        </w:rPr>
      </w:pPr>
      <w:r>
        <w:rPr>
          <w:rFonts w:ascii="Arial" w:hAnsi="Arial" w:cs="Arial"/>
          <w:sz w:val="24"/>
          <w:szCs w:val="24"/>
        </w:rPr>
        <w:t>Dicha relación dialéctica, que ya se ha planteado en un capítulo anterior, también será parte del ejercicio deliberativo de la sociedad, siempre y cuando dentro de las tendencias dominantes se acepten las reglas mínimas de un juego democrático, sin vulnerar derechos fundamentales y universales</w:t>
      </w:r>
      <w:r>
        <w:rPr>
          <w:rStyle w:val="Refdenotaalpie"/>
        </w:rPr>
        <w:footnoteReference w:id="22"/>
      </w:r>
      <w:r>
        <w:rPr>
          <w:rFonts w:ascii="Arial" w:hAnsi="Arial" w:cs="Arial"/>
          <w:sz w:val="24"/>
          <w:szCs w:val="24"/>
        </w:rPr>
        <w:t>.</w:t>
      </w:r>
    </w:p>
    <w:p w14:paraId="39B9F30A" w14:textId="77777777" w:rsidR="00687577" w:rsidRDefault="00687577">
      <w:pPr>
        <w:spacing w:before="240" w:line="360" w:lineRule="auto"/>
        <w:ind w:firstLine="709"/>
        <w:jc w:val="both"/>
        <w:rPr>
          <w:rFonts w:ascii="Arial" w:hAnsi="Arial" w:cs="Arial"/>
          <w:sz w:val="24"/>
          <w:szCs w:val="24"/>
        </w:rPr>
      </w:pPr>
      <w:r>
        <w:rPr>
          <w:rFonts w:ascii="Arial" w:hAnsi="Arial" w:cs="Arial"/>
          <w:sz w:val="24"/>
          <w:szCs w:val="24"/>
        </w:rPr>
        <w:t>La problemática se agrava cuando el poder o poderes dominantes buscan privilegiar una visión institucional de la realidad, mientras desde el periodismo se busca insistir en la anomalía o la irregularidad, como parte de una acción permanente de evaluación</w:t>
      </w:r>
    </w:p>
    <w:p w14:paraId="2DAD9EFA" w14:textId="457F8C24" w:rsidR="00687577" w:rsidRDefault="00687577">
      <w:pPr>
        <w:spacing w:before="240" w:line="360" w:lineRule="auto"/>
        <w:ind w:firstLine="709"/>
        <w:jc w:val="both"/>
        <w:rPr>
          <w:rFonts w:ascii="Arial" w:hAnsi="Arial" w:cs="Arial"/>
          <w:sz w:val="24"/>
          <w:szCs w:val="24"/>
        </w:rPr>
      </w:pPr>
      <w:r>
        <w:rPr>
          <w:rFonts w:ascii="Arial" w:hAnsi="Arial" w:cs="Arial"/>
          <w:sz w:val="24"/>
          <w:szCs w:val="24"/>
        </w:rPr>
        <w:t>Un caso que ilustra la complejidad de estos roles de poder y la libertad de expresión, lo representa cuando el ejercicio profesional del periodista impacta en la generación de información que incomoda a actores que detentan poder político y económico, fenómeno que provoca la generación de violencia contra quienes ejercen la denominada manifestación primaria de la libertad de expresión.</w:t>
      </w:r>
    </w:p>
    <w:p w14:paraId="493014D9" w14:textId="77777777" w:rsidR="00BB13A8" w:rsidRDefault="00BB13A8">
      <w:pPr>
        <w:spacing w:before="240" w:line="360" w:lineRule="auto"/>
        <w:ind w:firstLine="709"/>
        <w:jc w:val="both"/>
        <w:rPr>
          <w:rFonts w:ascii="Arial" w:hAnsi="Arial" w:cs="Arial"/>
          <w:b/>
          <w:color w:val="00000A"/>
          <w:sz w:val="24"/>
        </w:rPr>
      </w:pPr>
    </w:p>
    <w:p w14:paraId="78B89636" w14:textId="19E4950C" w:rsidR="00687577" w:rsidRDefault="00BB13A8" w:rsidP="00BB13A8">
      <w:pPr>
        <w:pStyle w:val="Ttulo2"/>
        <w:numPr>
          <w:ilvl w:val="0"/>
          <w:numId w:val="0"/>
        </w:numPr>
        <w:ind w:left="576"/>
      </w:pPr>
      <w:bookmarkStart w:id="42" w:name="__RefHeading__2227_1000385367"/>
      <w:bookmarkStart w:id="43" w:name="_Toc4083819"/>
      <w:bookmarkEnd w:id="42"/>
      <w:r>
        <w:rPr>
          <w:rFonts w:ascii="Arial" w:hAnsi="Arial" w:cs="Arial"/>
          <w:b/>
          <w:color w:val="00000A"/>
          <w:sz w:val="24"/>
        </w:rPr>
        <w:t xml:space="preserve">III.b) </w:t>
      </w:r>
      <w:r w:rsidR="00687577">
        <w:rPr>
          <w:rFonts w:ascii="Arial" w:hAnsi="Arial" w:cs="Arial"/>
          <w:b/>
          <w:color w:val="00000A"/>
          <w:sz w:val="24"/>
        </w:rPr>
        <w:t>Violencia contra el ejercicio periodístico</w:t>
      </w:r>
      <w:bookmarkEnd w:id="43"/>
    </w:p>
    <w:p w14:paraId="5C679B10" w14:textId="77777777" w:rsidR="00687577" w:rsidRDefault="00687577"/>
    <w:p w14:paraId="0DB4A1FD" w14:textId="77777777" w:rsidR="00687577" w:rsidRDefault="00687577">
      <w:pPr>
        <w:spacing w:before="240" w:line="360" w:lineRule="auto"/>
        <w:ind w:firstLine="709"/>
        <w:jc w:val="both"/>
        <w:rPr>
          <w:rFonts w:ascii="Arial" w:hAnsi="Arial" w:cs="Arial"/>
          <w:sz w:val="24"/>
        </w:rPr>
      </w:pPr>
      <w:r>
        <w:rPr>
          <w:rFonts w:ascii="Arial" w:hAnsi="Arial" w:cs="Arial"/>
          <w:sz w:val="24"/>
        </w:rPr>
        <w:t xml:space="preserve">Dentro de los estudios realizados en materia de protección al ejercicio periodístico debe considerarse el planteamiento de que el periodismo, en el contexto de un proceso de producción simbólica, forma parte de un sistema social. </w:t>
      </w:r>
    </w:p>
    <w:p w14:paraId="65B70CF9" w14:textId="77777777" w:rsidR="00687577" w:rsidRDefault="00687577">
      <w:pPr>
        <w:spacing w:before="240" w:line="360" w:lineRule="auto"/>
        <w:ind w:firstLine="709"/>
        <w:jc w:val="both"/>
        <w:rPr>
          <w:rFonts w:ascii="Arial" w:hAnsi="Arial" w:cs="Arial"/>
          <w:sz w:val="24"/>
        </w:rPr>
      </w:pPr>
      <w:r>
        <w:rPr>
          <w:rFonts w:ascii="Arial" w:hAnsi="Arial" w:cs="Arial"/>
          <w:sz w:val="24"/>
        </w:rPr>
        <w:t>Schleifer (2015) explica, a partir de la estructura de propiedad, los vínculos políticos y económicos, las relaciones de poder donde operan los medios de comunicación en el área de influencia de un sistema capitalista, de ahí que surjan tendencias dominantes que impactan en los propios medios, y estos a su vez en el ejercicio periodístico; así, los productos mediáticos constituyen mercancías económicamente redituables en el mercado capitalista; por otra parte, sus contenidos pueden ayudar (o no) a la legitimación de un orden de las cosas, es decir a hacer circular una serie de ideas tendientes a justificar (o no) las formas políticas de concebir y organizar un mundo social (Schleifer, 2015, p. 235).</w:t>
      </w:r>
    </w:p>
    <w:p w14:paraId="3A7990C9" w14:textId="77777777" w:rsidR="00687577" w:rsidRDefault="00687577">
      <w:pPr>
        <w:spacing w:before="240" w:line="360" w:lineRule="auto"/>
        <w:ind w:firstLine="709"/>
        <w:jc w:val="both"/>
        <w:rPr>
          <w:rFonts w:ascii="Arial" w:hAnsi="Arial" w:cs="Arial"/>
          <w:sz w:val="24"/>
        </w:rPr>
      </w:pPr>
      <w:r>
        <w:rPr>
          <w:rFonts w:ascii="Arial" w:hAnsi="Arial" w:cs="Arial"/>
          <w:sz w:val="24"/>
        </w:rPr>
        <w:t>En esta tesitura, se gesta la violencia contra el ejercicio periodístico, pues las tendencias dominantes del sistema capitalista no siempre coinciden con el ejercicio libre de la libertad de expresión, y mucho menos con una protección a quien ejerce los derechos que derivan de ella, este desequilibrio significa la violencia contra el ejercicio periodístico, la cual puede entenderse como toda acción que busca vulnerar o colocar en posición de vulnerabilidad a quien ejerce el periodismo, desde una forma contraria a la legitimación de un poder público o fáctico.</w:t>
      </w:r>
    </w:p>
    <w:p w14:paraId="64B4512C" w14:textId="77777777" w:rsidR="00687577" w:rsidRDefault="00687577" w:rsidP="00EB310F">
      <w:pPr>
        <w:spacing w:before="240" w:line="360" w:lineRule="auto"/>
        <w:ind w:left="708" w:firstLine="1"/>
        <w:jc w:val="both"/>
        <w:rPr>
          <w:rFonts w:ascii="Arial" w:hAnsi="Arial" w:cs="Arial"/>
          <w:sz w:val="24"/>
        </w:rPr>
      </w:pPr>
      <w:r>
        <w:rPr>
          <w:rFonts w:ascii="Arial" w:hAnsi="Arial" w:cs="Arial"/>
          <w:sz w:val="24"/>
        </w:rPr>
        <w:t>Al investigar temas que otros desean mantener ocultos, los periodistas enfrentan la agresión de fuentes de naturaleza muy diversa, pero con un común denominador: todas tienen el potencial de causar daño y, algunas, desarrollan incluso voluntad y planes para hacerlo. (ICFJ-CONNECTAS, 2014, p. 43)</w:t>
      </w:r>
    </w:p>
    <w:p w14:paraId="749B033C" w14:textId="77777777" w:rsidR="00687577" w:rsidRDefault="00687577">
      <w:pPr>
        <w:spacing w:before="240" w:line="360" w:lineRule="auto"/>
        <w:ind w:firstLine="709"/>
        <w:jc w:val="both"/>
        <w:rPr>
          <w:rFonts w:ascii="Arial" w:hAnsi="Arial" w:cs="Arial"/>
          <w:sz w:val="24"/>
        </w:rPr>
      </w:pPr>
      <w:r>
        <w:rPr>
          <w:rFonts w:ascii="Arial" w:hAnsi="Arial" w:cs="Arial"/>
          <w:sz w:val="24"/>
        </w:rPr>
        <w:t>Dicha acción puede explicarse desde la Teoría de los Sistemas Sociales. Urteaga (2009) describe que Luhmann concibe a esta teoría como la imagen del sistema nervioso, el cual es incapaz de incidir en su propio entorno y no puede controlar la causalidad que sus propias operaciones generaran en el exterior. Es decir, en un sistema social hay distintos subsistemas que interactúan, pero sin tener controlada la relación o interacción entre ellos, pues cada uno de estos subsistemas responde a sus propias características y procesos internos.</w:t>
      </w:r>
    </w:p>
    <w:p w14:paraId="79D81778" w14:textId="77777777" w:rsidR="00687577" w:rsidRDefault="00687577">
      <w:pPr>
        <w:spacing w:before="240" w:line="360" w:lineRule="auto"/>
        <w:ind w:firstLine="709"/>
        <w:jc w:val="both"/>
        <w:rPr>
          <w:rFonts w:ascii="Arial" w:hAnsi="Arial" w:cs="Arial"/>
          <w:sz w:val="24"/>
        </w:rPr>
      </w:pPr>
      <w:r>
        <w:rPr>
          <w:rFonts w:ascii="Arial" w:hAnsi="Arial" w:cs="Arial"/>
          <w:sz w:val="24"/>
        </w:rPr>
        <w:t>En la construcción teórica de Luhmann, este proceso de diferenciación autogenerada por cada subsistema es lo que se denomina autopoiesis; es decir, la posibilidad de que cada uno de ellos se halle provisto de un proceso interno de elaboración y reelaboración estructural, así, se permite que cada subsistema maneje sus propias lógicas operativas, observadas como autónomas respecto a las que se generan en el entorno en los otros subsistemas; de allí surge la noción de que cada subsistema se encuentra operacionalmente cerrado (Basabe, 2005, pp. 196-197).</w:t>
      </w:r>
    </w:p>
    <w:p w14:paraId="72094E67" w14:textId="77777777" w:rsidR="00687577" w:rsidRDefault="00687577">
      <w:pPr>
        <w:spacing w:before="240" w:line="360" w:lineRule="auto"/>
        <w:ind w:firstLine="709"/>
        <w:jc w:val="both"/>
        <w:rPr>
          <w:rFonts w:ascii="Arial" w:hAnsi="Arial" w:cs="Arial"/>
          <w:sz w:val="24"/>
        </w:rPr>
      </w:pPr>
      <w:r>
        <w:rPr>
          <w:rFonts w:ascii="Arial" w:hAnsi="Arial" w:cs="Arial"/>
          <w:sz w:val="24"/>
        </w:rPr>
        <w:t>Urteaga agrega que la comunicación produce y reproduce a la sociedad debido a las interacciones de los subsistemas; La expresión de sistema social hace referencia a la sociedad en su conjunto en la medida que reproduce la comunicación por la comunicación, pero eso no significa que dicha comunicación interna sea exitosa, ya que la incomprensión y el rechazo a comunicar forman parte de este proceso, esto da paso a la llamada entropía social</w:t>
      </w:r>
      <w:r>
        <w:rPr>
          <w:rStyle w:val="Refdenotaalpie"/>
        </w:rPr>
        <w:footnoteReference w:id="23"/>
      </w:r>
      <w:r>
        <w:rPr>
          <w:rFonts w:ascii="Arial" w:hAnsi="Arial" w:cs="Arial"/>
          <w:sz w:val="24"/>
        </w:rPr>
        <w:t>, es decir, el desorden que puede existir en la interacción de los propios subsistemas sociales.</w:t>
      </w:r>
    </w:p>
    <w:p w14:paraId="6A11B057" w14:textId="77777777" w:rsidR="00687577" w:rsidRDefault="00687577">
      <w:pPr>
        <w:spacing w:before="240" w:line="360" w:lineRule="auto"/>
        <w:ind w:firstLine="709"/>
        <w:jc w:val="both"/>
        <w:rPr>
          <w:rFonts w:ascii="Arial" w:hAnsi="Arial" w:cs="Arial"/>
          <w:sz w:val="24"/>
        </w:rPr>
      </w:pPr>
      <w:r>
        <w:rPr>
          <w:rFonts w:ascii="Arial" w:hAnsi="Arial" w:cs="Arial"/>
          <w:sz w:val="24"/>
        </w:rPr>
        <w:t>De acuerdo con la Teoría de los Sistemas Sociales, el sistema social se divide en subsistemas como el político, económico, artístico, mediático, educativo, familiar y jurídico, entre otros. Para efectos de esta investigación se consideran los subsistemas jurídico, político y cultural.</w:t>
      </w:r>
    </w:p>
    <w:p w14:paraId="43A6DB3D" w14:textId="77777777" w:rsidR="00687577" w:rsidRDefault="00687577">
      <w:pPr>
        <w:spacing w:before="240" w:line="360" w:lineRule="auto"/>
        <w:ind w:firstLine="709"/>
        <w:jc w:val="both"/>
        <w:rPr>
          <w:rFonts w:ascii="Arial" w:hAnsi="Arial" w:cs="Arial"/>
          <w:sz w:val="24"/>
        </w:rPr>
      </w:pPr>
      <w:r>
        <w:rPr>
          <w:rFonts w:ascii="Arial" w:hAnsi="Arial" w:cs="Arial"/>
          <w:sz w:val="24"/>
        </w:rPr>
        <w:t>El subsistema jurídico, como indica Basabe (2005), se encuentra determinado por un código binario</w:t>
      </w:r>
      <w:r>
        <w:rPr>
          <w:rStyle w:val="Refdenotaalpie"/>
        </w:rPr>
        <w:footnoteReference w:id="24"/>
      </w:r>
      <w:r>
        <w:rPr>
          <w:rFonts w:ascii="Arial" w:hAnsi="Arial" w:cs="Arial"/>
          <w:sz w:val="24"/>
        </w:rPr>
        <w:t xml:space="preserve"> legal/ilegal, es decir, a partir de dicha relación se va determinando lo que es útil para la propia estructura del subsistema. Desde el punto de vista del subsistema jurídico, el ejercicio periodístico cuenta con un soporte en materia de libertades y derechos humanos que están concretizados en distintas normas internacionales y nacionales como el artículo 19 de la Declaración Universal de los Derechos Humanos y la jurisprudencia de la Corte Interamericana de Derechos Humanos.</w:t>
      </w:r>
    </w:p>
    <w:p w14:paraId="733580A2" w14:textId="77777777" w:rsidR="00687577" w:rsidRDefault="00687577">
      <w:pPr>
        <w:spacing w:before="240" w:line="360" w:lineRule="auto"/>
        <w:ind w:firstLine="709"/>
        <w:jc w:val="both"/>
        <w:rPr>
          <w:rFonts w:ascii="Arial" w:hAnsi="Arial" w:cs="Arial"/>
          <w:sz w:val="24"/>
        </w:rPr>
      </w:pPr>
      <w:r>
        <w:rPr>
          <w:rFonts w:ascii="Arial" w:hAnsi="Arial" w:cs="Arial"/>
          <w:sz w:val="24"/>
        </w:rPr>
        <w:t>Es preciso advertir que en el caso del hemisferio occidental existe el Sistema Interamericano de Protección de los Derechos Humanos, que se integra por el conjunto de normas en esta materia, y que incluyen a la libertad de expresión. De este sistema derivan la Convención Americana de Derechos Humanos o Pacto de San José, y la Declaración Americana de Derechos y Deberes del Hombre (Declaración Americana).</w:t>
      </w:r>
      <w:r>
        <w:rPr>
          <w:rStyle w:val="Refdenotaalpie"/>
        </w:rPr>
        <w:footnoteReference w:id="25"/>
      </w:r>
    </w:p>
    <w:p w14:paraId="6694C002" w14:textId="77777777" w:rsidR="00687577" w:rsidRDefault="00687577">
      <w:pPr>
        <w:spacing w:before="240" w:line="360" w:lineRule="auto"/>
        <w:ind w:firstLine="709"/>
        <w:jc w:val="both"/>
        <w:rPr>
          <w:rFonts w:ascii="Arial" w:hAnsi="Arial" w:cs="Arial"/>
          <w:sz w:val="24"/>
        </w:rPr>
      </w:pPr>
      <w:r>
        <w:rPr>
          <w:rFonts w:ascii="Arial" w:hAnsi="Arial" w:cs="Arial"/>
          <w:sz w:val="24"/>
        </w:rPr>
        <w:t>Otra norma que retoma estos postulados es el Pacto Internacional de Derechos Civiles y Políticos, al cual se adhirió México el 24 de marzo de 1981, mismo que en su artículo 19 señala que todas las personas tienen derecho a la libertad de expresión. “Este derecho comprende la libertad de buscar, recibir y difundir informaciones e ideas de toda índole, sin consideración de fronteras, ya sea oralmente, por escrito o en forma impresa o artística, o por cualquier otro procedimiento de su elección”. (Diario Oficial de la Federación, 1981, p. 10)</w:t>
      </w:r>
    </w:p>
    <w:p w14:paraId="739701FD" w14:textId="77777777" w:rsidR="00687577" w:rsidRDefault="00687577">
      <w:pPr>
        <w:spacing w:before="240" w:line="360" w:lineRule="auto"/>
        <w:ind w:firstLine="709"/>
        <w:jc w:val="both"/>
        <w:rPr>
          <w:rFonts w:ascii="Arial" w:hAnsi="Arial" w:cs="Arial"/>
          <w:sz w:val="24"/>
        </w:rPr>
      </w:pPr>
      <w:r>
        <w:rPr>
          <w:rFonts w:ascii="Arial" w:hAnsi="Arial" w:cs="Arial"/>
          <w:sz w:val="24"/>
        </w:rPr>
        <w:t>Los tratados internacionales en esta materia son aplicables en México, con base en la reforma a la Constitución Política de los Estados Unidos Mexicanos, publicada en el Diario Oficial de la Federación el 10 de junio de 2011</w:t>
      </w:r>
      <w:r>
        <w:rPr>
          <w:rStyle w:val="Refdenotaalpie"/>
        </w:rPr>
        <w:footnoteReference w:id="26"/>
      </w:r>
      <w:r>
        <w:rPr>
          <w:rFonts w:ascii="Arial" w:hAnsi="Arial" w:cs="Arial"/>
          <w:sz w:val="24"/>
        </w:rPr>
        <w:t>, que establece que toda persona gozará de los derechos humanos reconocidos en la Constitución y en los tratados internacionales signados por México.</w:t>
      </w:r>
    </w:p>
    <w:p w14:paraId="03342B05" w14:textId="77777777" w:rsidR="00687577" w:rsidRDefault="00687577">
      <w:pPr>
        <w:spacing w:before="240" w:line="360" w:lineRule="auto"/>
        <w:ind w:firstLine="709"/>
        <w:jc w:val="both"/>
        <w:rPr>
          <w:rFonts w:ascii="Arial" w:hAnsi="Arial" w:cs="Arial"/>
          <w:sz w:val="24"/>
        </w:rPr>
      </w:pPr>
      <w:r>
        <w:rPr>
          <w:rFonts w:ascii="Arial" w:hAnsi="Arial" w:cs="Arial"/>
          <w:sz w:val="24"/>
        </w:rPr>
        <w:t>Aunado a ello recordemos el artículo 133 de la misma Constitución, donde se indica que las leyes del Congreso de la Unión que emanen de ella y todos los tratados que estén de acuerdo con la misma, con aprobación del Senado, serán la Ley Suprema de toda la Unión, es decir, aplicables en todo el país.</w:t>
      </w:r>
    </w:p>
    <w:p w14:paraId="036305B5" w14:textId="77777777" w:rsidR="00687577" w:rsidRDefault="00687577">
      <w:pPr>
        <w:spacing w:before="240" w:line="360" w:lineRule="auto"/>
        <w:ind w:firstLine="709"/>
        <w:jc w:val="both"/>
        <w:rPr>
          <w:rFonts w:ascii="Arial" w:hAnsi="Arial" w:cs="Arial"/>
          <w:bCs/>
          <w:sz w:val="24"/>
          <w:lang w:val="es-ES"/>
        </w:rPr>
      </w:pPr>
      <w:r>
        <w:rPr>
          <w:rFonts w:ascii="Arial" w:hAnsi="Arial" w:cs="Arial"/>
          <w:sz w:val="24"/>
        </w:rPr>
        <w:t>Tanto las normas internacionales, como las nacionales, pueden encontrar un enfoque hacia la construcción de políticas públicas en materia de protección a la libertad de expresión. En el caso de México dicho enfoque parte de Ley para la Protección de Personas Defensoras de Derechos Humanos y Periodistas (Congreso de la Unión, 2012), misma que contempla el funcionamiento de un Mecanismo de Protección para estos actores sociales.</w:t>
      </w:r>
    </w:p>
    <w:p w14:paraId="08DEAEA7" w14:textId="77777777" w:rsidR="00687577" w:rsidRDefault="00687577">
      <w:pPr>
        <w:spacing w:before="240" w:line="360" w:lineRule="auto"/>
        <w:ind w:firstLine="709"/>
        <w:jc w:val="both"/>
        <w:rPr>
          <w:rFonts w:ascii="Arial" w:hAnsi="Arial" w:cs="Arial"/>
          <w:sz w:val="24"/>
        </w:rPr>
      </w:pPr>
      <w:r>
        <w:rPr>
          <w:rFonts w:ascii="Arial" w:hAnsi="Arial" w:cs="Arial"/>
          <w:bCs/>
          <w:sz w:val="24"/>
          <w:lang w:val="es-ES"/>
        </w:rPr>
        <w:t>Esta Ley también indica que debe</w:t>
      </w:r>
      <w:r>
        <w:rPr>
          <w:rFonts w:ascii="Arial" w:hAnsi="Arial" w:cs="Arial"/>
          <w:sz w:val="24"/>
        </w:rPr>
        <w:t xml:space="preserve"> garantizarse la vida y seguridad de quienes estén en riesgo por el ejercicio de la libertad de expresión y el periodismo. </w:t>
      </w:r>
    </w:p>
    <w:p w14:paraId="61DEE21F" w14:textId="77777777" w:rsidR="00687577" w:rsidRDefault="00687577">
      <w:pPr>
        <w:spacing w:before="240" w:line="360" w:lineRule="auto"/>
        <w:ind w:firstLine="709"/>
        <w:jc w:val="both"/>
        <w:rPr>
          <w:rFonts w:ascii="Arial" w:hAnsi="Arial" w:cs="Arial"/>
          <w:sz w:val="24"/>
        </w:rPr>
      </w:pPr>
      <w:r>
        <w:rPr>
          <w:rFonts w:ascii="Arial" w:hAnsi="Arial" w:cs="Arial"/>
          <w:sz w:val="24"/>
        </w:rPr>
        <w:t xml:space="preserve">Mecanismo que de acuerdo con el informe </w:t>
      </w:r>
      <w:r>
        <w:rPr>
          <w:rFonts w:ascii="Arial" w:hAnsi="Arial" w:cs="Arial"/>
          <w:i/>
          <w:sz w:val="24"/>
        </w:rPr>
        <w:t>La Deuda del Estado Mexicano</w:t>
      </w:r>
      <w:r>
        <w:rPr>
          <w:rFonts w:ascii="Arial" w:hAnsi="Arial" w:cs="Arial"/>
          <w:sz w:val="24"/>
        </w:rPr>
        <w:t xml:space="preserve"> (Espacio_OSC, 2017) debe ser una pieza fundamental para la articulación de una política pública de prevención, atención y sanción de las violaciones a derechos de los periodistas, es decir, resguardar y proteger al profesional de la información para que pueda continuar con el ejercicio de la libertad de expresión.</w:t>
      </w:r>
    </w:p>
    <w:p w14:paraId="3E95A950" w14:textId="77777777" w:rsidR="00687577" w:rsidRDefault="00687577">
      <w:pPr>
        <w:spacing w:before="240" w:line="360" w:lineRule="auto"/>
        <w:ind w:firstLine="709"/>
        <w:jc w:val="both"/>
        <w:rPr>
          <w:rFonts w:ascii="Arial" w:hAnsi="Arial" w:cs="Arial"/>
          <w:sz w:val="24"/>
        </w:rPr>
      </w:pPr>
      <w:r>
        <w:rPr>
          <w:rFonts w:ascii="Arial" w:hAnsi="Arial" w:cs="Arial"/>
          <w:sz w:val="24"/>
        </w:rPr>
        <w:t>Por otra parte, desde el enfoque del subsistema político se encuentra todo el andamiaje derivado de la misma Declaración Universal de los Derechos Humanos, sin embargo, recordemos la referencia que hace Gonnet (2010), quien indica que en este subsistema se ubican los subsistemas de administración, público y política, como parte de la relación entre gobernantes y gobernados.</w:t>
      </w:r>
    </w:p>
    <w:p w14:paraId="0E8D4426" w14:textId="77777777" w:rsidR="00687577" w:rsidRDefault="00687577">
      <w:pPr>
        <w:spacing w:before="240" w:line="360" w:lineRule="auto"/>
        <w:ind w:firstLine="709"/>
        <w:jc w:val="both"/>
        <w:rPr>
          <w:rFonts w:ascii="Arial" w:hAnsi="Arial" w:cs="Arial"/>
          <w:sz w:val="24"/>
        </w:rPr>
      </w:pPr>
      <w:r>
        <w:rPr>
          <w:rFonts w:ascii="Arial" w:hAnsi="Arial" w:cs="Arial"/>
          <w:sz w:val="24"/>
        </w:rPr>
        <w:t>A su vez Ruiz (2014) señala que este subsistema tiene una relación estrecha con el Estado, el aparato estatal o la administración, de la cual derivan las políticas públicas. En el caso de México, el eje rector de las distintas políticas públicas es el Plan Nacional de Desarrollo 2013-2018</w:t>
      </w:r>
      <w:r>
        <w:rPr>
          <w:rStyle w:val="Refdenotaalpie"/>
        </w:rPr>
        <w:footnoteReference w:id="27"/>
      </w:r>
      <w:r>
        <w:rPr>
          <w:rFonts w:ascii="Arial" w:hAnsi="Arial" w:cs="Arial"/>
          <w:sz w:val="24"/>
        </w:rPr>
        <w:t>, mismo que hace énfasis en la dignidad humana, al señalar que se busca una sociedad donde todos los ciudadanos tengan un acceso efectivo a los derechos, además de generar igualdad de oportunidades y evitar la discriminación, entre otros elementos; y que son aspectos donde el ejercicio periodístico bajo el Mecanismo de Protección a Periodistas juega un papel fundamental, al ser un instrumento, precisamente para garantizar el ejercicio pleno de un derecho, como lo es la libertad de expresión, además de que también sirve para contrarrestar la opacidad en la rendición de cuentas, que es otro objetivo del mismo Plan Nacional de Desarrollo.</w:t>
      </w:r>
    </w:p>
    <w:p w14:paraId="5C7C105D" w14:textId="77777777" w:rsidR="00687577" w:rsidRDefault="00687577">
      <w:pPr>
        <w:spacing w:before="240" w:line="360" w:lineRule="auto"/>
        <w:ind w:firstLine="709"/>
        <w:jc w:val="both"/>
        <w:rPr>
          <w:rFonts w:ascii="Arial" w:hAnsi="Arial" w:cs="Arial"/>
          <w:sz w:val="24"/>
        </w:rPr>
      </w:pPr>
      <w:r>
        <w:rPr>
          <w:rFonts w:ascii="Arial" w:hAnsi="Arial" w:cs="Arial"/>
          <w:sz w:val="24"/>
        </w:rPr>
        <w:t xml:space="preserve">Sin embargo, la sola existencia de normas o programas de gobierno no garantiza su aplicación. En el caso del Mecanismo de Protección a Periodistas, que oficialmente existe desde 2012, se enfrenta a contextos que indican la insuficiencia del propio Mecanismo para proteger el ejercicio periodístico. Tan sólo en este año, de acuerdo con distintos reportes de organizaciones no gubernamentales (Animal Político, 2017), han sido asesinados 9 periodistas mexicanos, además de ser persistentes las agresiones y hostigamientos de distinto tipo a periodistas y personas que ejercen su libertad de expresión. </w:t>
      </w:r>
    </w:p>
    <w:p w14:paraId="1E8CA038" w14:textId="77777777" w:rsidR="00687577" w:rsidRDefault="00687577" w:rsidP="00EB310F">
      <w:pPr>
        <w:spacing w:before="240" w:line="360" w:lineRule="auto"/>
        <w:ind w:left="708" w:firstLine="1"/>
        <w:jc w:val="both"/>
        <w:rPr>
          <w:rFonts w:ascii="Arial" w:hAnsi="Arial" w:cs="Arial"/>
          <w:sz w:val="24"/>
        </w:rPr>
      </w:pPr>
      <w:r>
        <w:rPr>
          <w:rFonts w:ascii="Arial" w:hAnsi="Arial" w:cs="Arial"/>
          <w:sz w:val="24"/>
        </w:rPr>
        <w:t>Cuando estas últimas (las instituciones) empiezan a perder credibilidad y confianza de parte de los ciudadanos, porque las leyes no se aplican ni se hacen obedecer, las promesas no se cumplen y la realización de la justicia no se ve, hay que tener mucho cuidado, porque la sociedad se empieza a resquebrajar, a descomponer, a enfermar (Ruiz, 2014, p. 214).</w:t>
      </w:r>
    </w:p>
    <w:p w14:paraId="13EB556B" w14:textId="77777777" w:rsidR="00687577" w:rsidRDefault="00687577">
      <w:pPr>
        <w:spacing w:before="240" w:line="360" w:lineRule="auto"/>
        <w:ind w:firstLine="709"/>
        <w:jc w:val="both"/>
        <w:rPr>
          <w:rFonts w:ascii="Arial" w:hAnsi="Arial" w:cs="Arial"/>
          <w:sz w:val="24"/>
        </w:rPr>
      </w:pPr>
      <w:r>
        <w:rPr>
          <w:rFonts w:ascii="Arial" w:hAnsi="Arial" w:cs="Arial"/>
          <w:sz w:val="24"/>
        </w:rPr>
        <w:t>Esta situación provoca, a nivel del subsistema político, factores contrarios al ejercicio periodístico, como la censura, que deriva de la misma falla del Mecanismo de Protección a Periodistas, además de fortalecerse la tendencia de impunidad, lo cual engloba todo un escenario de violencia contra quienes ejercen esta profesión.</w:t>
      </w:r>
    </w:p>
    <w:p w14:paraId="4638B1E1" w14:textId="77777777" w:rsidR="00687577" w:rsidRDefault="00687577" w:rsidP="00EB310F">
      <w:pPr>
        <w:spacing w:before="240" w:line="360" w:lineRule="auto"/>
        <w:ind w:left="708" w:firstLine="1"/>
        <w:jc w:val="both"/>
        <w:rPr>
          <w:rFonts w:ascii="Arial" w:hAnsi="Arial" w:cs="Arial"/>
          <w:sz w:val="24"/>
        </w:rPr>
      </w:pPr>
      <w:r>
        <w:rPr>
          <w:rFonts w:ascii="Arial" w:hAnsi="Arial" w:cs="Arial"/>
          <w:sz w:val="24"/>
        </w:rPr>
        <w:t>Las limitantes del ejercicio de la libertad de prensa incluyen los casos de amagos contra los periodistas y las diferentes actitudes que estas agresiones acarrean. Además, ocurren situaciones al margen de lo registrable en los reportes de las asociaciones de periodistas, en las que los límites de la libertad de prensa se manifiestan de forma más sutil, como es el caso de la autocensura y la disminución del periodismo crítico</w:t>
      </w:r>
      <w:r>
        <w:rPr>
          <w:rFonts w:ascii="Arial" w:hAnsi="Arial" w:cs="Arial"/>
          <w:i/>
          <w:sz w:val="24"/>
        </w:rPr>
        <w:t xml:space="preserve"> </w:t>
      </w:r>
      <w:r>
        <w:rPr>
          <w:rFonts w:ascii="Arial" w:hAnsi="Arial" w:cs="Arial"/>
          <w:sz w:val="24"/>
        </w:rPr>
        <w:t>(Rodelo, 2009, p. 10).</w:t>
      </w:r>
    </w:p>
    <w:p w14:paraId="080CCD93" w14:textId="77777777" w:rsidR="00687577" w:rsidRDefault="00687577">
      <w:pPr>
        <w:spacing w:before="240" w:line="360" w:lineRule="auto"/>
        <w:ind w:firstLine="709"/>
        <w:jc w:val="both"/>
        <w:rPr>
          <w:rFonts w:ascii="Arial" w:hAnsi="Arial" w:cs="Arial"/>
          <w:sz w:val="24"/>
        </w:rPr>
      </w:pPr>
      <w:r>
        <w:rPr>
          <w:rFonts w:ascii="Arial" w:hAnsi="Arial" w:cs="Arial"/>
          <w:sz w:val="24"/>
        </w:rPr>
        <w:t>Rodelo (2009) también apunta un matiz que en los últimos años ha aumentado los riesgos sociales de los periodistas y por ende la complejidad que enfrenta el Mecanismo de Protección a Periodistas: la actuación del crimen organizado y la impunidad que deriva de este nuevo contexto social.</w:t>
      </w:r>
    </w:p>
    <w:p w14:paraId="6E3722CB" w14:textId="77777777" w:rsidR="00687577" w:rsidRDefault="00687577">
      <w:pPr>
        <w:spacing w:before="240" w:line="360" w:lineRule="auto"/>
        <w:ind w:firstLine="709"/>
        <w:jc w:val="both"/>
        <w:rPr>
          <w:rFonts w:ascii="Arial" w:hAnsi="Arial" w:cs="Arial"/>
          <w:sz w:val="24"/>
        </w:rPr>
      </w:pPr>
      <w:r>
        <w:rPr>
          <w:rFonts w:ascii="Arial" w:hAnsi="Arial" w:cs="Arial"/>
          <w:sz w:val="24"/>
        </w:rPr>
        <w:t>El tercer subsistema a analizar es el cultural, donde podemos advertir el pensamiento arraigado de la sociedad, mismo que derivaría de la aplicación de las normas jurídicas y políticas públicas de los subsistemas jurídico y político, respectivamente.</w:t>
      </w:r>
    </w:p>
    <w:p w14:paraId="543EADE5" w14:textId="77777777" w:rsidR="00687577" w:rsidRDefault="00687577">
      <w:pPr>
        <w:spacing w:before="240" w:line="360" w:lineRule="auto"/>
        <w:ind w:firstLine="709"/>
        <w:jc w:val="both"/>
        <w:rPr>
          <w:rFonts w:ascii="Arial" w:hAnsi="Arial" w:cs="Arial"/>
          <w:sz w:val="24"/>
        </w:rPr>
      </w:pPr>
      <w:r>
        <w:rPr>
          <w:rFonts w:ascii="Arial" w:hAnsi="Arial" w:cs="Arial"/>
          <w:sz w:val="24"/>
        </w:rPr>
        <w:t>En el subsistema cultural podemos identificar una singular condición del ejercicio periodístico bajo Mecanismo de Protección a Periodistas: existen las normas para garantizar el derecho a la libertad de expresión y las políticas públicas en la materia, sin embargo, pesa una relación histórica donde primero el Estado y luego poderes fácticos controlan y determinan el ejercicio periodístico, aún bajo dicho Mecanismo, mismo que no tiene la capacidad, por ejemplo, de modificar el entorno donde se desarrolla el ejercicio periodístico, como ocurre en la Teoría de Sistemas Sociales, donde los subsistemas interactúan, pero un solo subsistema no puede determinar una relación de causa-efecto hacía el exterior.</w:t>
      </w:r>
    </w:p>
    <w:p w14:paraId="03A2169E" w14:textId="77777777" w:rsidR="00687577" w:rsidRDefault="00687577" w:rsidP="00EB310F">
      <w:pPr>
        <w:spacing w:before="240" w:line="360" w:lineRule="auto"/>
        <w:ind w:left="708" w:firstLine="1"/>
        <w:jc w:val="both"/>
        <w:rPr>
          <w:rFonts w:ascii="Arial" w:hAnsi="Arial" w:cs="Arial"/>
          <w:sz w:val="24"/>
        </w:rPr>
      </w:pPr>
      <w:r>
        <w:rPr>
          <w:rFonts w:ascii="Arial" w:hAnsi="Arial" w:cs="Arial"/>
          <w:sz w:val="24"/>
        </w:rPr>
        <w:t>El problema es que el papel represor que antes ejercía el Estado es ahora detentado por los dueños y directivos de los medios de comunicación. Son ellos los nuevos censores. La libertad de expresión está en sus manos y por tanto es la lucha de sus respectivos y muy particulares intereses en turno la que determina y orienta los destinos de nuestro futuro como nación. En consecuencia, mientras no se dé fin a la censura, sea estatal o de quienes tutelan los medios, en tanto no se encuentre garantizada la libre y responsable crítica periodística, nuestra sociedad no podrá avanzar ni mucho menos aspirar a vivir en un régimen de verdadera democracia (Avilés, 2007, p.2).</w:t>
      </w:r>
    </w:p>
    <w:p w14:paraId="7C4A5880" w14:textId="77777777" w:rsidR="00687577" w:rsidRDefault="00687577">
      <w:pPr>
        <w:spacing w:before="240" w:line="360" w:lineRule="auto"/>
        <w:ind w:firstLine="709"/>
        <w:jc w:val="both"/>
        <w:rPr>
          <w:rFonts w:ascii="Arial" w:hAnsi="Arial" w:cs="Arial"/>
          <w:sz w:val="24"/>
        </w:rPr>
      </w:pPr>
      <w:r>
        <w:rPr>
          <w:rFonts w:ascii="Arial" w:hAnsi="Arial" w:cs="Arial"/>
          <w:sz w:val="24"/>
        </w:rPr>
        <w:t>Y al convertirse la censura en una práctica normalizada dentro del ejercicio periodístico, el impacto inmediato en el subsistema cultural es el fomento de la corrupción</w:t>
      </w:r>
      <w:r>
        <w:rPr>
          <w:rStyle w:val="Refdenotaalpie"/>
        </w:rPr>
        <w:footnoteReference w:id="28"/>
      </w:r>
      <w:r>
        <w:rPr>
          <w:rFonts w:ascii="Arial" w:hAnsi="Arial" w:cs="Arial"/>
          <w:sz w:val="24"/>
        </w:rPr>
        <w:t>, pues recordemos que la corrupción implica el abuso de poder de quien lo detenta, y por el contrario el ejercicio periodístico, como manifestación primaria de la libertad de expresión, es un dique para evitar abusos de los poderes públicos o fácticos, al garantizar elementos como la transparencia, el derecho a la información y la rendición de cuentas.</w:t>
      </w:r>
    </w:p>
    <w:p w14:paraId="4B32340A" w14:textId="77777777" w:rsidR="00687577" w:rsidRDefault="00687577">
      <w:pPr>
        <w:spacing w:before="240" w:line="360" w:lineRule="auto"/>
        <w:ind w:firstLine="709"/>
        <w:jc w:val="both"/>
        <w:rPr>
          <w:rFonts w:ascii="Arial" w:hAnsi="Arial" w:cs="Arial"/>
          <w:sz w:val="24"/>
        </w:rPr>
      </w:pPr>
      <w:r>
        <w:rPr>
          <w:rFonts w:ascii="Arial" w:hAnsi="Arial" w:cs="Arial"/>
          <w:sz w:val="24"/>
        </w:rPr>
        <w:t>Es así, que si el ejercicio periodístico bajo el Mecanismo de Protección a Periodistas, convive con prácticas corruptas, poco puede hacer. Por el contrario, se debilitan, desde el ámbito cultural, las políticas públicas que vayan en el sentido de fortalecer algún derecho.</w:t>
      </w:r>
    </w:p>
    <w:p w14:paraId="6003421E" w14:textId="77777777" w:rsidR="00687577" w:rsidRDefault="00687577" w:rsidP="00EB310F">
      <w:pPr>
        <w:spacing w:before="240" w:line="360" w:lineRule="auto"/>
        <w:ind w:left="708" w:firstLine="1"/>
        <w:jc w:val="both"/>
        <w:rPr>
          <w:rFonts w:ascii="Arial" w:hAnsi="Arial" w:cs="Arial"/>
          <w:sz w:val="24"/>
        </w:rPr>
      </w:pPr>
      <w:r>
        <w:rPr>
          <w:rFonts w:ascii="Arial" w:hAnsi="Arial" w:cs="Arial"/>
          <w:sz w:val="24"/>
        </w:rPr>
        <w:t>Los resultados en la actuación de un gobierno integrado por personas corruptas es evidente: políticas públicas deficientes, mediocres, inequitativas, desigualdad, pobreza, acumulación de riqueza en manos de minorías, injusticia, embrutecimiento de la ciudadanía, clientelismo político; en suma, un mal gobierno (Diego, 2015, p. 31).</w:t>
      </w:r>
    </w:p>
    <w:p w14:paraId="780C549C" w14:textId="77777777" w:rsidR="00687577" w:rsidRDefault="00687577">
      <w:pPr>
        <w:spacing w:before="240" w:line="360" w:lineRule="auto"/>
        <w:ind w:firstLine="709"/>
        <w:jc w:val="both"/>
        <w:rPr>
          <w:rFonts w:ascii="Arial" w:hAnsi="Arial" w:cs="Arial"/>
          <w:sz w:val="24"/>
        </w:rPr>
      </w:pPr>
      <w:r>
        <w:rPr>
          <w:rFonts w:ascii="Arial" w:hAnsi="Arial" w:cs="Arial"/>
          <w:sz w:val="24"/>
        </w:rPr>
        <w:t>A ello se suma la percepción ciudadana de toda esta problemática, que también forma parte del subsistema cultural. Incluso autores como Flores (2015) retoman distintos elementos e indicadores para advertir que en México se vive un Estado fallido, derivado precisamente de factores como agravios colectivos, deslegitimación del Estado y el deterioro progresivo del servicio público. Situaciones que parten de hechos objetivos, pero que inciden en el subsistema cultural al imponer tipos y formas de pensamiento.</w:t>
      </w:r>
    </w:p>
    <w:p w14:paraId="0C16CB1A" w14:textId="77777777" w:rsidR="00687577" w:rsidRDefault="00687577" w:rsidP="00EB310F">
      <w:pPr>
        <w:spacing w:before="240" w:line="360" w:lineRule="auto"/>
        <w:ind w:left="708" w:firstLine="1"/>
        <w:jc w:val="both"/>
        <w:rPr>
          <w:rFonts w:ascii="Arial" w:hAnsi="Arial" w:cs="Arial"/>
          <w:sz w:val="24"/>
        </w:rPr>
      </w:pPr>
      <w:r>
        <w:rPr>
          <w:rFonts w:ascii="Arial" w:hAnsi="Arial" w:cs="Arial"/>
          <w:sz w:val="24"/>
        </w:rPr>
        <w:t>Determinar si México es un Estado fallido implicaría hacer un trabajo de encuesta realizada a la sociedad civil en una variedad de entornos sociales y análisis profundo entre los expertos para determinar lo más objetivamente la situación de debilitamiento del Estado mexicano. Sin embargo, no podemos negar que México encuadra perfectamente en todos los rubros de la clasificación manifiesta y su valoración no sería del todo satisfactoria (Flores, 2015, p. 291).</w:t>
      </w:r>
    </w:p>
    <w:p w14:paraId="617A639C" w14:textId="77777777" w:rsidR="00687577" w:rsidRDefault="00687577">
      <w:pPr>
        <w:spacing w:before="240" w:line="360" w:lineRule="auto"/>
        <w:ind w:firstLine="709"/>
        <w:jc w:val="both"/>
        <w:rPr>
          <w:rFonts w:ascii="Arial" w:hAnsi="Arial" w:cs="Arial"/>
          <w:sz w:val="24"/>
        </w:rPr>
      </w:pPr>
      <w:r>
        <w:rPr>
          <w:rFonts w:ascii="Arial" w:hAnsi="Arial" w:cs="Arial"/>
          <w:sz w:val="24"/>
        </w:rPr>
        <w:t xml:space="preserve">De esta forma es como se gesta la violencia contra el ejercicio periodístico, pues aunque desde el subsistema jurídico se fortalezca un marco legal suficiente para el periodismo, en los subsistemas político y cultural existirían deficiencias para sustentar una política pública adecuada de protección a la libertad de expresión, así como para normalizar en el rol de poderes que interactúan al interior de la </w:t>
      </w:r>
      <w:bookmarkStart w:id="44" w:name="__RefHeading__1564_754818710"/>
      <w:bookmarkEnd w:id="44"/>
      <w:r>
        <w:rPr>
          <w:rFonts w:ascii="Arial" w:hAnsi="Arial" w:cs="Arial"/>
          <w:sz w:val="24"/>
        </w:rPr>
        <w:t>sociedad, la necesidad de un verdadero ejercicio profesional del periodismo.</w:t>
      </w:r>
    </w:p>
    <w:p w14:paraId="2F4C363C" w14:textId="1E3208D3" w:rsidR="00687577" w:rsidRDefault="00687577">
      <w:pPr>
        <w:spacing w:before="240" w:line="360" w:lineRule="auto"/>
        <w:ind w:firstLine="709"/>
        <w:jc w:val="both"/>
        <w:rPr>
          <w:rFonts w:ascii="Arial" w:hAnsi="Arial" w:cs="Arial"/>
          <w:sz w:val="24"/>
        </w:rPr>
      </w:pPr>
      <w:r>
        <w:rPr>
          <w:rFonts w:ascii="Arial" w:hAnsi="Arial" w:cs="Arial"/>
          <w:sz w:val="24"/>
        </w:rPr>
        <w:t>Adicionalmente en los subsistemas político y cultural se generan otros riesgos sociales para el ejercicio periodístico, los cuales tienen relación con el control gubernamental de esta actividad a partir de presupuestos públicos, la vulnerabilidad económica que enfrentan los periodi</w:t>
      </w:r>
      <w:r w:rsidR="00DD596A">
        <w:rPr>
          <w:rFonts w:ascii="Arial" w:hAnsi="Arial" w:cs="Arial"/>
          <w:sz w:val="24"/>
        </w:rPr>
        <w:t>stas, y la censura o autocensura</w:t>
      </w:r>
      <w:r>
        <w:rPr>
          <w:rFonts w:ascii="Arial" w:hAnsi="Arial" w:cs="Arial"/>
          <w:sz w:val="24"/>
        </w:rPr>
        <w:t xml:space="preserve">. </w:t>
      </w:r>
    </w:p>
    <w:p w14:paraId="0089370F" w14:textId="77777777" w:rsidR="00BB13A8" w:rsidRDefault="00BB13A8">
      <w:pPr>
        <w:spacing w:before="240" w:line="360" w:lineRule="auto"/>
        <w:ind w:firstLine="709"/>
        <w:jc w:val="both"/>
        <w:rPr>
          <w:rFonts w:ascii="Arial" w:hAnsi="Arial" w:cs="Arial"/>
          <w:sz w:val="24"/>
        </w:rPr>
      </w:pPr>
    </w:p>
    <w:p w14:paraId="210EB4EC" w14:textId="6B059899" w:rsidR="00BB13A8" w:rsidRPr="00BB13A8" w:rsidRDefault="00BB13A8" w:rsidP="00BB13A8">
      <w:pPr>
        <w:spacing w:before="240" w:line="360" w:lineRule="auto"/>
        <w:ind w:firstLine="708"/>
        <w:jc w:val="both"/>
        <w:rPr>
          <w:rFonts w:ascii="Arial" w:hAnsi="Arial" w:cs="Arial"/>
          <w:b/>
          <w:sz w:val="24"/>
        </w:rPr>
      </w:pPr>
      <w:r>
        <w:rPr>
          <w:rFonts w:ascii="Arial" w:hAnsi="Arial" w:cs="Arial"/>
          <w:b/>
          <w:sz w:val="24"/>
        </w:rPr>
        <w:t>III.</w:t>
      </w:r>
      <w:r w:rsidR="00687577" w:rsidRPr="00BB13A8">
        <w:rPr>
          <w:rFonts w:ascii="Arial" w:hAnsi="Arial" w:cs="Arial"/>
          <w:b/>
          <w:sz w:val="24"/>
        </w:rPr>
        <w:t xml:space="preserve">c) Control gubernamental del ejercicio periodístico a </w:t>
      </w:r>
      <w:r>
        <w:rPr>
          <w:rFonts w:ascii="Arial" w:hAnsi="Arial" w:cs="Arial"/>
          <w:b/>
          <w:sz w:val="24"/>
        </w:rPr>
        <w:t>partir de presupuestos públicos</w:t>
      </w:r>
    </w:p>
    <w:p w14:paraId="5C4632D7" w14:textId="77777777" w:rsidR="00687577" w:rsidRDefault="00687577">
      <w:pPr>
        <w:spacing w:before="240" w:line="360" w:lineRule="auto"/>
        <w:ind w:firstLine="709"/>
        <w:jc w:val="both"/>
        <w:rPr>
          <w:rFonts w:ascii="Arial" w:hAnsi="Arial" w:cs="Arial"/>
          <w:sz w:val="24"/>
        </w:rPr>
      </w:pPr>
      <w:r>
        <w:rPr>
          <w:rFonts w:ascii="Arial" w:hAnsi="Arial" w:cs="Arial"/>
          <w:sz w:val="24"/>
        </w:rPr>
        <w:t>Uno de los aspectos que evidencia las limitaciones del subsistema jurídico frente al subsistema político, en materia de protección al ejercicio periodístico, lo constituye el control gubernamental de esta actividad a partir de los presupuestos públicos.</w:t>
      </w:r>
    </w:p>
    <w:p w14:paraId="0C1947F0" w14:textId="77777777" w:rsidR="00687577" w:rsidRDefault="00687577">
      <w:pPr>
        <w:spacing w:before="240" w:line="360" w:lineRule="auto"/>
        <w:ind w:firstLine="709"/>
        <w:jc w:val="both"/>
        <w:rPr>
          <w:rFonts w:ascii="Arial" w:hAnsi="Arial" w:cs="Arial"/>
          <w:sz w:val="24"/>
        </w:rPr>
      </w:pPr>
      <w:r>
        <w:rPr>
          <w:rFonts w:ascii="Arial" w:hAnsi="Arial" w:cs="Arial"/>
          <w:sz w:val="24"/>
        </w:rPr>
        <w:t>En México este fenómeno representa uno de los mayores riegos sociales del periodismo, lo cual a su vez deriva de una tendencia histórica que no ha podido revertirse con las reformas y ajustes en el andamiaje jurídico internacional y nacional.</w:t>
      </w:r>
    </w:p>
    <w:p w14:paraId="40E96FE5" w14:textId="77777777" w:rsidR="00687577" w:rsidRDefault="00687577">
      <w:pPr>
        <w:spacing w:before="240" w:line="360" w:lineRule="auto"/>
        <w:ind w:firstLine="709"/>
        <w:jc w:val="both"/>
        <w:rPr>
          <w:rFonts w:ascii="Arial" w:hAnsi="Arial" w:cs="Arial"/>
          <w:sz w:val="24"/>
        </w:rPr>
      </w:pPr>
      <w:r>
        <w:rPr>
          <w:rFonts w:ascii="Arial" w:hAnsi="Arial" w:cs="Arial"/>
          <w:sz w:val="24"/>
        </w:rPr>
        <w:t>Buendía y Esquivel (2018) explican qu</w:t>
      </w:r>
      <w:r w:rsidR="007808A0">
        <w:rPr>
          <w:rFonts w:ascii="Arial" w:hAnsi="Arial" w:cs="Arial"/>
          <w:sz w:val="24"/>
        </w:rPr>
        <w:t>e dicha tendencia se origina</w:t>
      </w:r>
      <w:r>
        <w:rPr>
          <w:rFonts w:ascii="Arial" w:hAnsi="Arial" w:cs="Arial"/>
          <w:sz w:val="24"/>
        </w:rPr>
        <w:t xml:space="preserve"> por la centralización del poder en una sola persona o grupo, lo cual a partir de la fundación y posterior consolidación del Partido Revolucionario Institucional (PRI) originó </w:t>
      </w:r>
      <w:r w:rsidR="00C3634E">
        <w:rPr>
          <w:rFonts w:ascii="Arial" w:hAnsi="Arial" w:cs="Arial"/>
          <w:sz w:val="24"/>
        </w:rPr>
        <w:t xml:space="preserve">en el ámbito de los medios de comunicación, </w:t>
      </w:r>
      <w:r>
        <w:rPr>
          <w:rFonts w:ascii="Arial" w:hAnsi="Arial" w:cs="Arial"/>
          <w:sz w:val="24"/>
        </w:rPr>
        <w:t>el modelo del llamado “periodismo oficialista”.</w:t>
      </w:r>
    </w:p>
    <w:p w14:paraId="56767663" w14:textId="1BEFFA03" w:rsidR="00687577" w:rsidRDefault="00687577" w:rsidP="00EB310F">
      <w:pPr>
        <w:spacing w:before="240" w:line="360" w:lineRule="auto"/>
        <w:ind w:left="708" w:firstLine="1"/>
        <w:jc w:val="both"/>
        <w:rPr>
          <w:rFonts w:ascii="Arial" w:hAnsi="Arial" w:cs="Arial"/>
          <w:sz w:val="24"/>
        </w:rPr>
      </w:pPr>
      <w:r>
        <w:rPr>
          <w:rFonts w:ascii="Arial" w:hAnsi="Arial" w:cs="Arial"/>
          <w:sz w:val="24"/>
        </w:rPr>
        <w:t>Algunas de sus características perduran ha</w:t>
      </w:r>
      <w:r w:rsidR="007808A0">
        <w:rPr>
          <w:rFonts w:ascii="Arial" w:hAnsi="Arial" w:cs="Arial"/>
          <w:sz w:val="24"/>
        </w:rPr>
        <w:t xml:space="preserve">sta la actualidad porque no se </w:t>
      </w:r>
      <w:r>
        <w:rPr>
          <w:rFonts w:ascii="Arial" w:hAnsi="Arial" w:cs="Arial"/>
          <w:sz w:val="24"/>
        </w:rPr>
        <w:t>desmontó toda la estructura corporativa del vínculo entre el poder, la prensa y los medios de comunicación. En su época de auge, los medios y sus directivos estuvieron sujetos a pautas de inserción, similares a las marcadas en otros sectores económicos y sociales, lo cual dio paso a una interacción entre el modelo corporativo-clientelar, los medios y la libertad de expresió</w:t>
      </w:r>
      <w:r w:rsidR="005514DE">
        <w:rPr>
          <w:rFonts w:ascii="Arial" w:hAnsi="Arial" w:cs="Arial"/>
          <w:sz w:val="24"/>
        </w:rPr>
        <w:t xml:space="preserve">n. (Buendia y Esquivel, 2018, p. </w:t>
      </w:r>
      <w:r>
        <w:rPr>
          <w:rFonts w:ascii="Arial" w:hAnsi="Arial" w:cs="Arial"/>
          <w:sz w:val="24"/>
        </w:rPr>
        <w:t>71)</w:t>
      </w:r>
    </w:p>
    <w:p w14:paraId="19A897C6" w14:textId="77777777" w:rsidR="00CD1004" w:rsidRDefault="00C3634E">
      <w:pPr>
        <w:spacing w:before="240" w:line="360" w:lineRule="auto"/>
        <w:ind w:firstLine="709"/>
        <w:jc w:val="both"/>
        <w:rPr>
          <w:rFonts w:ascii="Arial" w:hAnsi="Arial" w:cs="Arial"/>
          <w:sz w:val="24"/>
        </w:rPr>
      </w:pPr>
      <w:r>
        <w:rPr>
          <w:rFonts w:ascii="Arial" w:hAnsi="Arial" w:cs="Arial"/>
          <w:sz w:val="24"/>
        </w:rPr>
        <w:t>De manera particular este modelo configuró un escenario</w:t>
      </w:r>
      <w:r w:rsidR="00E34CAA">
        <w:rPr>
          <w:rFonts w:ascii="Arial" w:hAnsi="Arial" w:cs="Arial"/>
          <w:sz w:val="24"/>
        </w:rPr>
        <w:t>,</w:t>
      </w:r>
      <w:r>
        <w:rPr>
          <w:rFonts w:ascii="Arial" w:hAnsi="Arial" w:cs="Arial"/>
          <w:sz w:val="24"/>
        </w:rPr>
        <w:t xml:space="preserve"> donde el argumento de la libertad de expresión fue utilizado</w:t>
      </w:r>
      <w:r w:rsidR="00CD1004">
        <w:rPr>
          <w:rFonts w:ascii="Arial" w:hAnsi="Arial" w:cs="Arial"/>
          <w:sz w:val="24"/>
        </w:rPr>
        <w:t xml:space="preserve"> para construir un sistema</w:t>
      </w:r>
      <w:r>
        <w:rPr>
          <w:rFonts w:ascii="Arial" w:hAnsi="Arial" w:cs="Arial"/>
          <w:sz w:val="24"/>
        </w:rPr>
        <w:t xml:space="preserve"> económico rentable para el poder que maneja presupuesto</w:t>
      </w:r>
      <w:r w:rsidR="00CD1004">
        <w:rPr>
          <w:rFonts w:ascii="Arial" w:hAnsi="Arial" w:cs="Arial"/>
          <w:sz w:val="24"/>
        </w:rPr>
        <w:t>s</w:t>
      </w:r>
      <w:r>
        <w:rPr>
          <w:rFonts w:ascii="Arial" w:hAnsi="Arial" w:cs="Arial"/>
          <w:sz w:val="24"/>
        </w:rPr>
        <w:t xml:space="preserve"> públicos, y a la vez benéfico para las empresas de los medios de comunicaci</w:t>
      </w:r>
      <w:r w:rsidR="00CD1004">
        <w:rPr>
          <w:rFonts w:ascii="Arial" w:hAnsi="Arial" w:cs="Arial"/>
          <w:sz w:val="24"/>
        </w:rPr>
        <w:t>ón, quienes contaron con un factor de legitimidad para garantizar su propia sobrevivencia.</w:t>
      </w:r>
    </w:p>
    <w:p w14:paraId="73D3384E" w14:textId="77777777" w:rsidR="00C3634E" w:rsidRDefault="00CD1004">
      <w:pPr>
        <w:spacing w:before="240" w:line="360" w:lineRule="auto"/>
        <w:ind w:firstLine="709"/>
        <w:jc w:val="both"/>
        <w:rPr>
          <w:rFonts w:ascii="Arial" w:hAnsi="Arial" w:cs="Arial"/>
          <w:sz w:val="24"/>
        </w:rPr>
      </w:pPr>
      <w:r>
        <w:rPr>
          <w:rFonts w:ascii="Arial" w:hAnsi="Arial" w:cs="Arial"/>
          <w:sz w:val="24"/>
        </w:rPr>
        <w:t xml:space="preserve">Sin embargo, la relación corporativo-clientelar, de la cual hablan los citados autores, coloca al periodismo, como manifestación primaria de la libertad de expresión, </w:t>
      </w:r>
      <w:r w:rsidR="000C5284">
        <w:rPr>
          <w:rFonts w:ascii="Arial" w:hAnsi="Arial" w:cs="Arial"/>
          <w:sz w:val="24"/>
        </w:rPr>
        <w:t>en una posición de vulnerabilidad, al estar sujeta a intereses económicos y políticos.</w:t>
      </w:r>
    </w:p>
    <w:p w14:paraId="0923FD14" w14:textId="77777777" w:rsidR="00687577" w:rsidRDefault="000C5284">
      <w:pPr>
        <w:spacing w:before="240" w:line="360" w:lineRule="auto"/>
        <w:ind w:firstLine="709"/>
        <w:jc w:val="both"/>
        <w:rPr>
          <w:rFonts w:ascii="Arial" w:hAnsi="Arial" w:cs="Arial"/>
          <w:sz w:val="24"/>
        </w:rPr>
      </w:pPr>
      <w:r>
        <w:rPr>
          <w:rFonts w:ascii="Arial" w:hAnsi="Arial" w:cs="Arial"/>
          <w:sz w:val="24"/>
        </w:rPr>
        <w:t>Es así que o</w:t>
      </w:r>
      <w:r w:rsidR="00687577">
        <w:rPr>
          <w:rFonts w:ascii="Arial" w:hAnsi="Arial" w:cs="Arial"/>
          <w:sz w:val="24"/>
        </w:rPr>
        <w:t>tros rasgos de este “periodismo oficialista” lo constituyen la amplificación de las preocupaciones de los actores políticos en medios de comunicación, centralización de la información, gasto discrecional en materia de publicidad, y compensaciones extra laborales a periodi</w:t>
      </w:r>
      <w:r w:rsidR="007808A0">
        <w:rPr>
          <w:rFonts w:ascii="Arial" w:hAnsi="Arial" w:cs="Arial"/>
          <w:sz w:val="24"/>
        </w:rPr>
        <w:t>stas vía el presupuesto público</w:t>
      </w:r>
      <w:r w:rsidR="007808A0">
        <w:rPr>
          <w:rStyle w:val="Refdenotaalpie"/>
          <w:rFonts w:ascii="Arial" w:hAnsi="Arial" w:cs="Arial"/>
          <w:sz w:val="24"/>
        </w:rPr>
        <w:footnoteReference w:id="29"/>
      </w:r>
      <w:r w:rsidR="00687577">
        <w:rPr>
          <w:rFonts w:ascii="Arial" w:hAnsi="Arial" w:cs="Arial"/>
          <w:sz w:val="24"/>
        </w:rPr>
        <w:t>, l</w:t>
      </w:r>
      <w:r>
        <w:rPr>
          <w:rFonts w:ascii="Arial" w:hAnsi="Arial" w:cs="Arial"/>
          <w:sz w:val="24"/>
        </w:rPr>
        <w:t>o cual favorece</w:t>
      </w:r>
      <w:r w:rsidR="00687577">
        <w:rPr>
          <w:rFonts w:ascii="Arial" w:hAnsi="Arial" w:cs="Arial"/>
          <w:sz w:val="24"/>
        </w:rPr>
        <w:t xml:space="preserve"> a los poderes públicos y empresariales</w:t>
      </w:r>
      <w:r>
        <w:rPr>
          <w:rFonts w:ascii="Arial" w:hAnsi="Arial" w:cs="Arial"/>
          <w:sz w:val="24"/>
        </w:rPr>
        <w:t xml:space="preserve"> de los medios de comunicación, pero no al ejercicio periodístico.</w:t>
      </w:r>
    </w:p>
    <w:p w14:paraId="44B09BBE" w14:textId="77777777" w:rsidR="00687577" w:rsidRDefault="00687577">
      <w:pPr>
        <w:spacing w:before="240" w:line="360" w:lineRule="auto"/>
        <w:ind w:firstLine="709"/>
        <w:jc w:val="both"/>
        <w:rPr>
          <w:rFonts w:ascii="Arial" w:hAnsi="Arial" w:cs="Arial"/>
          <w:sz w:val="24"/>
        </w:rPr>
      </w:pPr>
      <w:r>
        <w:rPr>
          <w:rFonts w:ascii="Arial" w:hAnsi="Arial" w:cs="Arial"/>
          <w:sz w:val="24"/>
        </w:rPr>
        <w:t>Con los cambios políticos registrados en México a partir del movimiento estudiantil de 1968 que buscó generar mayores libertades políticas, la posterior reforma política de 1977 que incluyó el derecho a la información, y la alternancia democrática iniciada en el año 2000, se comenzaron a gestar los cambios y ajustes en el subsistema jurídico para institucionalizar conceptos como la transparencia, rendición de cuentas y derecho de acceso a la información pública, que podrían considera</w:t>
      </w:r>
      <w:r w:rsidR="007808A0">
        <w:rPr>
          <w:rFonts w:ascii="Arial" w:hAnsi="Arial" w:cs="Arial"/>
          <w:sz w:val="24"/>
        </w:rPr>
        <w:t>r</w:t>
      </w:r>
      <w:r>
        <w:rPr>
          <w:rFonts w:ascii="Arial" w:hAnsi="Arial" w:cs="Arial"/>
          <w:sz w:val="24"/>
        </w:rPr>
        <w:t>se una triada democrática que fortalece al ejercicio periodístico.</w:t>
      </w:r>
    </w:p>
    <w:p w14:paraId="465399B2" w14:textId="125FE510" w:rsidR="00687577" w:rsidRDefault="00687577">
      <w:pPr>
        <w:spacing w:before="240" w:line="360" w:lineRule="auto"/>
        <w:ind w:firstLine="709"/>
        <w:jc w:val="both"/>
        <w:rPr>
          <w:rFonts w:ascii="Arial" w:hAnsi="Arial" w:cs="Arial"/>
          <w:sz w:val="24"/>
        </w:rPr>
      </w:pPr>
      <w:r>
        <w:rPr>
          <w:rFonts w:ascii="Arial" w:hAnsi="Arial" w:cs="Arial"/>
          <w:sz w:val="24"/>
        </w:rPr>
        <w:t>Sin embargo</w:t>
      </w:r>
      <w:r w:rsidR="000C5284">
        <w:rPr>
          <w:rFonts w:ascii="Arial" w:hAnsi="Arial" w:cs="Arial"/>
          <w:sz w:val="24"/>
        </w:rPr>
        <w:t>, prevalece la citada</w:t>
      </w:r>
      <w:r>
        <w:rPr>
          <w:rFonts w:ascii="Arial" w:hAnsi="Arial" w:cs="Arial"/>
          <w:sz w:val="24"/>
        </w:rPr>
        <w:t xml:space="preserve"> herencia histórica</w:t>
      </w:r>
      <w:r w:rsidR="000C5284">
        <w:rPr>
          <w:rFonts w:ascii="Arial" w:hAnsi="Arial" w:cs="Arial"/>
          <w:sz w:val="24"/>
        </w:rPr>
        <w:t>,</w:t>
      </w:r>
      <w:r>
        <w:rPr>
          <w:rFonts w:ascii="Arial" w:hAnsi="Arial" w:cs="Arial"/>
          <w:sz w:val="24"/>
        </w:rPr>
        <w:t xml:space="preserve"> sustentada en estructuras políticas y culturales que no han sido modificadas, y que por el contrario tienden a mantener el modelo del “periodismo oficialista”, lo cual se agrava en las entidades del país que no han experimentado la alternancia electoral en sus </w:t>
      </w:r>
      <w:r w:rsidR="001A1C2B">
        <w:rPr>
          <w:rFonts w:ascii="Arial" w:hAnsi="Arial" w:cs="Arial"/>
          <w:sz w:val="24"/>
        </w:rPr>
        <w:t>respectivos gobiernos estatales, aunque este factor no necesariamente conduce a la construcción de un modelo distinto.</w:t>
      </w:r>
    </w:p>
    <w:p w14:paraId="103C1B0F" w14:textId="77777777" w:rsidR="00687577" w:rsidRDefault="00687577">
      <w:pPr>
        <w:spacing w:before="240" w:line="360" w:lineRule="auto"/>
        <w:ind w:firstLine="709"/>
        <w:jc w:val="both"/>
        <w:rPr>
          <w:rFonts w:ascii="Arial" w:hAnsi="Arial" w:cs="Arial"/>
          <w:sz w:val="24"/>
        </w:rPr>
      </w:pPr>
      <w:r>
        <w:rPr>
          <w:rFonts w:ascii="Arial" w:hAnsi="Arial" w:cs="Arial"/>
          <w:sz w:val="24"/>
        </w:rPr>
        <w:t>Maldonado (2017) señala que en México la relación entre poder y medios de comunicación puede describirse a partir de un clientelismo mediático, donde la dependencia económica hacia los presupuestos públicos fortalece la reproducción de las versiones institucionales.</w:t>
      </w:r>
    </w:p>
    <w:p w14:paraId="6CE6B64F" w14:textId="1C0CCE01" w:rsidR="00687577" w:rsidRDefault="00687577" w:rsidP="00EB310F">
      <w:pPr>
        <w:spacing w:before="240" w:line="360" w:lineRule="auto"/>
        <w:ind w:left="708" w:firstLine="1"/>
        <w:jc w:val="both"/>
        <w:rPr>
          <w:rFonts w:ascii="Arial" w:hAnsi="Arial" w:cs="Arial"/>
          <w:sz w:val="24"/>
        </w:rPr>
      </w:pPr>
      <w:r>
        <w:rPr>
          <w:rFonts w:ascii="Arial" w:hAnsi="Arial" w:cs="Arial"/>
          <w:sz w:val="24"/>
        </w:rPr>
        <w:t>El poder político intercambia con su cliente ayuda, protección institucional y regalías por apoyo político-electoral, mientras en el clientelismo en los medios el poder político asigna recursos públicos a través de la publicidad oficial a cambio de cobertura informativa favorable, sin que exista un contrato de por medio. De su parte, medios y periodistas acuerdan con el poder político por recursos materiales o inmateriales que se hace llamar “Ayudas, apoyos o favores”. Es decir, dinero, trámites o</w:t>
      </w:r>
      <w:r w:rsidR="005514DE">
        <w:rPr>
          <w:rFonts w:ascii="Arial" w:hAnsi="Arial" w:cs="Arial"/>
          <w:sz w:val="24"/>
        </w:rPr>
        <w:t xml:space="preserve"> servicios. (Maldonado, 2017, p. </w:t>
      </w:r>
      <w:r>
        <w:rPr>
          <w:rFonts w:ascii="Arial" w:hAnsi="Arial" w:cs="Arial"/>
          <w:sz w:val="24"/>
        </w:rPr>
        <w:t>47)</w:t>
      </w:r>
    </w:p>
    <w:p w14:paraId="69ECE6D0" w14:textId="1E2105B0" w:rsidR="006C54A9" w:rsidRDefault="006C54A9">
      <w:pPr>
        <w:spacing w:before="240" w:line="360" w:lineRule="auto"/>
        <w:ind w:firstLine="709"/>
        <w:jc w:val="both"/>
        <w:rPr>
          <w:rFonts w:ascii="Arial" w:hAnsi="Arial" w:cs="Arial"/>
          <w:sz w:val="24"/>
        </w:rPr>
      </w:pPr>
      <w:r>
        <w:rPr>
          <w:rFonts w:ascii="Arial" w:hAnsi="Arial" w:cs="Arial"/>
          <w:sz w:val="24"/>
        </w:rPr>
        <w:t>En su investigación</w:t>
      </w:r>
      <w:r w:rsidR="00DC555B">
        <w:rPr>
          <w:rFonts w:ascii="Arial" w:hAnsi="Arial" w:cs="Arial"/>
          <w:sz w:val="24"/>
        </w:rPr>
        <w:t>,</w:t>
      </w:r>
      <w:r>
        <w:rPr>
          <w:rFonts w:ascii="Arial" w:hAnsi="Arial" w:cs="Arial"/>
          <w:sz w:val="24"/>
        </w:rPr>
        <w:t xml:space="preserve"> Maldonado </w:t>
      </w:r>
      <w:r w:rsidR="00DC555B">
        <w:rPr>
          <w:rFonts w:ascii="Arial" w:hAnsi="Arial" w:cs="Arial"/>
          <w:sz w:val="24"/>
        </w:rPr>
        <w:t xml:space="preserve">describe esa relación clientelar a través de entrevistas con periodistas del Estado de México, quienes </w:t>
      </w:r>
      <w:r w:rsidR="00EC3D2C">
        <w:rPr>
          <w:rFonts w:ascii="Arial" w:hAnsi="Arial" w:cs="Arial"/>
          <w:sz w:val="24"/>
        </w:rPr>
        <w:t>refieren una serie de limitaciones y riesgos</w:t>
      </w:r>
      <w:r w:rsidR="0002737A">
        <w:rPr>
          <w:rFonts w:ascii="Arial" w:hAnsi="Arial" w:cs="Arial"/>
          <w:sz w:val="24"/>
        </w:rPr>
        <w:t xml:space="preserve"> sociales</w:t>
      </w:r>
      <w:r w:rsidR="00EC3D2C">
        <w:rPr>
          <w:rFonts w:ascii="Arial" w:hAnsi="Arial" w:cs="Arial"/>
          <w:sz w:val="24"/>
        </w:rPr>
        <w:t xml:space="preserve"> que viven a partir de la subordinación econ</w:t>
      </w:r>
      <w:r w:rsidR="0002737A">
        <w:rPr>
          <w:rFonts w:ascii="Arial" w:hAnsi="Arial" w:cs="Arial"/>
          <w:sz w:val="24"/>
        </w:rPr>
        <w:t xml:space="preserve">ómica de las </w:t>
      </w:r>
      <w:r w:rsidR="00EC3D2C">
        <w:rPr>
          <w:rFonts w:ascii="Arial" w:hAnsi="Arial" w:cs="Arial"/>
          <w:sz w:val="24"/>
        </w:rPr>
        <w:t>empresas donde laboran</w:t>
      </w:r>
      <w:r w:rsidR="007E69E5">
        <w:rPr>
          <w:rFonts w:ascii="Arial" w:hAnsi="Arial" w:cs="Arial"/>
          <w:sz w:val="24"/>
        </w:rPr>
        <w:t>, respecto del poder público,</w:t>
      </w:r>
      <w:r w:rsidR="00EC3D2C">
        <w:rPr>
          <w:rFonts w:ascii="Arial" w:hAnsi="Arial" w:cs="Arial"/>
          <w:sz w:val="24"/>
        </w:rPr>
        <w:t xml:space="preserve"> o en lo individual como periodistas.</w:t>
      </w:r>
      <w:r w:rsidR="0047523C">
        <w:rPr>
          <w:rStyle w:val="Refdenotaalpie"/>
          <w:rFonts w:ascii="Arial" w:hAnsi="Arial" w:cs="Arial"/>
          <w:sz w:val="24"/>
        </w:rPr>
        <w:footnoteReference w:id="30"/>
      </w:r>
    </w:p>
    <w:p w14:paraId="405FABFA" w14:textId="77777777" w:rsidR="00450910" w:rsidRDefault="007E69E5" w:rsidP="00450910">
      <w:pPr>
        <w:spacing w:before="240" w:line="360" w:lineRule="auto"/>
        <w:ind w:firstLine="709"/>
        <w:jc w:val="both"/>
        <w:rPr>
          <w:rFonts w:ascii="Arial" w:hAnsi="Arial" w:cs="Arial"/>
          <w:sz w:val="24"/>
        </w:rPr>
      </w:pPr>
      <w:r>
        <w:rPr>
          <w:rFonts w:ascii="Arial" w:hAnsi="Arial" w:cs="Arial"/>
          <w:sz w:val="24"/>
        </w:rPr>
        <w:t>Limitaciones que se focalizan en su ejercicio periodístico, es decir, la tipología de esta profesión se ve alterada por un entorno económico adverso, lo cual configura una línea editorial sustentada en la sobreviv</w:t>
      </w:r>
      <w:r w:rsidR="00615D96">
        <w:rPr>
          <w:rFonts w:ascii="Arial" w:hAnsi="Arial" w:cs="Arial"/>
          <w:sz w:val="24"/>
        </w:rPr>
        <w:t>encia financiera del periodismo y no en la generación de coberturas que tiendan a ampliar visiones unilaterales e institucionales.</w:t>
      </w:r>
      <w:r w:rsidR="00615D96">
        <w:rPr>
          <w:rStyle w:val="Refdenotaalpie"/>
          <w:rFonts w:ascii="Arial" w:hAnsi="Arial" w:cs="Arial"/>
          <w:sz w:val="24"/>
        </w:rPr>
        <w:footnoteReference w:id="31"/>
      </w:r>
    </w:p>
    <w:p w14:paraId="31557DAC" w14:textId="77777777" w:rsidR="00450910" w:rsidRDefault="00450910" w:rsidP="00EB310F">
      <w:pPr>
        <w:spacing w:before="240" w:line="360" w:lineRule="auto"/>
        <w:ind w:left="708" w:firstLine="1"/>
        <w:jc w:val="both"/>
        <w:rPr>
          <w:rFonts w:ascii="Arial" w:hAnsi="Arial" w:cs="Arial"/>
          <w:sz w:val="24"/>
          <w:szCs w:val="24"/>
        </w:rPr>
      </w:pPr>
      <w:r w:rsidRPr="00450910">
        <w:rPr>
          <w:rFonts w:ascii="Arial" w:hAnsi="Arial" w:cs="Arial"/>
          <w:sz w:val="24"/>
          <w:szCs w:val="24"/>
        </w:rPr>
        <w:t>La relación clientelar mediática se entabla de manera voluntaria, sin acuerdo formal ni fecha de caducidad. Patrón y cliente se conocen y confían entre sí, se apoyan. Así lo acuerda en periodos preelectorales, electorales y postelectorales, y lo concretan una vez llegado el primero al encargo polít</w:t>
      </w:r>
      <w:r>
        <w:rPr>
          <w:rFonts w:ascii="Arial" w:hAnsi="Arial" w:cs="Arial"/>
          <w:sz w:val="24"/>
          <w:szCs w:val="24"/>
        </w:rPr>
        <w:t xml:space="preserve">ico.  Esta relación es también </w:t>
      </w:r>
      <w:r w:rsidRPr="00450910">
        <w:rPr>
          <w:rFonts w:ascii="Arial" w:hAnsi="Arial" w:cs="Arial"/>
          <w:sz w:val="24"/>
          <w:szCs w:val="24"/>
        </w:rPr>
        <w:t>excluyente y selectiva pues no están todos los medios ni todos obtienen por igual.  Por otro lado, se trata de un vínculo que interfiere en los principi</w:t>
      </w:r>
      <w:r>
        <w:rPr>
          <w:rFonts w:ascii="Arial" w:hAnsi="Arial" w:cs="Arial"/>
          <w:sz w:val="24"/>
          <w:szCs w:val="24"/>
        </w:rPr>
        <w:t xml:space="preserve">os profesionales y </w:t>
      </w:r>
      <w:r w:rsidRPr="00450910">
        <w:rPr>
          <w:rFonts w:ascii="Arial" w:hAnsi="Arial" w:cs="Arial"/>
          <w:sz w:val="24"/>
          <w:szCs w:val="24"/>
        </w:rPr>
        <w:t xml:space="preserve">personales en razón de sobrevivencia y permanencia en el sistema de prensa. </w:t>
      </w:r>
      <w:r>
        <w:rPr>
          <w:rFonts w:ascii="Arial" w:hAnsi="Arial" w:cs="Arial"/>
          <w:sz w:val="24"/>
          <w:szCs w:val="24"/>
        </w:rPr>
        <w:t>(Maldonado, 2017, p:</w:t>
      </w:r>
      <w:r w:rsidR="004D3AD0">
        <w:rPr>
          <w:rFonts w:ascii="Arial" w:hAnsi="Arial" w:cs="Arial"/>
          <w:sz w:val="24"/>
          <w:szCs w:val="24"/>
        </w:rPr>
        <w:t>167)</w:t>
      </w:r>
    </w:p>
    <w:p w14:paraId="37C2FFE2" w14:textId="77777777" w:rsidR="004358DB" w:rsidRDefault="00A72374" w:rsidP="00450910">
      <w:pPr>
        <w:spacing w:before="240" w:line="360" w:lineRule="auto"/>
        <w:ind w:firstLine="709"/>
        <w:jc w:val="both"/>
        <w:rPr>
          <w:rFonts w:ascii="Arial" w:hAnsi="Arial" w:cs="Arial"/>
          <w:sz w:val="24"/>
        </w:rPr>
      </w:pPr>
      <w:r>
        <w:rPr>
          <w:rFonts w:ascii="Arial" w:hAnsi="Arial" w:cs="Arial"/>
          <w:sz w:val="24"/>
        </w:rPr>
        <w:t>En ese engranaje del referido clientelismo, la autora advierte distintas variables como la asignación discrecional de los presupuestos públicos en materia de publicidad, los bajos sueldos ofrecidos por las empresas de comunicación, la perversión de la relación entre periodistas y poder público</w:t>
      </w:r>
      <w:r w:rsidR="004842C2">
        <w:rPr>
          <w:rFonts w:ascii="Arial" w:hAnsi="Arial" w:cs="Arial"/>
          <w:sz w:val="24"/>
        </w:rPr>
        <w:t>,</w:t>
      </w:r>
      <w:r>
        <w:rPr>
          <w:rFonts w:ascii="Arial" w:hAnsi="Arial" w:cs="Arial"/>
          <w:sz w:val="24"/>
        </w:rPr>
        <w:t xml:space="preserve"> y la ausencia de crítica periodística que provocan los anteriore</w:t>
      </w:r>
      <w:r w:rsidR="004842C2">
        <w:rPr>
          <w:rFonts w:ascii="Arial" w:hAnsi="Arial" w:cs="Arial"/>
          <w:sz w:val="24"/>
        </w:rPr>
        <w:t xml:space="preserve">s factores, mismos que revelan </w:t>
      </w:r>
      <w:r>
        <w:rPr>
          <w:rFonts w:ascii="Arial" w:hAnsi="Arial" w:cs="Arial"/>
          <w:sz w:val="24"/>
        </w:rPr>
        <w:t>l</w:t>
      </w:r>
      <w:r w:rsidR="004842C2">
        <w:rPr>
          <w:rFonts w:ascii="Arial" w:hAnsi="Arial" w:cs="Arial"/>
          <w:sz w:val="24"/>
        </w:rPr>
        <w:t>a</w:t>
      </w:r>
      <w:r>
        <w:rPr>
          <w:rFonts w:ascii="Arial" w:hAnsi="Arial" w:cs="Arial"/>
          <w:sz w:val="24"/>
        </w:rPr>
        <w:t xml:space="preserve"> entropía que</w:t>
      </w:r>
      <w:r w:rsidR="004842C2">
        <w:rPr>
          <w:rFonts w:ascii="Arial" w:hAnsi="Arial" w:cs="Arial"/>
          <w:sz w:val="24"/>
        </w:rPr>
        <w:t xml:space="preserve"> se genera cuando un derecho humano, como la libertad de expresión, es reducido a un elemento utilitario en los subsistemas político y cultural. </w:t>
      </w:r>
    </w:p>
    <w:p w14:paraId="4EDF571E" w14:textId="6DFA1331" w:rsidR="00783F8B" w:rsidRPr="00450910" w:rsidRDefault="00C60642" w:rsidP="00450910">
      <w:pPr>
        <w:spacing w:before="240" w:line="360" w:lineRule="auto"/>
        <w:ind w:firstLine="709"/>
        <w:jc w:val="both"/>
        <w:rPr>
          <w:rFonts w:ascii="Arial" w:hAnsi="Arial" w:cs="Arial"/>
          <w:sz w:val="24"/>
        </w:rPr>
      </w:pPr>
      <w:r>
        <w:rPr>
          <w:rFonts w:ascii="Arial" w:hAnsi="Arial" w:cs="Arial"/>
          <w:sz w:val="24"/>
        </w:rPr>
        <w:t xml:space="preserve">Tal entropía también está sustentada en </w:t>
      </w:r>
      <w:r w:rsidR="00115A1D">
        <w:rPr>
          <w:rFonts w:ascii="Arial" w:hAnsi="Arial" w:cs="Arial"/>
          <w:sz w:val="24"/>
        </w:rPr>
        <w:t>que el poder público, desde el subsistema político y cultural, no ha dimensionado correctamente la función social del ejercicio periodístico, ni le ha otorgado</w:t>
      </w:r>
      <w:r w:rsidR="006835C2">
        <w:rPr>
          <w:rFonts w:ascii="Arial" w:hAnsi="Arial" w:cs="Arial"/>
          <w:sz w:val="24"/>
        </w:rPr>
        <w:t>,</w:t>
      </w:r>
      <w:r w:rsidR="00115A1D">
        <w:rPr>
          <w:rFonts w:ascii="Arial" w:hAnsi="Arial" w:cs="Arial"/>
          <w:sz w:val="24"/>
        </w:rPr>
        <w:t xml:space="preserve"> en la instrumentación de políticas públicas</w:t>
      </w:r>
      <w:r w:rsidR="006835C2">
        <w:rPr>
          <w:rFonts w:ascii="Arial" w:hAnsi="Arial" w:cs="Arial"/>
          <w:sz w:val="24"/>
        </w:rPr>
        <w:t>,</w:t>
      </w:r>
      <w:r w:rsidR="00115A1D">
        <w:rPr>
          <w:rFonts w:ascii="Arial" w:hAnsi="Arial" w:cs="Arial"/>
          <w:sz w:val="24"/>
        </w:rPr>
        <w:t xml:space="preserve"> el car</w:t>
      </w:r>
      <w:r w:rsidR="006A6846">
        <w:rPr>
          <w:rFonts w:ascii="Arial" w:hAnsi="Arial" w:cs="Arial"/>
          <w:sz w:val="24"/>
        </w:rPr>
        <w:t>ácter de un derecho humano. P</w:t>
      </w:r>
      <w:r w:rsidR="00115A1D">
        <w:rPr>
          <w:rFonts w:ascii="Arial" w:hAnsi="Arial" w:cs="Arial"/>
          <w:sz w:val="24"/>
        </w:rPr>
        <w:t xml:space="preserve">or el contrario, lo confunde con la propaganda y la difusión institucional, lo cual </w:t>
      </w:r>
      <w:r w:rsidR="00B93EEE">
        <w:rPr>
          <w:rFonts w:ascii="Arial" w:hAnsi="Arial" w:cs="Arial"/>
          <w:sz w:val="24"/>
        </w:rPr>
        <w:t>en el caso de México es causa y efecto</w:t>
      </w:r>
      <w:r w:rsidR="00115A1D">
        <w:rPr>
          <w:rFonts w:ascii="Arial" w:hAnsi="Arial" w:cs="Arial"/>
          <w:sz w:val="24"/>
        </w:rPr>
        <w:t xml:space="preserve"> del multicitado modelo de “periodismo oficialista”.</w:t>
      </w:r>
    </w:p>
    <w:p w14:paraId="50A29B6C" w14:textId="3E955CCF" w:rsidR="007E74F7" w:rsidRDefault="00B93EEE" w:rsidP="007E74F7">
      <w:pPr>
        <w:spacing w:before="240" w:line="360" w:lineRule="auto"/>
        <w:ind w:firstLine="709"/>
        <w:jc w:val="both"/>
        <w:rPr>
          <w:rFonts w:ascii="Arial" w:hAnsi="Arial" w:cs="Arial"/>
          <w:sz w:val="24"/>
          <w:szCs w:val="24"/>
        </w:rPr>
      </w:pPr>
      <w:r>
        <w:rPr>
          <w:rFonts w:ascii="Arial" w:hAnsi="Arial" w:cs="Arial"/>
          <w:sz w:val="24"/>
        </w:rPr>
        <w:t>Tal situación también la podemos explicar</w:t>
      </w:r>
      <w:r w:rsidR="007E74F7">
        <w:rPr>
          <w:rFonts w:ascii="Arial" w:hAnsi="Arial" w:cs="Arial"/>
          <w:sz w:val="24"/>
        </w:rPr>
        <w:t xml:space="preserve"> desde la definición de </w:t>
      </w:r>
      <w:r w:rsidR="007E74F7">
        <w:rPr>
          <w:rFonts w:ascii="Arial" w:hAnsi="Arial" w:cs="Arial"/>
          <w:sz w:val="24"/>
          <w:szCs w:val="24"/>
        </w:rPr>
        <w:t xml:space="preserve">Foucault, </w:t>
      </w:r>
      <w:r>
        <w:rPr>
          <w:rFonts w:ascii="Arial" w:hAnsi="Arial" w:cs="Arial"/>
          <w:sz w:val="24"/>
          <w:szCs w:val="24"/>
        </w:rPr>
        <w:t xml:space="preserve">quien señala </w:t>
      </w:r>
      <w:r w:rsidR="007E74F7">
        <w:rPr>
          <w:rFonts w:ascii="Arial" w:hAnsi="Arial" w:cs="Arial"/>
          <w:sz w:val="24"/>
          <w:szCs w:val="24"/>
        </w:rPr>
        <w:t>los distintos roles de poder que interactúan en el sistema</w:t>
      </w:r>
      <w:r w:rsidR="00DD5D74">
        <w:rPr>
          <w:rFonts w:ascii="Arial" w:hAnsi="Arial" w:cs="Arial"/>
          <w:sz w:val="24"/>
          <w:szCs w:val="24"/>
        </w:rPr>
        <w:t xml:space="preserve"> social</w:t>
      </w:r>
      <w:r>
        <w:rPr>
          <w:rFonts w:ascii="Arial" w:hAnsi="Arial" w:cs="Arial"/>
          <w:sz w:val="24"/>
          <w:szCs w:val="24"/>
        </w:rPr>
        <w:t>, los cuales obligarían</w:t>
      </w:r>
      <w:r w:rsidR="00DD5D74">
        <w:rPr>
          <w:rFonts w:ascii="Arial" w:hAnsi="Arial" w:cs="Arial"/>
          <w:sz w:val="24"/>
          <w:szCs w:val="24"/>
        </w:rPr>
        <w:t xml:space="preserve"> a su</w:t>
      </w:r>
      <w:r w:rsidR="007E74F7">
        <w:rPr>
          <w:rFonts w:ascii="Arial" w:hAnsi="Arial" w:cs="Arial"/>
          <w:sz w:val="24"/>
          <w:szCs w:val="24"/>
        </w:rPr>
        <w:t xml:space="preserve"> propia preservación, para lo cual </w:t>
      </w:r>
      <w:r>
        <w:rPr>
          <w:rFonts w:ascii="Arial" w:hAnsi="Arial" w:cs="Arial"/>
          <w:sz w:val="24"/>
          <w:szCs w:val="24"/>
        </w:rPr>
        <w:t>el poder público hace uso de todos los</w:t>
      </w:r>
      <w:r w:rsidR="007E74F7">
        <w:rPr>
          <w:rFonts w:ascii="Arial" w:hAnsi="Arial" w:cs="Arial"/>
          <w:sz w:val="24"/>
          <w:szCs w:val="24"/>
        </w:rPr>
        <w:t xml:space="preserve"> recursos su alcance. </w:t>
      </w:r>
    </w:p>
    <w:p w14:paraId="139A3F6E" w14:textId="349B3B95" w:rsidR="007E74F7" w:rsidRDefault="007E74F7" w:rsidP="00EB310F">
      <w:pPr>
        <w:spacing w:before="240" w:line="360" w:lineRule="auto"/>
        <w:ind w:left="708" w:firstLine="1"/>
        <w:jc w:val="both"/>
        <w:rPr>
          <w:rFonts w:ascii="Arial" w:hAnsi="Arial" w:cs="Arial"/>
          <w:sz w:val="24"/>
        </w:rPr>
      </w:pPr>
      <w:r w:rsidRPr="007E74F7">
        <w:rPr>
          <w:rFonts w:ascii="Arial" w:hAnsi="Arial" w:cs="Arial"/>
          <w:sz w:val="24"/>
          <w:szCs w:val="24"/>
        </w:rPr>
        <w:t>Los obstáculos a la libertad de expresión, de prensa y el desarrollo político en México no sólo han sido resultado tangencial del desarrollo político, tecnológico e incluso económico, sino que forman parte de las estrategias por mantener el poder y el control de los cambios, aun cuando sus consecuencias no hayan sido previstas. Vale la pena analizar las características de la relación entre los medios de comunicación con el poder político y gubernamental, así como los cambios institucionales que trajeron consigo las transformaciones políticas, y permitieron el avance del pluralismo y la competencia.</w:t>
      </w:r>
      <w:r>
        <w:rPr>
          <w:rFonts w:ascii="Arial" w:hAnsi="Arial" w:cs="Arial"/>
          <w:sz w:val="24"/>
          <w:szCs w:val="24"/>
        </w:rPr>
        <w:t xml:space="preserve"> (</w:t>
      </w:r>
      <w:r w:rsidR="005514DE">
        <w:rPr>
          <w:rFonts w:ascii="Arial" w:hAnsi="Arial" w:cs="Arial"/>
          <w:sz w:val="24"/>
        </w:rPr>
        <w:t>Buendia y Esquivel, 2018, p. 80)</w:t>
      </w:r>
    </w:p>
    <w:p w14:paraId="6513354E" w14:textId="64649ED0" w:rsidR="00304BE1" w:rsidRDefault="00E40A22" w:rsidP="007E74F7">
      <w:pPr>
        <w:spacing w:before="240" w:line="360" w:lineRule="auto"/>
        <w:ind w:firstLine="709"/>
        <w:jc w:val="both"/>
        <w:rPr>
          <w:rFonts w:ascii="Arial" w:hAnsi="Arial" w:cs="Arial"/>
          <w:sz w:val="24"/>
        </w:rPr>
      </w:pPr>
      <w:r>
        <w:rPr>
          <w:rFonts w:ascii="Arial" w:hAnsi="Arial" w:cs="Arial"/>
          <w:sz w:val="24"/>
        </w:rPr>
        <w:t>Y e</w:t>
      </w:r>
      <w:r w:rsidR="00DD5D74">
        <w:rPr>
          <w:rFonts w:ascii="Arial" w:hAnsi="Arial" w:cs="Arial"/>
          <w:sz w:val="24"/>
        </w:rPr>
        <w:t>l principal recurso del cual hace uso el poder público para mantener este control, lo constituyen los presupuestos públicos en materia de publicidad</w:t>
      </w:r>
      <w:r w:rsidR="00304BE1">
        <w:rPr>
          <w:rFonts w:ascii="Arial" w:hAnsi="Arial" w:cs="Arial"/>
          <w:sz w:val="24"/>
        </w:rPr>
        <w:t xml:space="preserve">, pero no necesariamente por el hecho de financiar, vía convenios publicitarios, a los medios de comunicación, sino porque no existen reglas claras para dichas asignaciones presupuestales, lo cual provoca </w:t>
      </w:r>
      <w:r w:rsidR="00F45E53">
        <w:rPr>
          <w:rFonts w:ascii="Arial" w:hAnsi="Arial" w:cs="Arial"/>
          <w:sz w:val="24"/>
        </w:rPr>
        <w:t>el multicitado clientelismo mediático.</w:t>
      </w:r>
    </w:p>
    <w:p w14:paraId="56456C86" w14:textId="7A373AE8" w:rsidR="00304BE1" w:rsidRDefault="00304BE1" w:rsidP="007E74F7">
      <w:pPr>
        <w:spacing w:before="240" w:line="360" w:lineRule="auto"/>
        <w:ind w:firstLine="709"/>
        <w:jc w:val="both"/>
        <w:rPr>
          <w:rFonts w:ascii="Arial" w:hAnsi="Arial" w:cs="Arial"/>
          <w:sz w:val="24"/>
        </w:rPr>
      </w:pPr>
      <w:r>
        <w:rPr>
          <w:rFonts w:ascii="Arial" w:hAnsi="Arial" w:cs="Arial"/>
          <w:sz w:val="24"/>
        </w:rPr>
        <w:t xml:space="preserve"> </w:t>
      </w:r>
      <w:r w:rsidR="00F45E53">
        <w:rPr>
          <w:rFonts w:ascii="Arial" w:hAnsi="Arial" w:cs="Arial"/>
          <w:sz w:val="24"/>
        </w:rPr>
        <w:t xml:space="preserve">Este fenómeno puede advertirse en </w:t>
      </w:r>
      <w:r>
        <w:rPr>
          <w:rFonts w:ascii="Arial" w:hAnsi="Arial" w:cs="Arial"/>
          <w:sz w:val="24"/>
        </w:rPr>
        <w:t>las distintas entidades del pa</w:t>
      </w:r>
      <w:r w:rsidR="00331215">
        <w:rPr>
          <w:rFonts w:ascii="Arial" w:hAnsi="Arial" w:cs="Arial"/>
          <w:sz w:val="24"/>
        </w:rPr>
        <w:t xml:space="preserve">ís, donde no existen marcos normativos que definan criterios, parámetros y evaluaciones de la inversión publicitaria de los gobiernos estatales, como lo indica el </w:t>
      </w:r>
      <w:r w:rsidR="00117486">
        <w:rPr>
          <w:rFonts w:ascii="Arial" w:hAnsi="Arial" w:cs="Arial"/>
          <w:sz w:val="24"/>
        </w:rPr>
        <w:t>Informe Especial Sobre Asignación y Contratación de Publicidad Oficial (IEACPO), elaborado por la Comisión Nacional de Derechos Humanos (CNDH) en 2018.</w:t>
      </w:r>
    </w:p>
    <w:p w14:paraId="42499660" w14:textId="1146B40E" w:rsidR="001D58E6" w:rsidRDefault="00D26425" w:rsidP="00EB310F">
      <w:pPr>
        <w:spacing w:before="240" w:line="360" w:lineRule="auto"/>
        <w:ind w:left="708" w:firstLine="1"/>
        <w:jc w:val="both"/>
        <w:rPr>
          <w:rFonts w:ascii="Arial" w:hAnsi="Arial" w:cs="Arial"/>
          <w:sz w:val="24"/>
        </w:rPr>
      </w:pPr>
      <w:r>
        <w:rPr>
          <w:rFonts w:ascii="Arial" w:hAnsi="Arial" w:cs="Arial"/>
          <w:sz w:val="24"/>
          <w:szCs w:val="24"/>
        </w:rPr>
        <w:t>E</w:t>
      </w:r>
      <w:r w:rsidR="00304BE1" w:rsidRPr="00304BE1">
        <w:rPr>
          <w:rFonts w:ascii="Arial" w:hAnsi="Arial" w:cs="Arial"/>
          <w:sz w:val="24"/>
          <w:szCs w:val="24"/>
        </w:rPr>
        <w:t xml:space="preserve">s evidente que en México no se cuenta con un marco regulatorio </w:t>
      </w:r>
      <w:r>
        <w:rPr>
          <w:rFonts w:ascii="Arial" w:hAnsi="Arial" w:cs="Arial"/>
          <w:sz w:val="24"/>
          <w:szCs w:val="24"/>
        </w:rPr>
        <w:t xml:space="preserve">(en) </w:t>
      </w:r>
      <w:r w:rsidR="00304BE1" w:rsidRPr="00304BE1">
        <w:rPr>
          <w:rFonts w:ascii="Arial" w:hAnsi="Arial" w:cs="Arial"/>
          <w:sz w:val="24"/>
          <w:szCs w:val="24"/>
        </w:rPr>
        <w:t xml:space="preserve">el que se prevean procedimientos que den certeza jurídica y aseguren condiciones de claridad, transparencia, objetividad y no discriminación en la asignación y contratación de publicidad oficial. </w:t>
      </w:r>
      <w:r w:rsidR="00117486">
        <w:rPr>
          <w:rFonts w:ascii="Arial" w:hAnsi="Arial" w:cs="Arial"/>
          <w:sz w:val="24"/>
          <w:szCs w:val="24"/>
        </w:rPr>
        <w:t>(</w:t>
      </w:r>
      <w:r w:rsidR="00117486">
        <w:rPr>
          <w:rFonts w:ascii="Arial" w:hAnsi="Arial" w:cs="Arial"/>
          <w:sz w:val="24"/>
        </w:rPr>
        <w:t>IEACPO, CNDH, p. 103)</w:t>
      </w:r>
    </w:p>
    <w:p w14:paraId="750F3FAB" w14:textId="365B73F9" w:rsidR="00D61099" w:rsidRDefault="00D61099" w:rsidP="007E74F7">
      <w:pPr>
        <w:spacing w:before="240" w:line="360" w:lineRule="auto"/>
        <w:ind w:firstLine="709"/>
        <w:jc w:val="both"/>
        <w:rPr>
          <w:rFonts w:ascii="Arial" w:hAnsi="Arial" w:cs="Arial"/>
          <w:sz w:val="24"/>
        </w:rPr>
      </w:pPr>
      <w:r>
        <w:rPr>
          <w:rFonts w:ascii="Arial" w:hAnsi="Arial" w:cs="Arial"/>
          <w:sz w:val="24"/>
        </w:rPr>
        <w:t xml:space="preserve">Entre las conclusiones del IEACPO destaca que </w:t>
      </w:r>
      <w:r w:rsidR="00215FB0">
        <w:rPr>
          <w:rFonts w:ascii="Arial" w:hAnsi="Arial" w:cs="Arial"/>
          <w:sz w:val="24"/>
        </w:rPr>
        <w:t xml:space="preserve">en el interior del país la centralización del ejercicio presupuestal en materia publicidad oficial origina que se desvirtúe la utilidad pública de este rubro, además de se carece de herramientas para la selección de medios a contratar, lo cual implica decisiones discriminatorias y un elemento de censura. </w:t>
      </w:r>
    </w:p>
    <w:p w14:paraId="51AA1153" w14:textId="1F1F93AE" w:rsidR="006E6D03" w:rsidRDefault="00215FB0" w:rsidP="006E6D03">
      <w:pPr>
        <w:spacing w:before="240" w:line="360" w:lineRule="auto"/>
        <w:ind w:firstLine="709"/>
        <w:jc w:val="both"/>
        <w:rPr>
          <w:rFonts w:ascii="Arial" w:hAnsi="Arial" w:cs="Arial"/>
          <w:sz w:val="24"/>
          <w:szCs w:val="24"/>
        </w:rPr>
      </w:pPr>
      <w:r>
        <w:rPr>
          <w:rFonts w:ascii="Arial" w:hAnsi="Arial" w:cs="Arial"/>
          <w:sz w:val="24"/>
        </w:rPr>
        <w:t xml:space="preserve">El </w:t>
      </w:r>
      <w:r w:rsidR="006E6D03">
        <w:rPr>
          <w:rFonts w:ascii="Arial" w:hAnsi="Arial" w:cs="Arial"/>
          <w:sz w:val="24"/>
        </w:rPr>
        <w:t>IEACPO</w:t>
      </w:r>
      <w:r w:rsidR="00D26425">
        <w:rPr>
          <w:rFonts w:ascii="Arial" w:hAnsi="Arial" w:cs="Arial"/>
          <w:sz w:val="24"/>
        </w:rPr>
        <w:t xml:space="preserve"> también advierte que </w:t>
      </w:r>
      <w:r w:rsidR="006E6D03">
        <w:rPr>
          <w:rFonts w:ascii="Arial" w:hAnsi="Arial" w:cs="Arial"/>
          <w:sz w:val="24"/>
        </w:rPr>
        <w:t xml:space="preserve">México está obligado a contar con un marco regulador en materia de publicidad oficial, debido a que </w:t>
      </w:r>
      <w:r w:rsidR="006E6D03" w:rsidRPr="006E6D03">
        <w:rPr>
          <w:rFonts w:ascii="Arial" w:hAnsi="Arial" w:cs="Arial"/>
          <w:sz w:val="24"/>
          <w:szCs w:val="24"/>
        </w:rPr>
        <w:t xml:space="preserve">el 7 de marzo de 2011, la Asamblea General de la Organización de los Estados Americanos (OEA) aprobó los “Principios sobre regulación de Publicidad Oficial en el sistema interamericano de protección de los derechos humanos”, mismos que establecen </w:t>
      </w:r>
      <w:r w:rsidR="009F7D79">
        <w:rPr>
          <w:rFonts w:ascii="Arial" w:hAnsi="Arial" w:cs="Arial"/>
          <w:sz w:val="24"/>
          <w:szCs w:val="24"/>
        </w:rPr>
        <w:t>las siguientes características:</w:t>
      </w:r>
    </w:p>
    <w:p w14:paraId="19714870" w14:textId="7C139208" w:rsidR="00D26425" w:rsidRDefault="00DE759D" w:rsidP="006E6D03">
      <w:pPr>
        <w:spacing w:before="240" w:line="360" w:lineRule="auto"/>
        <w:ind w:firstLine="709"/>
        <w:jc w:val="both"/>
        <w:rPr>
          <w:rFonts w:ascii="Arial" w:hAnsi="Arial" w:cs="Arial"/>
          <w:sz w:val="24"/>
          <w:szCs w:val="24"/>
        </w:rPr>
      </w:pPr>
      <w:r>
        <w:rPr>
          <w:rFonts w:ascii="Arial" w:hAnsi="Arial" w:cs="Arial"/>
          <w:sz w:val="24"/>
          <w:szCs w:val="24"/>
        </w:rPr>
        <w:t>- E</w:t>
      </w:r>
      <w:r w:rsidR="00D26425">
        <w:rPr>
          <w:rFonts w:ascii="Arial" w:hAnsi="Arial" w:cs="Arial"/>
          <w:sz w:val="24"/>
          <w:szCs w:val="24"/>
        </w:rPr>
        <w:t>labora</w:t>
      </w:r>
      <w:r>
        <w:rPr>
          <w:rFonts w:ascii="Arial" w:hAnsi="Arial" w:cs="Arial"/>
          <w:sz w:val="24"/>
          <w:szCs w:val="24"/>
        </w:rPr>
        <w:t>ción de</w:t>
      </w:r>
      <w:r w:rsidR="00D26425">
        <w:rPr>
          <w:rFonts w:ascii="Arial" w:hAnsi="Arial" w:cs="Arial"/>
          <w:sz w:val="24"/>
          <w:szCs w:val="24"/>
        </w:rPr>
        <w:t xml:space="preserve"> una Ley sobre publicidad oficial que garantice:</w:t>
      </w:r>
    </w:p>
    <w:p w14:paraId="16A36DEA" w14:textId="28A528BC" w:rsidR="00D26425" w:rsidRDefault="00D26425" w:rsidP="006E6D03">
      <w:pPr>
        <w:spacing w:before="240" w:line="360" w:lineRule="auto"/>
        <w:ind w:firstLine="709"/>
        <w:jc w:val="both"/>
        <w:rPr>
          <w:rFonts w:ascii="Arial" w:hAnsi="Arial" w:cs="Arial"/>
          <w:sz w:val="24"/>
          <w:szCs w:val="24"/>
        </w:rPr>
      </w:pPr>
      <w:r>
        <w:rPr>
          <w:rFonts w:ascii="Arial" w:hAnsi="Arial" w:cs="Arial"/>
          <w:sz w:val="24"/>
          <w:szCs w:val="24"/>
        </w:rPr>
        <w:t>a) definir a la publicidad oficial de manera clara y amplia.</w:t>
      </w:r>
    </w:p>
    <w:p w14:paraId="6318890A" w14:textId="5C9898C5" w:rsidR="00D26425" w:rsidRDefault="00D26425" w:rsidP="006E6D03">
      <w:pPr>
        <w:spacing w:before="240" w:line="360" w:lineRule="auto"/>
        <w:ind w:firstLine="709"/>
        <w:jc w:val="both"/>
        <w:rPr>
          <w:rFonts w:ascii="Arial" w:hAnsi="Arial" w:cs="Arial"/>
          <w:sz w:val="24"/>
          <w:szCs w:val="24"/>
        </w:rPr>
      </w:pPr>
      <w:r>
        <w:rPr>
          <w:rFonts w:ascii="Arial" w:hAnsi="Arial" w:cs="Arial"/>
          <w:sz w:val="24"/>
          <w:szCs w:val="24"/>
        </w:rPr>
        <w:t xml:space="preserve">b) comprender las etapas de producción, contratación, distribución y control de la publicidad del sector público </w:t>
      </w:r>
      <w:r w:rsidR="00DE759D">
        <w:rPr>
          <w:rFonts w:ascii="Arial" w:hAnsi="Arial" w:cs="Arial"/>
          <w:sz w:val="24"/>
          <w:szCs w:val="24"/>
        </w:rPr>
        <w:t>y privado costeado con fondos públicos.</w:t>
      </w:r>
    </w:p>
    <w:p w14:paraId="6529B0E1" w14:textId="05A348B3" w:rsidR="00DE759D" w:rsidRDefault="00DE759D" w:rsidP="006E6D03">
      <w:pPr>
        <w:spacing w:before="240" w:line="360" w:lineRule="auto"/>
        <w:ind w:firstLine="709"/>
        <w:jc w:val="both"/>
        <w:rPr>
          <w:rFonts w:ascii="Arial" w:hAnsi="Arial" w:cs="Arial"/>
          <w:sz w:val="24"/>
          <w:szCs w:val="24"/>
        </w:rPr>
      </w:pPr>
      <w:r>
        <w:rPr>
          <w:rFonts w:ascii="Arial" w:hAnsi="Arial" w:cs="Arial"/>
          <w:sz w:val="24"/>
          <w:szCs w:val="24"/>
        </w:rPr>
        <w:t>c) incorporar los principios de interés público, transparencia, rendición de cuentas, no discriminación, eficiencia y buen uso de los fondos públicos.</w:t>
      </w:r>
    </w:p>
    <w:p w14:paraId="64289C4B" w14:textId="72FE31B7" w:rsidR="00DE759D" w:rsidRDefault="00DE759D" w:rsidP="006E6D03">
      <w:pPr>
        <w:spacing w:before="240" w:line="360" w:lineRule="auto"/>
        <w:ind w:firstLine="709"/>
        <w:jc w:val="both"/>
        <w:rPr>
          <w:rFonts w:ascii="Arial" w:hAnsi="Arial" w:cs="Arial"/>
          <w:sz w:val="24"/>
          <w:szCs w:val="24"/>
        </w:rPr>
      </w:pPr>
      <w:r>
        <w:rPr>
          <w:rFonts w:ascii="Arial" w:hAnsi="Arial" w:cs="Arial"/>
          <w:sz w:val="24"/>
          <w:szCs w:val="24"/>
        </w:rPr>
        <w:t>d) Explicación exhaustiva sobre sobre el ámbito de aplicación de esta Ley.</w:t>
      </w:r>
    </w:p>
    <w:p w14:paraId="1CC6211C" w14:textId="11634AFB" w:rsidR="00DE759D" w:rsidRDefault="00DE759D" w:rsidP="006E6D03">
      <w:pPr>
        <w:spacing w:before="240" w:line="360" w:lineRule="auto"/>
        <w:ind w:firstLine="709"/>
        <w:jc w:val="both"/>
        <w:rPr>
          <w:rFonts w:ascii="Arial" w:hAnsi="Arial" w:cs="Arial"/>
          <w:sz w:val="24"/>
          <w:szCs w:val="24"/>
        </w:rPr>
      </w:pPr>
      <w:r>
        <w:rPr>
          <w:rFonts w:ascii="Arial" w:hAnsi="Arial" w:cs="Arial"/>
          <w:sz w:val="24"/>
          <w:szCs w:val="24"/>
        </w:rPr>
        <w:t>e) Establecer sanciones apropiadas ante las posibles irregularidades.</w:t>
      </w:r>
    </w:p>
    <w:p w14:paraId="3028DE7B" w14:textId="77777777" w:rsidR="00DE759D" w:rsidRDefault="00DE759D" w:rsidP="006E6D03">
      <w:pPr>
        <w:spacing w:before="240" w:line="360" w:lineRule="auto"/>
        <w:ind w:firstLine="709"/>
        <w:jc w:val="both"/>
        <w:rPr>
          <w:rFonts w:ascii="Arial" w:hAnsi="Arial" w:cs="Arial"/>
          <w:sz w:val="24"/>
          <w:szCs w:val="24"/>
        </w:rPr>
      </w:pPr>
      <w:r>
        <w:rPr>
          <w:rFonts w:ascii="Arial" w:hAnsi="Arial" w:cs="Arial"/>
          <w:sz w:val="24"/>
          <w:szCs w:val="24"/>
        </w:rPr>
        <w:t>- La publicidad oficial debe ser de interés público, debe servir para informar de servicios y políticas públicas prestados por los gobiernos, pero no constituir propaganda encubierta, ni ser utilizada para estigmatizar a sectores opositores o críticos a los gobiernos.</w:t>
      </w:r>
    </w:p>
    <w:p w14:paraId="76DD5990" w14:textId="6DAA8AEF" w:rsidR="00DE759D" w:rsidRDefault="00DE759D" w:rsidP="006E6D03">
      <w:pPr>
        <w:spacing w:before="240" w:line="360" w:lineRule="auto"/>
        <w:ind w:firstLine="709"/>
        <w:jc w:val="both"/>
        <w:rPr>
          <w:rFonts w:ascii="Arial" w:hAnsi="Arial" w:cs="Arial"/>
          <w:sz w:val="24"/>
          <w:szCs w:val="24"/>
        </w:rPr>
      </w:pPr>
      <w:r>
        <w:rPr>
          <w:rFonts w:ascii="Arial" w:hAnsi="Arial" w:cs="Arial"/>
          <w:sz w:val="24"/>
          <w:szCs w:val="24"/>
        </w:rPr>
        <w:t>- Los recursos asignados a este rubro deben ser distribuidos con criterios preestablecidos, transparentes y objetivos, es decir, con procedimientos específicos. Además, la responsabilidad de la contratación y distribución de la publicidad oficial no debe corresponder a servidores públicos de origen político, sino en funcionarios técnicos y especializados en la materia.</w:t>
      </w:r>
    </w:p>
    <w:p w14:paraId="294041CC" w14:textId="7AA4EF5D" w:rsidR="00DE759D" w:rsidRDefault="00DE759D" w:rsidP="006E6D03">
      <w:pPr>
        <w:spacing w:before="240" w:line="360" w:lineRule="auto"/>
        <w:ind w:firstLine="709"/>
        <w:jc w:val="both"/>
        <w:rPr>
          <w:rFonts w:ascii="Arial" w:hAnsi="Arial" w:cs="Arial"/>
          <w:sz w:val="24"/>
          <w:szCs w:val="24"/>
        </w:rPr>
      </w:pPr>
      <w:r>
        <w:rPr>
          <w:rFonts w:ascii="Arial" w:hAnsi="Arial" w:cs="Arial"/>
          <w:sz w:val="24"/>
          <w:szCs w:val="24"/>
        </w:rPr>
        <w:t xml:space="preserve"> </w:t>
      </w:r>
      <w:r w:rsidR="009019FC">
        <w:rPr>
          <w:rFonts w:ascii="Arial" w:hAnsi="Arial" w:cs="Arial"/>
          <w:sz w:val="24"/>
          <w:szCs w:val="24"/>
        </w:rPr>
        <w:t>- Realizar una adecuada planeación de la publicidad oficial, con el fin de evitar usos abusivos o ajenos a la utilidad pública.</w:t>
      </w:r>
    </w:p>
    <w:p w14:paraId="247FBB46" w14:textId="40E0BBB9" w:rsidR="009019FC" w:rsidRDefault="009019FC" w:rsidP="006E6D03">
      <w:pPr>
        <w:spacing w:before="240" w:line="360" w:lineRule="auto"/>
        <w:ind w:firstLine="709"/>
        <w:jc w:val="both"/>
        <w:rPr>
          <w:rFonts w:ascii="Arial" w:hAnsi="Arial" w:cs="Arial"/>
          <w:sz w:val="24"/>
          <w:szCs w:val="24"/>
        </w:rPr>
      </w:pPr>
      <w:r>
        <w:rPr>
          <w:rFonts w:ascii="Arial" w:hAnsi="Arial" w:cs="Arial"/>
          <w:sz w:val="24"/>
          <w:szCs w:val="24"/>
        </w:rPr>
        <w:t>- Los procedimientos de contratación deben ser abiertos, como es el caso de la licitación pública, y sólo en casos excepcionales recurrir a otras modalidades de contratación.</w:t>
      </w:r>
    </w:p>
    <w:p w14:paraId="088E6E92" w14:textId="7FBD5CCC" w:rsidR="009019FC" w:rsidRDefault="009019FC" w:rsidP="006E6D03">
      <w:pPr>
        <w:spacing w:before="240" w:line="360" w:lineRule="auto"/>
        <w:ind w:firstLine="709"/>
        <w:jc w:val="both"/>
        <w:rPr>
          <w:rFonts w:ascii="Arial" w:hAnsi="Arial" w:cs="Arial"/>
          <w:sz w:val="24"/>
          <w:szCs w:val="24"/>
        </w:rPr>
      </w:pPr>
      <w:r>
        <w:rPr>
          <w:rFonts w:ascii="Arial" w:hAnsi="Arial" w:cs="Arial"/>
          <w:sz w:val="24"/>
          <w:szCs w:val="24"/>
        </w:rPr>
        <w:t>- Transparencia en toda la información relacionada con la publicidad oficial, como criterios de contratación, asignaciones y sumas totales del gasto, justificaciones de campañas publicitarias y de selección de medios de comunicación.</w:t>
      </w:r>
    </w:p>
    <w:p w14:paraId="1E9DFFF6" w14:textId="23E24DFE" w:rsidR="009019FC" w:rsidRDefault="009019FC" w:rsidP="006E6D03">
      <w:pPr>
        <w:spacing w:before="240" w:line="360" w:lineRule="auto"/>
        <w:ind w:firstLine="709"/>
        <w:jc w:val="both"/>
        <w:rPr>
          <w:rFonts w:ascii="Arial" w:hAnsi="Arial" w:cs="Arial"/>
          <w:sz w:val="24"/>
          <w:szCs w:val="24"/>
        </w:rPr>
      </w:pPr>
      <w:r>
        <w:rPr>
          <w:rFonts w:ascii="Arial" w:hAnsi="Arial" w:cs="Arial"/>
          <w:sz w:val="24"/>
          <w:szCs w:val="24"/>
        </w:rPr>
        <w:t>- Creación de un mecanismo de control externo que haga un monitoreo de la asignación de la publicidad oficial y controles específicos a los fondos públicos destinados a este rubro, pues estos presupuestos pueden ser utilizados para manipular a los medios de comunicación.</w:t>
      </w:r>
    </w:p>
    <w:p w14:paraId="04BAED7A" w14:textId="1A29B64E" w:rsidR="009F7D79" w:rsidRDefault="00694C62" w:rsidP="000E5660">
      <w:pPr>
        <w:spacing w:before="240" w:line="360" w:lineRule="auto"/>
        <w:ind w:firstLine="709"/>
        <w:jc w:val="both"/>
        <w:rPr>
          <w:rFonts w:ascii="Arial" w:hAnsi="Arial" w:cs="Arial"/>
          <w:sz w:val="24"/>
          <w:szCs w:val="24"/>
        </w:rPr>
      </w:pPr>
      <w:r>
        <w:rPr>
          <w:rFonts w:ascii="Arial" w:hAnsi="Arial" w:cs="Arial"/>
          <w:sz w:val="24"/>
          <w:szCs w:val="24"/>
        </w:rPr>
        <w:t xml:space="preserve">En el caso de México, el 26 de abril de 2018 fue aprobada en el Senado de la República la Ley General de Comunicación Social, la cual reglamenta el párrafo octavo del artículo 134 Constitución Política de los Estados Unidos Mexicanos, la cual debió expedirse cuatro años antes como parte de la reforma política de 2014. </w:t>
      </w:r>
      <w:r>
        <w:rPr>
          <w:rStyle w:val="Refdenotaalpie"/>
          <w:rFonts w:ascii="Arial" w:hAnsi="Arial" w:cs="Arial"/>
          <w:sz w:val="24"/>
          <w:szCs w:val="24"/>
        </w:rPr>
        <w:footnoteReference w:id="32"/>
      </w:r>
    </w:p>
    <w:p w14:paraId="4D4384CF" w14:textId="0CC87E14" w:rsidR="000E5660" w:rsidRDefault="000E5660" w:rsidP="000E5660">
      <w:pPr>
        <w:spacing w:before="240" w:line="360" w:lineRule="auto"/>
        <w:ind w:firstLine="709"/>
        <w:jc w:val="both"/>
        <w:rPr>
          <w:rFonts w:ascii="Arial" w:hAnsi="Arial" w:cs="Arial"/>
          <w:sz w:val="24"/>
          <w:szCs w:val="24"/>
        </w:rPr>
      </w:pPr>
      <w:r>
        <w:rPr>
          <w:rFonts w:ascii="Arial" w:hAnsi="Arial" w:cs="Arial"/>
          <w:sz w:val="24"/>
          <w:szCs w:val="24"/>
        </w:rPr>
        <w:t>Dicha Ley, que entró en vigor a part</w:t>
      </w:r>
      <w:r w:rsidR="00235A88">
        <w:rPr>
          <w:rFonts w:ascii="Arial" w:hAnsi="Arial" w:cs="Arial"/>
          <w:sz w:val="24"/>
          <w:szCs w:val="24"/>
        </w:rPr>
        <w:t>ir del primero de enero de 2019 tiene por objeto establecer las normas a las cuales deben sujetarse los distintos entes públicos para garantizar que el gasto en comunicación social sea utilizado con base en los criterios de eficiencia, eficacia, transparencia, honradez y respete topes y condiciones presupuestales.</w:t>
      </w:r>
      <w:r w:rsidR="0012162F">
        <w:rPr>
          <w:rStyle w:val="Refdenotaalpie"/>
          <w:rFonts w:ascii="Arial" w:hAnsi="Arial" w:cs="Arial"/>
          <w:sz w:val="24"/>
          <w:szCs w:val="24"/>
        </w:rPr>
        <w:footnoteReference w:id="33"/>
      </w:r>
    </w:p>
    <w:p w14:paraId="49936C1F" w14:textId="77777777" w:rsidR="00557862" w:rsidRDefault="00235A88" w:rsidP="000E5660">
      <w:pPr>
        <w:spacing w:before="240" w:line="360" w:lineRule="auto"/>
        <w:ind w:firstLine="709"/>
        <w:jc w:val="both"/>
        <w:rPr>
          <w:rFonts w:ascii="Arial" w:hAnsi="Arial" w:cs="Arial"/>
          <w:sz w:val="24"/>
          <w:szCs w:val="24"/>
        </w:rPr>
      </w:pPr>
      <w:r>
        <w:rPr>
          <w:rFonts w:ascii="Arial" w:hAnsi="Arial" w:cs="Arial"/>
          <w:sz w:val="24"/>
          <w:szCs w:val="24"/>
        </w:rPr>
        <w:t xml:space="preserve">Sin embargo, distintas organizaciones no gubernamentales </w:t>
      </w:r>
      <w:r w:rsidR="0012162F">
        <w:rPr>
          <w:rFonts w:ascii="Arial" w:hAnsi="Arial" w:cs="Arial"/>
          <w:sz w:val="24"/>
          <w:szCs w:val="24"/>
        </w:rPr>
        <w:t>cuestionaron la aprobación de dicha Ley al considerar que legaliza la llamada corrupción mediática, pues no precisa los pro</w:t>
      </w:r>
      <w:r w:rsidR="00557862">
        <w:rPr>
          <w:rFonts w:ascii="Arial" w:hAnsi="Arial" w:cs="Arial"/>
          <w:sz w:val="24"/>
          <w:szCs w:val="24"/>
        </w:rPr>
        <w:t>cedimientos para la contratación de la publicidad oficial, ni establece sanciones claras en caso de incumplimientos.</w:t>
      </w:r>
      <w:r w:rsidR="00557862">
        <w:rPr>
          <w:rStyle w:val="Refdenotaalpie"/>
          <w:rFonts w:ascii="Arial" w:hAnsi="Arial" w:cs="Arial"/>
          <w:sz w:val="24"/>
          <w:szCs w:val="24"/>
        </w:rPr>
        <w:footnoteReference w:id="34"/>
      </w:r>
      <w:r w:rsidR="00557862">
        <w:rPr>
          <w:rFonts w:ascii="Arial" w:hAnsi="Arial" w:cs="Arial"/>
          <w:sz w:val="24"/>
          <w:szCs w:val="24"/>
        </w:rPr>
        <w:t xml:space="preserve"> </w:t>
      </w:r>
    </w:p>
    <w:p w14:paraId="00948F1F" w14:textId="77777777" w:rsidR="005A754E" w:rsidRDefault="00557862" w:rsidP="005A754E">
      <w:pPr>
        <w:spacing w:before="240" w:line="360" w:lineRule="auto"/>
        <w:ind w:firstLine="709"/>
        <w:jc w:val="both"/>
        <w:rPr>
          <w:rFonts w:ascii="Arial" w:hAnsi="Arial" w:cs="Arial"/>
          <w:sz w:val="24"/>
          <w:szCs w:val="24"/>
        </w:rPr>
      </w:pPr>
      <w:r>
        <w:rPr>
          <w:rFonts w:ascii="Arial" w:hAnsi="Arial" w:cs="Arial"/>
          <w:sz w:val="24"/>
          <w:szCs w:val="24"/>
        </w:rPr>
        <w:t>Posteriormente el 9 de octubre de 2018 la bancada de Morena en la Cámara de Diputados federal propuso una nueva Ley de Comunicación Social, en la cual se establecen candados para no favorecer a ciertas empresas de comunicación y no establecer criterios de contratación directa o indirectamente relacionados con las líneas editoriales de las empresas mediáticas, además de prohibir la contratación para la difusión de noticias (infocomerciales o gacetillas), entre otros rubros.</w:t>
      </w:r>
      <w:r>
        <w:rPr>
          <w:rStyle w:val="Refdenotaalpie"/>
          <w:rFonts w:ascii="Arial" w:hAnsi="Arial" w:cs="Arial"/>
          <w:sz w:val="24"/>
          <w:szCs w:val="24"/>
        </w:rPr>
        <w:footnoteReference w:id="35"/>
      </w:r>
      <w:r>
        <w:rPr>
          <w:rFonts w:ascii="Arial" w:hAnsi="Arial" w:cs="Arial"/>
          <w:sz w:val="24"/>
          <w:szCs w:val="24"/>
        </w:rPr>
        <w:t xml:space="preserve"> </w:t>
      </w:r>
      <w:r w:rsidR="00C6634C">
        <w:rPr>
          <w:rFonts w:ascii="Arial" w:hAnsi="Arial" w:cs="Arial"/>
          <w:sz w:val="24"/>
          <w:szCs w:val="24"/>
        </w:rPr>
        <w:t>Dicha iniciativa continúa en proceso de dictaminación.</w:t>
      </w:r>
    </w:p>
    <w:p w14:paraId="3A0294F4" w14:textId="38CCDA69" w:rsidR="00CD416F" w:rsidRDefault="00CD416F" w:rsidP="005A754E">
      <w:pPr>
        <w:spacing w:before="240" w:line="360" w:lineRule="auto"/>
        <w:ind w:firstLine="709"/>
        <w:jc w:val="both"/>
        <w:rPr>
          <w:rFonts w:ascii="Arial" w:hAnsi="Arial" w:cs="Arial"/>
          <w:sz w:val="24"/>
        </w:rPr>
      </w:pPr>
      <w:r>
        <w:rPr>
          <w:rFonts w:ascii="Arial" w:hAnsi="Arial" w:cs="Arial"/>
          <w:sz w:val="24"/>
        </w:rPr>
        <w:t>Es perceptible que a nivel nacional el subsistema jurídico requiere de una mayor consolidación que derive en políticas públicas adecuadas para disminuir riesgos sociales en materia de protección al ejercicio periodístico, lo cual puede evidenciarse con la aprobación y posterior crítica a la citada Ley General de Comunicación Social, de la cual podrían derivarse elementos para garantizar el derecho humano a la libertad de expresión, que de manera institucional se realiza mediante el periodismo.</w:t>
      </w:r>
    </w:p>
    <w:p w14:paraId="34C0EB79" w14:textId="77777777" w:rsidR="00BB13A8" w:rsidRDefault="00CD416F" w:rsidP="00030C1B">
      <w:pPr>
        <w:spacing w:before="240" w:line="360" w:lineRule="auto"/>
        <w:ind w:firstLine="709"/>
        <w:jc w:val="both"/>
        <w:rPr>
          <w:rFonts w:ascii="Arial" w:hAnsi="Arial" w:cs="Arial"/>
          <w:sz w:val="24"/>
        </w:rPr>
      </w:pPr>
      <w:r>
        <w:rPr>
          <w:rFonts w:ascii="Arial" w:hAnsi="Arial" w:cs="Arial"/>
          <w:sz w:val="24"/>
        </w:rPr>
        <w:t>Mientras no sean retomados los principios jurídicos</w:t>
      </w:r>
      <w:r w:rsidR="00821AEE">
        <w:rPr>
          <w:rFonts w:ascii="Arial" w:hAnsi="Arial" w:cs="Arial"/>
          <w:sz w:val="24"/>
        </w:rPr>
        <w:t>,</w:t>
      </w:r>
      <w:r>
        <w:rPr>
          <w:rFonts w:ascii="Arial" w:hAnsi="Arial" w:cs="Arial"/>
          <w:sz w:val="24"/>
        </w:rPr>
        <w:t xml:space="preserve"> recomendados a nivel internacional en esta materia, para elaborar leyes y políticas públicas que garanticen claridad en el manejo de presupuestos públicos destinados a la contratación de publicidad oficial, </w:t>
      </w:r>
      <w:r w:rsidR="00821AEE">
        <w:rPr>
          <w:rFonts w:ascii="Arial" w:hAnsi="Arial" w:cs="Arial"/>
          <w:sz w:val="24"/>
        </w:rPr>
        <w:t xml:space="preserve">prevalecerá </w:t>
      </w:r>
      <w:r w:rsidR="00DD596A">
        <w:rPr>
          <w:rFonts w:ascii="Arial" w:hAnsi="Arial" w:cs="Arial"/>
          <w:sz w:val="24"/>
        </w:rPr>
        <w:t>el de</w:t>
      </w:r>
      <w:r w:rsidR="00821AEE">
        <w:rPr>
          <w:rFonts w:ascii="Arial" w:hAnsi="Arial" w:cs="Arial"/>
          <w:sz w:val="24"/>
        </w:rPr>
        <w:t>nominado clientelismo mediático, lo cual impacta en el subsistema cultural, pues produce la censura y autocensura en el ejercicio periodístico, que necesariamente va acompañada de la vulnerabili</w:t>
      </w:r>
      <w:r w:rsidR="00C33DFD">
        <w:rPr>
          <w:rFonts w:ascii="Arial" w:hAnsi="Arial" w:cs="Arial"/>
          <w:sz w:val="24"/>
        </w:rPr>
        <w:t>dad económica de esta profesión, los cuales se constituyen como otros riesgos sociales de esta actividad.</w:t>
      </w:r>
    </w:p>
    <w:p w14:paraId="0837D7DC" w14:textId="73057E08" w:rsidR="00030C1B" w:rsidRDefault="00030C1B" w:rsidP="00030C1B">
      <w:pPr>
        <w:spacing w:before="240" w:line="360" w:lineRule="auto"/>
        <w:ind w:firstLine="709"/>
        <w:jc w:val="both"/>
        <w:rPr>
          <w:rFonts w:ascii="Arial" w:hAnsi="Arial" w:cs="Arial"/>
          <w:sz w:val="24"/>
        </w:rPr>
      </w:pPr>
      <w:r>
        <w:rPr>
          <w:rFonts w:ascii="Arial" w:hAnsi="Arial" w:cs="Arial"/>
          <w:sz w:val="24"/>
        </w:rPr>
        <w:t xml:space="preserve"> </w:t>
      </w:r>
    </w:p>
    <w:p w14:paraId="36220F77" w14:textId="1E804974" w:rsidR="00030C1B" w:rsidRPr="00BB13A8" w:rsidRDefault="00BB13A8" w:rsidP="00BB13A8">
      <w:pPr>
        <w:spacing w:before="240" w:line="360" w:lineRule="auto"/>
        <w:ind w:firstLine="708"/>
        <w:jc w:val="both"/>
        <w:rPr>
          <w:rFonts w:ascii="Arial" w:hAnsi="Arial" w:cs="Arial"/>
          <w:b/>
          <w:sz w:val="24"/>
        </w:rPr>
      </w:pPr>
      <w:r>
        <w:rPr>
          <w:rFonts w:ascii="Arial" w:hAnsi="Arial" w:cs="Arial"/>
          <w:b/>
          <w:sz w:val="24"/>
        </w:rPr>
        <w:t>III.</w:t>
      </w:r>
      <w:r w:rsidR="00F72158" w:rsidRPr="00BB13A8">
        <w:rPr>
          <w:rFonts w:ascii="Arial" w:hAnsi="Arial" w:cs="Arial"/>
          <w:b/>
          <w:sz w:val="24"/>
        </w:rPr>
        <w:t>d)</w:t>
      </w:r>
      <w:r w:rsidR="008C19B9" w:rsidRPr="00BB13A8">
        <w:rPr>
          <w:rFonts w:ascii="Arial" w:hAnsi="Arial" w:cs="Arial"/>
          <w:b/>
          <w:sz w:val="24"/>
        </w:rPr>
        <w:t xml:space="preserve"> </w:t>
      </w:r>
      <w:r>
        <w:rPr>
          <w:rFonts w:ascii="Arial" w:hAnsi="Arial" w:cs="Arial"/>
          <w:b/>
          <w:sz w:val="24"/>
        </w:rPr>
        <w:t>Censura y auto</w:t>
      </w:r>
      <w:r w:rsidR="00030C1B" w:rsidRPr="00BB13A8">
        <w:rPr>
          <w:rFonts w:ascii="Arial" w:hAnsi="Arial" w:cs="Arial"/>
          <w:b/>
          <w:sz w:val="24"/>
        </w:rPr>
        <w:t xml:space="preserve">censura en el ejercicio periodístico </w:t>
      </w:r>
    </w:p>
    <w:p w14:paraId="32308BCA" w14:textId="77777777" w:rsidR="0002159E" w:rsidRDefault="00C33DFD" w:rsidP="00030C1B">
      <w:pPr>
        <w:spacing w:before="240" w:line="360" w:lineRule="auto"/>
        <w:ind w:firstLine="709"/>
        <w:jc w:val="both"/>
        <w:rPr>
          <w:rFonts w:ascii="Arial" w:hAnsi="Arial" w:cs="Arial"/>
          <w:sz w:val="24"/>
        </w:rPr>
      </w:pPr>
      <w:r w:rsidRPr="00030C1B">
        <w:rPr>
          <w:rFonts w:ascii="Arial" w:hAnsi="Arial" w:cs="Arial"/>
          <w:sz w:val="24"/>
        </w:rPr>
        <w:t>De acuerdo con Hidalgo (2018)</w:t>
      </w:r>
      <w:r w:rsidR="00F72158">
        <w:rPr>
          <w:rFonts w:ascii="Arial" w:hAnsi="Arial" w:cs="Arial"/>
          <w:sz w:val="24"/>
        </w:rPr>
        <w:t xml:space="preserve"> </w:t>
      </w:r>
      <w:r w:rsidR="001478D5">
        <w:rPr>
          <w:rFonts w:ascii="Arial" w:hAnsi="Arial" w:cs="Arial"/>
          <w:sz w:val="24"/>
        </w:rPr>
        <w:t xml:space="preserve">la censura se refiere a “un límite al derecho de expresión, opinión, imprenta, investigación, etcétera, y un límite al derecho-deber de información” </w:t>
      </w:r>
      <w:r w:rsidR="00AC46A3">
        <w:rPr>
          <w:rFonts w:ascii="Arial" w:hAnsi="Arial" w:cs="Arial"/>
          <w:sz w:val="24"/>
        </w:rPr>
        <w:t>(p. 113-114)</w:t>
      </w:r>
      <w:r w:rsidR="0002159E">
        <w:rPr>
          <w:rFonts w:ascii="Arial" w:hAnsi="Arial" w:cs="Arial"/>
          <w:sz w:val="24"/>
        </w:rPr>
        <w:t>.</w:t>
      </w:r>
    </w:p>
    <w:p w14:paraId="05840B99" w14:textId="77777777" w:rsidR="00446C40" w:rsidRDefault="0002159E" w:rsidP="00EB310F">
      <w:pPr>
        <w:spacing w:before="240" w:line="360" w:lineRule="auto"/>
        <w:ind w:left="708" w:firstLine="1"/>
        <w:jc w:val="both"/>
        <w:rPr>
          <w:rFonts w:ascii="Arial" w:hAnsi="Arial" w:cs="Arial"/>
          <w:sz w:val="24"/>
        </w:rPr>
      </w:pPr>
      <w:r>
        <w:rPr>
          <w:rFonts w:ascii="Arial" w:hAnsi="Arial" w:cs="Arial"/>
          <w:sz w:val="24"/>
        </w:rPr>
        <w:t xml:space="preserve">La censura sólo puede utilizarse con la finalidad de que el derecho se ejerza </w:t>
      </w:r>
      <w:r w:rsidR="00446C40">
        <w:rPr>
          <w:rFonts w:ascii="Arial" w:hAnsi="Arial" w:cs="Arial"/>
          <w:sz w:val="24"/>
        </w:rPr>
        <w:t>sin abuso, sin perjudicar la verdad que es, además de objeto de la inteligencia, objeto de lo que se expresa, opina, divulga e imprime, del mismo modo que sólo es cierta la información que obtenida es veraz (Hidalgo, 2018, p. 114)</w:t>
      </w:r>
    </w:p>
    <w:p w14:paraId="00C3D1DA" w14:textId="546C9558" w:rsidR="00446C40" w:rsidRDefault="00446C40" w:rsidP="00030C1B">
      <w:pPr>
        <w:spacing w:before="240" w:line="360" w:lineRule="auto"/>
        <w:ind w:firstLine="709"/>
        <w:jc w:val="both"/>
        <w:rPr>
          <w:rFonts w:ascii="Arial" w:hAnsi="Arial" w:cs="Arial"/>
          <w:sz w:val="24"/>
        </w:rPr>
      </w:pPr>
      <w:r>
        <w:rPr>
          <w:rFonts w:ascii="Arial" w:hAnsi="Arial" w:cs="Arial"/>
          <w:sz w:val="24"/>
        </w:rPr>
        <w:t xml:space="preserve">El autor hace la distinción entre censurar a la libertad y a un derecho. En el primer caso aclara que la libertad no es objeto de censura previa, pues si así ocurriera no sería libertad, sin embargo, aclara que en el caso del derecho sí pueden censurarse los resultados lesivos de su ejercicio, es decir, el abuso de un derecho que puede trastocar los derechos </w:t>
      </w:r>
      <w:r w:rsidR="005A66F0">
        <w:rPr>
          <w:rFonts w:ascii="Arial" w:hAnsi="Arial" w:cs="Arial"/>
          <w:sz w:val="24"/>
        </w:rPr>
        <w:t>de otros o afectar</w:t>
      </w:r>
      <w:r>
        <w:rPr>
          <w:rFonts w:ascii="Arial" w:hAnsi="Arial" w:cs="Arial"/>
          <w:sz w:val="24"/>
        </w:rPr>
        <w:t xml:space="preserve"> el bien común.</w:t>
      </w:r>
      <w:r w:rsidR="0016114D">
        <w:rPr>
          <w:rStyle w:val="Refdenotaalpie"/>
          <w:rFonts w:ascii="Arial" w:hAnsi="Arial" w:cs="Arial"/>
          <w:sz w:val="24"/>
        </w:rPr>
        <w:footnoteReference w:id="36"/>
      </w:r>
    </w:p>
    <w:p w14:paraId="5E8FC13E" w14:textId="71DF271E" w:rsidR="00C33DFD" w:rsidRDefault="00446C40" w:rsidP="00030C1B">
      <w:pPr>
        <w:spacing w:before="240" w:line="360" w:lineRule="auto"/>
        <w:ind w:firstLine="709"/>
        <w:jc w:val="both"/>
        <w:rPr>
          <w:rFonts w:ascii="Arial" w:hAnsi="Arial" w:cs="Arial"/>
          <w:sz w:val="24"/>
        </w:rPr>
      </w:pPr>
      <w:r>
        <w:rPr>
          <w:rFonts w:ascii="Arial" w:hAnsi="Arial" w:cs="Arial"/>
          <w:sz w:val="24"/>
        </w:rPr>
        <w:t xml:space="preserve">  </w:t>
      </w:r>
      <w:r w:rsidR="00AC46A3">
        <w:rPr>
          <w:rFonts w:ascii="Arial" w:hAnsi="Arial" w:cs="Arial"/>
          <w:sz w:val="24"/>
        </w:rPr>
        <w:t xml:space="preserve"> </w:t>
      </w:r>
      <w:r w:rsidR="0016114D">
        <w:rPr>
          <w:rFonts w:ascii="Arial" w:hAnsi="Arial" w:cs="Arial"/>
          <w:sz w:val="24"/>
        </w:rPr>
        <w:t xml:space="preserve">Desde este punto de vista la libertad de expresión no podría </w:t>
      </w:r>
      <w:r w:rsidR="00232CBD">
        <w:rPr>
          <w:rFonts w:ascii="Arial" w:hAnsi="Arial" w:cs="Arial"/>
          <w:sz w:val="24"/>
        </w:rPr>
        <w:t xml:space="preserve">ser susceptible de censura previa, lo cual confirman distintos tratados internacionales como la Convención Americana de Derechos Humanos, sin embargo, como también señala Hidalgo (2018) “la libertad de expresión es, a la vez, un derecho fundamental y, de igual forma un derecho sujeto a límites tanto en la normativa internacional como en la constitucional” (p. 2). </w:t>
      </w:r>
    </w:p>
    <w:p w14:paraId="18EC91C0" w14:textId="396D6B1F" w:rsidR="005A66F0" w:rsidRDefault="005A66F0" w:rsidP="00030C1B">
      <w:pPr>
        <w:spacing w:before="240" w:line="360" w:lineRule="auto"/>
        <w:ind w:firstLine="709"/>
        <w:jc w:val="both"/>
        <w:rPr>
          <w:rFonts w:ascii="Arial" w:hAnsi="Arial" w:cs="Arial"/>
          <w:sz w:val="24"/>
        </w:rPr>
      </w:pPr>
      <w:r>
        <w:rPr>
          <w:rFonts w:ascii="Arial" w:hAnsi="Arial" w:cs="Arial"/>
          <w:sz w:val="24"/>
        </w:rPr>
        <w:t>Dichos l</w:t>
      </w:r>
      <w:r w:rsidR="00C1336B">
        <w:rPr>
          <w:rFonts w:ascii="Arial" w:hAnsi="Arial" w:cs="Arial"/>
          <w:sz w:val="24"/>
        </w:rPr>
        <w:t>ímites también deben estar sujetos a principios que garanticen la justicia, señala Hidalgo, en un plano donde incluso la propia persona puede optar por la autocensura, pues el ejercicio de un derecho no puede vulnerar libertades de otros.</w:t>
      </w:r>
    </w:p>
    <w:p w14:paraId="35B365D2" w14:textId="37F194F2" w:rsidR="00C1336B" w:rsidRDefault="00C1336B" w:rsidP="00EB310F">
      <w:pPr>
        <w:spacing w:before="240" w:line="360" w:lineRule="auto"/>
        <w:ind w:left="708" w:firstLine="1"/>
        <w:jc w:val="both"/>
        <w:rPr>
          <w:rFonts w:ascii="Arial" w:hAnsi="Arial" w:cs="Arial"/>
          <w:sz w:val="24"/>
        </w:rPr>
      </w:pPr>
      <w:r>
        <w:rPr>
          <w:rFonts w:ascii="Arial" w:hAnsi="Arial" w:cs="Arial"/>
          <w:sz w:val="24"/>
        </w:rPr>
        <w:t xml:space="preserve">La restricción de censura de la persona individual respecto a lo que no es su derecho </w:t>
      </w:r>
      <w:r w:rsidR="00D856DB">
        <w:rPr>
          <w:rFonts w:ascii="Arial" w:hAnsi="Arial" w:cs="Arial"/>
          <w:sz w:val="24"/>
        </w:rPr>
        <w:t>permite la censura como derecho por parte del Estado o de la comunidad política. Esto, en razón de un mayor bien que, en definitiva, como bien común, beneficia el bien particular de la persona que ha sido censurada en su derecho, en definitiva, en razón de la justicia conmutativa. (Hidalgo, 2018, p.115)</w:t>
      </w:r>
    </w:p>
    <w:p w14:paraId="49EBE546" w14:textId="38A131E9" w:rsidR="00D856DB" w:rsidRDefault="007456A0" w:rsidP="00030C1B">
      <w:pPr>
        <w:spacing w:before="240" w:line="360" w:lineRule="auto"/>
        <w:ind w:firstLine="709"/>
        <w:jc w:val="both"/>
        <w:rPr>
          <w:rFonts w:ascii="Arial" w:hAnsi="Arial" w:cs="Arial"/>
          <w:sz w:val="24"/>
        </w:rPr>
      </w:pPr>
      <w:r>
        <w:rPr>
          <w:rFonts w:ascii="Arial" w:hAnsi="Arial" w:cs="Arial"/>
          <w:sz w:val="24"/>
        </w:rPr>
        <w:t>Tal concepto podría considerarse como la matriz justificativa de las expresiones y hechos que al interior de un sistema social deben instrumentarse para garantizar que los derechos derivados de la libertad de expresión no lesionen o causen entropía, derivado de un uso irresponsable o sin advertir la responsabilidad que implica el ejercer un derecho.</w:t>
      </w:r>
    </w:p>
    <w:p w14:paraId="783705B3" w14:textId="29EE6CDB" w:rsidR="007456A0" w:rsidRDefault="007456A0" w:rsidP="00030C1B">
      <w:pPr>
        <w:spacing w:before="240" w:line="360" w:lineRule="auto"/>
        <w:ind w:firstLine="709"/>
        <w:jc w:val="both"/>
        <w:rPr>
          <w:rFonts w:ascii="Arial" w:hAnsi="Arial" w:cs="Arial"/>
          <w:sz w:val="24"/>
        </w:rPr>
      </w:pPr>
      <w:r>
        <w:rPr>
          <w:rFonts w:ascii="Arial" w:hAnsi="Arial" w:cs="Arial"/>
          <w:sz w:val="24"/>
        </w:rPr>
        <w:t>En el caso espec</w:t>
      </w:r>
      <w:r w:rsidR="002E0A03">
        <w:rPr>
          <w:rFonts w:ascii="Arial" w:hAnsi="Arial" w:cs="Arial"/>
          <w:sz w:val="24"/>
        </w:rPr>
        <w:t>ífico del periodismo, como manifestación primaria de la libertad de expresión, quienes lo ejercen deben percibir que la censura y autocensura son elementos indispensables en su profesión, como variables reguladoras para evitar abusos en los derechos derivados de esa libertad.</w:t>
      </w:r>
    </w:p>
    <w:p w14:paraId="3AD2D2A5" w14:textId="06753C33" w:rsidR="002E0A03" w:rsidRDefault="002E0A03" w:rsidP="00030C1B">
      <w:pPr>
        <w:spacing w:before="240" w:line="360" w:lineRule="auto"/>
        <w:ind w:firstLine="709"/>
        <w:jc w:val="both"/>
        <w:rPr>
          <w:rFonts w:ascii="Arial" w:hAnsi="Arial" w:cs="Arial"/>
          <w:sz w:val="24"/>
        </w:rPr>
      </w:pPr>
      <w:r>
        <w:rPr>
          <w:rFonts w:ascii="Arial" w:hAnsi="Arial" w:cs="Arial"/>
          <w:sz w:val="24"/>
        </w:rPr>
        <w:t xml:space="preserve">Para mayor abundamiento se advierte que la libertad de expresión de los periodistas no puede ser censurada, pues como se indicó párrafos arriba la libertad con censura deja de ser libertad, sin embargo, sí es necesaria la censura o autocensura al momento de </w:t>
      </w:r>
      <w:r w:rsidR="00706458">
        <w:rPr>
          <w:rFonts w:ascii="Arial" w:hAnsi="Arial" w:cs="Arial"/>
          <w:sz w:val="24"/>
        </w:rPr>
        <w:t>ejercer distintos</w:t>
      </w:r>
      <w:r w:rsidR="00F618A1">
        <w:rPr>
          <w:rFonts w:ascii="Arial" w:hAnsi="Arial" w:cs="Arial"/>
          <w:sz w:val="24"/>
        </w:rPr>
        <w:t xml:space="preserve"> derecho</w:t>
      </w:r>
      <w:r w:rsidR="00706458">
        <w:rPr>
          <w:rFonts w:ascii="Arial" w:hAnsi="Arial" w:cs="Arial"/>
          <w:sz w:val="24"/>
        </w:rPr>
        <w:t>s</w:t>
      </w:r>
      <w:r w:rsidR="00F618A1">
        <w:rPr>
          <w:rFonts w:ascii="Arial" w:hAnsi="Arial" w:cs="Arial"/>
          <w:sz w:val="24"/>
        </w:rPr>
        <w:t xml:space="preserve"> </w:t>
      </w:r>
      <w:r w:rsidR="00706458">
        <w:rPr>
          <w:rFonts w:ascii="Arial" w:hAnsi="Arial" w:cs="Arial"/>
          <w:sz w:val="24"/>
        </w:rPr>
        <w:t xml:space="preserve">relacionados </w:t>
      </w:r>
      <w:r w:rsidR="00F618A1">
        <w:rPr>
          <w:rFonts w:ascii="Arial" w:hAnsi="Arial" w:cs="Arial"/>
          <w:sz w:val="24"/>
        </w:rPr>
        <w:t>en el ejercicio periodístico, pues de lo contrario se podría incurrir en difamación, injurias o simplemente faltar a la verdad.</w:t>
      </w:r>
    </w:p>
    <w:p w14:paraId="7A50A1BD" w14:textId="4E98FD1E" w:rsidR="00F618A1" w:rsidRDefault="00A57921" w:rsidP="00030C1B">
      <w:pPr>
        <w:spacing w:before="240" w:line="360" w:lineRule="auto"/>
        <w:ind w:firstLine="709"/>
        <w:jc w:val="both"/>
        <w:rPr>
          <w:rFonts w:ascii="Arial" w:hAnsi="Arial" w:cs="Arial"/>
          <w:sz w:val="24"/>
        </w:rPr>
      </w:pPr>
      <w:r>
        <w:rPr>
          <w:rFonts w:ascii="Arial" w:hAnsi="Arial" w:cs="Arial"/>
          <w:sz w:val="24"/>
        </w:rPr>
        <w:t>De ahí que un primer paso</w:t>
      </w:r>
      <w:r w:rsidR="003C1273">
        <w:rPr>
          <w:rFonts w:ascii="Arial" w:hAnsi="Arial" w:cs="Arial"/>
          <w:sz w:val="24"/>
        </w:rPr>
        <w:t>,</w:t>
      </w:r>
      <w:r>
        <w:rPr>
          <w:rFonts w:ascii="Arial" w:hAnsi="Arial" w:cs="Arial"/>
          <w:sz w:val="24"/>
        </w:rPr>
        <w:t xml:space="preserve"> en la actividad periodística</w:t>
      </w:r>
      <w:r w:rsidR="003C1273">
        <w:rPr>
          <w:rFonts w:ascii="Arial" w:hAnsi="Arial" w:cs="Arial"/>
          <w:sz w:val="24"/>
        </w:rPr>
        <w:t>,</w:t>
      </w:r>
      <w:r>
        <w:rPr>
          <w:rFonts w:ascii="Arial" w:hAnsi="Arial" w:cs="Arial"/>
          <w:sz w:val="24"/>
        </w:rPr>
        <w:t xml:space="preserve"> lo constituya el reconocimiento de la gravedad que implica el ejercer estos derechos fundamentales</w:t>
      </w:r>
      <w:r w:rsidR="005B05C8">
        <w:rPr>
          <w:rFonts w:ascii="Arial" w:hAnsi="Arial" w:cs="Arial"/>
          <w:sz w:val="24"/>
        </w:rPr>
        <w:t>,</w:t>
      </w:r>
      <w:r>
        <w:rPr>
          <w:rFonts w:ascii="Arial" w:hAnsi="Arial" w:cs="Arial"/>
          <w:sz w:val="24"/>
        </w:rPr>
        <w:t xml:space="preserve"> desde una actividad pr</w:t>
      </w:r>
      <w:r w:rsidR="003044C1">
        <w:rPr>
          <w:rFonts w:ascii="Arial" w:hAnsi="Arial" w:cs="Arial"/>
          <w:sz w:val="24"/>
        </w:rPr>
        <w:t>ofesional, lo cual va relacionado con códigos de ética y normas de comportamiento</w:t>
      </w:r>
      <w:r w:rsidR="008538E7">
        <w:rPr>
          <w:rFonts w:ascii="Arial" w:hAnsi="Arial" w:cs="Arial"/>
          <w:sz w:val="24"/>
        </w:rPr>
        <w:t xml:space="preserve">. </w:t>
      </w:r>
    </w:p>
    <w:p w14:paraId="026B0E4D" w14:textId="003E7EF6" w:rsidR="0041236A" w:rsidRDefault="003C1273" w:rsidP="00030C1B">
      <w:pPr>
        <w:spacing w:before="240" w:line="360" w:lineRule="auto"/>
        <w:ind w:firstLine="709"/>
        <w:jc w:val="both"/>
        <w:rPr>
          <w:rFonts w:ascii="Arial" w:hAnsi="Arial" w:cs="Arial"/>
          <w:sz w:val="24"/>
        </w:rPr>
      </w:pPr>
      <w:r>
        <w:rPr>
          <w:rFonts w:ascii="Arial" w:hAnsi="Arial" w:cs="Arial"/>
          <w:sz w:val="24"/>
        </w:rPr>
        <w:t xml:space="preserve">Cuando esto ocurre, lo cual </w:t>
      </w:r>
      <w:r w:rsidR="007D1680">
        <w:rPr>
          <w:rFonts w:ascii="Arial" w:hAnsi="Arial" w:cs="Arial"/>
          <w:sz w:val="24"/>
        </w:rPr>
        <w:t xml:space="preserve">además </w:t>
      </w:r>
      <w:r>
        <w:rPr>
          <w:rFonts w:ascii="Arial" w:hAnsi="Arial" w:cs="Arial"/>
          <w:sz w:val="24"/>
        </w:rPr>
        <w:t>garantiza un ejercicio responsable</w:t>
      </w:r>
      <w:r w:rsidR="008538E7">
        <w:rPr>
          <w:rStyle w:val="Refdenotaalpie"/>
          <w:rFonts w:ascii="Arial" w:hAnsi="Arial" w:cs="Arial"/>
          <w:sz w:val="24"/>
        </w:rPr>
        <w:footnoteReference w:id="37"/>
      </w:r>
      <w:r>
        <w:rPr>
          <w:rFonts w:ascii="Arial" w:hAnsi="Arial" w:cs="Arial"/>
          <w:sz w:val="24"/>
        </w:rPr>
        <w:t xml:space="preserve"> del ejercicio period</w:t>
      </w:r>
      <w:r w:rsidR="007D1680">
        <w:rPr>
          <w:rFonts w:ascii="Arial" w:hAnsi="Arial" w:cs="Arial"/>
          <w:sz w:val="24"/>
        </w:rPr>
        <w:t>ístico, debería</w:t>
      </w:r>
      <w:r w:rsidR="0041236A">
        <w:rPr>
          <w:rFonts w:ascii="Arial" w:hAnsi="Arial" w:cs="Arial"/>
          <w:sz w:val="24"/>
        </w:rPr>
        <w:t xml:space="preserve"> </w:t>
      </w:r>
      <w:r w:rsidR="007D1680">
        <w:rPr>
          <w:rFonts w:ascii="Arial" w:hAnsi="Arial" w:cs="Arial"/>
          <w:sz w:val="24"/>
        </w:rPr>
        <w:t>disminuirse la posibilidad de que el propio periodista o factores externos recomie</w:t>
      </w:r>
      <w:r w:rsidR="0041236A">
        <w:rPr>
          <w:rFonts w:ascii="Arial" w:hAnsi="Arial" w:cs="Arial"/>
          <w:sz w:val="24"/>
        </w:rPr>
        <w:t>nden la autocensura</w:t>
      </w:r>
      <w:r w:rsidR="007D1680">
        <w:rPr>
          <w:rFonts w:ascii="Arial" w:hAnsi="Arial" w:cs="Arial"/>
          <w:sz w:val="24"/>
        </w:rPr>
        <w:t xml:space="preserve"> de s</w:t>
      </w:r>
      <w:r w:rsidR="0041236A">
        <w:rPr>
          <w:rFonts w:ascii="Arial" w:hAnsi="Arial" w:cs="Arial"/>
          <w:sz w:val="24"/>
        </w:rPr>
        <w:t>u propia actividad, sin embargo, dicho supuesto aún no se ha normalizado en el subsistema cultural, pu</w:t>
      </w:r>
      <w:r w:rsidR="005B4E7B">
        <w:rPr>
          <w:rFonts w:ascii="Arial" w:hAnsi="Arial" w:cs="Arial"/>
          <w:sz w:val="24"/>
        </w:rPr>
        <w:t>es la censura suele persistir, sin importar que el subsistema jurídico vaya en un camino distinto.</w:t>
      </w:r>
    </w:p>
    <w:p w14:paraId="56408568" w14:textId="0660FE68" w:rsidR="005B4E7B" w:rsidRDefault="008B799B" w:rsidP="00EB310F">
      <w:pPr>
        <w:spacing w:before="240" w:line="360" w:lineRule="auto"/>
        <w:ind w:left="708" w:firstLine="1"/>
        <w:jc w:val="both"/>
        <w:rPr>
          <w:rFonts w:ascii="Arial" w:hAnsi="Arial" w:cs="Arial"/>
          <w:sz w:val="24"/>
        </w:rPr>
      </w:pPr>
      <w:r>
        <w:rPr>
          <w:rFonts w:ascii="Arial" w:hAnsi="Arial" w:cs="Arial"/>
          <w:sz w:val="24"/>
        </w:rPr>
        <w:t>El principio resulta claro. Los derechos son de las personas jurídicas individuales y/o morales. Y, como con esos derechos, las personas asumen responsabilidades, el Estado o la organización política debe ser controlado para facilitarlos. Por ende, no puede un Estado o una comunidad política y/o social llamada a la protección de los derechos de las personas crear monopolios o limitaciones legales al uso de los medios e instrumentos necesarios para el ejercicio de los derechos de expresión, divulgación de las opiniones y al propio derecho de informar o informarse, cuando esto último es posible y debido. (Hidalgo, 2018, p. 108)</w:t>
      </w:r>
    </w:p>
    <w:p w14:paraId="002F4C48" w14:textId="77777777" w:rsidR="003A7842" w:rsidRDefault="007D1680" w:rsidP="003A7842">
      <w:pPr>
        <w:spacing w:before="240" w:line="360" w:lineRule="auto"/>
        <w:ind w:firstLine="709"/>
        <w:jc w:val="both"/>
        <w:rPr>
          <w:rFonts w:ascii="Arial" w:hAnsi="Arial" w:cs="Arial"/>
          <w:sz w:val="24"/>
        </w:rPr>
      </w:pPr>
      <w:r>
        <w:rPr>
          <w:rFonts w:ascii="Arial" w:hAnsi="Arial" w:cs="Arial"/>
          <w:sz w:val="24"/>
        </w:rPr>
        <w:t xml:space="preserve"> </w:t>
      </w:r>
      <w:r w:rsidR="000B7FF2">
        <w:rPr>
          <w:rFonts w:ascii="Arial" w:hAnsi="Arial" w:cs="Arial"/>
          <w:sz w:val="24"/>
        </w:rPr>
        <w:t>Esa falta de normalización en el subsistema cultural</w:t>
      </w:r>
      <w:r w:rsidR="008538E7">
        <w:rPr>
          <w:rFonts w:ascii="Arial" w:hAnsi="Arial" w:cs="Arial"/>
          <w:sz w:val="24"/>
        </w:rPr>
        <w:t>, en la época moderna puede considerarse como</w:t>
      </w:r>
      <w:r w:rsidR="000B7FF2">
        <w:rPr>
          <w:rFonts w:ascii="Arial" w:hAnsi="Arial" w:cs="Arial"/>
          <w:sz w:val="24"/>
        </w:rPr>
        <w:t xml:space="preserve"> secuela del factor analizado en el subsistema político, referente a la dependencia de los medios de comunicación, respecto de los presupuestos públicos en materia de publicidad oficial, </w:t>
      </w:r>
      <w:r w:rsidR="008538E7">
        <w:rPr>
          <w:rFonts w:ascii="Arial" w:hAnsi="Arial" w:cs="Arial"/>
          <w:sz w:val="24"/>
        </w:rPr>
        <w:t xml:space="preserve">y </w:t>
      </w:r>
      <w:r w:rsidR="000B7FF2">
        <w:rPr>
          <w:rFonts w:ascii="Arial" w:hAnsi="Arial" w:cs="Arial"/>
          <w:sz w:val="24"/>
        </w:rPr>
        <w:t>lo cual revela un problema de sobrevivencia que las empresas mediáticas no han resuelto desde su propia concepción como negocios involucrados con la liberta de expresión.</w:t>
      </w:r>
      <w:r w:rsidR="003A7842">
        <w:rPr>
          <w:rFonts w:ascii="Arial" w:hAnsi="Arial" w:cs="Arial"/>
          <w:sz w:val="24"/>
        </w:rPr>
        <w:t xml:space="preserve"> </w:t>
      </w:r>
    </w:p>
    <w:p w14:paraId="2DB315A2" w14:textId="44B57631" w:rsidR="008538E7" w:rsidRDefault="008538E7" w:rsidP="003A7842">
      <w:pPr>
        <w:spacing w:before="240" w:line="360" w:lineRule="auto"/>
        <w:ind w:firstLine="709"/>
        <w:jc w:val="both"/>
        <w:rPr>
          <w:rFonts w:ascii="Arial" w:hAnsi="Arial" w:cs="Arial"/>
          <w:sz w:val="24"/>
        </w:rPr>
      </w:pPr>
      <w:r>
        <w:rPr>
          <w:rFonts w:ascii="Arial" w:hAnsi="Arial" w:cs="Arial"/>
          <w:sz w:val="24"/>
        </w:rPr>
        <w:t>Sin embargo, el punto nodal de la</w:t>
      </w:r>
      <w:r w:rsidR="00EC3C0A">
        <w:rPr>
          <w:rFonts w:ascii="Arial" w:hAnsi="Arial" w:cs="Arial"/>
          <w:sz w:val="24"/>
        </w:rPr>
        <w:t xml:space="preserve"> censura en el ejercicio periodístico se ubica en la relación de poder que establece con otros poderes ya existentes en el sistema social, lo c</w:t>
      </w:r>
      <w:r w:rsidR="003A7842">
        <w:rPr>
          <w:rFonts w:ascii="Arial" w:hAnsi="Arial" w:cs="Arial"/>
          <w:sz w:val="24"/>
        </w:rPr>
        <w:t xml:space="preserve">ual implica el modelo de justicia al cual aspiran estos poderes. </w:t>
      </w:r>
      <w:r w:rsidR="00EC3C0A">
        <w:rPr>
          <w:rFonts w:ascii="Arial" w:hAnsi="Arial" w:cs="Arial"/>
          <w:sz w:val="24"/>
        </w:rPr>
        <w:t>Interlocución donde siempre llevará ventaja quien detente la mayor parte los recursos políticos y económicos.</w:t>
      </w:r>
      <w:r>
        <w:rPr>
          <w:rFonts w:ascii="Arial" w:hAnsi="Arial" w:cs="Arial"/>
          <w:sz w:val="24"/>
        </w:rPr>
        <w:t xml:space="preserve"> </w:t>
      </w:r>
    </w:p>
    <w:p w14:paraId="4316EB5E" w14:textId="3345A644" w:rsidR="000B7FF2" w:rsidRDefault="00FF44D7" w:rsidP="00EB310F">
      <w:pPr>
        <w:spacing w:before="240" w:line="360" w:lineRule="auto"/>
        <w:ind w:left="709"/>
        <w:jc w:val="both"/>
        <w:rPr>
          <w:rFonts w:ascii="Arial" w:hAnsi="Arial" w:cs="Arial"/>
          <w:sz w:val="24"/>
          <w:szCs w:val="24"/>
        </w:rPr>
      </w:pPr>
      <w:r>
        <w:rPr>
          <w:rFonts w:ascii="Arial" w:hAnsi="Arial" w:cs="Arial"/>
          <w:sz w:val="24"/>
          <w:szCs w:val="24"/>
        </w:rPr>
        <w:t>L</w:t>
      </w:r>
      <w:r w:rsidRPr="00FF44D7">
        <w:rPr>
          <w:rFonts w:ascii="Arial" w:hAnsi="Arial" w:cs="Arial"/>
          <w:sz w:val="24"/>
          <w:szCs w:val="24"/>
        </w:rPr>
        <w:t xml:space="preserve">a libertad de expresión encuentra un punto de conflicto histórico presente hasta nuestros días: la censura. En las épocas del mayor absolutismo ideológico, marcado en gran parte de la historia por un carácter religioso, las ideas se expresaban oralmente o por escrito, en concordancia con las reglas establecidas, por lo que la censura servía como instrumento de control social de la expresión pública de ideas, opiniones o sentimientos, principalmente cuando éstos referían o atacaban a la autoridad del gobierno o al orden social y moral que él mismo establecía </w:t>
      </w:r>
      <w:r w:rsidR="008E529F">
        <w:rPr>
          <w:rFonts w:ascii="Arial" w:hAnsi="Arial" w:cs="Arial"/>
          <w:sz w:val="24"/>
          <w:szCs w:val="24"/>
        </w:rPr>
        <w:t xml:space="preserve">(Buendia y Esquivel, 2018, p. 56 tomado de </w:t>
      </w:r>
      <w:r w:rsidRPr="00FF44D7">
        <w:rPr>
          <w:rFonts w:ascii="Arial" w:hAnsi="Arial" w:cs="Arial"/>
          <w:sz w:val="24"/>
          <w:szCs w:val="24"/>
        </w:rPr>
        <w:t>Cendejas Jáuregui, 2007).</w:t>
      </w:r>
    </w:p>
    <w:p w14:paraId="230D65EF" w14:textId="7ACE8626" w:rsidR="0058616E" w:rsidRDefault="003A7842" w:rsidP="00030C1B">
      <w:pPr>
        <w:spacing w:before="240" w:line="360" w:lineRule="auto"/>
        <w:ind w:firstLine="709"/>
        <w:jc w:val="both"/>
        <w:rPr>
          <w:rFonts w:ascii="Arial" w:hAnsi="Arial" w:cs="Arial"/>
          <w:sz w:val="24"/>
          <w:szCs w:val="24"/>
        </w:rPr>
      </w:pPr>
      <w:r>
        <w:rPr>
          <w:rFonts w:ascii="Arial" w:hAnsi="Arial" w:cs="Arial"/>
          <w:sz w:val="24"/>
          <w:szCs w:val="24"/>
        </w:rPr>
        <w:t>La c</w:t>
      </w:r>
      <w:r w:rsidR="0058616E">
        <w:rPr>
          <w:rFonts w:ascii="Arial" w:hAnsi="Arial" w:cs="Arial"/>
          <w:sz w:val="24"/>
          <w:szCs w:val="24"/>
        </w:rPr>
        <w:t>ensura como control social confirma que la relación dialéctica que se establece entre el periodismo y quienes detentan algún poder está sujeta a dicho juego de poderes, pues el ejercicio periodístico no sólo implica el empoderamiento del periodista como sujeto que detenta info</w:t>
      </w:r>
      <w:r w:rsidR="00D21763">
        <w:rPr>
          <w:rFonts w:ascii="Arial" w:hAnsi="Arial" w:cs="Arial"/>
          <w:sz w:val="24"/>
          <w:szCs w:val="24"/>
        </w:rPr>
        <w:t xml:space="preserve">rmación que se difunde, sino </w:t>
      </w:r>
      <w:r w:rsidR="0058616E">
        <w:rPr>
          <w:rFonts w:ascii="Arial" w:hAnsi="Arial" w:cs="Arial"/>
          <w:sz w:val="24"/>
          <w:szCs w:val="24"/>
        </w:rPr>
        <w:t>garantizar mayor poder para quienes acceden a esa información, lo cual genera tendencias de pensamiento y opinión, que a su vez constituyen otro poder.</w:t>
      </w:r>
    </w:p>
    <w:p w14:paraId="63E6C91A" w14:textId="77777777" w:rsidR="00DB1226" w:rsidRDefault="0058616E" w:rsidP="00DB1226">
      <w:pPr>
        <w:spacing w:before="240" w:line="360" w:lineRule="auto"/>
        <w:ind w:firstLine="709"/>
        <w:jc w:val="both"/>
        <w:rPr>
          <w:rFonts w:ascii="Arial" w:hAnsi="Arial" w:cs="Arial"/>
          <w:sz w:val="24"/>
          <w:szCs w:val="24"/>
        </w:rPr>
      </w:pPr>
      <w:r>
        <w:rPr>
          <w:rFonts w:ascii="Arial" w:hAnsi="Arial" w:cs="Arial"/>
          <w:sz w:val="24"/>
          <w:szCs w:val="24"/>
        </w:rPr>
        <w:t>De ahí qu</w:t>
      </w:r>
      <w:r w:rsidR="00E80F83">
        <w:rPr>
          <w:rFonts w:ascii="Arial" w:hAnsi="Arial" w:cs="Arial"/>
          <w:sz w:val="24"/>
          <w:szCs w:val="24"/>
        </w:rPr>
        <w:t xml:space="preserve">e sea recurrente otorgarle </w:t>
      </w:r>
      <w:r w:rsidR="00DB1226">
        <w:rPr>
          <w:rFonts w:ascii="Arial" w:hAnsi="Arial" w:cs="Arial"/>
          <w:sz w:val="24"/>
          <w:szCs w:val="24"/>
        </w:rPr>
        <w:t xml:space="preserve">cualidades </w:t>
      </w:r>
      <w:r w:rsidR="00E80F83">
        <w:rPr>
          <w:rFonts w:ascii="Arial" w:hAnsi="Arial" w:cs="Arial"/>
          <w:sz w:val="24"/>
          <w:szCs w:val="24"/>
        </w:rPr>
        <w:t>democrática</w:t>
      </w:r>
      <w:r w:rsidR="00DB1226">
        <w:rPr>
          <w:rFonts w:ascii="Arial" w:hAnsi="Arial" w:cs="Arial"/>
          <w:sz w:val="24"/>
          <w:szCs w:val="24"/>
        </w:rPr>
        <w:t>s al periodismo como actividad garante de la libertad de expresión, pues Cabalin y Lagos (2009) señalan que dicha libertad</w:t>
      </w:r>
      <w:r w:rsidR="00E80F83">
        <w:rPr>
          <w:rFonts w:ascii="Arial" w:hAnsi="Arial" w:cs="Arial"/>
          <w:sz w:val="24"/>
          <w:szCs w:val="24"/>
        </w:rPr>
        <w:t xml:space="preserve"> “t</w:t>
      </w:r>
      <w:r w:rsidR="00105D43" w:rsidRPr="00E80F83">
        <w:rPr>
          <w:rFonts w:ascii="Arial" w:hAnsi="Arial" w:cs="Arial"/>
          <w:sz w:val="24"/>
          <w:szCs w:val="24"/>
        </w:rPr>
        <w:t>iene sus orígenes en la necesidad de proteger al individuo frente al Estado y constituir un contrapeso a éste. Y en ese sentido siempre ha sido una garantía incómod</w:t>
      </w:r>
      <w:r w:rsidR="00DB1226">
        <w:rPr>
          <w:rFonts w:ascii="Arial" w:hAnsi="Arial" w:cs="Arial"/>
          <w:sz w:val="24"/>
          <w:szCs w:val="24"/>
        </w:rPr>
        <w:t xml:space="preserve">a para el poder”. (p. 42) </w:t>
      </w:r>
    </w:p>
    <w:p w14:paraId="12084C8F" w14:textId="617997C5" w:rsidR="003A7842" w:rsidRDefault="00C177B7" w:rsidP="00DB1226">
      <w:pPr>
        <w:spacing w:before="240" w:line="360" w:lineRule="auto"/>
        <w:ind w:firstLine="709"/>
        <w:jc w:val="both"/>
        <w:rPr>
          <w:rFonts w:ascii="Arial" w:hAnsi="Arial" w:cs="Arial"/>
          <w:sz w:val="24"/>
          <w:szCs w:val="24"/>
        </w:rPr>
      </w:pPr>
      <w:r>
        <w:rPr>
          <w:rFonts w:ascii="Arial" w:hAnsi="Arial" w:cs="Arial"/>
          <w:sz w:val="24"/>
          <w:szCs w:val="24"/>
        </w:rPr>
        <w:t>Tal perfil democrático del periodismo es el principio de su futura censura o autocensura, pues quienes lo ejercen abanderan la libertad de expresión</w:t>
      </w:r>
      <w:r w:rsidR="00A07578">
        <w:rPr>
          <w:rFonts w:ascii="Arial" w:hAnsi="Arial" w:cs="Arial"/>
          <w:sz w:val="24"/>
          <w:szCs w:val="24"/>
        </w:rPr>
        <w:t>, mediante los derechos que derivan de ella,</w:t>
      </w:r>
      <w:r>
        <w:rPr>
          <w:rFonts w:ascii="Arial" w:hAnsi="Arial" w:cs="Arial"/>
          <w:sz w:val="24"/>
          <w:szCs w:val="24"/>
        </w:rPr>
        <w:t xml:space="preserve"> como principal elemento para su empoderamiento frente al resto de la sociedad, pero el ejercicio de dicha libertad también se convierte en factor d</w:t>
      </w:r>
      <w:r w:rsidR="00A07578">
        <w:rPr>
          <w:rFonts w:ascii="Arial" w:hAnsi="Arial" w:cs="Arial"/>
          <w:sz w:val="24"/>
          <w:szCs w:val="24"/>
        </w:rPr>
        <w:t>e mercado para la constitución de empresas mediáticas, donde puede instrumentarse un mecanismo de negociación con otros poderes, a partir de la restricción o no de los derechos derivados de tal libertad.</w:t>
      </w:r>
    </w:p>
    <w:p w14:paraId="536980C6" w14:textId="667ABCBF" w:rsidR="00E76918" w:rsidRDefault="0034074E" w:rsidP="00DB1226">
      <w:pPr>
        <w:spacing w:before="240" w:line="360" w:lineRule="auto"/>
        <w:ind w:firstLine="709"/>
        <w:jc w:val="both"/>
        <w:rPr>
          <w:rFonts w:ascii="Arial" w:hAnsi="Arial" w:cs="Arial"/>
          <w:sz w:val="24"/>
          <w:szCs w:val="24"/>
        </w:rPr>
      </w:pPr>
      <w:r>
        <w:rPr>
          <w:rFonts w:ascii="Arial" w:hAnsi="Arial" w:cs="Arial"/>
          <w:sz w:val="24"/>
          <w:szCs w:val="24"/>
        </w:rPr>
        <w:t>Dicha restri</w:t>
      </w:r>
      <w:r w:rsidR="00E76918">
        <w:rPr>
          <w:rFonts w:ascii="Arial" w:hAnsi="Arial" w:cs="Arial"/>
          <w:sz w:val="24"/>
          <w:szCs w:val="24"/>
        </w:rPr>
        <w:t>cción o censura puede derivar en</w:t>
      </w:r>
      <w:r>
        <w:rPr>
          <w:rFonts w:ascii="Arial" w:hAnsi="Arial" w:cs="Arial"/>
          <w:sz w:val="24"/>
          <w:szCs w:val="24"/>
        </w:rPr>
        <w:t xml:space="preserve"> acuerdos económicos, </w:t>
      </w:r>
      <w:r w:rsidR="00E76918">
        <w:rPr>
          <w:rFonts w:ascii="Arial" w:hAnsi="Arial" w:cs="Arial"/>
          <w:sz w:val="24"/>
          <w:szCs w:val="24"/>
        </w:rPr>
        <w:t>tácitos o velados, pero que garantizan la rentabilidad de la empresa mediática, quien también puede optar por la censura ante criterios de conveniencia o coincidencia política con distintos poderes, lo cual del mismo modo asegura su viabilidad futura.</w:t>
      </w:r>
    </w:p>
    <w:p w14:paraId="0DA7D065" w14:textId="7665B6A3" w:rsidR="00E76918" w:rsidRDefault="00E76918" w:rsidP="00DB1226">
      <w:pPr>
        <w:spacing w:before="240" w:line="360" w:lineRule="auto"/>
        <w:ind w:firstLine="709"/>
        <w:jc w:val="both"/>
        <w:rPr>
          <w:rFonts w:ascii="Arial" w:hAnsi="Arial" w:cs="Arial"/>
          <w:sz w:val="24"/>
          <w:szCs w:val="24"/>
        </w:rPr>
      </w:pPr>
      <w:r>
        <w:rPr>
          <w:rFonts w:ascii="Arial" w:hAnsi="Arial" w:cs="Arial"/>
          <w:sz w:val="24"/>
          <w:szCs w:val="24"/>
        </w:rPr>
        <w:t>Esta negociación de derechos, derivada del juego de poder, suele ser más violenta a nivel del ejercicio periodístico y del propio periodista, cuando además de su sobrevivencia económica se atenta contra su integridad física y su vida, lo cual constituye el extremo de la censura en la búsqueda de silenciar o inhibir a la actividad periodística no sólo desde poderes públicos, sino también fácticos.</w:t>
      </w:r>
    </w:p>
    <w:p w14:paraId="371C7889" w14:textId="1E186733" w:rsidR="00E76918" w:rsidRDefault="00E76918" w:rsidP="00DB1226">
      <w:pPr>
        <w:spacing w:before="240" w:line="360" w:lineRule="auto"/>
        <w:ind w:firstLine="709"/>
        <w:jc w:val="both"/>
        <w:rPr>
          <w:rFonts w:ascii="Arial" w:hAnsi="Arial" w:cs="Arial"/>
          <w:sz w:val="24"/>
          <w:szCs w:val="24"/>
        </w:rPr>
      </w:pPr>
      <w:r>
        <w:rPr>
          <w:rFonts w:ascii="Arial" w:hAnsi="Arial" w:cs="Arial"/>
          <w:sz w:val="24"/>
          <w:szCs w:val="24"/>
        </w:rPr>
        <w:t xml:space="preserve">Para salvarse de dicha realidad, algunos autores como </w:t>
      </w:r>
      <w:r w:rsidR="00D534E8">
        <w:rPr>
          <w:rFonts w:ascii="Arial" w:hAnsi="Arial" w:cs="Arial"/>
          <w:sz w:val="24"/>
          <w:szCs w:val="24"/>
        </w:rPr>
        <w:t>Bergareche (2012) indican que “no hay libertad ni pluralismo informativo sin empresas periodísticas rentables” (p. 17), lo cual advierte sobre la importancia de que los medios de comunicación</w:t>
      </w:r>
      <w:r w:rsidR="00D21763">
        <w:rPr>
          <w:rFonts w:ascii="Arial" w:hAnsi="Arial" w:cs="Arial"/>
          <w:sz w:val="24"/>
          <w:szCs w:val="24"/>
        </w:rPr>
        <w:t>,</w:t>
      </w:r>
      <w:r w:rsidR="00D534E8">
        <w:rPr>
          <w:rFonts w:ascii="Arial" w:hAnsi="Arial" w:cs="Arial"/>
          <w:sz w:val="24"/>
          <w:szCs w:val="24"/>
        </w:rPr>
        <w:t xml:space="preserve"> y por ende los propios periodistas</w:t>
      </w:r>
      <w:r w:rsidR="00D21763">
        <w:rPr>
          <w:rFonts w:ascii="Arial" w:hAnsi="Arial" w:cs="Arial"/>
          <w:sz w:val="24"/>
          <w:szCs w:val="24"/>
        </w:rPr>
        <w:t>,</w:t>
      </w:r>
      <w:r w:rsidR="00D534E8">
        <w:rPr>
          <w:rFonts w:ascii="Arial" w:hAnsi="Arial" w:cs="Arial"/>
          <w:sz w:val="24"/>
          <w:szCs w:val="24"/>
        </w:rPr>
        <w:t xml:space="preserve"> consoliden proyectos empresariales que les permitan márgenes amplios en el ejercicio de sus derechos para obtener y difundir información.</w:t>
      </w:r>
    </w:p>
    <w:p w14:paraId="1AA140E4" w14:textId="0950766B" w:rsidR="00D534E8" w:rsidRDefault="00D534E8" w:rsidP="00DB1226">
      <w:pPr>
        <w:spacing w:before="240" w:line="360" w:lineRule="auto"/>
        <w:ind w:firstLine="709"/>
        <w:jc w:val="both"/>
        <w:rPr>
          <w:rFonts w:ascii="Arial" w:hAnsi="Arial" w:cs="Arial"/>
          <w:sz w:val="24"/>
          <w:szCs w:val="24"/>
        </w:rPr>
      </w:pPr>
      <w:r>
        <w:rPr>
          <w:rFonts w:ascii="Arial" w:hAnsi="Arial" w:cs="Arial"/>
          <w:sz w:val="24"/>
          <w:szCs w:val="24"/>
        </w:rPr>
        <w:t>Sin embargo, tal concepción también implicaría un llamado a la negociación de las empresas mediáticas con distintos factores externos, entre ellos el poder público, para caminar hacia la rentabili</w:t>
      </w:r>
      <w:r w:rsidR="002D2D36">
        <w:rPr>
          <w:rFonts w:ascii="Arial" w:hAnsi="Arial" w:cs="Arial"/>
          <w:sz w:val="24"/>
          <w:szCs w:val="24"/>
        </w:rPr>
        <w:t>dad, que a su vez</w:t>
      </w:r>
      <w:r>
        <w:rPr>
          <w:rFonts w:ascii="Arial" w:hAnsi="Arial" w:cs="Arial"/>
          <w:sz w:val="24"/>
          <w:szCs w:val="24"/>
        </w:rPr>
        <w:t xml:space="preserve"> permita</w:t>
      </w:r>
      <w:r w:rsidR="002D2D36">
        <w:rPr>
          <w:rFonts w:ascii="Arial" w:hAnsi="Arial" w:cs="Arial"/>
          <w:sz w:val="24"/>
          <w:szCs w:val="24"/>
        </w:rPr>
        <w:t xml:space="preserve"> en un futuro</w:t>
      </w:r>
      <w:r w:rsidR="00D21763">
        <w:rPr>
          <w:rFonts w:ascii="Arial" w:hAnsi="Arial" w:cs="Arial"/>
          <w:sz w:val="24"/>
          <w:szCs w:val="24"/>
        </w:rPr>
        <w:t>,</w:t>
      </w:r>
      <w:r>
        <w:rPr>
          <w:rFonts w:ascii="Arial" w:hAnsi="Arial" w:cs="Arial"/>
          <w:sz w:val="24"/>
          <w:szCs w:val="24"/>
        </w:rPr>
        <w:t xml:space="preserve"> el referido pluralismo informativo.</w:t>
      </w:r>
    </w:p>
    <w:p w14:paraId="2036D2FF" w14:textId="369526F9" w:rsidR="00E76918" w:rsidRDefault="002D2D36" w:rsidP="00DB1226">
      <w:pPr>
        <w:spacing w:before="240" w:line="360" w:lineRule="auto"/>
        <w:ind w:firstLine="709"/>
        <w:jc w:val="both"/>
        <w:rPr>
          <w:rFonts w:ascii="Arial" w:hAnsi="Arial" w:cs="Arial"/>
          <w:sz w:val="24"/>
          <w:szCs w:val="24"/>
        </w:rPr>
      </w:pPr>
      <w:r>
        <w:rPr>
          <w:rFonts w:ascii="Arial" w:hAnsi="Arial" w:cs="Arial"/>
          <w:sz w:val="24"/>
          <w:szCs w:val="24"/>
        </w:rPr>
        <w:t xml:space="preserve">En países como México ha sido </w:t>
      </w:r>
      <w:r w:rsidR="00372CBC">
        <w:rPr>
          <w:rFonts w:ascii="Arial" w:hAnsi="Arial" w:cs="Arial"/>
          <w:sz w:val="24"/>
          <w:szCs w:val="24"/>
        </w:rPr>
        <w:t xml:space="preserve">recurrente esta característica en la búsqueda de un modelo de negocios para el periodismo, sobre todo aquel que desde su génesis apuesta a ser </w:t>
      </w:r>
      <w:r w:rsidR="00D21763">
        <w:rPr>
          <w:rFonts w:ascii="Arial" w:hAnsi="Arial" w:cs="Arial"/>
          <w:sz w:val="24"/>
          <w:szCs w:val="24"/>
        </w:rPr>
        <w:t xml:space="preserve">verdadero </w:t>
      </w:r>
      <w:r w:rsidR="00372CBC">
        <w:rPr>
          <w:rFonts w:ascii="Arial" w:hAnsi="Arial" w:cs="Arial"/>
          <w:sz w:val="24"/>
          <w:szCs w:val="24"/>
        </w:rPr>
        <w:t>garante de la libertad de expresión</w:t>
      </w:r>
      <w:r w:rsidR="009A6014">
        <w:rPr>
          <w:rFonts w:ascii="Arial" w:hAnsi="Arial" w:cs="Arial"/>
          <w:sz w:val="24"/>
          <w:szCs w:val="24"/>
        </w:rPr>
        <w:t xml:space="preserve"> y alentar contra pesos hacia los distintos poderes</w:t>
      </w:r>
      <w:r w:rsidR="00372CBC">
        <w:rPr>
          <w:rFonts w:ascii="Arial" w:hAnsi="Arial" w:cs="Arial"/>
          <w:sz w:val="24"/>
          <w:szCs w:val="24"/>
        </w:rPr>
        <w:t xml:space="preserve">, aunque </w:t>
      </w:r>
      <w:r w:rsidR="0038239D">
        <w:rPr>
          <w:rFonts w:ascii="Arial" w:hAnsi="Arial" w:cs="Arial"/>
          <w:sz w:val="24"/>
          <w:szCs w:val="24"/>
        </w:rPr>
        <w:t>en su tránsito debe recurrir</w:t>
      </w:r>
      <w:r w:rsidR="00AD7CA8">
        <w:rPr>
          <w:rFonts w:ascii="Arial" w:hAnsi="Arial" w:cs="Arial"/>
          <w:sz w:val="24"/>
          <w:szCs w:val="24"/>
        </w:rPr>
        <w:t>, de manera forzada,</w:t>
      </w:r>
      <w:r w:rsidR="0038239D">
        <w:rPr>
          <w:rFonts w:ascii="Arial" w:hAnsi="Arial" w:cs="Arial"/>
          <w:sz w:val="24"/>
          <w:szCs w:val="24"/>
        </w:rPr>
        <w:t xml:space="preserve"> a la censura como variable </w:t>
      </w:r>
      <w:r w:rsidR="00A0749F">
        <w:rPr>
          <w:rFonts w:ascii="Arial" w:hAnsi="Arial" w:cs="Arial"/>
          <w:sz w:val="24"/>
          <w:szCs w:val="24"/>
        </w:rPr>
        <w:t xml:space="preserve">de negociación política o </w:t>
      </w:r>
      <w:r w:rsidR="0038239D">
        <w:rPr>
          <w:rFonts w:ascii="Arial" w:hAnsi="Arial" w:cs="Arial"/>
          <w:sz w:val="24"/>
          <w:szCs w:val="24"/>
        </w:rPr>
        <w:t>mercan</w:t>
      </w:r>
      <w:r w:rsidR="00A0749F">
        <w:rPr>
          <w:rFonts w:ascii="Arial" w:hAnsi="Arial" w:cs="Arial"/>
          <w:sz w:val="24"/>
          <w:szCs w:val="24"/>
        </w:rPr>
        <w:t>til.</w:t>
      </w:r>
    </w:p>
    <w:p w14:paraId="5AA21341" w14:textId="13CA5CAC" w:rsidR="00A0749F" w:rsidRDefault="00A0749F" w:rsidP="00DB1226">
      <w:pPr>
        <w:spacing w:before="240" w:line="360" w:lineRule="auto"/>
        <w:ind w:firstLine="709"/>
        <w:jc w:val="both"/>
        <w:rPr>
          <w:rFonts w:ascii="Arial" w:hAnsi="Arial" w:cs="Arial"/>
          <w:sz w:val="24"/>
          <w:szCs w:val="24"/>
        </w:rPr>
      </w:pPr>
      <w:r>
        <w:rPr>
          <w:rFonts w:ascii="Arial" w:hAnsi="Arial" w:cs="Arial"/>
          <w:sz w:val="24"/>
          <w:szCs w:val="24"/>
        </w:rPr>
        <w:t>La siguiente anécdota narrada por Musacchio (2010) ilustra esos factores que corren paralelos al ejercicio periodístico:</w:t>
      </w:r>
    </w:p>
    <w:p w14:paraId="7AAF0C47" w14:textId="0C812974" w:rsidR="0038239D" w:rsidRDefault="0038239D" w:rsidP="00EB310F">
      <w:pPr>
        <w:spacing w:before="240" w:line="360" w:lineRule="auto"/>
        <w:ind w:left="708" w:firstLine="1"/>
        <w:jc w:val="both"/>
        <w:rPr>
          <w:rFonts w:ascii="Arial" w:hAnsi="Arial" w:cs="Arial"/>
          <w:sz w:val="24"/>
          <w:szCs w:val="24"/>
        </w:rPr>
      </w:pPr>
      <w:r>
        <w:rPr>
          <w:rFonts w:ascii="Arial" w:hAnsi="Arial" w:cs="Arial"/>
          <w:sz w:val="24"/>
          <w:szCs w:val="24"/>
        </w:rPr>
        <w:t>El primero de mayo de 1985, frente al Palacio de Bellas Artes, la manifestación de los sindicatos independientes fue atacada por la policía, que buscaba impedir la llegada de la columna al Zócalo, donde los sindicados oficialistas, con controlada mansedumbre, marchaban portando mantas que daban las gracias a Miguel de la Madrid, el entonces presidente, pese a que durante su desastrosa gestión se produjo un acelerado de deterioro de los salarios y a que la inflación de ese sexenio anduvo en promedio alrededor del ciento por ciento anual. Los obreros de los sindicados independientes tenían razones para estar indignados e insistieron en seguir hacia el Palacio Nacional, pero la fuerza pública respondió con violencia y se produjo una zacapela de varios heridos.</w:t>
      </w:r>
    </w:p>
    <w:p w14:paraId="521FFD17" w14:textId="63745BF8" w:rsidR="0038239D" w:rsidRDefault="00A0749F" w:rsidP="00EB310F">
      <w:pPr>
        <w:spacing w:before="240" w:line="360" w:lineRule="auto"/>
        <w:ind w:left="708" w:firstLine="1"/>
        <w:jc w:val="both"/>
        <w:rPr>
          <w:rFonts w:ascii="Arial" w:hAnsi="Arial" w:cs="Arial"/>
          <w:sz w:val="24"/>
          <w:szCs w:val="24"/>
        </w:rPr>
      </w:pPr>
      <w:r>
        <w:rPr>
          <w:rFonts w:ascii="Arial" w:hAnsi="Arial" w:cs="Arial"/>
          <w:sz w:val="24"/>
          <w:szCs w:val="24"/>
        </w:rPr>
        <w:t xml:space="preserve">Como suele ocurrir cuando la información más importante se genera en la mañana, se terminó de cerrar la edición muy temprano. Eran las ocho u ocho y media de la noche, ya habíamos terminado y platicaba con Miguel Ángel en su privado cuando entró una llamada: era Alberto Peniche Blanco, director de Comunicación Social de la Secretaría de Gobernación, quien empezó con grandes elogios para el periódico, que desde su aparición –dijo- había logrado colocarse como un diario al que había que tomar en cuenta. Después de un buen rato y ya en los prolegómenos de la despedida, aquel jefe de prensa le espetó, palabras más palabras menos, </w:t>
      </w:r>
      <w:r w:rsidR="009A6014">
        <w:rPr>
          <w:rFonts w:ascii="Arial" w:hAnsi="Arial" w:cs="Arial"/>
          <w:sz w:val="24"/>
          <w:szCs w:val="24"/>
        </w:rPr>
        <w:t xml:space="preserve">el </w:t>
      </w:r>
      <w:r>
        <w:rPr>
          <w:rFonts w:ascii="Arial" w:hAnsi="Arial" w:cs="Arial"/>
          <w:sz w:val="24"/>
          <w:szCs w:val="24"/>
        </w:rPr>
        <w:t xml:space="preserve">consabido “ahí le encargo lo de hoy”, lo que era una forma de pedir que le </w:t>
      </w:r>
      <w:r w:rsidRPr="00A0749F">
        <w:rPr>
          <w:rFonts w:ascii="Arial" w:hAnsi="Arial" w:cs="Arial"/>
          <w:i/>
          <w:sz w:val="24"/>
          <w:szCs w:val="24"/>
        </w:rPr>
        <w:t>bajáramos</w:t>
      </w:r>
      <w:r>
        <w:rPr>
          <w:rFonts w:ascii="Arial" w:hAnsi="Arial" w:cs="Arial"/>
          <w:sz w:val="24"/>
          <w:szCs w:val="24"/>
        </w:rPr>
        <w:t xml:space="preserve"> el tono a la información, y para que entendiera mejor, agregó: “Ya muy pronto va a destrabarse el asunto de la publicidad”. (Musacchio, 2010, </w:t>
      </w:r>
      <w:r w:rsidR="00E62B21">
        <w:rPr>
          <w:rFonts w:ascii="Arial" w:hAnsi="Arial" w:cs="Arial"/>
          <w:sz w:val="24"/>
          <w:szCs w:val="24"/>
        </w:rPr>
        <w:t>147-148)</w:t>
      </w:r>
    </w:p>
    <w:p w14:paraId="706F2611" w14:textId="77777777" w:rsidR="00E62B21" w:rsidRDefault="00E62B21" w:rsidP="00DB1226">
      <w:pPr>
        <w:spacing w:before="240" w:line="360" w:lineRule="auto"/>
        <w:ind w:firstLine="709"/>
        <w:jc w:val="both"/>
        <w:rPr>
          <w:rFonts w:ascii="Arial" w:hAnsi="Arial" w:cs="Arial"/>
          <w:sz w:val="24"/>
          <w:szCs w:val="24"/>
        </w:rPr>
      </w:pPr>
      <w:r>
        <w:rPr>
          <w:rFonts w:ascii="Arial" w:hAnsi="Arial" w:cs="Arial"/>
          <w:sz w:val="24"/>
          <w:szCs w:val="24"/>
        </w:rPr>
        <w:t xml:space="preserve">Dicho pasaje corresponde un momento ocurrido en el diario </w:t>
      </w:r>
      <w:r w:rsidRPr="00E62B21">
        <w:rPr>
          <w:rFonts w:ascii="Arial" w:hAnsi="Arial" w:cs="Arial"/>
          <w:i/>
          <w:sz w:val="24"/>
          <w:szCs w:val="24"/>
        </w:rPr>
        <w:t>La Jornada</w:t>
      </w:r>
      <w:r>
        <w:rPr>
          <w:rFonts w:ascii="Arial" w:hAnsi="Arial" w:cs="Arial"/>
          <w:sz w:val="24"/>
          <w:szCs w:val="24"/>
        </w:rPr>
        <w:t>, donde como el mismo autor narra, el periodista Miguel Ángel Granados Chapa y él, tuvieron que cambiar los encabezados de la primera plana de dicho periódico para el siguiente día, al considerar que era más importante preservar “el proyecto” periodístico.</w:t>
      </w:r>
    </w:p>
    <w:p w14:paraId="1B5DB4F2" w14:textId="070FB13F" w:rsidR="00E62B21" w:rsidRDefault="005A1C52" w:rsidP="00DB1226">
      <w:pPr>
        <w:spacing w:before="240" w:line="360" w:lineRule="auto"/>
        <w:ind w:firstLine="709"/>
        <w:jc w:val="both"/>
        <w:rPr>
          <w:rFonts w:ascii="Arial" w:hAnsi="Arial" w:cs="Arial"/>
          <w:sz w:val="24"/>
          <w:szCs w:val="24"/>
        </w:rPr>
      </w:pPr>
      <w:r>
        <w:rPr>
          <w:rFonts w:ascii="Arial" w:hAnsi="Arial" w:cs="Arial"/>
          <w:sz w:val="24"/>
          <w:szCs w:val="24"/>
        </w:rPr>
        <w:t xml:space="preserve">Musacchio advierte que tal situación cambió años después cuando una petición similar llegó a </w:t>
      </w:r>
      <w:r w:rsidRPr="009A6014">
        <w:rPr>
          <w:rFonts w:ascii="Arial" w:hAnsi="Arial" w:cs="Arial"/>
          <w:i/>
          <w:sz w:val="24"/>
          <w:szCs w:val="24"/>
        </w:rPr>
        <w:t>La Jornada</w:t>
      </w:r>
      <w:r w:rsidR="009A6014">
        <w:rPr>
          <w:rFonts w:ascii="Arial" w:hAnsi="Arial" w:cs="Arial"/>
          <w:sz w:val="24"/>
          <w:szCs w:val="24"/>
        </w:rPr>
        <w:t>, debido al asesinato de Francisco Xavier Ovando y Román Gil Hernández, colaboradores cercanos de Cuauhtémoc Cárdenas, quienes fueron ultimados previo a la elección presidencial de 1988. Aunque la Secretaría de Gobernación pidió no dimensionar el hecho, la información fue publicada conforme al criterio periodístico de dicho medio.</w:t>
      </w:r>
    </w:p>
    <w:p w14:paraId="000F65D4" w14:textId="0FB9BCB6" w:rsidR="009A6014" w:rsidRDefault="00AD7CA8" w:rsidP="00DB1226">
      <w:pPr>
        <w:spacing w:before="240" w:line="360" w:lineRule="auto"/>
        <w:ind w:firstLine="709"/>
        <w:jc w:val="both"/>
        <w:rPr>
          <w:rFonts w:ascii="Arial" w:hAnsi="Arial" w:cs="Arial"/>
          <w:sz w:val="24"/>
          <w:szCs w:val="24"/>
        </w:rPr>
      </w:pPr>
      <w:r>
        <w:rPr>
          <w:rFonts w:ascii="Arial" w:hAnsi="Arial" w:cs="Arial"/>
          <w:sz w:val="24"/>
          <w:szCs w:val="24"/>
        </w:rPr>
        <w:t>En el citado juego de poderes, donde quien detenta el mayor número de recursos públicos y económicos busca imponer sus argumentos de control y estabilidad social, también se le reconoce un poder natural al periodismo, al cual siempre se le convocará a la construcción de un modelo social basado en la uniformidad y el consenso creado por el poder más fuerte, lo cual es un rasgo preventivo de la censura que también lleva de fondo el factor económico y político.</w:t>
      </w:r>
    </w:p>
    <w:p w14:paraId="3F328B76" w14:textId="77777777" w:rsidR="00AD7CA8" w:rsidRDefault="00AD7CA8" w:rsidP="00DB1226">
      <w:pPr>
        <w:spacing w:before="240" w:line="360" w:lineRule="auto"/>
        <w:ind w:firstLine="709"/>
        <w:jc w:val="both"/>
        <w:rPr>
          <w:rFonts w:ascii="Arial" w:hAnsi="Arial" w:cs="Arial"/>
          <w:sz w:val="24"/>
          <w:szCs w:val="24"/>
        </w:rPr>
      </w:pPr>
      <w:r>
        <w:rPr>
          <w:rFonts w:ascii="Arial" w:hAnsi="Arial" w:cs="Arial"/>
          <w:sz w:val="24"/>
          <w:szCs w:val="24"/>
        </w:rPr>
        <w:t>Otro pasaje narrado por Scherer (2008) evidencia ese constante llamado que en este caso los poderes públicos hacen al periodismo y a los periodistas, al percibirlos como una figura social susceptible de siempre ser contralados para evitar tendencias contrarias a dichos consensos.</w:t>
      </w:r>
    </w:p>
    <w:p w14:paraId="3B4D7F49" w14:textId="59144F57" w:rsidR="00EE1FA2" w:rsidRDefault="00AD7CA8" w:rsidP="00EB310F">
      <w:pPr>
        <w:spacing w:before="240" w:line="360" w:lineRule="auto"/>
        <w:ind w:left="708" w:firstLine="1"/>
        <w:jc w:val="both"/>
        <w:rPr>
          <w:rFonts w:ascii="Arial" w:hAnsi="Arial" w:cs="Arial"/>
          <w:sz w:val="24"/>
          <w:szCs w:val="24"/>
        </w:rPr>
      </w:pPr>
      <w:r>
        <w:rPr>
          <w:rFonts w:ascii="Arial" w:hAnsi="Arial" w:cs="Arial"/>
          <w:sz w:val="24"/>
          <w:szCs w:val="24"/>
        </w:rPr>
        <w:t xml:space="preserve">Nos habló del </w:t>
      </w:r>
      <w:r w:rsidR="000A529D">
        <w:rPr>
          <w:rFonts w:ascii="Arial" w:hAnsi="Arial" w:cs="Arial"/>
          <w:sz w:val="24"/>
          <w:szCs w:val="24"/>
        </w:rPr>
        <w:t>credo de su vida profesional: los hombres de las relaciones públicas están para acercar a los reporteros con los políticos y a los políticos con los reporteros. Importa que se entiendan los unos con los otros para el bien del país. Sus tareas son complementarias y la rijosidad de la prensa está de más. A nadie favorece un titular a ocho columnas que desinforme, notas tendenciosas que están en el borde de la difamación y aún de la calumnia. Los poderes constitucionales, agregada a ellos la prensa, el cuarto poder, son fundamentales en la construcción de una nación que quiere vivir en paz y abatir sus problemas ancestrales de pobreza e inequidad. (Scherer, 2008, p. 84)</w:t>
      </w:r>
    </w:p>
    <w:p w14:paraId="7B34A833" w14:textId="5D0FB151" w:rsidR="00EE1FA2" w:rsidRDefault="00EE1FA2" w:rsidP="00EE1FA2">
      <w:pPr>
        <w:spacing w:before="240" w:line="360" w:lineRule="auto"/>
        <w:ind w:firstLine="709"/>
        <w:jc w:val="both"/>
        <w:rPr>
          <w:rFonts w:ascii="Arial" w:hAnsi="Arial" w:cs="Arial"/>
          <w:sz w:val="24"/>
          <w:szCs w:val="24"/>
        </w:rPr>
      </w:pPr>
      <w:r>
        <w:rPr>
          <w:rFonts w:ascii="Arial" w:hAnsi="Arial" w:cs="Arial"/>
          <w:sz w:val="24"/>
          <w:szCs w:val="24"/>
        </w:rPr>
        <w:t xml:space="preserve">El fundador de la revista </w:t>
      </w:r>
      <w:r>
        <w:rPr>
          <w:rFonts w:ascii="Arial" w:hAnsi="Arial" w:cs="Arial"/>
          <w:i/>
          <w:sz w:val="24"/>
          <w:szCs w:val="24"/>
        </w:rPr>
        <w:t xml:space="preserve">Proceso </w:t>
      </w:r>
      <w:r w:rsidRPr="00EE1FA2">
        <w:rPr>
          <w:rFonts w:ascii="Arial" w:hAnsi="Arial" w:cs="Arial"/>
          <w:sz w:val="24"/>
          <w:szCs w:val="24"/>
        </w:rPr>
        <w:t xml:space="preserve">se refiere en su texto a </w:t>
      </w:r>
      <w:r>
        <w:rPr>
          <w:rFonts w:ascii="Arial" w:hAnsi="Arial" w:cs="Arial"/>
          <w:sz w:val="24"/>
          <w:szCs w:val="24"/>
        </w:rPr>
        <w:t>Amado Treviño, quien fue jefe de la oficina de relaciones públicas de Octavio Sentíes, regente de la Ciudad de México durante la presidencia de Luis Echeverría Álvarez (1970-1976). Descripción</w:t>
      </w:r>
      <w:r w:rsidR="00717E08">
        <w:rPr>
          <w:rFonts w:ascii="Arial" w:hAnsi="Arial" w:cs="Arial"/>
          <w:sz w:val="24"/>
          <w:szCs w:val="24"/>
        </w:rPr>
        <w:t>,</w:t>
      </w:r>
      <w:r>
        <w:rPr>
          <w:rFonts w:ascii="Arial" w:hAnsi="Arial" w:cs="Arial"/>
          <w:sz w:val="24"/>
          <w:szCs w:val="24"/>
        </w:rPr>
        <w:t xml:space="preserve"> que si bien</w:t>
      </w:r>
      <w:r w:rsidR="00E030C9">
        <w:rPr>
          <w:rFonts w:ascii="Arial" w:hAnsi="Arial" w:cs="Arial"/>
          <w:sz w:val="24"/>
          <w:szCs w:val="24"/>
        </w:rPr>
        <w:t>,</w:t>
      </w:r>
      <w:r>
        <w:rPr>
          <w:rFonts w:ascii="Arial" w:hAnsi="Arial" w:cs="Arial"/>
          <w:sz w:val="24"/>
          <w:szCs w:val="24"/>
        </w:rPr>
        <w:t xml:space="preserve"> ha cambiado en cuando a las formas de acercamiento entre políticos y periodistas, continúa vigente en función del fin político que desde el poder se le asigna al ejercicio periodístico.</w:t>
      </w:r>
    </w:p>
    <w:p w14:paraId="50982504" w14:textId="3C826F10" w:rsidR="007553C8" w:rsidRDefault="00EE1FA2" w:rsidP="00EE1FA2">
      <w:pPr>
        <w:spacing w:before="240" w:line="360" w:lineRule="auto"/>
        <w:ind w:firstLine="709"/>
        <w:jc w:val="both"/>
        <w:rPr>
          <w:rFonts w:ascii="Arial" w:hAnsi="Arial" w:cs="Arial"/>
          <w:sz w:val="24"/>
          <w:szCs w:val="24"/>
        </w:rPr>
      </w:pPr>
      <w:r>
        <w:rPr>
          <w:rFonts w:ascii="Arial" w:hAnsi="Arial" w:cs="Arial"/>
          <w:sz w:val="24"/>
          <w:szCs w:val="24"/>
        </w:rPr>
        <w:t>Funci</w:t>
      </w:r>
      <w:r w:rsidR="007553C8">
        <w:rPr>
          <w:rFonts w:ascii="Arial" w:hAnsi="Arial" w:cs="Arial"/>
          <w:sz w:val="24"/>
          <w:szCs w:val="24"/>
        </w:rPr>
        <w:t>ón que adquiere lógica cuando una de las fuentes más cercanas de f</w:t>
      </w:r>
      <w:r w:rsidR="00876033">
        <w:rPr>
          <w:rFonts w:ascii="Arial" w:hAnsi="Arial" w:cs="Arial"/>
          <w:sz w:val="24"/>
          <w:szCs w:val="24"/>
        </w:rPr>
        <w:t>inanciamiento del periodismo lo ha constituido y lo sigue siendo</w:t>
      </w:r>
      <w:r w:rsidR="007553C8">
        <w:rPr>
          <w:rFonts w:ascii="Arial" w:hAnsi="Arial" w:cs="Arial"/>
          <w:sz w:val="24"/>
          <w:szCs w:val="24"/>
        </w:rPr>
        <w:t xml:space="preserve"> el presupuesto público, vía las asignaciones publicitarias.</w:t>
      </w:r>
    </w:p>
    <w:p w14:paraId="38FE38B4" w14:textId="2E463E90" w:rsidR="00876033" w:rsidRDefault="00876033" w:rsidP="00EB310F">
      <w:pPr>
        <w:spacing w:before="240" w:line="360" w:lineRule="auto"/>
        <w:ind w:left="708" w:firstLine="1"/>
        <w:jc w:val="both"/>
        <w:rPr>
          <w:rFonts w:ascii="Arial" w:hAnsi="Arial" w:cs="Arial"/>
          <w:sz w:val="24"/>
        </w:rPr>
      </w:pPr>
      <w:r w:rsidRPr="00876033">
        <w:rPr>
          <w:rFonts w:ascii="Arial" w:hAnsi="Arial" w:cs="Arial"/>
          <w:sz w:val="24"/>
          <w:szCs w:val="24"/>
        </w:rPr>
        <w:t>Históricamente los medios de comunicación en México se han mantenido sujetos al patrocinio estatal y, por ende, han sido susceptibles a la censura indirecta; Riva Palacio en su artículo “La prensa en México, una aproximación crítica” y WAN-IFRA, Asociación Mundial de Periódicos y Editores de Noticas, en su informe “Publicidad oficial y censura indirecta en México” han señalado que México no ha tenido una prensa libre, el gobierno ha controlado el contenido de los medios de manera sutil a través de mecanismos “sofisticados”, entre los que se encuentran la concesión de ventajas económicas a medios simpatizantes de la línea gubernamental, periodistas incorporados a nóminas de gobierno, esquemas de comisiones a reporteros, la existencia de “gacetillas” que es un contenido específico que ha sido pagado y que simula ser noticia.</w:t>
      </w:r>
      <w:r>
        <w:rPr>
          <w:rFonts w:ascii="Arial" w:hAnsi="Arial" w:cs="Arial"/>
          <w:sz w:val="24"/>
          <w:szCs w:val="24"/>
        </w:rPr>
        <w:t xml:space="preserve"> (</w:t>
      </w:r>
      <w:r>
        <w:rPr>
          <w:rFonts w:ascii="Arial" w:hAnsi="Arial" w:cs="Arial"/>
          <w:sz w:val="24"/>
        </w:rPr>
        <w:t>IEACPO, CNDH, p. 108)</w:t>
      </w:r>
    </w:p>
    <w:p w14:paraId="365DD06D" w14:textId="300ED701" w:rsidR="00EE1FA2" w:rsidRPr="00EE1FA2" w:rsidRDefault="00876033" w:rsidP="0037649B">
      <w:pPr>
        <w:spacing w:before="240" w:line="360" w:lineRule="auto"/>
        <w:ind w:firstLine="709"/>
        <w:jc w:val="both"/>
        <w:rPr>
          <w:rFonts w:ascii="Arial" w:hAnsi="Arial" w:cs="Arial"/>
          <w:sz w:val="24"/>
          <w:szCs w:val="24"/>
        </w:rPr>
      </w:pPr>
      <w:r>
        <w:rPr>
          <w:rFonts w:ascii="Arial" w:hAnsi="Arial" w:cs="Arial"/>
          <w:sz w:val="24"/>
          <w:szCs w:val="24"/>
        </w:rPr>
        <w:t xml:space="preserve">La consecuencia, como se planteó en un inciso anterior, </w:t>
      </w:r>
      <w:r w:rsidR="00696D16">
        <w:rPr>
          <w:rFonts w:ascii="Arial" w:hAnsi="Arial" w:cs="Arial"/>
          <w:sz w:val="24"/>
          <w:szCs w:val="24"/>
        </w:rPr>
        <w:t>configura un efecto de silencio</w:t>
      </w:r>
      <w:r>
        <w:rPr>
          <w:rFonts w:ascii="Arial" w:hAnsi="Arial" w:cs="Arial"/>
          <w:sz w:val="24"/>
          <w:szCs w:val="24"/>
        </w:rPr>
        <w:t xml:space="preserve"> o censura, </w:t>
      </w:r>
      <w:r w:rsidR="00696D16">
        <w:rPr>
          <w:rFonts w:ascii="Arial" w:hAnsi="Arial" w:cs="Arial"/>
          <w:sz w:val="24"/>
          <w:szCs w:val="24"/>
        </w:rPr>
        <w:t xml:space="preserve">que provocará </w:t>
      </w:r>
      <w:r w:rsidR="00776B43">
        <w:rPr>
          <w:rFonts w:ascii="Arial" w:hAnsi="Arial" w:cs="Arial"/>
          <w:sz w:val="24"/>
          <w:szCs w:val="24"/>
        </w:rPr>
        <w:t>momentos críticos</w:t>
      </w:r>
      <w:r w:rsidR="0037649B">
        <w:rPr>
          <w:rFonts w:ascii="Arial" w:hAnsi="Arial" w:cs="Arial"/>
          <w:sz w:val="24"/>
          <w:szCs w:val="24"/>
        </w:rPr>
        <w:t xml:space="preserve"> entre el periodismo y el poder público, tal como lo refirió uno los puntos resolutorios de la Primera Sala de la Suprema Corte de Justicia de la Nación, al resolver el </w:t>
      </w:r>
      <w:r w:rsidR="0037649B" w:rsidRPr="0037649B">
        <w:rPr>
          <w:rFonts w:ascii="Arial" w:hAnsi="Arial" w:cs="Arial"/>
          <w:sz w:val="24"/>
          <w:szCs w:val="24"/>
        </w:rPr>
        <w:t>a</w:t>
      </w:r>
      <w:r w:rsidR="009F49C4" w:rsidRPr="0037649B">
        <w:rPr>
          <w:rFonts w:ascii="Arial" w:hAnsi="Arial" w:cs="Arial"/>
          <w:sz w:val="24"/>
          <w:szCs w:val="24"/>
        </w:rPr>
        <w:t>mparo en revisión 1359/2015</w:t>
      </w:r>
      <w:r w:rsidR="0037649B">
        <w:rPr>
          <w:rFonts w:ascii="Arial" w:hAnsi="Arial" w:cs="Arial"/>
          <w:sz w:val="24"/>
          <w:szCs w:val="24"/>
        </w:rPr>
        <w:t>, que derivó del recurso promovido por la organización Artículo 19 contra la Cámara de Diputados y de Senadores del Congreso la Unión, por la omisión para expedir la Ley Reglamentaria del párrafo octavo del artículo</w:t>
      </w:r>
      <w:r w:rsidR="00696D16">
        <w:rPr>
          <w:rFonts w:ascii="Arial" w:hAnsi="Arial" w:cs="Arial"/>
          <w:sz w:val="24"/>
          <w:szCs w:val="24"/>
        </w:rPr>
        <w:t xml:space="preserve"> 134 de la Constitución federal</w:t>
      </w:r>
      <w:r w:rsidR="0037649B">
        <w:rPr>
          <w:rStyle w:val="Refdenotaalpie"/>
          <w:rFonts w:ascii="Arial" w:hAnsi="Arial" w:cs="Arial"/>
          <w:sz w:val="24"/>
          <w:szCs w:val="24"/>
        </w:rPr>
        <w:footnoteReference w:id="38"/>
      </w:r>
      <w:r w:rsidR="00696D16">
        <w:rPr>
          <w:rFonts w:ascii="Arial" w:hAnsi="Arial" w:cs="Arial"/>
          <w:sz w:val="24"/>
          <w:szCs w:val="24"/>
        </w:rPr>
        <w:t xml:space="preserve"> y que se refiere a la no regulación de la publicidad oficial.</w:t>
      </w:r>
    </w:p>
    <w:p w14:paraId="77138A44" w14:textId="12B9A092" w:rsidR="00E23A9E" w:rsidRDefault="00E23A9E" w:rsidP="00EB310F">
      <w:pPr>
        <w:spacing w:before="240" w:line="360" w:lineRule="auto"/>
        <w:ind w:left="708" w:firstLine="1"/>
        <w:jc w:val="both"/>
        <w:rPr>
          <w:rFonts w:ascii="Arial" w:hAnsi="Arial" w:cs="Arial"/>
          <w:sz w:val="24"/>
        </w:rPr>
      </w:pPr>
      <w:r w:rsidRPr="00E23A9E">
        <w:rPr>
          <w:rFonts w:ascii="Arial" w:hAnsi="Arial" w:cs="Arial"/>
          <w:sz w:val="24"/>
          <w:szCs w:val="24"/>
        </w:rPr>
        <w:t>El estado de las cosas inconstitucional también tiene un efecto disuasivo en el ejercicio de la libertad de expresión de los medios de comunicación en general, toda vez que las afectaciones financieras que sufren los medios críticos pueden llevar a los demás a adoptar posiciones diferentes con el gobierno con la finalidad de no perder los recursos asignados a la d</w:t>
      </w:r>
      <w:r>
        <w:rPr>
          <w:rFonts w:ascii="Arial" w:hAnsi="Arial" w:cs="Arial"/>
          <w:sz w:val="24"/>
          <w:szCs w:val="24"/>
        </w:rPr>
        <w:t>ifusión de publicidad oficial. (</w:t>
      </w:r>
      <w:r>
        <w:rPr>
          <w:rFonts w:ascii="Arial" w:hAnsi="Arial" w:cs="Arial"/>
          <w:sz w:val="24"/>
        </w:rPr>
        <w:t xml:space="preserve">IEACPO, CNDH, p. </w:t>
      </w:r>
      <w:r w:rsidR="006D14C6">
        <w:rPr>
          <w:rFonts w:ascii="Arial" w:hAnsi="Arial" w:cs="Arial"/>
          <w:sz w:val="24"/>
        </w:rPr>
        <w:t>112</w:t>
      </w:r>
      <w:r>
        <w:rPr>
          <w:rFonts w:ascii="Arial" w:hAnsi="Arial" w:cs="Arial"/>
          <w:sz w:val="24"/>
        </w:rPr>
        <w:t>)</w:t>
      </w:r>
    </w:p>
    <w:p w14:paraId="7651C153" w14:textId="4A0A83DC" w:rsidR="006D14C6" w:rsidRDefault="006D14C6" w:rsidP="00E23A9E">
      <w:pPr>
        <w:spacing w:before="240" w:line="360" w:lineRule="auto"/>
        <w:ind w:firstLine="709"/>
        <w:jc w:val="both"/>
        <w:rPr>
          <w:rFonts w:ascii="Arial" w:hAnsi="Arial" w:cs="Arial"/>
          <w:sz w:val="24"/>
        </w:rPr>
      </w:pPr>
      <w:r>
        <w:rPr>
          <w:rFonts w:ascii="Arial" w:hAnsi="Arial" w:cs="Arial"/>
          <w:sz w:val="24"/>
        </w:rPr>
        <w:t xml:space="preserve">Dentro de una interpretación que fortalezca el perfil democrático del periodismo, puede advertirse que los medios de comunicación, y en consecuencia el ejercicio periodístico, </w:t>
      </w:r>
      <w:r w:rsidR="00B86922">
        <w:rPr>
          <w:rFonts w:ascii="Arial" w:hAnsi="Arial" w:cs="Arial"/>
          <w:sz w:val="24"/>
        </w:rPr>
        <w:t>son forzados a la censura cuando desde el poder se instrumentan acciones de control social, sustentadas en el financiamiento mediático, que proviene de los presupuestos públicos.</w:t>
      </w:r>
    </w:p>
    <w:p w14:paraId="4F71D606" w14:textId="6B6DD1F5" w:rsidR="00266267" w:rsidRDefault="00B86922" w:rsidP="00266267">
      <w:pPr>
        <w:spacing w:before="240" w:line="360" w:lineRule="auto"/>
        <w:ind w:firstLine="709"/>
        <w:jc w:val="both"/>
        <w:rPr>
          <w:rFonts w:ascii="Arial" w:hAnsi="Arial" w:cs="Arial"/>
          <w:sz w:val="24"/>
        </w:rPr>
      </w:pPr>
      <w:r>
        <w:rPr>
          <w:rFonts w:ascii="Arial" w:hAnsi="Arial" w:cs="Arial"/>
          <w:sz w:val="24"/>
        </w:rPr>
        <w:t xml:space="preserve">Sin embargo, desde un enfoque alterno es advertible que </w:t>
      </w:r>
      <w:r w:rsidR="00266267">
        <w:rPr>
          <w:rFonts w:ascii="Arial" w:hAnsi="Arial" w:cs="Arial"/>
          <w:sz w:val="24"/>
        </w:rPr>
        <w:t>la censura no sólo es responsabilidad de quién manda censurar, sino de quienes utilizan a la libertad de expresión como un factor de mercado con el cual pueden establecerse mecanismos de negociación voluntarios o involuntarios, directos o indirectos, tácitos o</w:t>
      </w:r>
      <w:r w:rsidR="00696D16">
        <w:rPr>
          <w:rFonts w:ascii="Arial" w:hAnsi="Arial" w:cs="Arial"/>
          <w:sz w:val="24"/>
        </w:rPr>
        <w:t xml:space="preserve"> tangibles. Tal situación no </w:t>
      </w:r>
      <w:r w:rsidR="00266267">
        <w:rPr>
          <w:rFonts w:ascii="Arial" w:hAnsi="Arial" w:cs="Arial"/>
          <w:sz w:val="24"/>
        </w:rPr>
        <w:t>sólo</w:t>
      </w:r>
      <w:r w:rsidR="00696D16">
        <w:rPr>
          <w:rFonts w:ascii="Arial" w:hAnsi="Arial" w:cs="Arial"/>
          <w:sz w:val="24"/>
        </w:rPr>
        <w:t xml:space="preserve"> es</w:t>
      </w:r>
      <w:r w:rsidR="00266267">
        <w:rPr>
          <w:rFonts w:ascii="Arial" w:hAnsi="Arial" w:cs="Arial"/>
          <w:sz w:val="24"/>
        </w:rPr>
        <w:t xml:space="preserve"> responsabilidad de los periodistas, sino del</w:t>
      </w:r>
      <w:r w:rsidR="00696D16">
        <w:rPr>
          <w:rFonts w:ascii="Arial" w:hAnsi="Arial" w:cs="Arial"/>
          <w:sz w:val="24"/>
        </w:rPr>
        <w:t xml:space="preserve"> sistema social, donde factores </w:t>
      </w:r>
      <w:r w:rsidR="00266267">
        <w:rPr>
          <w:rFonts w:ascii="Arial" w:hAnsi="Arial" w:cs="Arial"/>
          <w:sz w:val="24"/>
        </w:rPr>
        <w:t>político</w:t>
      </w:r>
      <w:r w:rsidR="00696D16">
        <w:rPr>
          <w:rFonts w:ascii="Arial" w:hAnsi="Arial" w:cs="Arial"/>
          <w:sz w:val="24"/>
        </w:rPr>
        <w:t>s</w:t>
      </w:r>
      <w:r w:rsidR="00266267">
        <w:rPr>
          <w:rFonts w:ascii="Arial" w:hAnsi="Arial" w:cs="Arial"/>
          <w:sz w:val="24"/>
        </w:rPr>
        <w:t xml:space="preserve"> y económico</w:t>
      </w:r>
      <w:r w:rsidR="00696D16">
        <w:rPr>
          <w:rFonts w:ascii="Arial" w:hAnsi="Arial" w:cs="Arial"/>
          <w:sz w:val="24"/>
        </w:rPr>
        <w:t>s impactan de manera negativa en el</w:t>
      </w:r>
      <w:r w:rsidR="00266267">
        <w:rPr>
          <w:rFonts w:ascii="Arial" w:hAnsi="Arial" w:cs="Arial"/>
          <w:sz w:val="24"/>
        </w:rPr>
        <w:t xml:space="preserve"> ejercicio p</w:t>
      </w:r>
      <w:r w:rsidR="00696D16">
        <w:rPr>
          <w:rFonts w:ascii="Arial" w:hAnsi="Arial" w:cs="Arial"/>
          <w:sz w:val="24"/>
        </w:rPr>
        <w:t>eriodístico, como manifestación primaria de la libertad de expresión.</w:t>
      </w:r>
    </w:p>
    <w:p w14:paraId="58A05A3C" w14:textId="36E8622F" w:rsidR="00266267" w:rsidRDefault="00696D16" w:rsidP="00266267">
      <w:pPr>
        <w:spacing w:before="240" w:line="360" w:lineRule="auto"/>
        <w:ind w:firstLine="709"/>
        <w:jc w:val="both"/>
        <w:rPr>
          <w:rFonts w:ascii="Arial" w:hAnsi="Arial" w:cs="Arial"/>
          <w:sz w:val="24"/>
        </w:rPr>
      </w:pPr>
      <w:r>
        <w:rPr>
          <w:rFonts w:ascii="Arial" w:hAnsi="Arial" w:cs="Arial"/>
          <w:sz w:val="24"/>
        </w:rPr>
        <w:t>Esta</w:t>
      </w:r>
      <w:r w:rsidR="00266267">
        <w:rPr>
          <w:rFonts w:ascii="Arial" w:hAnsi="Arial" w:cs="Arial"/>
          <w:sz w:val="24"/>
        </w:rPr>
        <w:t xml:space="preserve"> entropía generada entre el </w:t>
      </w:r>
      <w:r w:rsidR="00E030C9">
        <w:rPr>
          <w:rFonts w:ascii="Arial" w:hAnsi="Arial" w:cs="Arial"/>
          <w:sz w:val="24"/>
        </w:rPr>
        <w:t>sub</w:t>
      </w:r>
      <w:r w:rsidR="00266267">
        <w:rPr>
          <w:rFonts w:ascii="Arial" w:hAnsi="Arial" w:cs="Arial"/>
          <w:sz w:val="24"/>
        </w:rPr>
        <w:t>sistema jurídico, donde</w:t>
      </w:r>
      <w:r>
        <w:rPr>
          <w:rFonts w:ascii="Arial" w:hAnsi="Arial" w:cs="Arial"/>
          <w:sz w:val="24"/>
        </w:rPr>
        <w:t xml:space="preserve"> el periodismo es considerado esa</w:t>
      </w:r>
      <w:r w:rsidR="00266267">
        <w:rPr>
          <w:rFonts w:ascii="Arial" w:hAnsi="Arial" w:cs="Arial"/>
          <w:sz w:val="24"/>
        </w:rPr>
        <w:t xml:space="preserve"> manifestación primaria de la libertad de expresión, y los subsistemas político y cultural, donde los programas de gobierno han sido insuficientes para evidenciar la importancia de los derechos derivados de dicha libertad, así como para “normalizar” el perfil democrático del periodismo, r</w:t>
      </w:r>
      <w:r w:rsidR="00E030C9">
        <w:rPr>
          <w:rFonts w:ascii="Arial" w:hAnsi="Arial" w:cs="Arial"/>
          <w:sz w:val="24"/>
        </w:rPr>
        <w:t>espectivamente;</w:t>
      </w:r>
      <w:r>
        <w:rPr>
          <w:rFonts w:ascii="Arial" w:hAnsi="Arial" w:cs="Arial"/>
          <w:sz w:val="24"/>
        </w:rPr>
        <w:t xml:space="preserve"> es una muestra</w:t>
      </w:r>
      <w:r w:rsidR="00266267">
        <w:rPr>
          <w:rFonts w:ascii="Arial" w:hAnsi="Arial" w:cs="Arial"/>
          <w:sz w:val="24"/>
        </w:rPr>
        <w:t xml:space="preserve"> de que el periodismo, desde la perspectiva de otros poderes, es visto como un negocio donde la censura es un valor agregado para negociaciones que garanticen la rentabilidad económica de esta actividad. </w:t>
      </w:r>
    </w:p>
    <w:p w14:paraId="2459069B" w14:textId="3F8132D9" w:rsidR="00266267" w:rsidRDefault="00696D16" w:rsidP="00266267">
      <w:pPr>
        <w:spacing w:before="240" w:line="360" w:lineRule="auto"/>
        <w:ind w:firstLine="709"/>
        <w:jc w:val="both"/>
        <w:rPr>
          <w:rFonts w:ascii="Arial" w:hAnsi="Arial" w:cs="Arial"/>
          <w:sz w:val="24"/>
        </w:rPr>
      </w:pPr>
      <w:r>
        <w:rPr>
          <w:rFonts w:ascii="Arial" w:hAnsi="Arial" w:cs="Arial"/>
          <w:sz w:val="24"/>
        </w:rPr>
        <w:t>Y s</w:t>
      </w:r>
      <w:r w:rsidR="00266267">
        <w:rPr>
          <w:rFonts w:ascii="Arial" w:hAnsi="Arial" w:cs="Arial"/>
          <w:sz w:val="24"/>
        </w:rPr>
        <w:t>i bien el periodismo, desde un enfoque clásico, también alienta la justicia social y busca eliminar la entropía social, su ejercicio en un entorno</w:t>
      </w:r>
      <w:r>
        <w:rPr>
          <w:rFonts w:ascii="Arial" w:hAnsi="Arial" w:cs="Arial"/>
          <w:sz w:val="24"/>
        </w:rPr>
        <w:t>,</w:t>
      </w:r>
      <w:r w:rsidR="00266267">
        <w:rPr>
          <w:rFonts w:ascii="Arial" w:hAnsi="Arial" w:cs="Arial"/>
          <w:sz w:val="24"/>
        </w:rPr>
        <w:t xml:space="preserve"> donde </w:t>
      </w:r>
      <w:r>
        <w:rPr>
          <w:rFonts w:ascii="Arial" w:hAnsi="Arial" w:cs="Arial"/>
          <w:sz w:val="24"/>
        </w:rPr>
        <w:t>no está clara su perspectiva</w:t>
      </w:r>
      <w:r w:rsidR="00266267">
        <w:rPr>
          <w:rFonts w:ascii="Arial" w:hAnsi="Arial" w:cs="Arial"/>
          <w:sz w:val="24"/>
        </w:rPr>
        <w:t xml:space="preserve"> económica</w:t>
      </w:r>
      <w:r>
        <w:rPr>
          <w:rFonts w:ascii="Arial" w:hAnsi="Arial" w:cs="Arial"/>
          <w:sz w:val="24"/>
        </w:rPr>
        <w:t>,</w:t>
      </w:r>
      <w:r w:rsidR="00266267">
        <w:rPr>
          <w:rFonts w:ascii="Arial" w:hAnsi="Arial" w:cs="Arial"/>
          <w:sz w:val="24"/>
        </w:rPr>
        <w:t xml:space="preserve"> provoca que la </w:t>
      </w:r>
      <w:r>
        <w:rPr>
          <w:rFonts w:ascii="Arial" w:hAnsi="Arial" w:cs="Arial"/>
          <w:sz w:val="24"/>
        </w:rPr>
        <w:t>censura sea un factor siempre vigente.</w:t>
      </w:r>
      <w:r w:rsidR="00266267">
        <w:rPr>
          <w:rFonts w:ascii="Arial" w:hAnsi="Arial" w:cs="Arial"/>
          <w:sz w:val="24"/>
        </w:rPr>
        <w:t xml:space="preserve"> </w:t>
      </w:r>
    </w:p>
    <w:p w14:paraId="77696AEC" w14:textId="77777777" w:rsidR="001B31BE" w:rsidRDefault="00266267" w:rsidP="001B31BE">
      <w:pPr>
        <w:spacing w:before="240" w:line="360" w:lineRule="auto"/>
        <w:ind w:firstLine="709"/>
        <w:jc w:val="both"/>
        <w:rPr>
          <w:rFonts w:ascii="Arial" w:hAnsi="Arial" w:cs="Arial"/>
          <w:sz w:val="24"/>
        </w:rPr>
      </w:pPr>
      <w:r>
        <w:rPr>
          <w:rFonts w:ascii="Arial" w:hAnsi="Arial" w:cs="Arial"/>
          <w:sz w:val="24"/>
        </w:rPr>
        <w:t>En este punto radica uno de los nodos más graves en materia de protección al ejercicio periodístico, pues quienes no coi</w:t>
      </w:r>
      <w:r w:rsidR="001B31BE">
        <w:rPr>
          <w:rFonts w:ascii="Arial" w:hAnsi="Arial" w:cs="Arial"/>
          <w:sz w:val="24"/>
        </w:rPr>
        <w:t>nciden con esta lógica de poder</w:t>
      </w:r>
      <w:r>
        <w:rPr>
          <w:rFonts w:ascii="Arial" w:hAnsi="Arial" w:cs="Arial"/>
          <w:sz w:val="24"/>
        </w:rPr>
        <w:t xml:space="preserve"> se colocan en un estadio de riesgo constante</w:t>
      </w:r>
      <w:r w:rsidR="00EE449F">
        <w:rPr>
          <w:rFonts w:ascii="Arial" w:hAnsi="Arial" w:cs="Arial"/>
          <w:sz w:val="24"/>
        </w:rPr>
        <w:t>, no sólo económico, sino físico, pues las reglas bajo las cuales trabajan no corresponden al subsistema jurídico que defiende las cualidades democráticas y humanas del periodismo.</w:t>
      </w:r>
      <w:r w:rsidR="001B31BE">
        <w:rPr>
          <w:rFonts w:ascii="Arial" w:hAnsi="Arial" w:cs="Arial"/>
          <w:sz w:val="24"/>
        </w:rPr>
        <w:t xml:space="preserve"> Y mucho menos coinciden con la entropía generada con los subsistemas político y cultural. De ahí que se acreciente la vulnerabilidad económica y política de los periodistas.</w:t>
      </w:r>
      <w:r w:rsidR="00EE449F">
        <w:rPr>
          <w:rFonts w:ascii="Arial" w:hAnsi="Arial" w:cs="Arial"/>
          <w:sz w:val="24"/>
        </w:rPr>
        <w:t xml:space="preserve"> </w:t>
      </w:r>
    </w:p>
    <w:p w14:paraId="51C1F022" w14:textId="7AFE438E" w:rsidR="00EE449F" w:rsidRDefault="001B31BE" w:rsidP="001B31BE">
      <w:pPr>
        <w:spacing w:before="240" w:line="360" w:lineRule="auto"/>
        <w:ind w:firstLine="709"/>
        <w:jc w:val="both"/>
        <w:rPr>
          <w:rFonts w:ascii="Arial" w:hAnsi="Arial" w:cs="Arial"/>
          <w:sz w:val="24"/>
        </w:rPr>
      </w:pPr>
      <w:r>
        <w:rPr>
          <w:rFonts w:ascii="Arial" w:hAnsi="Arial" w:cs="Arial"/>
          <w:sz w:val="24"/>
        </w:rPr>
        <w:t>C</w:t>
      </w:r>
      <w:r w:rsidR="00EE449F">
        <w:rPr>
          <w:rFonts w:ascii="Arial" w:hAnsi="Arial" w:cs="Arial"/>
          <w:sz w:val="24"/>
        </w:rPr>
        <w:t>on la revolución digital y el cambio en los sistemas de producción del periodismo,</w:t>
      </w:r>
      <w:r>
        <w:rPr>
          <w:rFonts w:ascii="Arial" w:hAnsi="Arial" w:cs="Arial"/>
          <w:sz w:val="24"/>
        </w:rPr>
        <w:t xml:space="preserve"> es adecuado discutir </w:t>
      </w:r>
      <w:r w:rsidR="00EE449F">
        <w:rPr>
          <w:rFonts w:ascii="Arial" w:hAnsi="Arial" w:cs="Arial"/>
          <w:sz w:val="24"/>
        </w:rPr>
        <w:t xml:space="preserve">nuevos </w:t>
      </w:r>
      <w:r>
        <w:rPr>
          <w:rFonts w:ascii="Arial" w:hAnsi="Arial" w:cs="Arial"/>
          <w:sz w:val="24"/>
        </w:rPr>
        <w:t>mecanismos de financiamiento para</w:t>
      </w:r>
      <w:r w:rsidR="00EE449F">
        <w:rPr>
          <w:rFonts w:ascii="Arial" w:hAnsi="Arial" w:cs="Arial"/>
          <w:sz w:val="24"/>
        </w:rPr>
        <w:t xml:space="preserve"> </w:t>
      </w:r>
      <w:r>
        <w:rPr>
          <w:rFonts w:ascii="Arial" w:hAnsi="Arial" w:cs="Arial"/>
          <w:sz w:val="24"/>
        </w:rPr>
        <w:t xml:space="preserve">el </w:t>
      </w:r>
      <w:r w:rsidR="00EE449F">
        <w:rPr>
          <w:rFonts w:ascii="Arial" w:hAnsi="Arial" w:cs="Arial"/>
          <w:sz w:val="24"/>
        </w:rPr>
        <w:t>ejercicio periodístico,</w:t>
      </w:r>
      <w:r>
        <w:rPr>
          <w:rFonts w:ascii="Arial" w:hAnsi="Arial" w:cs="Arial"/>
          <w:sz w:val="24"/>
        </w:rPr>
        <w:t xml:space="preserve"> sin embargo, la </w:t>
      </w:r>
      <w:r w:rsidR="00456943">
        <w:rPr>
          <w:rFonts w:ascii="Arial" w:hAnsi="Arial" w:cs="Arial"/>
          <w:sz w:val="24"/>
        </w:rPr>
        <w:t xml:space="preserve">posible </w:t>
      </w:r>
      <w:r>
        <w:rPr>
          <w:rFonts w:ascii="Arial" w:hAnsi="Arial" w:cs="Arial"/>
          <w:sz w:val="24"/>
        </w:rPr>
        <w:t>modificación de estructuras políticas y culturales a</w:t>
      </w:r>
      <w:r w:rsidR="00456943">
        <w:rPr>
          <w:rFonts w:ascii="Arial" w:hAnsi="Arial" w:cs="Arial"/>
          <w:sz w:val="24"/>
        </w:rPr>
        <w:t>ún representa</w:t>
      </w:r>
      <w:r>
        <w:rPr>
          <w:rFonts w:ascii="Arial" w:hAnsi="Arial" w:cs="Arial"/>
          <w:sz w:val="24"/>
        </w:rPr>
        <w:t xml:space="preserve"> un camino muy largo para el periodismo.</w:t>
      </w:r>
      <w:r w:rsidR="00EE449F">
        <w:rPr>
          <w:rFonts w:ascii="Arial" w:hAnsi="Arial" w:cs="Arial"/>
          <w:sz w:val="24"/>
        </w:rPr>
        <w:t xml:space="preserve"> </w:t>
      </w:r>
    </w:p>
    <w:p w14:paraId="3EB8FCC5" w14:textId="302DEB81" w:rsidR="00266267" w:rsidRDefault="00EE449F" w:rsidP="00266267">
      <w:pPr>
        <w:spacing w:before="240" w:line="360" w:lineRule="auto"/>
        <w:ind w:firstLine="709"/>
        <w:jc w:val="both"/>
        <w:rPr>
          <w:rFonts w:ascii="Arial" w:hAnsi="Arial" w:cs="Arial"/>
          <w:sz w:val="24"/>
        </w:rPr>
      </w:pPr>
      <w:r>
        <w:rPr>
          <w:rFonts w:ascii="Arial" w:hAnsi="Arial" w:cs="Arial"/>
          <w:sz w:val="24"/>
        </w:rPr>
        <w:t xml:space="preserve"> </w:t>
      </w:r>
    </w:p>
    <w:p w14:paraId="45E5D5A8" w14:textId="77777777" w:rsidR="006D14C6" w:rsidRDefault="006D14C6" w:rsidP="00E23A9E">
      <w:pPr>
        <w:spacing w:before="240" w:line="360" w:lineRule="auto"/>
        <w:ind w:firstLine="709"/>
        <w:jc w:val="both"/>
        <w:rPr>
          <w:rFonts w:ascii="Arial" w:hAnsi="Arial" w:cs="Arial"/>
          <w:sz w:val="24"/>
        </w:rPr>
      </w:pPr>
    </w:p>
    <w:p w14:paraId="6EF3D664" w14:textId="77777777" w:rsidR="006D14C6" w:rsidRDefault="006D14C6" w:rsidP="00E23A9E">
      <w:pPr>
        <w:spacing w:before="240" w:line="360" w:lineRule="auto"/>
        <w:ind w:firstLine="709"/>
        <w:jc w:val="both"/>
        <w:rPr>
          <w:rFonts w:ascii="Arial" w:hAnsi="Arial" w:cs="Arial"/>
          <w:sz w:val="24"/>
        </w:rPr>
      </w:pPr>
    </w:p>
    <w:p w14:paraId="6DB090E6" w14:textId="0606B681" w:rsidR="00AD7CA8" w:rsidRPr="00E23A9E" w:rsidRDefault="00AD7CA8" w:rsidP="00DB1226">
      <w:pPr>
        <w:spacing w:before="240" w:line="360" w:lineRule="auto"/>
        <w:ind w:firstLine="709"/>
        <w:jc w:val="both"/>
        <w:rPr>
          <w:rFonts w:ascii="Arial" w:hAnsi="Arial" w:cs="Arial"/>
          <w:sz w:val="24"/>
          <w:szCs w:val="24"/>
        </w:rPr>
      </w:pPr>
    </w:p>
    <w:p w14:paraId="58ED2CF0" w14:textId="77777777" w:rsidR="00A0749F" w:rsidRDefault="00A0749F" w:rsidP="00A0749F">
      <w:pPr>
        <w:spacing w:before="240" w:line="360" w:lineRule="auto"/>
        <w:jc w:val="both"/>
        <w:rPr>
          <w:rFonts w:ascii="Arial" w:hAnsi="Arial" w:cs="Arial"/>
          <w:sz w:val="24"/>
          <w:szCs w:val="24"/>
        </w:rPr>
      </w:pPr>
    </w:p>
    <w:p w14:paraId="1EC61C6E" w14:textId="77777777" w:rsidR="0034074E" w:rsidRPr="00DB1226" w:rsidRDefault="0034074E" w:rsidP="00DB1226">
      <w:pPr>
        <w:spacing w:before="240" w:line="360" w:lineRule="auto"/>
        <w:ind w:firstLine="709"/>
        <w:jc w:val="both"/>
        <w:rPr>
          <w:rFonts w:ascii="Arial" w:hAnsi="Arial" w:cs="Arial"/>
          <w:sz w:val="24"/>
          <w:szCs w:val="24"/>
        </w:rPr>
      </w:pPr>
    </w:p>
    <w:p w14:paraId="60D2D51C" w14:textId="77777777" w:rsidR="00A57921" w:rsidRPr="00030C1B" w:rsidRDefault="00A57921" w:rsidP="00030C1B">
      <w:pPr>
        <w:spacing w:before="240" w:line="360" w:lineRule="auto"/>
        <w:ind w:firstLine="709"/>
        <w:jc w:val="both"/>
        <w:rPr>
          <w:rFonts w:ascii="Arial" w:hAnsi="Arial" w:cs="Arial"/>
          <w:sz w:val="24"/>
        </w:rPr>
      </w:pPr>
    </w:p>
    <w:p w14:paraId="7D5ACDE3" w14:textId="77777777" w:rsidR="00687577" w:rsidRDefault="00687577"/>
    <w:p w14:paraId="1F9971FB" w14:textId="77777777" w:rsidR="00687577" w:rsidRDefault="00687577">
      <w:pPr>
        <w:pStyle w:val="Ttulo1"/>
        <w:pageBreakBefore/>
        <w:ind w:left="360" w:firstLine="0"/>
        <w:jc w:val="center"/>
        <w:rPr>
          <w:rFonts w:ascii="Arial" w:hAnsi="Arial" w:cs="Arial"/>
          <w:sz w:val="24"/>
          <w:szCs w:val="24"/>
        </w:rPr>
      </w:pPr>
      <w:bookmarkStart w:id="45" w:name="__RefHeading__2229_1000385367"/>
      <w:bookmarkStart w:id="46" w:name="_Toc4083820"/>
      <w:bookmarkEnd w:id="45"/>
      <w:r>
        <w:rPr>
          <w:rFonts w:ascii="Arial" w:hAnsi="Arial" w:cs="Arial"/>
          <w:b/>
          <w:color w:val="00000A"/>
          <w:sz w:val="24"/>
        </w:rPr>
        <w:t>Capitulo IV. Evaluación del caso de estudio</w:t>
      </w:r>
      <w:bookmarkEnd w:id="46"/>
    </w:p>
    <w:p w14:paraId="5CB66F0B" w14:textId="77777777" w:rsidR="00687577" w:rsidRDefault="00687577">
      <w:pPr>
        <w:pStyle w:val="Prrafodelista1"/>
        <w:spacing w:line="360" w:lineRule="auto"/>
        <w:ind w:left="284"/>
        <w:jc w:val="center"/>
        <w:rPr>
          <w:rFonts w:ascii="Arial" w:hAnsi="Arial" w:cs="Arial"/>
          <w:sz w:val="24"/>
          <w:szCs w:val="24"/>
        </w:rPr>
      </w:pPr>
    </w:p>
    <w:p w14:paraId="4D363C89" w14:textId="5E12C5B5" w:rsidR="000D7076" w:rsidRDefault="0035327D" w:rsidP="0035327D">
      <w:pPr>
        <w:pStyle w:val="Ttulo2"/>
        <w:numPr>
          <w:ilvl w:val="0"/>
          <w:numId w:val="0"/>
        </w:numPr>
        <w:ind w:left="360"/>
        <w:rPr>
          <w:rFonts w:ascii="Arial" w:hAnsi="Arial" w:cs="Arial"/>
          <w:b/>
          <w:color w:val="00000A"/>
          <w:sz w:val="24"/>
        </w:rPr>
      </w:pPr>
      <w:bookmarkStart w:id="47" w:name="__RefHeading__2231_1000385367"/>
      <w:bookmarkStart w:id="48" w:name="_Toc4083821"/>
      <w:bookmarkEnd w:id="47"/>
      <w:r>
        <w:rPr>
          <w:rFonts w:ascii="Arial" w:hAnsi="Arial" w:cs="Arial"/>
          <w:b/>
          <w:color w:val="00000A"/>
          <w:sz w:val="24"/>
        </w:rPr>
        <w:t xml:space="preserve">IV.a) </w:t>
      </w:r>
      <w:r w:rsidR="000D7076">
        <w:rPr>
          <w:rFonts w:ascii="Arial" w:hAnsi="Arial" w:cs="Arial"/>
          <w:b/>
          <w:color w:val="00000A"/>
          <w:sz w:val="24"/>
        </w:rPr>
        <w:t>Entorno del ejercicio periodí</w:t>
      </w:r>
      <w:r>
        <w:rPr>
          <w:rFonts w:ascii="Arial" w:hAnsi="Arial" w:cs="Arial"/>
          <w:b/>
          <w:color w:val="00000A"/>
          <w:sz w:val="24"/>
        </w:rPr>
        <w:t>stico que realiza el</w:t>
      </w:r>
      <w:r w:rsidR="000D7076">
        <w:rPr>
          <w:rFonts w:ascii="Arial" w:hAnsi="Arial" w:cs="Arial"/>
          <w:b/>
          <w:color w:val="00000A"/>
          <w:sz w:val="24"/>
        </w:rPr>
        <w:t xml:space="preserve"> periodista Indalecio Benítez</w:t>
      </w:r>
      <w:r w:rsidR="006B084C">
        <w:rPr>
          <w:rFonts w:ascii="Arial" w:hAnsi="Arial" w:cs="Arial"/>
          <w:b/>
          <w:color w:val="00000A"/>
          <w:sz w:val="24"/>
        </w:rPr>
        <w:t xml:space="preserve"> Mondragón</w:t>
      </w:r>
    </w:p>
    <w:p w14:paraId="7B960BEF" w14:textId="2DBF6B45" w:rsidR="000D7076" w:rsidRDefault="000D7076" w:rsidP="000D7076">
      <w:pPr>
        <w:pStyle w:val="Textoindependiente"/>
      </w:pPr>
    </w:p>
    <w:p w14:paraId="6CF03325" w14:textId="77777777" w:rsidR="000D7076" w:rsidRDefault="000D7076" w:rsidP="00194BEA">
      <w:pPr>
        <w:spacing w:line="360" w:lineRule="auto"/>
        <w:ind w:firstLine="360"/>
        <w:jc w:val="both"/>
        <w:rPr>
          <w:rFonts w:ascii="Arial" w:hAnsi="Arial" w:cs="Arial"/>
          <w:sz w:val="24"/>
          <w:szCs w:val="24"/>
        </w:rPr>
      </w:pPr>
      <w:r w:rsidRPr="00060184">
        <w:rPr>
          <w:rFonts w:ascii="Arial" w:hAnsi="Arial" w:cs="Arial"/>
          <w:sz w:val="24"/>
          <w:szCs w:val="24"/>
        </w:rPr>
        <w:t xml:space="preserve">El </w:t>
      </w:r>
      <w:r>
        <w:rPr>
          <w:rFonts w:ascii="Arial" w:hAnsi="Arial" w:cs="Arial"/>
          <w:sz w:val="24"/>
          <w:szCs w:val="24"/>
        </w:rPr>
        <w:t>ejercicio periodístico</w:t>
      </w:r>
      <w:r>
        <w:rPr>
          <w:rStyle w:val="Refdenotaalpie"/>
          <w:rFonts w:ascii="Arial" w:hAnsi="Arial" w:cs="Arial"/>
          <w:sz w:val="24"/>
          <w:szCs w:val="24"/>
        </w:rPr>
        <w:footnoteReference w:id="39"/>
      </w:r>
      <w:r>
        <w:rPr>
          <w:rFonts w:ascii="Arial" w:hAnsi="Arial" w:cs="Arial"/>
          <w:sz w:val="24"/>
          <w:szCs w:val="24"/>
        </w:rPr>
        <w:t xml:space="preserve"> de Indalecio Benítez Mondragón inicia de forma circunstancial, pues es un agricultor, con estudios de bachillerato, que su activismo social en el municipio de Luvianos, Estado de México, lo llevó a fundar una radiodifusora comunitaria con el objetivo de fortalecer un canal de comunicación, cuyo objetivo es revertir la desinformación de los vecinos de esta región sureña.</w:t>
      </w:r>
      <w:r>
        <w:rPr>
          <w:rStyle w:val="Refdenotaalpie"/>
          <w:rFonts w:ascii="Arial" w:hAnsi="Arial" w:cs="Arial"/>
          <w:sz w:val="24"/>
          <w:szCs w:val="24"/>
        </w:rPr>
        <w:footnoteReference w:id="40"/>
      </w:r>
    </w:p>
    <w:p w14:paraId="55E70561" w14:textId="77777777" w:rsidR="000D7076" w:rsidRDefault="000D7076" w:rsidP="00194BEA">
      <w:pPr>
        <w:spacing w:line="360" w:lineRule="auto"/>
        <w:ind w:firstLine="360"/>
        <w:jc w:val="both"/>
        <w:rPr>
          <w:rFonts w:ascii="Arial" w:hAnsi="Arial" w:cs="Arial"/>
          <w:sz w:val="24"/>
          <w:szCs w:val="24"/>
        </w:rPr>
      </w:pPr>
      <w:r>
        <w:rPr>
          <w:rFonts w:ascii="Arial" w:hAnsi="Arial" w:cs="Arial"/>
          <w:sz w:val="24"/>
          <w:szCs w:val="24"/>
        </w:rPr>
        <w:t xml:space="preserve">El 20 de noviembre de 2013, con los tramites de autorización en proceso, inició las transmisiones de la </w:t>
      </w:r>
      <w:r w:rsidRPr="0085513E">
        <w:rPr>
          <w:rFonts w:ascii="Arial" w:hAnsi="Arial" w:cs="Arial"/>
          <w:sz w:val="24"/>
          <w:szCs w:val="24"/>
        </w:rPr>
        <w:t>Calentana 98.1 FM</w:t>
      </w:r>
      <w:r>
        <w:rPr>
          <w:rFonts w:ascii="Arial" w:hAnsi="Arial" w:cs="Arial"/>
          <w:sz w:val="24"/>
          <w:szCs w:val="24"/>
        </w:rPr>
        <w:t xml:space="preserve">. En aquel entonces su barra programática estaba enfocada principalmente a la denuncia ciudadana, información comunitaria y divulgación de eventos culturales y sociales. </w:t>
      </w:r>
    </w:p>
    <w:p w14:paraId="1AC64CA8" w14:textId="77777777" w:rsidR="000D7076" w:rsidRDefault="000D7076" w:rsidP="00194BEA">
      <w:pPr>
        <w:spacing w:line="360" w:lineRule="auto"/>
        <w:ind w:firstLine="360"/>
        <w:jc w:val="both"/>
        <w:rPr>
          <w:rFonts w:ascii="Arial" w:hAnsi="Arial" w:cs="Arial"/>
          <w:sz w:val="24"/>
          <w:szCs w:val="24"/>
        </w:rPr>
      </w:pPr>
      <w:r>
        <w:rPr>
          <w:rFonts w:ascii="Arial" w:hAnsi="Arial" w:cs="Arial"/>
          <w:sz w:val="24"/>
          <w:szCs w:val="24"/>
        </w:rPr>
        <w:t>Benítez Mondragón optó por fundar una radiodifusora al ser el medio de comunicación con menores costos de producción (inicialmente utilizó un transmisor de 20 watts), además de facilitar la comunicación en la zona serrana de Luvianos.</w:t>
      </w:r>
    </w:p>
    <w:p w14:paraId="44778A85" w14:textId="77777777" w:rsidR="000D7076" w:rsidRDefault="000D7076" w:rsidP="00194BEA">
      <w:pPr>
        <w:spacing w:line="360" w:lineRule="auto"/>
        <w:ind w:firstLine="360"/>
        <w:jc w:val="both"/>
        <w:rPr>
          <w:rFonts w:ascii="Arial" w:hAnsi="Arial" w:cs="Arial"/>
          <w:sz w:val="24"/>
          <w:szCs w:val="24"/>
        </w:rPr>
      </w:pPr>
      <w:r>
        <w:rPr>
          <w:rFonts w:ascii="Arial" w:hAnsi="Arial" w:cs="Arial"/>
          <w:sz w:val="24"/>
          <w:szCs w:val="24"/>
        </w:rPr>
        <w:t>Su ejercicio periodístico fortalece así la mediación entre una realidad social y las audiencias. Recordemos que Gomis (1991) indica que el ejercicio profesional del periodismo es un método de interpretación sucesivo de la realidad.</w:t>
      </w:r>
    </w:p>
    <w:p w14:paraId="5BFD104F" w14:textId="4C2BEFF8" w:rsidR="00E046BB" w:rsidRDefault="00F0064F" w:rsidP="00194BEA">
      <w:pPr>
        <w:spacing w:line="360" w:lineRule="auto"/>
        <w:ind w:firstLine="360"/>
        <w:jc w:val="both"/>
        <w:rPr>
          <w:rFonts w:ascii="Arial" w:hAnsi="Arial" w:cs="Arial"/>
          <w:sz w:val="24"/>
          <w:szCs w:val="24"/>
        </w:rPr>
      </w:pPr>
      <w:r>
        <w:rPr>
          <w:rFonts w:ascii="Arial" w:hAnsi="Arial" w:cs="Arial"/>
          <w:sz w:val="24"/>
          <w:szCs w:val="24"/>
        </w:rPr>
        <w:t>Sin embargo, e</w:t>
      </w:r>
      <w:r w:rsidR="000D7076">
        <w:rPr>
          <w:rFonts w:ascii="Arial" w:hAnsi="Arial" w:cs="Arial"/>
          <w:sz w:val="24"/>
          <w:szCs w:val="24"/>
        </w:rPr>
        <w:t xml:space="preserve">n el sur del Estado de México </w:t>
      </w:r>
      <w:r w:rsidR="00704018">
        <w:rPr>
          <w:rFonts w:ascii="Arial" w:hAnsi="Arial" w:cs="Arial"/>
          <w:sz w:val="24"/>
          <w:szCs w:val="24"/>
        </w:rPr>
        <w:t>el ejercicio periodístico, como en distintas</w:t>
      </w:r>
      <w:r w:rsidR="00CF2D18">
        <w:rPr>
          <w:rFonts w:ascii="Arial" w:hAnsi="Arial" w:cs="Arial"/>
          <w:sz w:val="24"/>
          <w:szCs w:val="24"/>
        </w:rPr>
        <w:t xml:space="preserve"> latitudes del país, interactúa con distintos pode</w:t>
      </w:r>
      <w:r w:rsidR="0058505C">
        <w:rPr>
          <w:rFonts w:ascii="Arial" w:hAnsi="Arial" w:cs="Arial"/>
          <w:sz w:val="24"/>
          <w:szCs w:val="24"/>
        </w:rPr>
        <w:t xml:space="preserve">res públicos y fácticos. </w:t>
      </w:r>
    </w:p>
    <w:p w14:paraId="2F310A13" w14:textId="77777777" w:rsidR="0004194E" w:rsidRDefault="00187C85" w:rsidP="00194BEA">
      <w:pPr>
        <w:spacing w:line="360" w:lineRule="auto"/>
        <w:ind w:firstLine="360"/>
        <w:jc w:val="both"/>
        <w:rPr>
          <w:rFonts w:ascii="Helvetica" w:hAnsi="Helvetica"/>
          <w:color w:val="333333"/>
          <w:sz w:val="24"/>
          <w:szCs w:val="24"/>
          <w:shd w:val="clear" w:color="auto" w:fill="FFFFFF"/>
        </w:rPr>
      </w:pPr>
      <w:r>
        <w:rPr>
          <w:rFonts w:ascii="Arial" w:hAnsi="Arial" w:cs="Arial"/>
          <w:sz w:val="24"/>
          <w:szCs w:val="24"/>
        </w:rPr>
        <w:t>Respecto al</w:t>
      </w:r>
      <w:r w:rsidR="00600FC9">
        <w:rPr>
          <w:rFonts w:ascii="Arial" w:hAnsi="Arial" w:cs="Arial"/>
          <w:sz w:val="24"/>
          <w:szCs w:val="24"/>
        </w:rPr>
        <w:t xml:space="preserve"> crimen organizado, d</w:t>
      </w:r>
      <w:r w:rsidR="000D7076">
        <w:rPr>
          <w:rFonts w:ascii="Arial" w:hAnsi="Arial" w:cs="Arial"/>
          <w:sz w:val="24"/>
          <w:szCs w:val="24"/>
        </w:rPr>
        <w:t xml:space="preserve">istintas fuentes </w:t>
      </w:r>
      <w:r>
        <w:rPr>
          <w:rFonts w:ascii="Arial" w:hAnsi="Arial" w:cs="Arial"/>
          <w:sz w:val="24"/>
          <w:szCs w:val="24"/>
        </w:rPr>
        <w:t xml:space="preserve">oficiales y estudios académicos, </w:t>
      </w:r>
      <w:r w:rsidR="00E046BB">
        <w:rPr>
          <w:rFonts w:ascii="Arial" w:hAnsi="Arial" w:cs="Arial"/>
          <w:sz w:val="24"/>
          <w:szCs w:val="24"/>
        </w:rPr>
        <w:t xml:space="preserve">indican que </w:t>
      </w:r>
      <w:r w:rsidR="000D7076">
        <w:rPr>
          <w:rFonts w:ascii="Arial" w:hAnsi="Arial" w:cs="Arial"/>
          <w:sz w:val="24"/>
          <w:szCs w:val="24"/>
        </w:rPr>
        <w:t>la accidentada geografía de la región sureña y su lejanía con el centro de la entidad,</w:t>
      </w:r>
      <w:r w:rsidR="00E046BB">
        <w:rPr>
          <w:rFonts w:ascii="Arial" w:hAnsi="Arial" w:cs="Arial"/>
          <w:sz w:val="24"/>
          <w:szCs w:val="24"/>
        </w:rPr>
        <w:t xml:space="preserve"> facilitan que estos grupos delincuenciales tengan mayor </w:t>
      </w:r>
      <w:r w:rsidR="000D7076">
        <w:rPr>
          <w:rFonts w:ascii="Arial" w:hAnsi="Arial" w:cs="Arial"/>
          <w:sz w:val="24"/>
          <w:szCs w:val="24"/>
        </w:rPr>
        <w:t>influencia en distintas actividades sociales, polí</w:t>
      </w:r>
      <w:r w:rsidR="0004194E">
        <w:rPr>
          <w:rFonts w:ascii="Arial" w:hAnsi="Arial" w:cs="Arial"/>
          <w:sz w:val="24"/>
          <w:szCs w:val="24"/>
        </w:rPr>
        <w:t>ticas y económicas de esta zona</w:t>
      </w:r>
      <w:r w:rsidR="000D7076">
        <w:rPr>
          <w:rStyle w:val="Refdenotaalpie"/>
          <w:rFonts w:ascii="Arial" w:hAnsi="Arial" w:cs="Arial"/>
          <w:sz w:val="24"/>
          <w:szCs w:val="24"/>
        </w:rPr>
        <w:footnoteReference w:id="41"/>
      </w:r>
      <w:r w:rsidR="0004194E">
        <w:rPr>
          <w:rFonts w:ascii="Arial" w:hAnsi="Arial" w:cs="Arial"/>
          <w:sz w:val="24"/>
          <w:szCs w:val="24"/>
        </w:rPr>
        <w:t xml:space="preserve">, considerada como el extremo sur del territorio mexiquense, conformada por los municipios de </w:t>
      </w:r>
      <w:r w:rsidR="00873018" w:rsidRPr="00CD528C">
        <w:rPr>
          <w:rStyle w:val="Textoennegrita"/>
          <w:rFonts w:ascii="Helvetica" w:hAnsi="Helvetica"/>
          <w:b w:val="0"/>
          <w:color w:val="333333"/>
          <w:sz w:val="24"/>
          <w:szCs w:val="24"/>
          <w:shd w:val="clear" w:color="auto" w:fill="FFFFFF"/>
        </w:rPr>
        <w:t>Tejupilco, Amatepec, Tlatlaya y Luvianos</w:t>
      </w:r>
      <w:r w:rsidR="00873018" w:rsidRPr="00CD528C">
        <w:rPr>
          <w:rFonts w:ascii="Helvetica" w:hAnsi="Helvetica"/>
          <w:b/>
          <w:color w:val="333333"/>
          <w:sz w:val="24"/>
          <w:szCs w:val="24"/>
          <w:shd w:val="clear" w:color="auto" w:fill="FFFFFF"/>
        </w:rPr>
        <w:t>.</w:t>
      </w:r>
      <w:r w:rsidR="00873018" w:rsidRPr="00873018">
        <w:rPr>
          <w:rFonts w:ascii="Helvetica" w:hAnsi="Helvetica"/>
          <w:color w:val="333333"/>
          <w:sz w:val="24"/>
          <w:szCs w:val="24"/>
          <w:shd w:val="clear" w:color="auto" w:fill="FFFFFF"/>
        </w:rPr>
        <w:t xml:space="preserve"> </w:t>
      </w:r>
    </w:p>
    <w:p w14:paraId="3EA2BD21" w14:textId="0D6D48CB" w:rsidR="0004194E" w:rsidRDefault="0004194E" w:rsidP="00194BEA">
      <w:pPr>
        <w:spacing w:line="360" w:lineRule="auto"/>
        <w:ind w:firstLine="360"/>
        <w:jc w:val="both"/>
        <w:rPr>
          <w:rFonts w:ascii="Helvetica" w:hAnsi="Helvetica"/>
          <w:color w:val="333333"/>
          <w:sz w:val="24"/>
          <w:szCs w:val="24"/>
          <w:shd w:val="clear" w:color="auto" w:fill="FFFFFF"/>
        </w:rPr>
      </w:pPr>
      <w:r>
        <w:rPr>
          <w:rFonts w:ascii="Helvetica" w:hAnsi="Helvetica"/>
          <w:color w:val="333333"/>
          <w:sz w:val="24"/>
          <w:szCs w:val="24"/>
          <w:shd w:val="clear" w:color="auto" w:fill="FFFFFF"/>
        </w:rPr>
        <w:t>En esta regi</w:t>
      </w:r>
      <w:r w:rsidR="00A07071">
        <w:rPr>
          <w:rFonts w:ascii="Helvetica" w:hAnsi="Helvetica"/>
          <w:color w:val="333333"/>
          <w:sz w:val="24"/>
          <w:szCs w:val="24"/>
          <w:shd w:val="clear" w:color="auto" w:fill="FFFFFF"/>
        </w:rPr>
        <w:t xml:space="preserve">ón, salvo algunos medios editados en la Ciudad de México, tienen mayor influencia las radios comunitarias, periódicos regionales, y las redes sociales como Facebook. </w:t>
      </w:r>
    </w:p>
    <w:p w14:paraId="552F0F4C" w14:textId="77777777" w:rsidR="00183BD6" w:rsidRDefault="0004194E" w:rsidP="00194BEA">
      <w:pPr>
        <w:spacing w:line="360" w:lineRule="auto"/>
        <w:ind w:firstLine="360"/>
        <w:jc w:val="both"/>
        <w:rPr>
          <w:rFonts w:ascii="Helvetica" w:hAnsi="Helvetica"/>
          <w:color w:val="333333"/>
          <w:sz w:val="24"/>
          <w:szCs w:val="24"/>
        </w:rPr>
      </w:pPr>
      <w:r w:rsidRPr="0004194E">
        <w:rPr>
          <w:rFonts w:ascii="Helvetica" w:hAnsi="Helvetica"/>
          <w:color w:val="333333"/>
          <w:sz w:val="24"/>
          <w:szCs w:val="24"/>
        </w:rPr>
        <w:t xml:space="preserve">En Luvianos además de la radio comunitaria que dirige Benítez </w:t>
      </w:r>
      <w:r w:rsidR="00A07071">
        <w:rPr>
          <w:rFonts w:ascii="Helvetica" w:hAnsi="Helvetica"/>
          <w:color w:val="333333"/>
          <w:sz w:val="24"/>
          <w:szCs w:val="24"/>
        </w:rPr>
        <w:t xml:space="preserve">Mondragón se edita </w:t>
      </w:r>
      <w:r w:rsidRPr="00A07071">
        <w:rPr>
          <w:rFonts w:ascii="Helvetica" w:hAnsi="Helvetica"/>
          <w:i/>
          <w:color w:val="333333"/>
          <w:sz w:val="24"/>
          <w:szCs w:val="24"/>
        </w:rPr>
        <w:t>El</w:t>
      </w:r>
      <w:r w:rsidR="00A07071" w:rsidRPr="00A07071">
        <w:rPr>
          <w:rFonts w:ascii="Helvetica" w:hAnsi="Helvetica"/>
          <w:i/>
          <w:color w:val="333333"/>
          <w:sz w:val="24"/>
          <w:szCs w:val="24"/>
        </w:rPr>
        <w:t xml:space="preserve"> Sureño</w:t>
      </w:r>
      <w:r w:rsidRPr="0004194E">
        <w:rPr>
          <w:rFonts w:ascii="Helvetica" w:hAnsi="Helvetica"/>
          <w:color w:val="333333"/>
          <w:sz w:val="24"/>
          <w:szCs w:val="24"/>
        </w:rPr>
        <w:t>, p</w:t>
      </w:r>
      <w:r w:rsidR="00A07071">
        <w:rPr>
          <w:rFonts w:ascii="Helvetica" w:hAnsi="Helvetica"/>
          <w:color w:val="333333"/>
          <w:sz w:val="24"/>
          <w:szCs w:val="24"/>
        </w:rPr>
        <w:t xml:space="preserve">eriódico semanal o quincenal. </w:t>
      </w:r>
    </w:p>
    <w:p w14:paraId="3B86F7C6" w14:textId="118D80B1" w:rsidR="0004194E" w:rsidRPr="0004194E" w:rsidRDefault="00A07071" w:rsidP="00194BEA">
      <w:pPr>
        <w:spacing w:line="360" w:lineRule="auto"/>
        <w:ind w:firstLine="360"/>
        <w:jc w:val="both"/>
        <w:rPr>
          <w:rFonts w:ascii="Helvetica" w:hAnsi="Helvetica"/>
          <w:color w:val="333333"/>
          <w:sz w:val="24"/>
          <w:szCs w:val="24"/>
        </w:rPr>
      </w:pPr>
      <w:r>
        <w:rPr>
          <w:rFonts w:ascii="Helvetica" w:hAnsi="Helvetica"/>
          <w:color w:val="333333"/>
          <w:sz w:val="24"/>
          <w:szCs w:val="24"/>
        </w:rPr>
        <w:t>E</w:t>
      </w:r>
      <w:r w:rsidR="0004194E" w:rsidRPr="0004194E">
        <w:rPr>
          <w:rFonts w:ascii="Helvetica" w:hAnsi="Helvetica"/>
          <w:color w:val="333333"/>
          <w:sz w:val="24"/>
          <w:szCs w:val="24"/>
        </w:rPr>
        <w:t>n</w:t>
      </w:r>
      <w:r w:rsidR="0094520C">
        <w:rPr>
          <w:rFonts w:ascii="Helvetica" w:hAnsi="Helvetica"/>
          <w:color w:val="333333"/>
          <w:sz w:val="24"/>
          <w:szCs w:val="24"/>
        </w:rPr>
        <w:t xml:space="preserve"> Tejupilco se publica el semanario </w:t>
      </w:r>
      <w:r w:rsidR="0004194E" w:rsidRPr="0004194E">
        <w:rPr>
          <w:rStyle w:val="nfasis"/>
          <w:rFonts w:ascii="Helvetica" w:hAnsi="Helvetica"/>
          <w:color w:val="333333"/>
          <w:sz w:val="24"/>
          <w:szCs w:val="24"/>
        </w:rPr>
        <w:t>El Monitor</w:t>
      </w:r>
      <w:r w:rsidR="0004194E" w:rsidRPr="0004194E">
        <w:rPr>
          <w:rFonts w:ascii="Helvetica" w:hAnsi="Helvetica"/>
          <w:color w:val="333333"/>
          <w:sz w:val="24"/>
          <w:szCs w:val="24"/>
        </w:rPr>
        <w:t xml:space="preserve">, que desde hace </w:t>
      </w:r>
      <w:r w:rsidR="007635E8">
        <w:rPr>
          <w:rFonts w:ascii="Helvetica" w:hAnsi="Helvetica"/>
          <w:color w:val="333333"/>
          <w:sz w:val="24"/>
          <w:szCs w:val="24"/>
        </w:rPr>
        <w:t xml:space="preserve">al menos </w:t>
      </w:r>
      <w:r w:rsidR="0004194E" w:rsidRPr="0004194E">
        <w:rPr>
          <w:rFonts w:ascii="Helvetica" w:hAnsi="Helvetica"/>
          <w:color w:val="333333"/>
          <w:sz w:val="24"/>
          <w:szCs w:val="24"/>
        </w:rPr>
        <w:t>c</w:t>
      </w:r>
      <w:r w:rsidR="0094520C">
        <w:rPr>
          <w:rFonts w:ascii="Helvetica" w:hAnsi="Helvetica"/>
          <w:color w:val="333333"/>
          <w:sz w:val="24"/>
          <w:szCs w:val="24"/>
        </w:rPr>
        <w:t>uatro décadas hace periodismo comunitario</w:t>
      </w:r>
      <w:r w:rsidR="0004194E" w:rsidRPr="0004194E">
        <w:rPr>
          <w:rFonts w:ascii="Helvetica" w:hAnsi="Helvetica"/>
          <w:color w:val="333333"/>
          <w:sz w:val="24"/>
          <w:szCs w:val="24"/>
        </w:rPr>
        <w:t>.</w:t>
      </w:r>
      <w:r w:rsidR="0094520C">
        <w:rPr>
          <w:rFonts w:ascii="Helvetica" w:hAnsi="Helvetica"/>
          <w:color w:val="333333"/>
          <w:sz w:val="24"/>
          <w:szCs w:val="24"/>
        </w:rPr>
        <w:t xml:space="preserve"> Otro </w:t>
      </w:r>
      <w:r w:rsidR="0004194E" w:rsidRPr="0004194E">
        <w:rPr>
          <w:rFonts w:ascii="Helvetica" w:hAnsi="Helvetica"/>
          <w:color w:val="333333"/>
          <w:sz w:val="24"/>
          <w:szCs w:val="24"/>
        </w:rPr>
        <w:t>diario </w:t>
      </w:r>
      <w:r w:rsidR="0094520C">
        <w:rPr>
          <w:rFonts w:ascii="Helvetica" w:hAnsi="Helvetica"/>
          <w:color w:val="333333"/>
          <w:sz w:val="24"/>
          <w:szCs w:val="24"/>
        </w:rPr>
        <w:t xml:space="preserve">es </w:t>
      </w:r>
      <w:r w:rsidR="0004194E" w:rsidRPr="0004194E">
        <w:rPr>
          <w:rStyle w:val="nfasis"/>
          <w:rFonts w:ascii="Helvetica" w:hAnsi="Helvetica"/>
          <w:color w:val="333333"/>
          <w:sz w:val="24"/>
          <w:szCs w:val="24"/>
        </w:rPr>
        <w:t>El Nativo</w:t>
      </w:r>
      <w:r w:rsidR="0004194E" w:rsidRPr="0004194E">
        <w:rPr>
          <w:rFonts w:ascii="Helvetica" w:hAnsi="Helvetica"/>
          <w:color w:val="333333"/>
          <w:sz w:val="24"/>
          <w:szCs w:val="24"/>
        </w:rPr>
        <w:t xml:space="preserve">, </w:t>
      </w:r>
      <w:r w:rsidR="0094520C">
        <w:rPr>
          <w:rFonts w:ascii="Helvetica" w:hAnsi="Helvetica"/>
          <w:color w:val="333333"/>
          <w:sz w:val="24"/>
          <w:szCs w:val="24"/>
        </w:rPr>
        <w:t xml:space="preserve">también </w:t>
      </w:r>
      <w:r w:rsidR="0004194E" w:rsidRPr="0004194E">
        <w:rPr>
          <w:rFonts w:ascii="Helvetica" w:hAnsi="Helvetica"/>
          <w:color w:val="333333"/>
          <w:sz w:val="24"/>
          <w:szCs w:val="24"/>
        </w:rPr>
        <w:t>de corte comunitar</w:t>
      </w:r>
      <w:r w:rsidR="0094520C">
        <w:rPr>
          <w:rFonts w:ascii="Helvetica" w:hAnsi="Helvetica"/>
          <w:color w:val="333333"/>
          <w:sz w:val="24"/>
          <w:szCs w:val="24"/>
        </w:rPr>
        <w:t xml:space="preserve">io.   Del estado de </w:t>
      </w:r>
      <w:r w:rsidR="0004194E" w:rsidRPr="0004194E">
        <w:rPr>
          <w:rFonts w:ascii="Helvetica" w:hAnsi="Helvetica"/>
          <w:color w:val="333333"/>
          <w:sz w:val="24"/>
          <w:szCs w:val="24"/>
        </w:rPr>
        <w:t>Guerrero llega el periódico </w:t>
      </w:r>
      <w:r w:rsidR="0004194E" w:rsidRPr="0004194E">
        <w:rPr>
          <w:rStyle w:val="nfasis"/>
          <w:rFonts w:ascii="Helvetica" w:hAnsi="Helvetica"/>
          <w:color w:val="333333"/>
          <w:sz w:val="24"/>
          <w:szCs w:val="24"/>
        </w:rPr>
        <w:t>Despertar del Sur</w:t>
      </w:r>
      <w:r w:rsidR="0004194E" w:rsidRPr="0004194E">
        <w:rPr>
          <w:rFonts w:ascii="Helvetica" w:hAnsi="Helvetica"/>
          <w:color w:val="333333"/>
          <w:sz w:val="24"/>
          <w:szCs w:val="24"/>
        </w:rPr>
        <w:t xml:space="preserve">, </w:t>
      </w:r>
      <w:r w:rsidR="0094520C">
        <w:rPr>
          <w:rFonts w:ascii="Helvetica" w:hAnsi="Helvetica"/>
          <w:color w:val="333333"/>
          <w:sz w:val="24"/>
          <w:szCs w:val="24"/>
        </w:rPr>
        <w:t xml:space="preserve">que </w:t>
      </w:r>
      <w:r w:rsidR="0004194E" w:rsidRPr="0004194E">
        <w:rPr>
          <w:rFonts w:ascii="Helvetica" w:hAnsi="Helvetica"/>
          <w:color w:val="333333"/>
          <w:sz w:val="24"/>
          <w:szCs w:val="24"/>
        </w:rPr>
        <w:t>maneja noticias comunitarias y policíacas. Todos los medios referidos son impresos y han iniciado la edición de páginas web.</w:t>
      </w:r>
      <w:r w:rsidR="00183BD6">
        <w:rPr>
          <w:rFonts w:ascii="Helvetica" w:hAnsi="Helvetica"/>
          <w:color w:val="333333"/>
          <w:sz w:val="24"/>
          <w:szCs w:val="24"/>
        </w:rPr>
        <w:t xml:space="preserve"> </w:t>
      </w:r>
      <w:r w:rsidR="0004194E" w:rsidRPr="0004194E">
        <w:rPr>
          <w:rFonts w:ascii="Helvetica" w:hAnsi="Helvetica"/>
          <w:color w:val="333333"/>
          <w:sz w:val="24"/>
          <w:szCs w:val="24"/>
        </w:rPr>
        <w:t>En medios electrónicos está el </w:t>
      </w:r>
      <w:r w:rsidR="0004194E" w:rsidRPr="0004194E">
        <w:rPr>
          <w:rStyle w:val="nfasis"/>
          <w:rFonts w:ascii="Helvetica" w:hAnsi="Helvetica"/>
          <w:color w:val="333333"/>
          <w:sz w:val="24"/>
          <w:szCs w:val="24"/>
        </w:rPr>
        <w:t>Canal 28</w:t>
      </w:r>
      <w:r w:rsidR="0004194E" w:rsidRPr="0004194E">
        <w:rPr>
          <w:rFonts w:ascii="Helvetica" w:hAnsi="Helvetica"/>
          <w:color w:val="333333"/>
          <w:sz w:val="24"/>
          <w:szCs w:val="24"/>
        </w:rPr>
        <w:t xml:space="preserve">, </w:t>
      </w:r>
      <w:r w:rsidR="0094520C">
        <w:rPr>
          <w:rFonts w:ascii="Helvetica" w:hAnsi="Helvetica"/>
          <w:color w:val="333333"/>
        </w:rPr>
        <w:t xml:space="preserve">el cual </w:t>
      </w:r>
      <w:r w:rsidR="0004194E" w:rsidRPr="0004194E">
        <w:rPr>
          <w:rFonts w:ascii="Helvetica" w:hAnsi="Helvetica"/>
          <w:color w:val="333333"/>
          <w:sz w:val="24"/>
          <w:szCs w:val="24"/>
        </w:rPr>
        <w:t>difunde información institucional y social, además de </w:t>
      </w:r>
      <w:r w:rsidR="0004194E" w:rsidRPr="0004194E">
        <w:rPr>
          <w:rStyle w:val="nfasis"/>
          <w:rFonts w:ascii="Helvetica" w:hAnsi="Helvetica"/>
          <w:color w:val="333333"/>
          <w:sz w:val="24"/>
          <w:szCs w:val="24"/>
        </w:rPr>
        <w:t>Radio Roca</w:t>
      </w:r>
      <w:r w:rsidR="00183BD6">
        <w:rPr>
          <w:rFonts w:ascii="Helvetica" w:hAnsi="Helvetica"/>
          <w:color w:val="333333"/>
          <w:sz w:val="24"/>
          <w:szCs w:val="24"/>
        </w:rPr>
        <w:t>, con un perfil comunitario.</w:t>
      </w:r>
      <w:r w:rsidR="0094520C">
        <w:rPr>
          <w:rFonts w:ascii="Helvetica" w:hAnsi="Helvetica"/>
          <w:color w:val="333333"/>
          <w:sz w:val="24"/>
          <w:szCs w:val="24"/>
        </w:rPr>
        <w:t xml:space="preserve">  </w:t>
      </w:r>
      <w:r w:rsidR="0004194E" w:rsidRPr="0004194E">
        <w:rPr>
          <w:rFonts w:ascii="Helvetica" w:hAnsi="Helvetica"/>
          <w:color w:val="333333"/>
          <w:sz w:val="24"/>
          <w:szCs w:val="24"/>
        </w:rPr>
        <w:t>En páginas web destaca </w:t>
      </w:r>
      <w:r w:rsidR="0004194E" w:rsidRPr="0004194E">
        <w:rPr>
          <w:rStyle w:val="nfasis"/>
          <w:rFonts w:ascii="Helvetica" w:hAnsi="Helvetica"/>
          <w:color w:val="333333"/>
          <w:sz w:val="24"/>
          <w:szCs w:val="24"/>
        </w:rPr>
        <w:t>El Observatorio del Sur</w:t>
      </w:r>
      <w:r w:rsidR="0004194E" w:rsidRPr="0004194E">
        <w:rPr>
          <w:rFonts w:ascii="Helvetica" w:hAnsi="Helvetica"/>
          <w:color w:val="333333"/>
          <w:sz w:val="24"/>
          <w:szCs w:val="24"/>
        </w:rPr>
        <w:t xml:space="preserve">, con información </w:t>
      </w:r>
      <w:r w:rsidR="00183BD6">
        <w:rPr>
          <w:rFonts w:ascii="Helvetica" w:hAnsi="Helvetica"/>
          <w:color w:val="333333"/>
          <w:sz w:val="24"/>
          <w:szCs w:val="24"/>
        </w:rPr>
        <w:t xml:space="preserve">de corte social e historias de la comunidad.  </w:t>
      </w:r>
      <w:r w:rsidR="0004194E" w:rsidRPr="0004194E">
        <w:rPr>
          <w:rFonts w:ascii="Helvetica" w:hAnsi="Helvetica"/>
          <w:color w:val="333333"/>
          <w:sz w:val="24"/>
          <w:szCs w:val="24"/>
        </w:rPr>
        <w:t>A estos medios se suman pequeñas publicaciones c</w:t>
      </w:r>
      <w:r w:rsidR="00183BD6">
        <w:rPr>
          <w:rFonts w:ascii="Helvetica" w:hAnsi="Helvetica"/>
          <w:color w:val="333333"/>
          <w:sz w:val="24"/>
          <w:szCs w:val="24"/>
        </w:rPr>
        <w:t>omerciales que pueden incluir</w:t>
      </w:r>
      <w:r w:rsidR="0004194E" w:rsidRPr="0004194E">
        <w:rPr>
          <w:rFonts w:ascii="Helvetica" w:hAnsi="Helvetica"/>
          <w:color w:val="333333"/>
          <w:sz w:val="24"/>
          <w:szCs w:val="24"/>
        </w:rPr>
        <w:t xml:space="preserve"> información social.</w:t>
      </w:r>
      <w:r w:rsidR="00183BD6">
        <w:rPr>
          <w:rFonts w:ascii="Helvetica" w:hAnsi="Helvetica"/>
          <w:color w:val="333333"/>
          <w:sz w:val="24"/>
          <w:szCs w:val="24"/>
        </w:rPr>
        <w:t xml:space="preserve"> En Amatepec y Tlatlaya no se ubican medios consolidados.</w:t>
      </w:r>
      <w:r w:rsidR="00183BD6">
        <w:rPr>
          <w:rStyle w:val="Refdenotaalpie"/>
          <w:rFonts w:ascii="Helvetica" w:hAnsi="Helvetica"/>
          <w:color w:val="333333"/>
          <w:sz w:val="24"/>
          <w:szCs w:val="24"/>
        </w:rPr>
        <w:footnoteReference w:id="42"/>
      </w:r>
    </w:p>
    <w:p w14:paraId="0F920845" w14:textId="5E4B2797" w:rsidR="000D7076" w:rsidRDefault="00356F41" w:rsidP="00194BEA">
      <w:pPr>
        <w:spacing w:line="360" w:lineRule="auto"/>
        <w:ind w:firstLine="360"/>
        <w:jc w:val="both"/>
        <w:rPr>
          <w:rFonts w:ascii="Arial" w:hAnsi="Arial" w:cs="Arial"/>
          <w:sz w:val="24"/>
          <w:szCs w:val="24"/>
        </w:rPr>
      </w:pPr>
      <w:r>
        <w:rPr>
          <w:rFonts w:ascii="Arial" w:hAnsi="Arial" w:cs="Arial"/>
          <w:sz w:val="24"/>
          <w:szCs w:val="24"/>
        </w:rPr>
        <w:t>En este contexto,</w:t>
      </w:r>
      <w:r w:rsidR="000D7076">
        <w:rPr>
          <w:rFonts w:ascii="Arial" w:hAnsi="Arial" w:cs="Arial"/>
          <w:sz w:val="24"/>
          <w:szCs w:val="24"/>
        </w:rPr>
        <w:t xml:space="preserve"> el 2</w:t>
      </w:r>
      <w:r w:rsidR="000D7076" w:rsidRPr="0085513E">
        <w:rPr>
          <w:rFonts w:ascii="Arial" w:hAnsi="Arial" w:cs="Arial"/>
          <w:sz w:val="24"/>
          <w:szCs w:val="24"/>
        </w:rPr>
        <w:t xml:space="preserve"> de agosto</w:t>
      </w:r>
      <w:r w:rsidR="000D7076">
        <w:rPr>
          <w:rFonts w:ascii="Arial" w:hAnsi="Arial" w:cs="Arial"/>
          <w:sz w:val="24"/>
          <w:szCs w:val="24"/>
        </w:rPr>
        <w:t xml:space="preserve"> de 2014 un g</w:t>
      </w:r>
      <w:r w:rsidR="00717E5C">
        <w:rPr>
          <w:rFonts w:ascii="Arial" w:hAnsi="Arial" w:cs="Arial"/>
          <w:sz w:val="24"/>
          <w:szCs w:val="24"/>
        </w:rPr>
        <w:t xml:space="preserve">rupo de hombres armados, ligados </w:t>
      </w:r>
      <w:r w:rsidR="000D7076">
        <w:rPr>
          <w:rFonts w:ascii="Arial" w:hAnsi="Arial" w:cs="Arial"/>
          <w:sz w:val="24"/>
          <w:szCs w:val="24"/>
        </w:rPr>
        <w:t>con el cartel de Los Guerreros Unidos, irrumpieron</w:t>
      </w:r>
      <w:r>
        <w:rPr>
          <w:rFonts w:ascii="Arial" w:hAnsi="Arial" w:cs="Arial"/>
          <w:sz w:val="24"/>
          <w:szCs w:val="24"/>
        </w:rPr>
        <w:t xml:space="preserve"> en la</w:t>
      </w:r>
      <w:r w:rsidR="000D7076">
        <w:rPr>
          <w:rFonts w:ascii="Arial" w:hAnsi="Arial" w:cs="Arial"/>
          <w:sz w:val="24"/>
          <w:szCs w:val="24"/>
        </w:rPr>
        <w:t xml:space="preserve"> radiodifusora</w:t>
      </w:r>
      <w:r>
        <w:rPr>
          <w:rFonts w:ascii="Arial" w:hAnsi="Arial" w:cs="Arial"/>
          <w:sz w:val="24"/>
          <w:szCs w:val="24"/>
        </w:rPr>
        <w:t xml:space="preserve"> que dirige Benítez Mondrag</w:t>
      </w:r>
      <w:r w:rsidR="00717E5C">
        <w:rPr>
          <w:rFonts w:ascii="Arial" w:hAnsi="Arial" w:cs="Arial"/>
          <w:sz w:val="24"/>
          <w:szCs w:val="24"/>
        </w:rPr>
        <w:t xml:space="preserve">ón, la cual se ubica en su domicilio particular. </w:t>
      </w:r>
      <w:r w:rsidR="00C27363">
        <w:rPr>
          <w:rFonts w:ascii="Arial" w:hAnsi="Arial" w:cs="Arial"/>
          <w:sz w:val="24"/>
          <w:szCs w:val="24"/>
        </w:rPr>
        <w:t>A bordo de un vehículo, e</w:t>
      </w:r>
      <w:r w:rsidR="00717E5C">
        <w:rPr>
          <w:rFonts w:ascii="Arial" w:hAnsi="Arial" w:cs="Arial"/>
          <w:sz w:val="24"/>
          <w:szCs w:val="24"/>
        </w:rPr>
        <w:t xml:space="preserve">l periodista y su familia regresaban a estas instalaciones cuando observaron a las personas desconocidas. Al tratar de evadirlas uno de los sujetos disparó, provocando la muerte de </w:t>
      </w:r>
      <w:r w:rsidR="000D7076">
        <w:rPr>
          <w:rFonts w:ascii="Arial" w:hAnsi="Arial" w:cs="Arial"/>
          <w:sz w:val="24"/>
          <w:szCs w:val="24"/>
        </w:rPr>
        <w:t>Juan Diego, menor de 12 años e hijo del periodista sureño.</w:t>
      </w:r>
      <w:r w:rsidR="000D7076">
        <w:rPr>
          <w:rStyle w:val="Refdenotaalpie"/>
          <w:rFonts w:ascii="Arial" w:hAnsi="Arial" w:cs="Arial"/>
          <w:sz w:val="24"/>
          <w:szCs w:val="24"/>
        </w:rPr>
        <w:footnoteReference w:id="43"/>
      </w:r>
    </w:p>
    <w:p w14:paraId="7053FD41" w14:textId="5543161C" w:rsidR="000D7076" w:rsidRDefault="000D7076" w:rsidP="00194BEA">
      <w:pPr>
        <w:spacing w:line="360" w:lineRule="auto"/>
        <w:ind w:firstLine="360"/>
        <w:jc w:val="both"/>
        <w:rPr>
          <w:rFonts w:ascii="Arial" w:hAnsi="Arial" w:cs="Arial"/>
          <w:sz w:val="24"/>
          <w:szCs w:val="24"/>
        </w:rPr>
      </w:pPr>
      <w:r>
        <w:rPr>
          <w:rFonts w:ascii="Arial" w:hAnsi="Arial" w:cs="Arial"/>
          <w:sz w:val="24"/>
          <w:szCs w:val="24"/>
        </w:rPr>
        <w:t xml:space="preserve">Derivado de esta agresión Benítez Mondragón entró al </w:t>
      </w:r>
      <w:r w:rsidRPr="003B36F6">
        <w:rPr>
          <w:rFonts w:ascii="Arial" w:hAnsi="Arial" w:cs="Arial"/>
          <w:sz w:val="24"/>
          <w:szCs w:val="24"/>
        </w:rPr>
        <w:t>Mecanismo de Protección para Personas Defensoras de Derechos Humanos y</w:t>
      </w:r>
      <w:r>
        <w:rPr>
          <w:rFonts w:ascii="Arial" w:hAnsi="Arial" w:cs="Arial"/>
          <w:sz w:val="24"/>
          <w:szCs w:val="24"/>
        </w:rPr>
        <w:t xml:space="preserve"> Periodistas, operado por la Secretaría</w:t>
      </w:r>
      <w:r w:rsidR="00EA6723">
        <w:rPr>
          <w:rFonts w:ascii="Arial" w:hAnsi="Arial" w:cs="Arial"/>
          <w:sz w:val="24"/>
          <w:szCs w:val="24"/>
        </w:rPr>
        <w:t xml:space="preserve"> </w:t>
      </w:r>
      <w:r>
        <w:rPr>
          <w:rFonts w:ascii="Arial" w:hAnsi="Arial" w:cs="Arial"/>
          <w:sz w:val="24"/>
          <w:szCs w:val="24"/>
        </w:rPr>
        <w:t>de Gobernación, lo cual incluyó las medidas extremas como evacuación temporal de su lugar de residencia y el posterior regreso con el monitoreo permanente de sus actividades y ubicación.</w:t>
      </w:r>
    </w:p>
    <w:p w14:paraId="47D8C173" w14:textId="109E5D3B" w:rsidR="000D7076" w:rsidRDefault="000D7076" w:rsidP="00194BEA">
      <w:pPr>
        <w:spacing w:line="360" w:lineRule="auto"/>
        <w:ind w:firstLine="360"/>
        <w:jc w:val="both"/>
        <w:rPr>
          <w:rFonts w:ascii="Arial" w:hAnsi="Arial" w:cs="Arial"/>
          <w:sz w:val="24"/>
          <w:szCs w:val="24"/>
        </w:rPr>
      </w:pPr>
      <w:r>
        <w:rPr>
          <w:rFonts w:ascii="Arial" w:hAnsi="Arial" w:cs="Arial"/>
          <w:sz w:val="24"/>
          <w:szCs w:val="24"/>
        </w:rPr>
        <w:t>Tal protección no impidió que el 15 de octubre de 2015 elementos de la Marina de México y del entonces Instituto Federal de Telecomunicaciones (IFETEL) clausuran la Calentana 98.1 FM debido a que no contaba con el permiso para explotar el espacio radio eléctrico, pues aún contin</w:t>
      </w:r>
      <w:r w:rsidR="0057617E">
        <w:rPr>
          <w:rFonts w:ascii="Arial" w:hAnsi="Arial" w:cs="Arial"/>
          <w:sz w:val="24"/>
          <w:szCs w:val="24"/>
        </w:rPr>
        <w:t xml:space="preserve">uaban los trámites de </w:t>
      </w:r>
      <w:r>
        <w:rPr>
          <w:rFonts w:ascii="Arial" w:hAnsi="Arial" w:cs="Arial"/>
          <w:sz w:val="24"/>
          <w:szCs w:val="24"/>
        </w:rPr>
        <w:t>Benítez</w:t>
      </w:r>
      <w:r w:rsidR="0057617E">
        <w:rPr>
          <w:rFonts w:ascii="Arial" w:hAnsi="Arial" w:cs="Arial"/>
          <w:sz w:val="24"/>
          <w:szCs w:val="24"/>
        </w:rPr>
        <w:t xml:space="preserve"> Mondragón</w:t>
      </w:r>
      <w:r>
        <w:rPr>
          <w:rFonts w:ascii="Arial" w:hAnsi="Arial" w:cs="Arial"/>
          <w:sz w:val="24"/>
          <w:szCs w:val="24"/>
        </w:rPr>
        <w:t xml:space="preserve"> para obtener la</w:t>
      </w:r>
      <w:r w:rsidR="0057617E">
        <w:rPr>
          <w:rFonts w:ascii="Arial" w:hAnsi="Arial" w:cs="Arial"/>
          <w:sz w:val="24"/>
          <w:szCs w:val="24"/>
        </w:rPr>
        <w:t xml:space="preserve"> respectiva</w:t>
      </w:r>
      <w:r>
        <w:rPr>
          <w:rFonts w:ascii="Arial" w:hAnsi="Arial" w:cs="Arial"/>
          <w:sz w:val="24"/>
          <w:szCs w:val="24"/>
        </w:rPr>
        <w:t xml:space="preserve"> concesión, quien</w:t>
      </w:r>
      <w:r w:rsidR="0057617E">
        <w:rPr>
          <w:rFonts w:ascii="Arial" w:hAnsi="Arial" w:cs="Arial"/>
          <w:sz w:val="24"/>
          <w:szCs w:val="24"/>
        </w:rPr>
        <w:t xml:space="preserve"> en ese momento</w:t>
      </w:r>
      <w:r>
        <w:rPr>
          <w:rFonts w:ascii="Arial" w:hAnsi="Arial" w:cs="Arial"/>
          <w:sz w:val="24"/>
          <w:szCs w:val="24"/>
        </w:rPr>
        <w:t xml:space="preserve"> radicaba en la Ciudad de México, derivado de</w:t>
      </w:r>
      <w:r w:rsidR="0057617E">
        <w:rPr>
          <w:rFonts w:ascii="Arial" w:hAnsi="Arial" w:cs="Arial"/>
          <w:sz w:val="24"/>
          <w:szCs w:val="24"/>
        </w:rPr>
        <w:t xml:space="preserve"> las medidas instrumentadas por</w:t>
      </w:r>
      <w:r>
        <w:rPr>
          <w:rFonts w:ascii="Arial" w:hAnsi="Arial" w:cs="Arial"/>
          <w:sz w:val="24"/>
          <w:szCs w:val="24"/>
        </w:rPr>
        <w:t xml:space="preserve"> el citado Mecanismo de Protección.</w:t>
      </w:r>
    </w:p>
    <w:p w14:paraId="61823D2E" w14:textId="77777777" w:rsidR="000D7076" w:rsidRDefault="000D7076" w:rsidP="00194BEA">
      <w:pPr>
        <w:spacing w:line="360" w:lineRule="auto"/>
        <w:ind w:firstLine="360"/>
        <w:jc w:val="both"/>
        <w:rPr>
          <w:rFonts w:ascii="Arial" w:hAnsi="Arial" w:cs="Arial"/>
          <w:sz w:val="24"/>
          <w:szCs w:val="24"/>
        </w:rPr>
      </w:pPr>
      <w:r>
        <w:rPr>
          <w:rFonts w:ascii="Arial" w:hAnsi="Arial" w:cs="Arial"/>
          <w:sz w:val="24"/>
          <w:szCs w:val="24"/>
        </w:rPr>
        <w:t xml:space="preserve">En un posterior comunicado de prensa, fechado el 4 de noviembre de ese año, el gobierno del Estado de México informó que en dicha estación de radio sus locutores también incitaban a respaldar a grupos criminales. </w:t>
      </w:r>
      <w:r>
        <w:rPr>
          <w:rStyle w:val="Refdenotaalpie"/>
          <w:rFonts w:ascii="Arial" w:hAnsi="Arial" w:cs="Arial"/>
          <w:sz w:val="24"/>
          <w:szCs w:val="24"/>
        </w:rPr>
        <w:footnoteReference w:id="44"/>
      </w:r>
    </w:p>
    <w:p w14:paraId="5C71F6D5" w14:textId="77777777" w:rsidR="000D7076" w:rsidRDefault="000D7076" w:rsidP="00194BEA">
      <w:pPr>
        <w:spacing w:line="360" w:lineRule="auto"/>
        <w:ind w:firstLine="360"/>
        <w:jc w:val="both"/>
        <w:rPr>
          <w:rFonts w:ascii="Arial" w:hAnsi="Arial" w:cs="Arial"/>
          <w:sz w:val="24"/>
          <w:szCs w:val="24"/>
        </w:rPr>
      </w:pPr>
      <w:r>
        <w:rPr>
          <w:rFonts w:ascii="Arial" w:hAnsi="Arial" w:cs="Arial"/>
          <w:sz w:val="24"/>
          <w:szCs w:val="24"/>
        </w:rPr>
        <w:t>Derivado de esta controversia, y las respectivas protestas de Benítez Mondragón, el IFETEL otorgó la concesión a esta radio comunitaria y el gobierno mexiquense emitió una disculpa pública, pues no contaba con elementos de prueba para hacer tal aseveración.</w:t>
      </w:r>
      <w:r>
        <w:rPr>
          <w:rStyle w:val="Refdenotaalpie"/>
          <w:rFonts w:ascii="Arial" w:hAnsi="Arial" w:cs="Arial"/>
          <w:sz w:val="24"/>
          <w:szCs w:val="24"/>
        </w:rPr>
        <w:footnoteReference w:id="45"/>
      </w:r>
    </w:p>
    <w:p w14:paraId="1B174384" w14:textId="0D35B02E" w:rsidR="000D7076" w:rsidRDefault="000D7076" w:rsidP="00194BEA">
      <w:pPr>
        <w:spacing w:line="360" w:lineRule="auto"/>
        <w:ind w:firstLine="360"/>
        <w:jc w:val="both"/>
        <w:rPr>
          <w:rFonts w:ascii="Arial" w:hAnsi="Arial" w:cs="Arial"/>
          <w:sz w:val="24"/>
          <w:szCs w:val="24"/>
        </w:rPr>
      </w:pPr>
      <w:r>
        <w:rPr>
          <w:rFonts w:ascii="Arial" w:hAnsi="Arial" w:cs="Arial"/>
          <w:sz w:val="24"/>
          <w:szCs w:val="24"/>
        </w:rPr>
        <w:t xml:space="preserve">A la fecha el periodista Indalecio Benítez continúa transmitiendo a través de </w:t>
      </w:r>
      <w:r w:rsidR="00907C18">
        <w:rPr>
          <w:rFonts w:ascii="Arial" w:hAnsi="Arial" w:cs="Arial"/>
          <w:sz w:val="24"/>
          <w:szCs w:val="24"/>
        </w:rPr>
        <w:t xml:space="preserve">La </w:t>
      </w:r>
      <w:r>
        <w:rPr>
          <w:rFonts w:ascii="Arial" w:hAnsi="Arial" w:cs="Arial"/>
          <w:sz w:val="24"/>
          <w:szCs w:val="24"/>
        </w:rPr>
        <w:t>Calentana Luvimex del 96.5 de FM (que corresponde a la concesión otorgada por el</w:t>
      </w:r>
      <w:r w:rsidR="00FC7127">
        <w:rPr>
          <w:rFonts w:ascii="Arial" w:hAnsi="Arial" w:cs="Arial"/>
          <w:sz w:val="24"/>
          <w:szCs w:val="24"/>
        </w:rPr>
        <w:t xml:space="preserve"> entonces</w:t>
      </w:r>
      <w:r>
        <w:rPr>
          <w:rFonts w:ascii="Arial" w:hAnsi="Arial" w:cs="Arial"/>
          <w:sz w:val="24"/>
          <w:szCs w:val="24"/>
        </w:rPr>
        <w:t xml:space="preserve"> IFETEL). Su ejercicio periodístico se enfoca principalmente en la denuncia ciudadana y en la conducción de un programa de opinión. También hace activismo social, vía las peticiones recibidas en la estación de radio. </w:t>
      </w:r>
    </w:p>
    <w:p w14:paraId="6685D546" w14:textId="77777777" w:rsidR="000D7076" w:rsidRDefault="000D7076" w:rsidP="00194BEA">
      <w:pPr>
        <w:spacing w:line="360" w:lineRule="auto"/>
        <w:ind w:firstLine="360"/>
        <w:jc w:val="both"/>
        <w:rPr>
          <w:rFonts w:ascii="Arial" w:hAnsi="Arial" w:cs="Arial"/>
          <w:sz w:val="24"/>
          <w:szCs w:val="24"/>
        </w:rPr>
      </w:pPr>
      <w:r>
        <w:rPr>
          <w:rFonts w:ascii="Arial" w:hAnsi="Arial" w:cs="Arial"/>
          <w:sz w:val="24"/>
          <w:szCs w:val="24"/>
        </w:rPr>
        <w:t>Esta línea editorial está relacionada con el buscar información útil para la sociedad, que coincide con una de las características del periodismo, como vehículo de vigilancia ciudadana.</w:t>
      </w:r>
    </w:p>
    <w:p w14:paraId="25C7B317" w14:textId="06645502" w:rsidR="000D7076" w:rsidRDefault="00907C18" w:rsidP="00194BEA">
      <w:pPr>
        <w:spacing w:line="360" w:lineRule="auto"/>
        <w:ind w:firstLine="360"/>
        <w:jc w:val="both"/>
        <w:rPr>
          <w:rFonts w:ascii="Arial" w:hAnsi="Arial" w:cs="Arial"/>
          <w:sz w:val="24"/>
          <w:szCs w:val="24"/>
        </w:rPr>
      </w:pPr>
      <w:r>
        <w:rPr>
          <w:rFonts w:ascii="Arial" w:hAnsi="Arial" w:cs="Arial"/>
          <w:bCs/>
          <w:sz w:val="24"/>
          <w:szCs w:val="24"/>
          <w:lang w:val="es-ES"/>
        </w:rPr>
        <w:t xml:space="preserve">Una herramienta adicional para esta radio comunitaria son las redes sociales, pues al 22 de abril </w:t>
      </w:r>
      <w:r w:rsidR="007635E8">
        <w:rPr>
          <w:rFonts w:ascii="Arial" w:hAnsi="Arial" w:cs="Arial"/>
          <w:bCs/>
          <w:sz w:val="24"/>
          <w:szCs w:val="24"/>
          <w:lang w:val="es-ES"/>
        </w:rPr>
        <w:t xml:space="preserve">de 2019 </w:t>
      </w:r>
      <w:r>
        <w:rPr>
          <w:rFonts w:ascii="Arial" w:hAnsi="Arial" w:cs="Arial"/>
          <w:bCs/>
          <w:sz w:val="24"/>
          <w:szCs w:val="24"/>
          <w:lang w:val="es-ES"/>
        </w:rPr>
        <w:t>su página de Facebook registraba 36 mil 556 seguidores, donde se realizaban distintas publicaciones que incluyen la difusión de eventos religiosos, denuncias contra autoridades</w:t>
      </w:r>
      <w:r w:rsidR="0091069C">
        <w:rPr>
          <w:rFonts w:ascii="Arial" w:hAnsi="Arial" w:cs="Arial"/>
          <w:bCs/>
          <w:sz w:val="24"/>
          <w:szCs w:val="24"/>
          <w:lang w:val="es-ES"/>
        </w:rPr>
        <w:t xml:space="preserve"> municipales y estatales</w:t>
      </w:r>
      <w:r>
        <w:rPr>
          <w:rFonts w:ascii="Arial" w:hAnsi="Arial" w:cs="Arial"/>
          <w:bCs/>
          <w:sz w:val="24"/>
          <w:szCs w:val="24"/>
          <w:lang w:val="es-ES"/>
        </w:rPr>
        <w:t xml:space="preserve">, noticias sobre daños ambientales, </w:t>
      </w:r>
      <w:r w:rsidR="00E20CAE">
        <w:rPr>
          <w:rFonts w:ascii="Arial" w:hAnsi="Arial" w:cs="Arial"/>
          <w:bCs/>
          <w:sz w:val="24"/>
          <w:szCs w:val="24"/>
          <w:lang w:val="es-ES"/>
        </w:rPr>
        <w:t xml:space="preserve">situaciones sociales, </w:t>
      </w:r>
      <w:r>
        <w:rPr>
          <w:rFonts w:ascii="Arial" w:hAnsi="Arial" w:cs="Arial"/>
          <w:bCs/>
          <w:sz w:val="24"/>
          <w:szCs w:val="24"/>
          <w:lang w:val="es-ES"/>
        </w:rPr>
        <w:t xml:space="preserve">actos culturales, además de la difusión de campañas instrumentadas por La </w:t>
      </w:r>
      <w:r>
        <w:rPr>
          <w:rFonts w:ascii="Arial" w:hAnsi="Arial" w:cs="Arial"/>
          <w:sz w:val="24"/>
          <w:szCs w:val="24"/>
        </w:rPr>
        <w:t xml:space="preserve">Calentana Luvimex, quien </w:t>
      </w:r>
      <w:r w:rsidR="007635E8">
        <w:rPr>
          <w:rFonts w:ascii="Arial" w:hAnsi="Arial" w:cs="Arial"/>
          <w:sz w:val="24"/>
          <w:szCs w:val="24"/>
        </w:rPr>
        <w:t>entre sus iniciativas ha convocado</w:t>
      </w:r>
      <w:r>
        <w:rPr>
          <w:rFonts w:ascii="Arial" w:hAnsi="Arial" w:cs="Arial"/>
          <w:sz w:val="24"/>
          <w:szCs w:val="24"/>
        </w:rPr>
        <w:t xml:space="preserve"> a</w:t>
      </w:r>
      <w:r w:rsidR="007635E8">
        <w:rPr>
          <w:rFonts w:ascii="Arial" w:hAnsi="Arial" w:cs="Arial"/>
          <w:sz w:val="24"/>
          <w:szCs w:val="24"/>
        </w:rPr>
        <w:t xml:space="preserve"> las </w:t>
      </w:r>
      <w:r>
        <w:rPr>
          <w:rFonts w:ascii="Arial" w:hAnsi="Arial" w:cs="Arial"/>
          <w:sz w:val="24"/>
          <w:szCs w:val="24"/>
        </w:rPr>
        <w:t xml:space="preserve"> comunidades </w:t>
      </w:r>
      <w:r w:rsidR="007635E8">
        <w:rPr>
          <w:rFonts w:ascii="Arial" w:hAnsi="Arial" w:cs="Arial"/>
          <w:sz w:val="24"/>
          <w:szCs w:val="24"/>
        </w:rPr>
        <w:t xml:space="preserve">de la región </w:t>
      </w:r>
      <w:r>
        <w:rPr>
          <w:rFonts w:ascii="Arial" w:hAnsi="Arial" w:cs="Arial"/>
          <w:sz w:val="24"/>
          <w:szCs w:val="24"/>
        </w:rPr>
        <w:t>para una adecuada recolección de la basura.</w:t>
      </w:r>
    </w:p>
    <w:p w14:paraId="7B1754CA" w14:textId="52F3DEFB" w:rsidR="0091069C" w:rsidRDefault="0091069C" w:rsidP="00194BEA">
      <w:pPr>
        <w:spacing w:line="360" w:lineRule="auto"/>
        <w:ind w:firstLine="360"/>
        <w:jc w:val="both"/>
        <w:rPr>
          <w:rFonts w:ascii="Arial" w:hAnsi="Arial" w:cs="Arial"/>
          <w:sz w:val="24"/>
          <w:szCs w:val="24"/>
        </w:rPr>
      </w:pPr>
      <w:r>
        <w:rPr>
          <w:rFonts w:ascii="Arial" w:hAnsi="Arial" w:cs="Arial"/>
          <w:sz w:val="24"/>
          <w:szCs w:val="24"/>
        </w:rPr>
        <w:t>Este medio de comunicación también difunde las actividades del periodista Benítez Mondragón en materia de derechos humanos, así como tareas relaciona</w:t>
      </w:r>
      <w:r w:rsidR="00E20CAE">
        <w:rPr>
          <w:rFonts w:ascii="Arial" w:hAnsi="Arial" w:cs="Arial"/>
          <w:sz w:val="24"/>
          <w:szCs w:val="24"/>
        </w:rPr>
        <w:t>das con las radios comunitarias y el apoyo a comunidades indígenas.</w:t>
      </w:r>
    </w:p>
    <w:p w14:paraId="179B830B" w14:textId="4DE83483" w:rsidR="00E20CAE" w:rsidRDefault="00E20CAE" w:rsidP="00194BEA">
      <w:pPr>
        <w:spacing w:line="360" w:lineRule="auto"/>
        <w:ind w:firstLine="360"/>
        <w:jc w:val="both"/>
        <w:rPr>
          <w:rFonts w:ascii="Arial" w:hAnsi="Arial" w:cs="Arial"/>
          <w:sz w:val="24"/>
          <w:szCs w:val="24"/>
        </w:rPr>
      </w:pPr>
      <w:r>
        <w:rPr>
          <w:rFonts w:ascii="Arial" w:hAnsi="Arial" w:cs="Arial"/>
          <w:sz w:val="24"/>
          <w:szCs w:val="24"/>
        </w:rPr>
        <w:t>Además, l</w:t>
      </w:r>
      <w:r w:rsidR="0091069C">
        <w:rPr>
          <w:rFonts w:ascii="Arial" w:hAnsi="Arial" w:cs="Arial"/>
          <w:sz w:val="24"/>
          <w:szCs w:val="24"/>
        </w:rPr>
        <w:t>a radiodifusora y sus red</w:t>
      </w:r>
      <w:r>
        <w:rPr>
          <w:rFonts w:ascii="Arial" w:hAnsi="Arial" w:cs="Arial"/>
          <w:sz w:val="24"/>
          <w:szCs w:val="24"/>
        </w:rPr>
        <w:t xml:space="preserve">es sociales </w:t>
      </w:r>
      <w:r w:rsidR="0091069C">
        <w:rPr>
          <w:rFonts w:ascii="Arial" w:hAnsi="Arial" w:cs="Arial"/>
          <w:sz w:val="24"/>
          <w:szCs w:val="24"/>
        </w:rPr>
        <w:t>difund</w:t>
      </w:r>
      <w:r>
        <w:rPr>
          <w:rFonts w:ascii="Arial" w:hAnsi="Arial" w:cs="Arial"/>
          <w:sz w:val="24"/>
          <w:szCs w:val="24"/>
        </w:rPr>
        <w:t xml:space="preserve">en peticiones para la búsqueda de personas desaparecidas, </w:t>
      </w:r>
      <w:r w:rsidR="007635E8">
        <w:rPr>
          <w:rFonts w:ascii="Arial" w:hAnsi="Arial" w:cs="Arial"/>
          <w:sz w:val="24"/>
          <w:szCs w:val="24"/>
        </w:rPr>
        <w:t>y apoyos o</w:t>
      </w:r>
      <w:r>
        <w:rPr>
          <w:rFonts w:ascii="Arial" w:hAnsi="Arial" w:cs="Arial"/>
          <w:sz w:val="24"/>
          <w:szCs w:val="24"/>
        </w:rPr>
        <w:t xml:space="preserve"> donaciones a personas en situación de vulnerabilidad o con alguna discapacidad.</w:t>
      </w:r>
    </w:p>
    <w:p w14:paraId="7A2C06C6" w14:textId="4BE711F1" w:rsidR="00907C18" w:rsidRDefault="007635E8" w:rsidP="00194BEA">
      <w:pPr>
        <w:spacing w:line="360" w:lineRule="auto"/>
        <w:ind w:firstLine="360"/>
        <w:jc w:val="both"/>
        <w:rPr>
          <w:rFonts w:ascii="Arial" w:hAnsi="Arial" w:cs="Arial"/>
          <w:sz w:val="24"/>
          <w:szCs w:val="24"/>
        </w:rPr>
      </w:pPr>
      <w:r>
        <w:rPr>
          <w:rFonts w:ascii="Arial" w:hAnsi="Arial" w:cs="Arial"/>
          <w:sz w:val="24"/>
          <w:szCs w:val="24"/>
        </w:rPr>
        <w:t>Para completar su</w:t>
      </w:r>
      <w:r w:rsidR="00E20CAE">
        <w:rPr>
          <w:rFonts w:ascii="Arial" w:hAnsi="Arial" w:cs="Arial"/>
          <w:sz w:val="24"/>
          <w:szCs w:val="24"/>
        </w:rPr>
        <w:t xml:space="preserve"> barra programática incluye eventos gubernamentales, </w:t>
      </w:r>
      <w:r w:rsidR="0091069C">
        <w:rPr>
          <w:rFonts w:ascii="Arial" w:hAnsi="Arial" w:cs="Arial"/>
          <w:sz w:val="24"/>
          <w:szCs w:val="24"/>
        </w:rPr>
        <w:t>art</w:t>
      </w:r>
      <w:r w:rsidR="002D5985">
        <w:rPr>
          <w:rFonts w:ascii="Arial" w:hAnsi="Arial" w:cs="Arial"/>
          <w:sz w:val="24"/>
          <w:szCs w:val="24"/>
        </w:rPr>
        <w:t>ísticos y musicales.</w:t>
      </w:r>
    </w:p>
    <w:p w14:paraId="6B9906AB" w14:textId="704F303D" w:rsidR="00471816" w:rsidRDefault="00E20CAE" w:rsidP="00194BEA">
      <w:pPr>
        <w:spacing w:line="360" w:lineRule="auto"/>
        <w:ind w:firstLine="360"/>
        <w:jc w:val="both"/>
        <w:rPr>
          <w:rFonts w:ascii="Arial" w:hAnsi="Arial" w:cs="Arial"/>
          <w:sz w:val="24"/>
          <w:szCs w:val="24"/>
        </w:rPr>
      </w:pPr>
      <w:r>
        <w:rPr>
          <w:rFonts w:ascii="Arial" w:hAnsi="Arial" w:cs="Arial"/>
          <w:sz w:val="24"/>
          <w:szCs w:val="24"/>
        </w:rPr>
        <w:t xml:space="preserve">Destaca que La Calentana Luvimex, al también difundirse en internet, </w:t>
      </w:r>
      <w:r w:rsidR="00471816">
        <w:rPr>
          <w:rFonts w:ascii="Arial" w:hAnsi="Arial" w:cs="Arial"/>
          <w:sz w:val="24"/>
          <w:szCs w:val="24"/>
        </w:rPr>
        <w:t xml:space="preserve">es un medio de comunicación para la comunidad migrante que ha salido de esta región sureña y se encuentra en </w:t>
      </w:r>
      <w:r w:rsidR="007635E8">
        <w:rPr>
          <w:rFonts w:ascii="Arial" w:hAnsi="Arial" w:cs="Arial"/>
          <w:sz w:val="24"/>
          <w:szCs w:val="24"/>
        </w:rPr>
        <w:t xml:space="preserve">distintos estados del país, </w:t>
      </w:r>
      <w:r w:rsidR="00471816">
        <w:rPr>
          <w:rFonts w:ascii="Arial" w:hAnsi="Arial" w:cs="Arial"/>
          <w:sz w:val="24"/>
          <w:szCs w:val="24"/>
        </w:rPr>
        <w:t xml:space="preserve">Estados Unidos, </w:t>
      </w:r>
      <w:r w:rsidR="007635E8">
        <w:rPr>
          <w:rFonts w:ascii="Arial" w:hAnsi="Arial" w:cs="Arial"/>
          <w:sz w:val="24"/>
          <w:szCs w:val="24"/>
        </w:rPr>
        <w:t xml:space="preserve">Canadá e incluso en otros continentes, </w:t>
      </w:r>
      <w:r w:rsidR="00D9008B">
        <w:rPr>
          <w:rFonts w:ascii="Arial" w:hAnsi="Arial" w:cs="Arial"/>
          <w:sz w:val="24"/>
          <w:szCs w:val="24"/>
        </w:rPr>
        <w:t>lo cual también la</w:t>
      </w:r>
      <w:r w:rsidR="00471816">
        <w:rPr>
          <w:rFonts w:ascii="Arial" w:hAnsi="Arial" w:cs="Arial"/>
          <w:sz w:val="24"/>
          <w:szCs w:val="24"/>
        </w:rPr>
        <w:t xml:space="preserve"> convierte en un referen</w:t>
      </w:r>
      <w:r w:rsidR="00D9008B">
        <w:rPr>
          <w:rFonts w:ascii="Arial" w:hAnsi="Arial" w:cs="Arial"/>
          <w:sz w:val="24"/>
          <w:szCs w:val="24"/>
        </w:rPr>
        <w:t>te obligado para esta audiencia, quien a través de esta radiodifusora mantiene un vínculo permanente con su terruño.</w:t>
      </w:r>
    </w:p>
    <w:p w14:paraId="2EC94098" w14:textId="2376F913" w:rsidR="003940F6" w:rsidRDefault="00E20CAE" w:rsidP="00194BEA">
      <w:pPr>
        <w:spacing w:line="360" w:lineRule="auto"/>
        <w:ind w:firstLine="360"/>
        <w:jc w:val="both"/>
        <w:rPr>
          <w:rFonts w:ascii="Arial" w:hAnsi="Arial" w:cs="Arial"/>
          <w:sz w:val="24"/>
          <w:szCs w:val="24"/>
        </w:rPr>
      </w:pPr>
      <w:r>
        <w:rPr>
          <w:rFonts w:ascii="Arial" w:hAnsi="Arial" w:cs="Arial"/>
          <w:sz w:val="24"/>
          <w:szCs w:val="24"/>
        </w:rPr>
        <w:t>E</w:t>
      </w:r>
      <w:r w:rsidR="00D9008B">
        <w:rPr>
          <w:rFonts w:ascii="Arial" w:hAnsi="Arial" w:cs="Arial"/>
          <w:sz w:val="24"/>
          <w:szCs w:val="24"/>
        </w:rPr>
        <w:t>l entorno político que enmarca a</w:t>
      </w:r>
      <w:r>
        <w:rPr>
          <w:rFonts w:ascii="Arial" w:hAnsi="Arial" w:cs="Arial"/>
          <w:sz w:val="24"/>
          <w:szCs w:val="24"/>
        </w:rPr>
        <w:t>l ejercicio periodístico de La Calentana Luvimex est</w:t>
      </w:r>
      <w:r w:rsidR="00742E84">
        <w:rPr>
          <w:rFonts w:ascii="Arial" w:hAnsi="Arial" w:cs="Arial"/>
          <w:sz w:val="24"/>
          <w:szCs w:val="24"/>
        </w:rPr>
        <w:t xml:space="preserve">á caracterizado principalmente por las autoridades municipales y estatales que tienen atribuciones en esta zona, quienes repiten los esquemas tradicionales de financiamiento hacia </w:t>
      </w:r>
      <w:r w:rsidR="007D050E">
        <w:rPr>
          <w:rFonts w:ascii="Arial" w:hAnsi="Arial" w:cs="Arial"/>
          <w:sz w:val="24"/>
          <w:szCs w:val="24"/>
        </w:rPr>
        <w:t xml:space="preserve">los </w:t>
      </w:r>
      <w:r w:rsidR="00742E84">
        <w:rPr>
          <w:rFonts w:ascii="Arial" w:hAnsi="Arial" w:cs="Arial"/>
          <w:sz w:val="24"/>
          <w:szCs w:val="24"/>
        </w:rPr>
        <w:t>medios de comunicaci</w:t>
      </w:r>
      <w:r w:rsidR="003940F6">
        <w:rPr>
          <w:rFonts w:ascii="Arial" w:hAnsi="Arial" w:cs="Arial"/>
          <w:sz w:val="24"/>
          <w:szCs w:val="24"/>
        </w:rPr>
        <w:t>ón, con el objetivo de tender hacia el denominado clientelismo medi</w:t>
      </w:r>
      <w:r w:rsidR="001E10A8">
        <w:rPr>
          <w:rFonts w:ascii="Arial" w:hAnsi="Arial" w:cs="Arial"/>
          <w:sz w:val="24"/>
          <w:szCs w:val="24"/>
        </w:rPr>
        <w:t>ático, pues como ocurre a nivel federal, en el Estado de México no existe</w:t>
      </w:r>
      <w:r w:rsidR="007D050E">
        <w:rPr>
          <w:rFonts w:ascii="Arial" w:hAnsi="Arial" w:cs="Arial"/>
          <w:sz w:val="24"/>
          <w:szCs w:val="24"/>
        </w:rPr>
        <w:t xml:space="preserve"> una normatividad que regule la asignación de publicidad oficial en medios de comunicación.</w:t>
      </w:r>
    </w:p>
    <w:p w14:paraId="2F98A615" w14:textId="16B4EC55" w:rsidR="00742E84" w:rsidRDefault="003940F6" w:rsidP="00194BEA">
      <w:pPr>
        <w:spacing w:line="360" w:lineRule="auto"/>
        <w:ind w:firstLine="360"/>
        <w:jc w:val="both"/>
        <w:rPr>
          <w:rFonts w:ascii="Arial" w:hAnsi="Arial" w:cs="Arial"/>
          <w:sz w:val="24"/>
          <w:szCs w:val="24"/>
        </w:rPr>
      </w:pPr>
      <w:r>
        <w:rPr>
          <w:rFonts w:ascii="Arial" w:hAnsi="Arial" w:cs="Arial"/>
          <w:sz w:val="24"/>
          <w:szCs w:val="24"/>
        </w:rPr>
        <w:t>Sin embargo, existe una prevención en materia de</w:t>
      </w:r>
      <w:r w:rsidR="007D050E">
        <w:rPr>
          <w:rFonts w:ascii="Arial" w:hAnsi="Arial" w:cs="Arial"/>
          <w:sz w:val="24"/>
          <w:szCs w:val="24"/>
        </w:rPr>
        <w:t>l</w:t>
      </w:r>
      <w:r>
        <w:rPr>
          <w:rFonts w:ascii="Arial" w:hAnsi="Arial" w:cs="Arial"/>
          <w:sz w:val="24"/>
          <w:szCs w:val="24"/>
        </w:rPr>
        <w:t xml:space="preserve"> ejercicio periodístico</w:t>
      </w:r>
      <w:r w:rsidR="007D050E">
        <w:rPr>
          <w:rFonts w:ascii="Arial" w:hAnsi="Arial" w:cs="Arial"/>
          <w:sz w:val="24"/>
          <w:szCs w:val="24"/>
        </w:rPr>
        <w:t>,</w:t>
      </w:r>
      <w:r>
        <w:rPr>
          <w:rFonts w:ascii="Arial" w:hAnsi="Arial" w:cs="Arial"/>
          <w:sz w:val="24"/>
          <w:szCs w:val="24"/>
        </w:rPr>
        <w:t xml:space="preserve"> respecto de la cobertura de actividades relacionadas</w:t>
      </w:r>
      <w:r w:rsidR="00A20825">
        <w:rPr>
          <w:rFonts w:ascii="Arial" w:hAnsi="Arial" w:cs="Arial"/>
          <w:sz w:val="24"/>
          <w:szCs w:val="24"/>
        </w:rPr>
        <w:t xml:space="preserve"> con el crimen org</w:t>
      </w:r>
      <w:r w:rsidR="000B1C59">
        <w:rPr>
          <w:rFonts w:ascii="Arial" w:hAnsi="Arial" w:cs="Arial"/>
          <w:sz w:val="24"/>
          <w:szCs w:val="24"/>
        </w:rPr>
        <w:t>anizado, como advierte el propio Benítez Mondragón</w:t>
      </w:r>
      <w:r w:rsidR="00A20825">
        <w:rPr>
          <w:rFonts w:ascii="Arial" w:hAnsi="Arial" w:cs="Arial"/>
          <w:sz w:val="24"/>
          <w:szCs w:val="24"/>
        </w:rPr>
        <w:t>.</w:t>
      </w:r>
    </w:p>
    <w:p w14:paraId="1615EF78" w14:textId="47441B6C" w:rsidR="000B1C59" w:rsidRDefault="00A20825" w:rsidP="00EB310F">
      <w:pPr>
        <w:spacing w:line="360" w:lineRule="auto"/>
        <w:ind w:left="708"/>
        <w:jc w:val="both"/>
        <w:rPr>
          <w:rFonts w:ascii="Arial" w:hAnsi="Arial" w:cs="Arial"/>
          <w:color w:val="000000" w:themeColor="text1"/>
          <w:sz w:val="24"/>
          <w:szCs w:val="24"/>
          <w:shd w:val="clear" w:color="auto" w:fill="FFFFFF"/>
        </w:rPr>
      </w:pPr>
      <w:r w:rsidRPr="00232C5E">
        <w:rPr>
          <w:rFonts w:ascii="Arial" w:hAnsi="Arial" w:cs="Arial"/>
          <w:color w:val="000000" w:themeColor="text1"/>
          <w:sz w:val="24"/>
          <w:szCs w:val="24"/>
          <w:shd w:val="clear" w:color="auto" w:fill="FFFFFF"/>
        </w:rPr>
        <w:t xml:space="preserve">No los menciono, esa es una autocensura, de que si yo tuviera la certeza lo diría, pero mira, no sólo está en juego mí vida. Yo ya estoy viviendo en Luvianos, tengo varios hijos, mi esposa, mis padres, aquí ya no lo haces por ti, lo haces por los que te rodean </w:t>
      </w:r>
      <w:r w:rsidR="0035327D">
        <w:rPr>
          <w:rFonts w:ascii="Arial" w:hAnsi="Arial" w:cs="Arial"/>
          <w:color w:val="000000" w:themeColor="text1"/>
          <w:sz w:val="24"/>
          <w:szCs w:val="24"/>
          <w:shd w:val="clear" w:color="auto" w:fill="FFFFFF"/>
        </w:rPr>
        <w:t>(Gómez, 2017, Métrica Digital</w:t>
      </w:r>
      <w:r w:rsidRPr="00232C5E">
        <w:rPr>
          <w:rFonts w:ascii="Arial" w:hAnsi="Arial" w:cs="Arial"/>
          <w:color w:val="000000" w:themeColor="text1"/>
          <w:sz w:val="24"/>
          <w:szCs w:val="24"/>
          <w:shd w:val="clear" w:color="auto" w:fill="FFFFFF"/>
        </w:rPr>
        <w:t>)</w:t>
      </w:r>
      <w:r w:rsidR="000B1C59">
        <w:rPr>
          <w:rFonts w:ascii="Arial" w:hAnsi="Arial" w:cs="Arial"/>
          <w:color w:val="000000" w:themeColor="text1"/>
          <w:sz w:val="24"/>
          <w:szCs w:val="24"/>
          <w:shd w:val="clear" w:color="auto" w:fill="FFFFFF"/>
        </w:rPr>
        <w:t xml:space="preserve"> </w:t>
      </w:r>
    </w:p>
    <w:p w14:paraId="1A1A4A95" w14:textId="5EE337D2" w:rsidR="00A77EF2" w:rsidRPr="001E10A8" w:rsidRDefault="000B1C59" w:rsidP="00194BEA">
      <w:pPr>
        <w:spacing w:line="360" w:lineRule="auto"/>
        <w:ind w:firstLine="708"/>
        <w:jc w:val="both"/>
        <w:rPr>
          <w:rFonts w:ascii="Arial" w:hAnsi="Arial" w:cs="Arial"/>
          <w:color w:val="000000" w:themeColor="text1"/>
          <w:sz w:val="24"/>
          <w:szCs w:val="24"/>
        </w:rPr>
      </w:pPr>
      <w:r>
        <w:rPr>
          <w:rFonts w:ascii="Arial" w:hAnsi="Arial" w:cs="Arial"/>
          <w:color w:val="000000" w:themeColor="text1"/>
          <w:sz w:val="24"/>
          <w:szCs w:val="24"/>
          <w:shd w:val="clear" w:color="auto" w:fill="FFFFFF"/>
        </w:rPr>
        <w:t xml:space="preserve">Otra narración del periodista </w:t>
      </w:r>
      <w:r>
        <w:rPr>
          <w:rFonts w:ascii="Arial" w:hAnsi="Arial" w:cs="Arial"/>
          <w:color w:val="333333"/>
          <w:sz w:val="24"/>
          <w:szCs w:val="24"/>
        </w:rPr>
        <w:t xml:space="preserve">Nevith Condés, </w:t>
      </w:r>
      <w:r w:rsidRPr="001E10A8">
        <w:rPr>
          <w:rFonts w:ascii="Arial" w:hAnsi="Arial" w:cs="Arial"/>
          <w:color w:val="000000" w:themeColor="text1"/>
          <w:sz w:val="24"/>
          <w:szCs w:val="24"/>
        </w:rPr>
        <w:t xml:space="preserve">quien fundó </w:t>
      </w:r>
      <w:r w:rsidRPr="001E10A8">
        <w:rPr>
          <w:rStyle w:val="nfasis"/>
          <w:rFonts w:ascii="Arial" w:hAnsi="Arial" w:cs="Arial"/>
          <w:color w:val="000000" w:themeColor="text1"/>
          <w:sz w:val="24"/>
          <w:szCs w:val="24"/>
        </w:rPr>
        <w:t>El Observatorio del Sur, </w:t>
      </w:r>
      <w:r w:rsidRPr="001E10A8">
        <w:rPr>
          <w:rFonts w:ascii="Arial" w:hAnsi="Arial" w:cs="Arial"/>
          <w:color w:val="000000" w:themeColor="text1"/>
          <w:sz w:val="24"/>
          <w:szCs w:val="24"/>
        </w:rPr>
        <w:t xml:space="preserve">un portal digital de Tejupilco, ilustra la relación entre </w:t>
      </w:r>
      <w:r w:rsidR="00A77EF2" w:rsidRPr="001E10A8">
        <w:rPr>
          <w:rFonts w:ascii="Arial" w:hAnsi="Arial" w:cs="Arial"/>
          <w:color w:val="000000" w:themeColor="text1"/>
          <w:sz w:val="24"/>
          <w:szCs w:val="24"/>
        </w:rPr>
        <w:t>los poderes públicos y fácticos que se in</w:t>
      </w:r>
      <w:r w:rsidR="007D050E">
        <w:rPr>
          <w:rFonts w:ascii="Arial" w:hAnsi="Arial" w:cs="Arial"/>
          <w:color w:val="000000" w:themeColor="text1"/>
          <w:sz w:val="24"/>
          <w:szCs w:val="24"/>
        </w:rPr>
        <w:t>terrelacionan con el periodismo:</w:t>
      </w:r>
    </w:p>
    <w:p w14:paraId="0D0AAB54" w14:textId="77777777" w:rsidR="00A77EF2" w:rsidRPr="002C2944" w:rsidRDefault="000B1C59" w:rsidP="00EB310F">
      <w:pPr>
        <w:spacing w:line="360" w:lineRule="auto"/>
        <w:ind w:left="708"/>
        <w:jc w:val="both"/>
        <w:rPr>
          <w:rFonts w:ascii="Arial" w:hAnsi="Arial" w:cs="Arial"/>
          <w:color w:val="000000" w:themeColor="text1"/>
          <w:sz w:val="24"/>
          <w:szCs w:val="24"/>
        </w:rPr>
      </w:pPr>
      <w:r w:rsidRPr="002C2944">
        <w:rPr>
          <w:rFonts w:ascii="Arial" w:hAnsi="Arial" w:cs="Arial"/>
          <w:color w:val="000000" w:themeColor="text1"/>
          <w:sz w:val="24"/>
          <w:szCs w:val="24"/>
        </w:rPr>
        <w:t>Aclara que optaron por no manejar noticias policíacas. Ya bastante deteriorada está la imagen de la zona calentana.</w:t>
      </w:r>
      <w:r w:rsidR="00A77EF2" w:rsidRPr="002C2944">
        <w:rPr>
          <w:rFonts w:ascii="Arial" w:hAnsi="Arial" w:cs="Arial"/>
          <w:color w:val="000000" w:themeColor="text1"/>
          <w:sz w:val="24"/>
          <w:szCs w:val="24"/>
        </w:rPr>
        <w:t xml:space="preserve"> </w:t>
      </w:r>
      <w:r w:rsidRPr="002C2944">
        <w:rPr>
          <w:rFonts w:ascii="Arial" w:hAnsi="Arial" w:cs="Arial"/>
          <w:color w:val="000000" w:themeColor="text1"/>
          <w:sz w:val="24"/>
          <w:szCs w:val="24"/>
        </w:rPr>
        <w:t>Su trabajo gusta. Incluso a “la gente”, a los “señores” de Tejupilco.</w:t>
      </w:r>
    </w:p>
    <w:p w14:paraId="0FD031AE" w14:textId="77777777" w:rsidR="00A77EF2" w:rsidRPr="002C2944" w:rsidRDefault="000B1C59" w:rsidP="00EB310F">
      <w:pPr>
        <w:spacing w:line="360" w:lineRule="auto"/>
        <w:ind w:left="708"/>
        <w:jc w:val="both"/>
        <w:rPr>
          <w:rFonts w:ascii="Arial" w:hAnsi="Arial" w:cs="Arial"/>
          <w:color w:val="000000" w:themeColor="text1"/>
          <w:sz w:val="24"/>
          <w:szCs w:val="24"/>
        </w:rPr>
      </w:pPr>
      <w:r w:rsidRPr="002C2944">
        <w:rPr>
          <w:rFonts w:ascii="Arial" w:hAnsi="Arial" w:cs="Arial"/>
          <w:color w:val="000000" w:themeColor="text1"/>
          <w:sz w:val="24"/>
          <w:szCs w:val="24"/>
        </w:rPr>
        <w:t>“De hecho con la mañosa, la maña, la mañana, un chingo de nombres que les ponen aquí, con esos güeyes quién sabe qué tenga brother, pero hasta me defienden, neta”, dice.</w:t>
      </w:r>
    </w:p>
    <w:p w14:paraId="27564C22" w14:textId="77777777" w:rsidR="00A77EF2" w:rsidRPr="002C2944" w:rsidRDefault="000B1C59" w:rsidP="00EB310F">
      <w:pPr>
        <w:spacing w:line="360" w:lineRule="auto"/>
        <w:ind w:left="708"/>
        <w:jc w:val="both"/>
        <w:rPr>
          <w:rFonts w:ascii="Arial" w:hAnsi="Arial" w:cs="Arial"/>
          <w:color w:val="000000" w:themeColor="text1"/>
          <w:sz w:val="24"/>
          <w:szCs w:val="24"/>
        </w:rPr>
      </w:pPr>
      <w:r w:rsidRPr="002C2944">
        <w:rPr>
          <w:rFonts w:ascii="Arial" w:hAnsi="Arial" w:cs="Arial"/>
          <w:color w:val="000000" w:themeColor="text1"/>
          <w:sz w:val="24"/>
          <w:szCs w:val="24"/>
        </w:rPr>
        <w:t>Hace unos días Nevith se entera que el Secretario estatal de Salud, Gabriel O´Shea, está en el Hospital de Tejupilco. Lugareños denuncian el desabasto de medicamentos, no hay ni paracetamol.</w:t>
      </w:r>
      <w:r w:rsidR="00A77EF2" w:rsidRPr="002C2944">
        <w:rPr>
          <w:rFonts w:ascii="Arial" w:hAnsi="Arial" w:cs="Arial"/>
          <w:color w:val="000000" w:themeColor="text1"/>
          <w:sz w:val="24"/>
          <w:szCs w:val="24"/>
        </w:rPr>
        <w:t xml:space="preserve"> </w:t>
      </w:r>
      <w:r w:rsidRPr="002C2944">
        <w:rPr>
          <w:rFonts w:ascii="Arial" w:hAnsi="Arial" w:cs="Arial"/>
          <w:color w:val="000000" w:themeColor="text1"/>
          <w:sz w:val="24"/>
          <w:szCs w:val="24"/>
        </w:rPr>
        <w:t>El periodista arriba con cámara y listo para una transmisión en Facebook. Sólo llega hasta la reja. Le impiden el paso mientras el funcionario, acompañado del diputado local del PRI, Anthony Domínguez, opta por otra salida.</w:t>
      </w:r>
    </w:p>
    <w:p w14:paraId="521ED692" w14:textId="16E2B5C7" w:rsidR="00A77EF2" w:rsidRPr="002C2944" w:rsidRDefault="00A77EF2" w:rsidP="00A77EF2">
      <w:pPr>
        <w:spacing w:line="360" w:lineRule="auto"/>
        <w:jc w:val="both"/>
        <w:rPr>
          <w:rFonts w:ascii="Arial" w:hAnsi="Arial" w:cs="Arial"/>
          <w:color w:val="000000" w:themeColor="text1"/>
          <w:sz w:val="24"/>
          <w:szCs w:val="24"/>
        </w:rPr>
      </w:pPr>
      <w:r w:rsidRPr="002C2944">
        <w:rPr>
          <w:rFonts w:ascii="Arial" w:hAnsi="Arial" w:cs="Arial"/>
          <w:color w:val="000000" w:themeColor="text1"/>
          <w:sz w:val="24"/>
          <w:szCs w:val="24"/>
        </w:rPr>
        <w:t xml:space="preserve"> </w:t>
      </w:r>
      <w:r w:rsidR="00EB310F" w:rsidRPr="002C2944">
        <w:rPr>
          <w:rFonts w:ascii="Arial" w:hAnsi="Arial" w:cs="Arial"/>
          <w:color w:val="000000" w:themeColor="text1"/>
          <w:sz w:val="24"/>
          <w:szCs w:val="24"/>
        </w:rPr>
        <w:tab/>
      </w:r>
      <w:r w:rsidR="000B1C59" w:rsidRPr="002C2944">
        <w:rPr>
          <w:rFonts w:ascii="Arial" w:hAnsi="Arial" w:cs="Arial"/>
          <w:color w:val="000000" w:themeColor="text1"/>
          <w:sz w:val="24"/>
          <w:szCs w:val="24"/>
        </w:rPr>
        <w:t>Esa noche Nevith recibe una llamada telefónica.</w:t>
      </w:r>
    </w:p>
    <w:p w14:paraId="041E3034" w14:textId="77777777" w:rsidR="00A77EF2" w:rsidRPr="002C2944" w:rsidRDefault="000B1C59" w:rsidP="00EB310F">
      <w:pPr>
        <w:spacing w:line="360" w:lineRule="auto"/>
        <w:ind w:firstLine="708"/>
        <w:jc w:val="both"/>
        <w:rPr>
          <w:rFonts w:ascii="Arial" w:hAnsi="Arial" w:cs="Arial"/>
          <w:color w:val="000000" w:themeColor="text1"/>
          <w:sz w:val="24"/>
          <w:szCs w:val="24"/>
        </w:rPr>
      </w:pPr>
      <w:r w:rsidRPr="002C2944">
        <w:rPr>
          <w:rFonts w:ascii="Arial" w:hAnsi="Arial" w:cs="Arial"/>
          <w:color w:val="000000" w:themeColor="text1"/>
          <w:sz w:val="24"/>
          <w:szCs w:val="24"/>
        </w:rPr>
        <w:t>“Oye cabrón, no mames”.</w:t>
      </w:r>
    </w:p>
    <w:p w14:paraId="50FB02F5" w14:textId="77777777" w:rsidR="00A77EF2" w:rsidRPr="002C2944" w:rsidRDefault="000B1C59" w:rsidP="00EB310F">
      <w:pPr>
        <w:spacing w:line="360" w:lineRule="auto"/>
        <w:ind w:firstLine="708"/>
        <w:jc w:val="both"/>
        <w:rPr>
          <w:rFonts w:ascii="Arial" w:hAnsi="Arial" w:cs="Arial"/>
          <w:color w:val="000000" w:themeColor="text1"/>
          <w:sz w:val="24"/>
          <w:szCs w:val="24"/>
        </w:rPr>
      </w:pPr>
      <w:r w:rsidRPr="002C2944">
        <w:rPr>
          <w:rFonts w:ascii="Arial" w:hAnsi="Arial" w:cs="Arial"/>
          <w:color w:val="000000" w:themeColor="text1"/>
          <w:sz w:val="24"/>
          <w:szCs w:val="24"/>
        </w:rPr>
        <w:t>“¿Qué paso, quién habla?”, contesta el periodista.</w:t>
      </w:r>
    </w:p>
    <w:p w14:paraId="723B5907" w14:textId="77777777" w:rsidR="00A77EF2" w:rsidRPr="002C2944" w:rsidRDefault="000B1C59" w:rsidP="00EB310F">
      <w:pPr>
        <w:spacing w:line="360" w:lineRule="auto"/>
        <w:ind w:left="708"/>
        <w:jc w:val="both"/>
        <w:rPr>
          <w:rFonts w:ascii="Arial" w:hAnsi="Arial" w:cs="Arial"/>
          <w:color w:val="000000" w:themeColor="text1"/>
          <w:sz w:val="24"/>
          <w:szCs w:val="24"/>
        </w:rPr>
      </w:pPr>
      <w:r w:rsidRPr="002C2944">
        <w:rPr>
          <w:rFonts w:ascii="Arial" w:hAnsi="Arial" w:cs="Arial"/>
          <w:color w:val="000000" w:themeColor="text1"/>
          <w:sz w:val="24"/>
          <w:szCs w:val="24"/>
        </w:rPr>
        <w:t>“No, pues ya sabes compa, la gente, pues quién más va a hablar, dice el jefe que te sacaste un diez güey.</w:t>
      </w:r>
      <w:r w:rsidR="00A77EF2" w:rsidRPr="002C2944">
        <w:rPr>
          <w:rFonts w:ascii="Arial" w:hAnsi="Arial" w:cs="Arial"/>
          <w:color w:val="000000" w:themeColor="text1"/>
          <w:sz w:val="24"/>
          <w:szCs w:val="24"/>
        </w:rPr>
        <w:t xml:space="preserve"> </w:t>
      </w:r>
      <w:r w:rsidRPr="002C2944">
        <w:rPr>
          <w:rFonts w:ascii="Arial" w:hAnsi="Arial" w:cs="Arial"/>
          <w:color w:val="000000" w:themeColor="text1"/>
          <w:sz w:val="24"/>
          <w:szCs w:val="24"/>
        </w:rPr>
        <w:t>A nosotros también nos conviene, al rato que no haya ni vendas, ni nada, con qué nos van a tapar el hoyo”, dice la persona del otro lado de la línea telefónica.</w:t>
      </w:r>
    </w:p>
    <w:p w14:paraId="60F3DC0B" w14:textId="77777777" w:rsidR="00A77EF2" w:rsidRPr="002C2944" w:rsidRDefault="000B1C59" w:rsidP="00EB310F">
      <w:pPr>
        <w:spacing w:line="360" w:lineRule="auto"/>
        <w:ind w:firstLine="708"/>
        <w:jc w:val="both"/>
        <w:rPr>
          <w:rFonts w:ascii="Arial" w:hAnsi="Arial" w:cs="Arial"/>
          <w:color w:val="000000" w:themeColor="text1"/>
          <w:sz w:val="24"/>
          <w:szCs w:val="24"/>
        </w:rPr>
      </w:pPr>
      <w:r w:rsidRPr="002C2944">
        <w:rPr>
          <w:rFonts w:ascii="Arial" w:hAnsi="Arial" w:cs="Arial"/>
          <w:color w:val="000000" w:themeColor="text1"/>
          <w:sz w:val="24"/>
          <w:szCs w:val="24"/>
        </w:rPr>
        <w:t>“¿No hay pedo?”, insiste Nevith.</w:t>
      </w:r>
    </w:p>
    <w:p w14:paraId="571C255B" w14:textId="31262ECC" w:rsidR="00A77EF2" w:rsidRPr="002C2944" w:rsidRDefault="000B1C59" w:rsidP="00EB310F">
      <w:pPr>
        <w:spacing w:line="360" w:lineRule="auto"/>
        <w:ind w:left="708"/>
        <w:jc w:val="both"/>
        <w:rPr>
          <w:rFonts w:ascii="Arial" w:hAnsi="Arial" w:cs="Arial"/>
          <w:color w:val="000000" w:themeColor="text1"/>
          <w:sz w:val="24"/>
          <w:szCs w:val="24"/>
        </w:rPr>
      </w:pPr>
      <w:r w:rsidRPr="002C2944">
        <w:rPr>
          <w:rFonts w:ascii="Arial" w:hAnsi="Arial" w:cs="Arial"/>
          <w:color w:val="000000" w:themeColor="text1"/>
          <w:sz w:val="24"/>
          <w:szCs w:val="24"/>
        </w:rPr>
        <w:t>“Dice el patrón que le eches ganas y cualquier cosita que te digan, ya sabes güey”, insiste la anónima voz.</w:t>
      </w:r>
    </w:p>
    <w:p w14:paraId="70BE4D38" w14:textId="15D8233B" w:rsidR="000B1C59" w:rsidRPr="002C2944" w:rsidRDefault="000B1C59" w:rsidP="00EB310F">
      <w:pPr>
        <w:spacing w:line="360" w:lineRule="auto"/>
        <w:ind w:left="708"/>
        <w:jc w:val="both"/>
        <w:rPr>
          <w:rFonts w:ascii="Arial" w:hAnsi="Arial" w:cs="Arial"/>
          <w:color w:val="000000" w:themeColor="text1"/>
          <w:sz w:val="24"/>
          <w:szCs w:val="24"/>
        </w:rPr>
      </w:pPr>
      <w:r w:rsidRPr="002C2944">
        <w:rPr>
          <w:rFonts w:ascii="Arial" w:hAnsi="Arial" w:cs="Arial"/>
          <w:color w:val="000000" w:themeColor="text1"/>
          <w:sz w:val="24"/>
          <w:szCs w:val="24"/>
        </w:rPr>
        <w:t>El periodista no se confía</w:t>
      </w:r>
      <w:r w:rsidRPr="002C2944">
        <w:rPr>
          <w:rFonts w:ascii="Arial" w:hAnsi="Arial" w:cs="Arial"/>
          <w:b/>
          <w:color w:val="000000" w:themeColor="text1"/>
          <w:sz w:val="24"/>
          <w:szCs w:val="24"/>
        </w:rPr>
        <w:t>, </w:t>
      </w:r>
      <w:r w:rsidRPr="002C2944">
        <w:rPr>
          <w:rStyle w:val="Textoennegrita"/>
          <w:rFonts w:ascii="Arial" w:hAnsi="Arial" w:cs="Arial"/>
          <w:b w:val="0"/>
          <w:color w:val="000000" w:themeColor="text1"/>
          <w:sz w:val="24"/>
          <w:szCs w:val="24"/>
        </w:rPr>
        <w:t>sabe que en esos asuntos manda el dinero</w:t>
      </w:r>
      <w:r w:rsidRPr="002C2944">
        <w:rPr>
          <w:rFonts w:ascii="Arial" w:hAnsi="Arial" w:cs="Arial"/>
          <w:color w:val="000000" w:themeColor="text1"/>
          <w:sz w:val="24"/>
          <w:szCs w:val="24"/>
        </w:rPr>
        <w:t>.</w:t>
      </w:r>
      <w:r w:rsidR="00A77EF2" w:rsidRPr="002C2944">
        <w:rPr>
          <w:rFonts w:ascii="Arial" w:hAnsi="Arial" w:cs="Arial"/>
          <w:color w:val="000000" w:themeColor="text1"/>
          <w:sz w:val="24"/>
          <w:szCs w:val="24"/>
        </w:rPr>
        <w:t xml:space="preserve"> </w:t>
      </w:r>
      <w:r w:rsidRPr="002C2944">
        <w:rPr>
          <w:rFonts w:ascii="Arial" w:hAnsi="Arial" w:cs="Arial"/>
          <w:color w:val="000000" w:themeColor="text1"/>
          <w:sz w:val="24"/>
          <w:szCs w:val="24"/>
        </w:rPr>
        <w:t>“No te hablo de ellos como un ferviente admirador, y que gracias a ellos estamos bien, te hablo como es”.</w:t>
      </w:r>
      <w:r w:rsidR="00A77EF2" w:rsidRPr="002C2944">
        <w:rPr>
          <w:rFonts w:ascii="Arial" w:hAnsi="Arial" w:cs="Arial"/>
          <w:color w:val="000000" w:themeColor="text1"/>
          <w:sz w:val="24"/>
          <w:szCs w:val="24"/>
        </w:rPr>
        <w:t xml:space="preserve"> </w:t>
      </w:r>
      <w:r w:rsidRPr="002C2944">
        <w:rPr>
          <w:rFonts w:ascii="Arial" w:hAnsi="Arial" w:cs="Arial"/>
          <w:color w:val="000000" w:themeColor="text1"/>
          <w:sz w:val="24"/>
          <w:szCs w:val="24"/>
        </w:rPr>
        <w:t>Sus temas no son el crimen organizado.</w:t>
      </w:r>
      <w:r w:rsidR="00A77EF2" w:rsidRPr="002C2944">
        <w:rPr>
          <w:rFonts w:ascii="Arial" w:hAnsi="Arial" w:cs="Arial"/>
          <w:color w:val="000000" w:themeColor="text1"/>
          <w:sz w:val="24"/>
          <w:szCs w:val="24"/>
        </w:rPr>
        <w:t xml:space="preserve"> </w:t>
      </w:r>
      <w:r w:rsidRPr="002C2944">
        <w:rPr>
          <w:rFonts w:ascii="Arial" w:hAnsi="Arial" w:cs="Arial"/>
          <w:color w:val="000000" w:themeColor="text1"/>
          <w:sz w:val="24"/>
          <w:szCs w:val="24"/>
        </w:rPr>
        <w:t>“Los evito, el que busca, encuentra”.</w:t>
      </w:r>
      <w:r w:rsidR="0035327D">
        <w:rPr>
          <w:rFonts w:ascii="Arial" w:hAnsi="Arial" w:cs="Arial"/>
          <w:color w:val="000000" w:themeColor="text1"/>
          <w:sz w:val="24"/>
          <w:szCs w:val="24"/>
        </w:rPr>
        <w:t xml:space="preserve"> (Gómez, 2017, Métrica Digital</w:t>
      </w:r>
      <w:r w:rsidR="00A77EF2" w:rsidRPr="002C2944">
        <w:rPr>
          <w:rFonts w:ascii="Arial" w:hAnsi="Arial" w:cs="Arial"/>
          <w:color w:val="000000" w:themeColor="text1"/>
          <w:sz w:val="24"/>
          <w:szCs w:val="24"/>
        </w:rPr>
        <w:t>)</w:t>
      </w:r>
    </w:p>
    <w:p w14:paraId="78F85C1B" w14:textId="49394F37" w:rsidR="000B1C59" w:rsidRPr="000B1C59" w:rsidRDefault="00D4268C" w:rsidP="00194BEA">
      <w:pPr>
        <w:spacing w:line="360" w:lineRule="auto"/>
        <w:ind w:firstLine="360"/>
        <w:jc w:val="both"/>
        <w:rPr>
          <w:rFonts w:ascii="Arial" w:hAnsi="Arial" w:cs="Arial"/>
          <w:bCs/>
          <w:color w:val="000000" w:themeColor="text1"/>
          <w:sz w:val="24"/>
          <w:szCs w:val="24"/>
          <w:lang w:val="es-ES"/>
        </w:rPr>
      </w:pPr>
      <w:r w:rsidRPr="002C2944">
        <w:rPr>
          <w:rFonts w:ascii="Arial" w:hAnsi="Arial" w:cs="Arial"/>
          <w:bCs/>
          <w:color w:val="000000" w:themeColor="text1"/>
          <w:sz w:val="24"/>
          <w:szCs w:val="24"/>
          <w:lang w:val="es-ES"/>
        </w:rPr>
        <w:t xml:space="preserve">Dicho entorno puede argumentarse que no es distinto </w:t>
      </w:r>
      <w:r w:rsidR="003F54CC" w:rsidRPr="002C2944">
        <w:rPr>
          <w:rFonts w:ascii="Arial" w:hAnsi="Arial" w:cs="Arial"/>
          <w:bCs/>
          <w:color w:val="000000" w:themeColor="text1"/>
          <w:sz w:val="24"/>
          <w:szCs w:val="24"/>
          <w:lang w:val="es-ES"/>
        </w:rPr>
        <w:t>al de otras zonas del país, donde el crimen organizado y la voluntaria o involuntaria debilidad del poder público inhibe la actividad periodística, sin embargo, en el caso de esta zona</w:t>
      </w:r>
      <w:r w:rsidR="002E3B47" w:rsidRPr="002C2944">
        <w:rPr>
          <w:rFonts w:ascii="Arial" w:hAnsi="Arial" w:cs="Arial"/>
          <w:bCs/>
          <w:color w:val="000000" w:themeColor="text1"/>
          <w:sz w:val="24"/>
          <w:szCs w:val="24"/>
          <w:lang w:val="es-ES"/>
        </w:rPr>
        <w:t xml:space="preserve"> se advierte un mayor peligro por la lejanía geográfica y la proximidad de los distintos poderes</w:t>
      </w:r>
      <w:r w:rsidR="002C2944">
        <w:rPr>
          <w:rFonts w:ascii="Arial" w:hAnsi="Arial" w:cs="Arial"/>
          <w:bCs/>
          <w:color w:val="000000" w:themeColor="text1"/>
          <w:sz w:val="24"/>
          <w:szCs w:val="24"/>
          <w:lang w:val="es-ES"/>
        </w:rPr>
        <w:t xml:space="preserve"> fácticos</w:t>
      </w:r>
      <w:r w:rsidR="002E3B47" w:rsidRPr="002C2944">
        <w:rPr>
          <w:rFonts w:ascii="Arial" w:hAnsi="Arial" w:cs="Arial"/>
          <w:bCs/>
          <w:color w:val="000000" w:themeColor="text1"/>
          <w:sz w:val="24"/>
          <w:szCs w:val="24"/>
          <w:lang w:val="es-ES"/>
        </w:rPr>
        <w:t xml:space="preserve"> que confluyen, adicional a la corrupción institucional que el pr</w:t>
      </w:r>
      <w:r w:rsidR="00194BEA">
        <w:rPr>
          <w:rFonts w:ascii="Arial" w:hAnsi="Arial" w:cs="Arial"/>
          <w:bCs/>
          <w:color w:val="000000" w:themeColor="text1"/>
          <w:sz w:val="24"/>
          <w:szCs w:val="24"/>
          <w:lang w:val="es-ES"/>
        </w:rPr>
        <w:t xml:space="preserve">opio Benítez Mondragón percibe: </w:t>
      </w:r>
      <w:r w:rsidR="00194BEA">
        <w:rPr>
          <w:rFonts w:ascii="Arial" w:hAnsi="Arial" w:cs="Arial"/>
          <w:color w:val="000000" w:themeColor="text1"/>
          <w:sz w:val="24"/>
          <w:szCs w:val="24"/>
          <w:shd w:val="clear" w:color="auto" w:fill="FFFFFF"/>
        </w:rPr>
        <w:t>“n</w:t>
      </w:r>
      <w:r w:rsidR="002E3B47" w:rsidRPr="002C2944">
        <w:rPr>
          <w:rFonts w:ascii="Arial" w:hAnsi="Arial" w:cs="Arial"/>
          <w:color w:val="000000" w:themeColor="text1"/>
          <w:sz w:val="24"/>
          <w:szCs w:val="24"/>
          <w:shd w:val="clear" w:color="auto" w:fill="FFFFFF"/>
        </w:rPr>
        <w:t>o le tengo miedo al crimen organizado, le tengo miedo al desgraciado gobierno”</w:t>
      </w:r>
      <w:r w:rsidR="00194BEA">
        <w:rPr>
          <w:rFonts w:ascii="Arial" w:hAnsi="Arial" w:cs="Arial"/>
          <w:color w:val="000000" w:themeColor="text1"/>
          <w:sz w:val="24"/>
          <w:szCs w:val="24"/>
          <w:shd w:val="clear" w:color="auto" w:fill="FFFFFF"/>
        </w:rPr>
        <w:t>.</w:t>
      </w:r>
      <w:r w:rsidR="00194BEA">
        <w:rPr>
          <w:rStyle w:val="Refdenotaalpie"/>
          <w:rFonts w:ascii="Arial" w:hAnsi="Arial" w:cs="Arial"/>
          <w:color w:val="000000" w:themeColor="text1"/>
          <w:sz w:val="24"/>
          <w:szCs w:val="24"/>
          <w:shd w:val="clear" w:color="auto" w:fill="FFFFFF"/>
        </w:rPr>
        <w:footnoteReference w:id="46"/>
      </w:r>
    </w:p>
    <w:p w14:paraId="7ED0BD65" w14:textId="77777777" w:rsidR="000D7076" w:rsidRPr="000D7076" w:rsidRDefault="000D7076" w:rsidP="000D7076">
      <w:pPr>
        <w:pStyle w:val="Textoindependiente"/>
      </w:pPr>
    </w:p>
    <w:p w14:paraId="5DCED010" w14:textId="1D541296" w:rsidR="00687577" w:rsidRDefault="00194BEA" w:rsidP="00194BEA">
      <w:pPr>
        <w:pStyle w:val="Ttulo2"/>
        <w:numPr>
          <w:ilvl w:val="0"/>
          <w:numId w:val="0"/>
        </w:numPr>
        <w:ind w:left="360"/>
        <w:rPr>
          <w:rFonts w:ascii="Arial" w:hAnsi="Arial" w:cs="Arial"/>
          <w:b/>
          <w:color w:val="00000A"/>
          <w:sz w:val="24"/>
        </w:rPr>
      </w:pPr>
      <w:r>
        <w:rPr>
          <w:rFonts w:ascii="Arial" w:hAnsi="Arial" w:cs="Arial"/>
          <w:b/>
          <w:color w:val="00000A"/>
          <w:sz w:val="24"/>
        </w:rPr>
        <w:t xml:space="preserve">IV.b) </w:t>
      </w:r>
      <w:r w:rsidR="00687577">
        <w:rPr>
          <w:rFonts w:ascii="Arial" w:hAnsi="Arial" w:cs="Arial"/>
          <w:b/>
          <w:color w:val="00000A"/>
          <w:sz w:val="24"/>
        </w:rPr>
        <w:t>Protección que le brinda el Mecanismo de Protección a Indalecio Benítez</w:t>
      </w:r>
      <w:bookmarkEnd w:id="48"/>
    </w:p>
    <w:p w14:paraId="1DEAEF64" w14:textId="1B84D0C0" w:rsidR="001D7B29" w:rsidRDefault="001D7B29" w:rsidP="00194BEA">
      <w:pPr>
        <w:pStyle w:val="Ttulo2"/>
        <w:numPr>
          <w:ilvl w:val="0"/>
          <w:numId w:val="0"/>
        </w:numPr>
        <w:spacing w:line="254" w:lineRule="auto"/>
        <w:ind w:left="720"/>
      </w:pPr>
    </w:p>
    <w:p w14:paraId="744F247D" w14:textId="531B379C" w:rsidR="001D7B29" w:rsidRDefault="001D7B29" w:rsidP="00194BEA">
      <w:pPr>
        <w:pStyle w:val="Textoindependiente"/>
        <w:spacing w:line="360" w:lineRule="auto"/>
        <w:ind w:firstLine="360"/>
        <w:jc w:val="both"/>
        <w:rPr>
          <w:rFonts w:ascii="Arial" w:eastAsia="Times New Roman" w:hAnsi="Arial" w:cs="Arial"/>
          <w:color w:val="000000"/>
          <w:sz w:val="24"/>
          <w:szCs w:val="24"/>
        </w:rPr>
      </w:pPr>
      <w:r>
        <w:rPr>
          <w:rFonts w:ascii="Arial" w:hAnsi="Arial" w:cs="Arial"/>
          <w:sz w:val="24"/>
          <w:szCs w:val="24"/>
        </w:rPr>
        <w:t xml:space="preserve">A partir de la agresión ocurrida el 2 de agosto de 2014, el periodista Indalecio Benítez Mondragón entró al </w:t>
      </w:r>
      <w:r w:rsidR="00194BEA">
        <w:rPr>
          <w:rFonts w:ascii="Arial" w:eastAsia="Times New Roman" w:hAnsi="Arial" w:cs="Arial"/>
          <w:color w:val="000000"/>
          <w:sz w:val="24"/>
          <w:szCs w:val="24"/>
        </w:rPr>
        <w:t xml:space="preserve">MPPDDHP, el cual le otorgó </w:t>
      </w:r>
      <w:r>
        <w:rPr>
          <w:rFonts w:ascii="Arial" w:eastAsia="Times New Roman" w:hAnsi="Arial" w:cs="Arial"/>
          <w:color w:val="000000"/>
          <w:sz w:val="24"/>
          <w:szCs w:val="24"/>
        </w:rPr>
        <w:t>las medidas de protección urgente</w:t>
      </w:r>
      <w:r w:rsidR="00194BEA">
        <w:rPr>
          <w:rFonts w:ascii="Arial" w:eastAsia="Times New Roman" w:hAnsi="Arial" w:cs="Arial"/>
          <w:color w:val="000000"/>
          <w:sz w:val="24"/>
          <w:szCs w:val="24"/>
        </w:rPr>
        <w:t>s</w:t>
      </w:r>
      <w:r>
        <w:rPr>
          <w:rFonts w:ascii="Arial" w:eastAsia="Times New Roman" w:hAnsi="Arial" w:cs="Arial"/>
          <w:color w:val="000000"/>
          <w:sz w:val="24"/>
          <w:szCs w:val="24"/>
        </w:rPr>
        <w:t xml:space="preserve"> que consistieron en la evacuación del sitio de riesgo, así como las posteriores medidas</w:t>
      </w:r>
      <w:r w:rsidR="00194BEA">
        <w:rPr>
          <w:rFonts w:ascii="Arial" w:eastAsia="Times New Roman" w:hAnsi="Arial" w:cs="Arial"/>
          <w:color w:val="000000"/>
          <w:sz w:val="24"/>
          <w:szCs w:val="24"/>
        </w:rPr>
        <w:t xml:space="preserve"> </w:t>
      </w:r>
      <w:r>
        <w:rPr>
          <w:rFonts w:ascii="Arial" w:eastAsia="Times New Roman" w:hAnsi="Arial" w:cs="Arial"/>
          <w:color w:val="000000"/>
          <w:sz w:val="24"/>
          <w:szCs w:val="24"/>
        </w:rPr>
        <w:t>de protección que consisten en colocación de video cámaras de vigilancia en las instalaciones de la radiodifusora comunitaria y el monitoreo permanente de sus actividades.</w:t>
      </w:r>
    </w:p>
    <w:p w14:paraId="1B37B40B" w14:textId="77777777" w:rsidR="001D7B29" w:rsidRDefault="001D7B29" w:rsidP="002D2C95">
      <w:pPr>
        <w:pStyle w:val="Textoindependiente"/>
        <w:spacing w:line="360" w:lineRule="auto"/>
        <w:ind w:firstLine="360"/>
        <w:jc w:val="both"/>
        <w:rPr>
          <w:rFonts w:ascii="Arial" w:eastAsia="Times New Roman" w:hAnsi="Arial" w:cs="Arial"/>
          <w:color w:val="000000"/>
          <w:sz w:val="24"/>
          <w:szCs w:val="24"/>
        </w:rPr>
      </w:pPr>
      <w:r>
        <w:rPr>
          <w:rFonts w:ascii="Arial" w:eastAsia="Times New Roman" w:hAnsi="Arial" w:cs="Arial"/>
          <w:color w:val="000000"/>
          <w:sz w:val="24"/>
          <w:szCs w:val="24"/>
        </w:rPr>
        <w:t>De acuerdo con las disposiciones del MPPDDHP existen medidas urgentes de protección para que consisten en la evacuación, reubicación temporal y protección de inmuebles, las cuales aplicaron para el caso de Indalecio Benítez.</w:t>
      </w:r>
    </w:p>
    <w:p w14:paraId="4302BB60" w14:textId="77777777" w:rsidR="001D7B29" w:rsidRDefault="001D7B29" w:rsidP="002D2C95">
      <w:pPr>
        <w:pStyle w:val="Textoindependiente"/>
        <w:spacing w:line="360" w:lineRule="auto"/>
        <w:ind w:firstLine="360"/>
        <w:jc w:val="both"/>
        <w:rPr>
          <w:rFonts w:ascii="Arial" w:eastAsia="Times New Roman" w:hAnsi="Arial" w:cs="Arial"/>
          <w:color w:val="000000"/>
          <w:sz w:val="24"/>
          <w:szCs w:val="24"/>
        </w:rPr>
      </w:pPr>
      <w:r>
        <w:rPr>
          <w:rFonts w:ascii="Arial" w:eastAsia="Times New Roman" w:hAnsi="Arial" w:cs="Arial"/>
          <w:color w:val="000000"/>
          <w:sz w:val="24"/>
          <w:szCs w:val="24"/>
        </w:rPr>
        <w:t>También se instrumentaron medidas de protección como la entrega de equipo celular, radio o telefonía satelital e instalación de cámaras en la vivienda de este periodista, sitio donde también están las instalaciones de su radiodifusora.</w:t>
      </w:r>
    </w:p>
    <w:p w14:paraId="5ADB2040" w14:textId="77777777" w:rsidR="001D7B29" w:rsidRDefault="001D7B29" w:rsidP="002D2C95">
      <w:pPr>
        <w:pStyle w:val="Textoindependiente"/>
        <w:spacing w:line="360" w:lineRule="auto"/>
        <w:ind w:firstLine="360"/>
        <w:jc w:val="both"/>
        <w:rPr>
          <w:rFonts w:ascii="Arial" w:eastAsia="Times New Roman" w:hAnsi="Arial" w:cs="Arial"/>
          <w:color w:val="000000"/>
          <w:sz w:val="24"/>
          <w:szCs w:val="24"/>
        </w:rPr>
      </w:pPr>
      <w:r>
        <w:rPr>
          <w:rFonts w:ascii="Arial" w:eastAsia="Times New Roman" w:hAnsi="Arial" w:cs="Arial"/>
          <w:color w:val="000000"/>
          <w:sz w:val="24"/>
          <w:szCs w:val="24"/>
        </w:rPr>
        <w:t>El MPPDDHP también plantea que los gobiernos federal y estatal deberán instrumentar medidas de prevención, además de recopilar información para evitar futuras agresiones.</w:t>
      </w:r>
    </w:p>
    <w:p w14:paraId="237110F1" w14:textId="77777777" w:rsidR="001D7B29" w:rsidRDefault="001D7B29" w:rsidP="002D2C95">
      <w:pPr>
        <w:pStyle w:val="Prrafodelista10"/>
        <w:spacing w:before="240" w:after="200" w:line="360" w:lineRule="auto"/>
        <w:ind w:left="0" w:firstLine="360"/>
        <w:jc w:val="both"/>
        <w:rPr>
          <w:rFonts w:ascii="Arial" w:hAnsi="Arial" w:cs="Arial"/>
          <w:sz w:val="25"/>
          <w:szCs w:val="25"/>
        </w:rPr>
      </w:pPr>
      <w:r>
        <w:rPr>
          <w:rFonts w:ascii="Arial" w:eastAsia="Times New Roman" w:hAnsi="Arial" w:cs="Arial"/>
          <w:color w:val="000000"/>
          <w:sz w:val="24"/>
          <w:szCs w:val="24"/>
        </w:rPr>
        <w:t>Sin embargo, en el caso de Indalecio Benítez la protección no fue inmediata, pues en un principio se dudó que la agresión en contra de su familia y él haya sido producto de su actividad periodística.</w:t>
      </w:r>
    </w:p>
    <w:p w14:paraId="3694E5AA" w14:textId="77777777" w:rsidR="009456AC" w:rsidRDefault="001D7B29" w:rsidP="009456AC">
      <w:pPr>
        <w:shd w:val="clear" w:color="auto" w:fill="FFFFFF"/>
        <w:spacing w:before="240" w:line="360" w:lineRule="auto"/>
        <w:ind w:left="708"/>
        <w:jc w:val="both"/>
        <w:rPr>
          <w:rFonts w:ascii="Arial" w:hAnsi="Arial" w:cs="Arial"/>
          <w:sz w:val="25"/>
          <w:szCs w:val="25"/>
        </w:rPr>
      </w:pPr>
      <w:r>
        <w:rPr>
          <w:rFonts w:ascii="Arial" w:hAnsi="Arial" w:cs="Arial"/>
          <w:sz w:val="25"/>
          <w:szCs w:val="25"/>
        </w:rPr>
        <w:t>(La solicitud) Se hizo el día 5 de agosto del año 2014, la respuesta fue inmediata negativa, por desconocer y porque como actúan todas las dependencias o todas las instituciones, no hacen investigaciones, simplemente le dan carpetazo, no se da hasta que ya surgen declaraciones de los presuntos culpables (Entrevista a Indalecio Benítez, 0:56)</w:t>
      </w:r>
    </w:p>
    <w:p w14:paraId="79D51F26" w14:textId="0CC3CE62" w:rsidR="001D7B29" w:rsidRDefault="001D7B29" w:rsidP="009456AC">
      <w:pPr>
        <w:shd w:val="clear" w:color="auto" w:fill="FFFFFF"/>
        <w:spacing w:before="240" w:line="360" w:lineRule="auto"/>
        <w:ind w:firstLine="708"/>
        <w:jc w:val="both"/>
        <w:rPr>
          <w:rFonts w:ascii="Arial" w:hAnsi="Arial" w:cs="Arial"/>
          <w:sz w:val="25"/>
          <w:szCs w:val="25"/>
        </w:rPr>
      </w:pPr>
      <w:r>
        <w:rPr>
          <w:rFonts w:ascii="Arial" w:hAnsi="Arial" w:cs="Arial"/>
          <w:sz w:val="25"/>
          <w:szCs w:val="25"/>
        </w:rPr>
        <w:t xml:space="preserve">Como el mismo periodista lo refiere fue hasta la detención de dos presuntos culpables cuando el </w:t>
      </w:r>
      <w:r>
        <w:rPr>
          <w:rFonts w:ascii="Arial" w:eastAsia="Times New Roman" w:hAnsi="Arial" w:cs="Arial"/>
          <w:color w:val="000000"/>
          <w:sz w:val="24"/>
          <w:szCs w:val="24"/>
        </w:rPr>
        <w:t xml:space="preserve">MPPDDHP emite una respuesta positiva </w:t>
      </w:r>
      <w:r>
        <w:rPr>
          <w:rFonts w:ascii="Arial" w:hAnsi="Arial" w:cs="Arial"/>
          <w:sz w:val="25"/>
          <w:szCs w:val="25"/>
        </w:rPr>
        <w:t>en la primera semana de septiembre de 2014, es decir, un mes después de los hechos, tiempo en el cual sólo fue ayudado por organizaciones no gubernamentales, quienes lo refugiaron en la Ciudad de México ante el riesgo inminente de permanecer en el municipio de Luvianos.</w:t>
      </w:r>
    </w:p>
    <w:p w14:paraId="0018E8A6" w14:textId="77777777" w:rsidR="001D7B29" w:rsidRDefault="001D7B29" w:rsidP="001D7B29">
      <w:pPr>
        <w:shd w:val="clear" w:color="auto" w:fill="FFFFFF"/>
        <w:spacing w:before="240" w:line="360" w:lineRule="auto"/>
        <w:ind w:left="708"/>
        <w:jc w:val="both"/>
        <w:rPr>
          <w:rFonts w:ascii="Arial" w:hAnsi="Arial" w:cs="Arial"/>
          <w:sz w:val="25"/>
          <w:szCs w:val="25"/>
        </w:rPr>
      </w:pPr>
      <w:r>
        <w:rPr>
          <w:rFonts w:ascii="Arial" w:hAnsi="Arial" w:cs="Arial"/>
          <w:sz w:val="25"/>
          <w:szCs w:val="25"/>
        </w:rPr>
        <w:t>Derivado de unas declaraciones son detenidos los participantes en el atentado y declaran, porque lo que argumentaba el Mecanismo en un inicio es que el atentado no provenía por la acción periodística, y ellos decían no pues esto fue porque tú tenías vínculos con el crimen organizado, o sea lo de siempre, te criminalizan para evitar la responsabilidad de investigar o darle seguimiento.</w:t>
      </w:r>
    </w:p>
    <w:p w14:paraId="56A1D4E3" w14:textId="77777777" w:rsidR="001D7B29" w:rsidRDefault="001D7B29" w:rsidP="009456AC">
      <w:pPr>
        <w:shd w:val="clear" w:color="auto" w:fill="FFFFFF"/>
        <w:spacing w:before="240" w:line="360" w:lineRule="auto"/>
        <w:ind w:left="708"/>
        <w:jc w:val="both"/>
        <w:rPr>
          <w:rFonts w:ascii="Arial" w:hAnsi="Arial" w:cs="Arial"/>
          <w:sz w:val="25"/>
          <w:szCs w:val="25"/>
        </w:rPr>
      </w:pPr>
      <w:r>
        <w:rPr>
          <w:rFonts w:ascii="Arial" w:hAnsi="Arial" w:cs="Arial"/>
          <w:sz w:val="25"/>
          <w:szCs w:val="25"/>
        </w:rPr>
        <w:t>Caen detenidos dos individuos, en donde abaten a tres a más que habían participado, los cinco habían sido participantes del atentado y estos jóvenes, menores de edad, declaran y en su declaración mencionan que ellos habían acudido a mi domicilio por instrucciones de alguien para apoderarse de la radio, someterme y utilizar la radio para mandarle mensajes al grupo del crimen organizado rival (Entrevista Indalecio Benítez, 3:29)</w:t>
      </w:r>
    </w:p>
    <w:p w14:paraId="1970E53B" w14:textId="46695B07" w:rsidR="001D7B29" w:rsidRDefault="009456AC" w:rsidP="009456AC">
      <w:pPr>
        <w:shd w:val="clear" w:color="auto" w:fill="FFFFFF"/>
        <w:spacing w:before="240" w:line="360" w:lineRule="auto"/>
        <w:jc w:val="both"/>
        <w:rPr>
          <w:rFonts w:ascii="Arial" w:hAnsi="Arial" w:cs="Arial"/>
          <w:sz w:val="24"/>
          <w:szCs w:val="24"/>
        </w:rPr>
      </w:pPr>
      <w:r>
        <w:rPr>
          <w:rFonts w:ascii="Arial" w:hAnsi="Arial" w:cs="Arial"/>
          <w:sz w:val="25"/>
          <w:szCs w:val="25"/>
        </w:rPr>
        <w:t xml:space="preserve">      </w:t>
      </w:r>
      <w:r>
        <w:rPr>
          <w:rFonts w:ascii="Arial" w:hAnsi="Arial" w:cs="Arial"/>
          <w:sz w:val="25"/>
          <w:szCs w:val="25"/>
        </w:rPr>
        <w:tab/>
      </w:r>
      <w:r w:rsidR="001D7B29">
        <w:rPr>
          <w:rFonts w:ascii="Arial" w:hAnsi="Arial" w:cs="Arial"/>
          <w:sz w:val="25"/>
          <w:szCs w:val="25"/>
        </w:rPr>
        <w:t>Ante tal situación</w:t>
      </w:r>
      <w:r w:rsidR="008D28B8">
        <w:rPr>
          <w:rFonts w:ascii="Arial" w:hAnsi="Arial" w:cs="Arial"/>
          <w:sz w:val="25"/>
          <w:szCs w:val="25"/>
        </w:rPr>
        <w:t>,</w:t>
      </w:r>
      <w:r w:rsidR="001D7B29">
        <w:rPr>
          <w:rFonts w:ascii="Arial" w:hAnsi="Arial" w:cs="Arial"/>
          <w:sz w:val="25"/>
          <w:szCs w:val="25"/>
        </w:rPr>
        <w:t xml:space="preserve"> el </w:t>
      </w:r>
      <w:r w:rsidR="008D28B8">
        <w:rPr>
          <w:rFonts w:ascii="Arial" w:eastAsia="Times New Roman" w:hAnsi="Arial" w:cs="Arial"/>
          <w:color w:val="000000"/>
          <w:sz w:val="24"/>
          <w:szCs w:val="24"/>
        </w:rPr>
        <w:t xml:space="preserve">MPPDDHP </w:t>
      </w:r>
      <w:r>
        <w:rPr>
          <w:rFonts w:ascii="Arial" w:eastAsia="Times New Roman" w:hAnsi="Arial" w:cs="Arial"/>
          <w:color w:val="000000"/>
          <w:sz w:val="24"/>
          <w:szCs w:val="24"/>
        </w:rPr>
        <w:t>otorga</w:t>
      </w:r>
      <w:r w:rsidR="001D7B29">
        <w:rPr>
          <w:rFonts w:ascii="Arial" w:eastAsia="Times New Roman" w:hAnsi="Arial" w:cs="Arial"/>
          <w:color w:val="000000"/>
          <w:sz w:val="24"/>
          <w:szCs w:val="24"/>
        </w:rPr>
        <w:t xml:space="preserve"> las citadas medidas de protección y urgentes de protección, las cuales incluyeron a la familia del citado periodista, menos a sus padres, quienes aunque tenían la posibilidad de también ser evacuados, decidieron permanecer en el municipio de Luvianos. </w:t>
      </w:r>
    </w:p>
    <w:p w14:paraId="1B16C49B" w14:textId="77777777" w:rsidR="001D7B29" w:rsidRDefault="001D7B29" w:rsidP="009456AC">
      <w:pPr>
        <w:pStyle w:val="Textoindependiente"/>
        <w:spacing w:line="360" w:lineRule="auto"/>
        <w:ind w:firstLine="708"/>
        <w:jc w:val="both"/>
        <w:rPr>
          <w:rFonts w:ascii="Arial" w:hAnsi="Arial" w:cs="Arial"/>
          <w:sz w:val="24"/>
          <w:szCs w:val="24"/>
        </w:rPr>
      </w:pPr>
      <w:r>
        <w:rPr>
          <w:rFonts w:ascii="Arial" w:hAnsi="Arial" w:cs="Arial"/>
          <w:sz w:val="24"/>
          <w:szCs w:val="24"/>
        </w:rPr>
        <w:t xml:space="preserve">El periodista Indalecio Benítez refiere que durante su estancia en dos refugios de la Ciudad de México, proporcionados por el </w:t>
      </w:r>
      <w:r>
        <w:rPr>
          <w:rFonts w:ascii="Arial" w:eastAsia="Times New Roman" w:hAnsi="Arial" w:cs="Arial"/>
          <w:color w:val="000000"/>
          <w:sz w:val="24"/>
          <w:szCs w:val="24"/>
        </w:rPr>
        <w:t>MPPDDHP, buscó un trabajo en un medio de comunicación, lo cual fue iniciativa propia, además de visitar frecuentemente el municipio sureño con la instrumentación de medidas de protección.</w:t>
      </w:r>
    </w:p>
    <w:p w14:paraId="53811C50" w14:textId="77777777" w:rsidR="001D7B29" w:rsidRDefault="001D7B29" w:rsidP="009456AC">
      <w:pPr>
        <w:pStyle w:val="Textoindependiente"/>
        <w:spacing w:line="360" w:lineRule="auto"/>
        <w:ind w:firstLine="708"/>
        <w:jc w:val="both"/>
        <w:rPr>
          <w:rFonts w:ascii="Arial" w:hAnsi="Arial" w:cs="Arial"/>
          <w:sz w:val="24"/>
          <w:szCs w:val="24"/>
        </w:rPr>
      </w:pPr>
      <w:r>
        <w:rPr>
          <w:rFonts w:ascii="Arial" w:hAnsi="Arial" w:cs="Arial"/>
          <w:sz w:val="24"/>
          <w:szCs w:val="24"/>
        </w:rPr>
        <w:t xml:space="preserve">Durante su alojamiento en la Ciudad de México Benítez también reconoce que fue complejo abandonar su entorno familiar, profesional y laboral, aunque el </w:t>
      </w:r>
      <w:r>
        <w:rPr>
          <w:rFonts w:ascii="Arial" w:eastAsia="Times New Roman" w:hAnsi="Arial" w:cs="Arial"/>
          <w:color w:val="000000"/>
          <w:sz w:val="24"/>
          <w:szCs w:val="24"/>
        </w:rPr>
        <w:t>MPPDDHP les proporciona alimentación y asistencia sicológica.</w:t>
      </w:r>
    </w:p>
    <w:p w14:paraId="1B281722" w14:textId="6F5BFABA" w:rsidR="001D7B29" w:rsidRDefault="001D7B29" w:rsidP="009456AC">
      <w:pPr>
        <w:pStyle w:val="Textoindependiente"/>
        <w:spacing w:line="360" w:lineRule="auto"/>
        <w:ind w:firstLine="708"/>
        <w:jc w:val="both"/>
        <w:rPr>
          <w:rFonts w:ascii="Arial" w:hAnsi="Arial" w:cs="Arial"/>
          <w:sz w:val="24"/>
          <w:szCs w:val="24"/>
        </w:rPr>
      </w:pPr>
      <w:r>
        <w:rPr>
          <w:rFonts w:ascii="Arial" w:hAnsi="Arial" w:cs="Arial"/>
          <w:sz w:val="24"/>
          <w:szCs w:val="24"/>
        </w:rPr>
        <w:t>Uno de los eventos que ocurrió durante el tiempo que estuvo refugiado en la capital del país fue el registrado el 15 de octubre de 2015, cuando la Marina de México y el entonces Instituto Federal de Telecomunicaciones (IFETEL), co</w:t>
      </w:r>
      <w:r w:rsidR="009456AC">
        <w:rPr>
          <w:rFonts w:ascii="Arial" w:hAnsi="Arial" w:cs="Arial"/>
          <w:sz w:val="24"/>
          <w:szCs w:val="24"/>
        </w:rPr>
        <w:t xml:space="preserve">nfiscaron el equipo de la </w:t>
      </w:r>
      <w:r>
        <w:rPr>
          <w:rFonts w:ascii="Arial" w:hAnsi="Arial" w:cs="Arial"/>
          <w:sz w:val="24"/>
          <w:szCs w:val="24"/>
        </w:rPr>
        <w:t>Calentana 98.1 FM debido a que no contaba con el permiso para explotar el espacio radio eléctrico.</w:t>
      </w:r>
    </w:p>
    <w:p w14:paraId="6C0C46AB" w14:textId="77777777" w:rsidR="001D7B29" w:rsidRDefault="001D7B29" w:rsidP="009456AC">
      <w:pPr>
        <w:pStyle w:val="Textoindependiente"/>
        <w:spacing w:line="360" w:lineRule="auto"/>
        <w:ind w:firstLine="708"/>
        <w:jc w:val="both"/>
        <w:rPr>
          <w:rFonts w:ascii="Arial" w:hAnsi="Arial" w:cs="Arial"/>
          <w:sz w:val="24"/>
          <w:szCs w:val="24"/>
        </w:rPr>
      </w:pPr>
      <w:r>
        <w:rPr>
          <w:rFonts w:ascii="Arial" w:hAnsi="Arial" w:cs="Arial"/>
          <w:sz w:val="24"/>
          <w:szCs w:val="24"/>
        </w:rPr>
        <w:t>Hecho que se vinculó con el comunicado de prensa, emitido el 4 de noviembre de ese año, y donde el gobierno del Estado de México indicaba que desde esa radiodifusora se hacían llamados para respaldar a grupos delictivos.</w:t>
      </w:r>
    </w:p>
    <w:p w14:paraId="2E000DBA" w14:textId="77777777" w:rsidR="001D7B29" w:rsidRDefault="001D7B29" w:rsidP="009456AC">
      <w:pPr>
        <w:pStyle w:val="Textoindependiente"/>
        <w:spacing w:line="360" w:lineRule="auto"/>
        <w:ind w:firstLine="708"/>
        <w:jc w:val="both"/>
        <w:rPr>
          <w:rFonts w:ascii="Arial" w:hAnsi="Arial" w:cs="Arial"/>
          <w:sz w:val="25"/>
          <w:szCs w:val="25"/>
        </w:rPr>
      </w:pPr>
      <w:r>
        <w:rPr>
          <w:rFonts w:ascii="Arial" w:hAnsi="Arial" w:cs="Arial"/>
          <w:sz w:val="24"/>
          <w:szCs w:val="24"/>
        </w:rPr>
        <w:t xml:space="preserve">Ante dichos eventos el </w:t>
      </w:r>
      <w:r>
        <w:rPr>
          <w:rFonts w:ascii="Arial" w:eastAsia="Times New Roman" w:hAnsi="Arial" w:cs="Arial"/>
          <w:color w:val="000000"/>
          <w:sz w:val="24"/>
          <w:szCs w:val="24"/>
        </w:rPr>
        <w:t>MPPDDHP no proporcionó medidas efectivas para el periodista Indalecio Benítez, quien advierte que ante riesgos de mayor dimensión política dicha instancia federal queda limitada.</w:t>
      </w:r>
    </w:p>
    <w:p w14:paraId="531B58EF" w14:textId="77777777" w:rsidR="001D7B29" w:rsidRDefault="001D7B29" w:rsidP="001D7B29">
      <w:pPr>
        <w:shd w:val="clear" w:color="auto" w:fill="FFFFFF"/>
        <w:spacing w:before="240" w:line="360" w:lineRule="auto"/>
        <w:ind w:left="708"/>
        <w:jc w:val="both"/>
        <w:rPr>
          <w:rFonts w:ascii="Arial" w:hAnsi="Arial" w:cs="Arial"/>
          <w:sz w:val="25"/>
          <w:szCs w:val="25"/>
        </w:rPr>
      </w:pPr>
      <w:r>
        <w:rPr>
          <w:rFonts w:ascii="Arial" w:hAnsi="Arial" w:cs="Arial"/>
          <w:sz w:val="25"/>
          <w:szCs w:val="25"/>
        </w:rPr>
        <w:t xml:space="preserve">Quedó como ridículo, así, sencillo, no operó, nada, lo catalogaron como un asunto secreto, algo así. </w:t>
      </w:r>
    </w:p>
    <w:p w14:paraId="5B2FA3C9" w14:textId="77777777" w:rsidR="001D7B29" w:rsidRDefault="001D7B29" w:rsidP="001D7B29">
      <w:pPr>
        <w:shd w:val="clear" w:color="auto" w:fill="FFFFFF"/>
        <w:spacing w:before="240" w:line="360" w:lineRule="auto"/>
        <w:ind w:left="708"/>
        <w:jc w:val="both"/>
        <w:rPr>
          <w:rFonts w:ascii="Arial" w:hAnsi="Arial" w:cs="Arial"/>
          <w:sz w:val="25"/>
          <w:szCs w:val="25"/>
        </w:rPr>
      </w:pPr>
      <w:r>
        <w:rPr>
          <w:rFonts w:ascii="Arial" w:hAnsi="Arial" w:cs="Arial"/>
          <w:sz w:val="25"/>
          <w:szCs w:val="25"/>
        </w:rPr>
        <w:t>Mira el caso no es por la Marina, aquí te lo voy a barajear bien, aquí era un ataque directo gubernamental para opacarme, porque no nada más hacía información, siempre he sido luchador social y activista y defensor de los derechos humanos y todo este atentado tiene un fondo y tiene una secuencia. (Entrevista Indalecio Benítez, 16:38)</w:t>
      </w:r>
    </w:p>
    <w:p w14:paraId="5E2711CC" w14:textId="77777777" w:rsidR="009456AC" w:rsidRDefault="001D7B29" w:rsidP="009456AC">
      <w:pPr>
        <w:shd w:val="clear" w:color="auto" w:fill="FFFFFF"/>
        <w:spacing w:before="240" w:line="360" w:lineRule="auto"/>
        <w:ind w:firstLine="708"/>
        <w:jc w:val="both"/>
        <w:rPr>
          <w:rFonts w:ascii="Arial" w:hAnsi="Arial" w:cs="Arial"/>
          <w:sz w:val="25"/>
          <w:szCs w:val="25"/>
        </w:rPr>
      </w:pPr>
      <w:r>
        <w:rPr>
          <w:rFonts w:ascii="Arial" w:hAnsi="Arial" w:cs="Arial"/>
          <w:sz w:val="25"/>
          <w:szCs w:val="25"/>
        </w:rPr>
        <w:t>Este acontecimiento representó una revictimización para el periodista Indalecio Benítez, quien a pesar de estar protegido por una legislación en materia de protección a periodistas y defensores de derechos humanos, enfrentó una nueva acusación por la supuesta vinculación con grupos del crimen organizados, además de que su radiodifusora se encontraba en el trámite de obtener la respectiva concesión.</w:t>
      </w:r>
    </w:p>
    <w:p w14:paraId="3E48FAB6" w14:textId="195B49B3" w:rsidR="001D7B29" w:rsidRPr="009456AC" w:rsidRDefault="001D7B29" w:rsidP="009456AC">
      <w:pPr>
        <w:shd w:val="clear" w:color="auto" w:fill="FFFFFF"/>
        <w:spacing w:before="240" w:line="360" w:lineRule="auto"/>
        <w:ind w:firstLine="708"/>
        <w:jc w:val="both"/>
        <w:rPr>
          <w:rFonts w:ascii="Arial" w:hAnsi="Arial" w:cs="Arial"/>
          <w:sz w:val="25"/>
          <w:szCs w:val="25"/>
        </w:rPr>
      </w:pPr>
      <w:r>
        <w:rPr>
          <w:rFonts w:ascii="Arial" w:hAnsi="Arial" w:cs="Arial"/>
          <w:sz w:val="25"/>
          <w:szCs w:val="25"/>
        </w:rPr>
        <w:t>Dicha situación vulneró no sólo su derecho a la información, así como la libertad de expresión, sino también el concepto de dignidad humana que es planteado como elemento fundamental de toda persona, lo cual adquiere un matiz más complejo cuando se trata de un periodista que está en constante choque con distintos subsistemas sociales, como describiremos en los siguientes incisos.</w:t>
      </w:r>
    </w:p>
    <w:p w14:paraId="10C6EBF7" w14:textId="77777777" w:rsidR="001D7B29" w:rsidRDefault="001D7B29" w:rsidP="001D7B29">
      <w:pPr>
        <w:pStyle w:val="Textoindependiente"/>
      </w:pPr>
    </w:p>
    <w:p w14:paraId="3A572006" w14:textId="2AA338AF" w:rsidR="001D7B29" w:rsidRDefault="009456AC" w:rsidP="009456AC">
      <w:pPr>
        <w:pStyle w:val="Ttulo2"/>
        <w:numPr>
          <w:ilvl w:val="0"/>
          <w:numId w:val="0"/>
        </w:numPr>
        <w:spacing w:line="254" w:lineRule="auto"/>
        <w:ind w:left="576" w:hanging="576"/>
      </w:pPr>
      <w:r>
        <w:rPr>
          <w:rFonts w:ascii="Arial" w:hAnsi="Arial" w:cs="Arial"/>
          <w:b/>
          <w:color w:val="00000A"/>
          <w:sz w:val="24"/>
        </w:rPr>
        <w:tab/>
        <w:t xml:space="preserve">IV.c) </w:t>
      </w:r>
      <w:r w:rsidR="001D7B29">
        <w:rPr>
          <w:rFonts w:ascii="Arial" w:hAnsi="Arial" w:cs="Arial"/>
          <w:b/>
          <w:color w:val="00000A"/>
          <w:sz w:val="24"/>
        </w:rPr>
        <w:t>Riesgos sociales en el ejercicio periodístico que enfrenta Indalecio Benítez</w:t>
      </w:r>
    </w:p>
    <w:p w14:paraId="3B744FFC" w14:textId="77777777" w:rsidR="001D7B29" w:rsidRDefault="001D7B29" w:rsidP="001D7B29">
      <w:pPr>
        <w:pStyle w:val="Textoindependiente"/>
        <w:spacing w:line="360" w:lineRule="auto"/>
      </w:pPr>
    </w:p>
    <w:p w14:paraId="782D4D29" w14:textId="77777777" w:rsidR="001D7B29" w:rsidRDefault="001D7B29" w:rsidP="009456AC">
      <w:pPr>
        <w:pStyle w:val="Textoindependiente"/>
        <w:spacing w:line="360" w:lineRule="auto"/>
        <w:ind w:firstLine="576"/>
        <w:jc w:val="both"/>
        <w:rPr>
          <w:rFonts w:ascii="Arial" w:hAnsi="Arial" w:cs="Arial"/>
          <w:sz w:val="24"/>
          <w:szCs w:val="24"/>
        </w:rPr>
      </w:pPr>
      <w:r>
        <w:rPr>
          <w:rFonts w:ascii="Arial" w:hAnsi="Arial" w:cs="Arial"/>
          <w:sz w:val="24"/>
          <w:szCs w:val="24"/>
        </w:rPr>
        <w:t xml:space="preserve">A partir de la agresión que sufrió el periodista Indalecio Benítez, y su posterior solicitud al </w:t>
      </w:r>
      <w:r>
        <w:rPr>
          <w:rFonts w:ascii="Arial" w:eastAsia="Times New Roman" w:hAnsi="Arial" w:cs="Arial"/>
          <w:color w:val="000000"/>
          <w:sz w:val="24"/>
          <w:szCs w:val="24"/>
        </w:rPr>
        <w:t>MPPDDHP para ser beneficiado con medidas de protección, en aras de preservar su función como profesionista que ejerce la libertad de expresión; puede advertirse la existencia de distintos riegos sociales como</w:t>
      </w:r>
      <w:r>
        <w:rPr>
          <w:rFonts w:ascii="Arial" w:hAnsi="Arial" w:cs="Arial"/>
          <w:sz w:val="24"/>
          <w:szCs w:val="24"/>
        </w:rPr>
        <w:t xml:space="preserve"> la relación con el poder público, violencia de poderes fácticos, falta de regulación en materia de publicidad oficial, y la censura derivada de los factores anteriores.</w:t>
      </w:r>
    </w:p>
    <w:p w14:paraId="7CF61D32" w14:textId="77777777" w:rsidR="001D7B29" w:rsidRDefault="001D7B29" w:rsidP="009456AC">
      <w:pPr>
        <w:pStyle w:val="Textoindependiente"/>
        <w:spacing w:line="360" w:lineRule="auto"/>
        <w:ind w:firstLine="576"/>
        <w:jc w:val="both"/>
        <w:rPr>
          <w:rFonts w:ascii="Arial" w:hAnsi="Arial" w:cs="Arial"/>
          <w:sz w:val="24"/>
          <w:szCs w:val="24"/>
        </w:rPr>
      </w:pPr>
      <w:r>
        <w:rPr>
          <w:rFonts w:ascii="Arial" w:hAnsi="Arial" w:cs="Arial"/>
          <w:sz w:val="24"/>
          <w:szCs w:val="24"/>
        </w:rPr>
        <w:t>Benítez refiere que la lucha social lo llevó al periodismo y este a su vez a, la defensa de derechos humanos, por lo cual siempre ha estado en constante conflicto con autoridades municipales, estatales y federales.</w:t>
      </w:r>
      <w:r>
        <w:rPr>
          <w:rStyle w:val="Refdenotaalpie"/>
        </w:rPr>
        <w:footnoteReference w:id="47"/>
      </w:r>
    </w:p>
    <w:p w14:paraId="08CAF862" w14:textId="77777777" w:rsidR="001D7B29" w:rsidRDefault="001D7B29" w:rsidP="009456AC">
      <w:pPr>
        <w:pStyle w:val="Textoindependiente"/>
        <w:spacing w:line="360" w:lineRule="auto"/>
        <w:ind w:firstLine="576"/>
        <w:jc w:val="both"/>
        <w:rPr>
          <w:rFonts w:ascii="Arial" w:hAnsi="Arial" w:cs="Arial"/>
          <w:sz w:val="25"/>
          <w:szCs w:val="25"/>
        </w:rPr>
      </w:pPr>
      <w:r>
        <w:rPr>
          <w:rFonts w:ascii="Arial" w:hAnsi="Arial" w:cs="Arial"/>
          <w:sz w:val="24"/>
          <w:szCs w:val="24"/>
        </w:rPr>
        <w:t>La agresión que sufre, y donde uno de sus hijos pierde la vida, no lo percibe como un hecho aislado o fortuito, por el contrario, lo considera como parte de las consecuencias del perfil social que adoptó, además de ejercicio profesional en el periodismo, lo cual rescata un primer elemento en la prevención y protección para periodistas, el cual consisten en que sin bien pueden ser objeto de agresiones como cualquier ciudadano, una de los primeros detonantes es su actividad profesional.</w:t>
      </w:r>
    </w:p>
    <w:p w14:paraId="6DA78CC2" w14:textId="77777777" w:rsidR="001D7B29" w:rsidRDefault="001D7B29" w:rsidP="001D7B29">
      <w:pPr>
        <w:shd w:val="clear" w:color="auto" w:fill="FFFFFF"/>
        <w:spacing w:before="240" w:line="360" w:lineRule="auto"/>
        <w:ind w:left="708"/>
        <w:jc w:val="both"/>
        <w:rPr>
          <w:rFonts w:ascii="Arial" w:hAnsi="Arial" w:cs="Arial"/>
          <w:sz w:val="25"/>
          <w:szCs w:val="25"/>
        </w:rPr>
      </w:pPr>
      <w:r>
        <w:rPr>
          <w:rFonts w:ascii="Arial" w:hAnsi="Arial" w:cs="Arial"/>
          <w:sz w:val="25"/>
          <w:szCs w:val="25"/>
        </w:rPr>
        <w:t xml:space="preserve">(Mi agresión fue) Orquestada muy estilo sistema, yo desde 1987 fui activista en mi escuela, inclusive llevamos acciones, tomamos la escuela, hubo huelga, en el año 2000 participé con un líder social, Guillermo González Hernández, en una actividad de recuperación de unos terrenos que les repartimos a los ejidatarios. Que esos terrenos habían sido mal adquiridos por el gobierno del estado para un campo experimental de mango. </w:t>
      </w:r>
    </w:p>
    <w:p w14:paraId="4FCFE16A" w14:textId="77777777" w:rsidR="001D7B29" w:rsidRDefault="001D7B29" w:rsidP="001D7B29">
      <w:pPr>
        <w:shd w:val="clear" w:color="auto" w:fill="FFFFFF"/>
        <w:spacing w:before="240" w:line="360" w:lineRule="auto"/>
        <w:ind w:left="708"/>
        <w:jc w:val="both"/>
        <w:rPr>
          <w:rFonts w:ascii="Arial" w:hAnsi="Arial" w:cs="Arial"/>
          <w:sz w:val="25"/>
          <w:szCs w:val="25"/>
        </w:rPr>
      </w:pPr>
      <w:r>
        <w:rPr>
          <w:rFonts w:ascii="Arial" w:hAnsi="Arial" w:cs="Arial"/>
          <w:sz w:val="25"/>
          <w:szCs w:val="25"/>
        </w:rPr>
        <w:t>En 2008 nos enfrentamos con la Procuraduría del Estado de México porque hicieron una incursión a Luvianos para supuestamente detener al crimen organizado, y no detienen a nadie del crimen organizado, pero sí se tienen a más de 40 jóvenes, todos inocentes, meto las manos al fuego por ellos, los conozco, y sé quiénes son los criminales y sé quiénes son los decentes, ellos habían traído pura gente inocente. Argumentaban haberlos detenido en retenes y todo, cuando yo sabía perfectamente que habían entrado violentamente en las casas e inicie una lucha por la defensa de los luvianenses, que yo le llame “por la dignidad del sur”, les quite gentes que ya llevaban detenidas e iniciamos una serie de acciones en contra de (Alberto) Bazbaz, quien era el procurador (del estado) en aquel tiempo, un tipo nefasto y corriente, que solamente buscaba justificar un trabajo y quedar bien a costa de meter a la cárcel a personas inocentes, iniciamos esa lucha.</w:t>
      </w:r>
    </w:p>
    <w:p w14:paraId="750791EC" w14:textId="77777777" w:rsidR="001D7B29" w:rsidRDefault="001D7B29" w:rsidP="001D7B29">
      <w:pPr>
        <w:shd w:val="clear" w:color="auto" w:fill="FFFFFF"/>
        <w:spacing w:before="240" w:line="360" w:lineRule="auto"/>
        <w:ind w:left="708"/>
        <w:jc w:val="both"/>
        <w:rPr>
          <w:rFonts w:ascii="Arial" w:hAnsi="Arial" w:cs="Arial"/>
          <w:sz w:val="25"/>
          <w:szCs w:val="25"/>
        </w:rPr>
      </w:pPr>
      <w:r>
        <w:rPr>
          <w:rFonts w:ascii="Arial" w:hAnsi="Arial" w:cs="Arial"/>
          <w:sz w:val="25"/>
          <w:szCs w:val="25"/>
        </w:rPr>
        <w:t>En 2013 nos encaramos con la Marina Armada de México por los mismos hechos, incursionan en Luvianos, violentan muchas viviendas, someten a seis jóvenes, los maltratan, encabecé una marcha, hicimos desmadre y medio, les tomamos las instalaciones, ¡se sumó el crimen organizado!, aprovechando la situación, era lógico, yo lo hubiera hecho también, o sea a río revuelto.</w:t>
      </w:r>
    </w:p>
    <w:p w14:paraId="3E75F296" w14:textId="77777777" w:rsidR="001D7B29" w:rsidRDefault="001D7B29" w:rsidP="001D7B29">
      <w:pPr>
        <w:pStyle w:val="Textoindependiente"/>
        <w:spacing w:line="360" w:lineRule="auto"/>
        <w:ind w:left="708"/>
        <w:jc w:val="both"/>
        <w:rPr>
          <w:rFonts w:ascii="Arial" w:hAnsi="Arial" w:cs="Arial"/>
          <w:sz w:val="24"/>
          <w:szCs w:val="24"/>
        </w:rPr>
      </w:pPr>
      <w:r>
        <w:rPr>
          <w:rFonts w:ascii="Arial" w:hAnsi="Arial" w:cs="Arial"/>
          <w:sz w:val="25"/>
          <w:szCs w:val="25"/>
        </w:rPr>
        <w:t xml:space="preserve">Pues todas esas acciones fueron el argumento que utilizó el gobierno del estado y el gobierno federal para tomar la decisión de exterminarme y como una manera inmediata el gobierno mexicano utilizó en su momento al grupo de los </w:t>
      </w:r>
      <w:r>
        <w:rPr>
          <w:rFonts w:ascii="Arial" w:hAnsi="Arial" w:cs="Arial"/>
          <w:i/>
          <w:sz w:val="25"/>
          <w:szCs w:val="25"/>
        </w:rPr>
        <w:t xml:space="preserve">Guerreros Unidos, </w:t>
      </w:r>
      <w:r>
        <w:rPr>
          <w:rFonts w:ascii="Arial" w:hAnsi="Arial" w:cs="Arial"/>
          <w:sz w:val="25"/>
          <w:szCs w:val="25"/>
        </w:rPr>
        <w:t xml:space="preserve">como su brazo armado, para llevar operaciones en contra de quienes no les convienen, el caso de los jóvenes de Ayotzinapa, el caso Tlatlaya, y mi caso también. Son los </w:t>
      </w:r>
      <w:r>
        <w:rPr>
          <w:rFonts w:ascii="Arial" w:hAnsi="Arial" w:cs="Arial"/>
          <w:i/>
          <w:sz w:val="25"/>
          <w:szCs w:val="25"/>
        </w:rPr>
        <w:t>Guerreros Unidos</w:t>
      </w:r>
      <w:r>
        <w:rPr>
          <w:rFonts w:ascii="Arial" w:hAnsi="Arial" w:cs="Arial"/>
          <w:sz w:val="25"/>
          <w:szCs w:val="25"/>
        </w:rPr>
        <w:t xml:space="preserve"> los que hacen la labor de exterminarme. (Entrevista Indalecio Benítez, 18:45)</w:t>
      </w:r>
    </w:p>
    <w:p w14:paraId="4DE8350A" w14:textId="77777777" w:rsidR="001D7B29" w:rsidRDefault="001D7B29" w:rsidP="009456AC">
      <w:pPr>
        <w:pStyle w:val="Textoindependiente"/>
        <w:spacing w:line="360" w:lineRule="auto"/>
        <w:ind w:firstLine="708"/>
        <w:jc w:val="both"/>
        <w:rPr>
          <w:rFonts w:ascii="Arial" w:hAnsi="Arial" w:cs="Arial"/>
          <w:sz w:val="25"/>
          <w:szCs w:val="25"/>
        </w:rPr>
      </w:pPr>
      <w:r>
        <w:rPr>
          <w:rFonts w:ascii="Arial" w:hAnsi="Arial" w:cs="Arial"/>
          <w:sz w:val="24"/>
          <w:szCs w:val="24"/>
        </w:rPr>
        <w:t>Estos acontecimientos son antecedente a la agresión contra Indalecio Benítez, mismos que reflejan una compleja relación de subsistemas sociales en la actividad periodística, donde el aspecto jurídico y político quedan rebasados, lo cual impacta de manera negativa en el ámbito cultural, con una peligrosa normalización de la impunidad y autoritarismo,</w:t>
      </w:r>
      <w:r>
        <w:rPr>
          <w:rStyle w:val="Refdenotaalpie"/>
        </w:rPr>
        <w:footnoteReference w:id="48"/>
      </w:r>
      <w:r>
        <w:rPr>
          <w:rFonts w:ascii="Arial" w:hAnsi="Arial" w:cs="Arial"/>
          <w:sz w:val="24"/>
          <w:szCs w:val="24"/>
        </w:rPr>
        <w:t xml:space="preserve"> lo cual coloca al periodismo en una peligrosa relación con el poder político, como el mismo Indalecio Benítez lo refiere.</w:t>
      </w:r>
    </w:p>
    <w:p w14:paraId="6047A496" w14:textId="77777777" w:rsidR="001D7B29" w:rsidRDefault="001D7B29" w:rsidP="001D7B29">
      <w:pPr>
        <w:shd w:val="clear" w:color="auto" w:fill="FFFFFF"/>
        <w:spacing w:before="240" w:line="360" w:lineRule="auto"/>
        <w:ind w:left="708"/>
        <w:jc w:val="both"/>
        <w:rPr>
          <w:rFonts w:ascii="Arial" w:hAnsi="Arial" w:cs="Arial"/>
          <w:sz w:val="25"/>
          <w:szCs w:val="25"/>
        </w:rPr>
      </w:pPr>
      <w:r>
        <w:rPr>
          <w:rFonts w:ascii="Arial" w:hAnsi="Arial" w:cs="Arial"/>
          <w:sz w:val="25"/>
          <w:szCs w:val="25"/>
        </w:rPr>
        <w:t xml:space="preserve">Ahorita en la actualidad estamos por interponer una denuncia en contra de quienes resulten responsables, incluyendo al exgobernador Eruviel (Ávila) y a José Manzur (exsecretario de Gobierno), al cual hacemos responsable, como actor intelectual del atentado. </w:t>
      </w:r>
    </w:p>
    <w:p w14:paraId="3781F42C" w14:textId="77777777" w:rsidR="001D7B29" w:rsidRDefault="001D7B29" w:rsidP="001D7B29">
      <w:pPr>
        <w:pStyle w:val="Textoindependiente"/>
        <w:spacing w:line="360" w:lineRule="auto"/>
        <w:ind w:left="708"/>
        <w:jc w:val="both"/>
        <w:rPr>
          <w:rFonts w:ascii="Arial" w:hAnsi="Arial" w:cs="Arial"/>
          <w:sz w:val="25"/>
          <w:szCs w:val="25"/>
        </w:rPr>
      </w:pPr>
      <w:r>
        <w:rPr>
          <w:rFonts w:ascii="Arial" w:hAnsi="Arial" w:cs="Arial"/>
          <w:sz w:val="25"/>
          <w:szCs w:val="25"/>
        </w:rPr>
        <w:t>El atentado viene coordinado y dirigido desde la Secretaría de Gobernación del estado. (Entrevista Indalecio Benítez, 16:38)</w:t>
      </w:r>
    </w:p>
    <w:p w14:paraId="0F81021F" w14:textId="77777777" w:rsidR="001D7B29" w:rsidRDefault="001D7B29" w:rsidP="006A00AB">
      <w:pPr>
        <w:shd w:val="clear" w:color="auto" w:fill="FFFFFF"/>
        <w:spacing w:before="240" w:line="360" w:lineRule="auto"/>
        <w:ind w:firstLine="708"/>
        <w:jc w:val="both"/>
        <w:rPr>
          <w:rFonts w:ascii="Arial" w:hAnsi="Arial" w:cs="Arial"/>
          <w:sz w:val="25"/>
          <w:szCs w:val="25"/>
        </w:rPr>
      </w:pPr>
      <w:r>
        <w:rPr>
          <w:rFonts w:ascii="Arial" w:hAnsi="Arial" w:cs="Arial"/>
          <w:sz w:val="25"/>
          <w:szCs w:val="25"/>
        </w:rPr>
        <w:t>Circunstancia que está basada en la serie de inconsistencias detectadas por el periodista en los hechos que rodearon a su agresión, lo cual también puede ocurrirle a todo ciudadano, sin embargo, nuevamente pesa el factor del desempeño profesional.</w:t>
      </w:r>
    </w:p>
    <w:p w14:paraId="633B1356" w14:textId="77777777" w:rsidR="001D7B29" w:rsidRDefault="001D7B29" w:rsidP="001D7B29">
      <w:pPr>
        <w:shd w:val="clear" w:color="auto" w:fill="FFFFFF"/>
        <w:spacing w:before="240" w:line="360" w:lineRule="auto"/>
        <w:ind w:left="708"/>
        <w:jc w:val="both"/>
        <w:rPr>
          <w:rFonts w:ascii="Arial" w:hAnsi="Arial" w:cs="Arial"/>
          <w:sz w:val="25"/>
          <w:szCs w:val="25"/>
        </w:rPr>
      </w:pPr>
      <w:r>
        <w:rPr>
          <w:rFonts w:ascii="Arial" w:hAnsi="Arial" w:cs="Arial"/>
          <w:sz w:val="25"/>
          <w:szCs w:val="25"/>
        </w:rPr>
        <w:t xml:space="preserve">Yo regreso de cenar con toda mi familia, ya me estaban esperando en mi domicilio, hacen el atentado, yo no estaba, me tiran cuando yo voy en el vehículo. A menos de 600 metros estaba la base de la Marina, a menos de 400 metros estaba la base de la policía estatal, a menos de 200 metros la policía municipal, bueno eso no la tomo en cuenta porque sabemos que está con el crimen, pero la estatal y la Marina a esa distancia. </w:t>
      </w:r>
    </w:p>
    <w:p w14:paraId="6C61AD4C" w14:textId="77777777" w:rsidR="001D7B29" w:rsidRDefault="001D7B29" w:rsidP="001D7B29">
      <w:pPr>
        <w:shd w:val="clear" w:color="auto" w:fill="FFFFFF"/>
        <w:spacing w:before="240" w:line="360" w:lineRule="auto"/>
        <w:ind w:left="708"/>
        <w:jc w:val="both"/>
        <w:rPr>
          <w:rFonts w:ascii="Arial" w:hAnsi="Arial" w:cs="Arial"/>
          <w:sz w:val="25"/>
          <w:szCs w:val="25"/>
        </w:rPr>
      </w:pPr>
      <w:r>
        <w:rPr>
          <w:rFonts w:ascii="Arial" w:hAnsi="Arial" w:cs="Arial"/>
          <w:sz w:val="25"/>
          <w:szCs w:val="25"/>
        </w:rPr>
        <w:t>Yo me refugio en la Marina, estos tipos me atacan, me voy a donde está la Marina, me persiguen, no me encuentran, regresan a mi domicilio, a los 20 minutos se vuelven a meter y someten a mi hijo, que estaba ahí, a mis papás y hacen un desmadre y medio. O sea ¿40 minutos no es suficiente para 600, 400 metros para que vengan y actúen?</w:t>
      </w:r>
    </w:p>
    <w:p w14:paraId="7A421B64" w14:textId="77777777" w:rsidR="001D7B29" w:rsidRDefault="001D7B29" w:rsidP="001D7B29">
      <w:pPr>
        <w:shd w:val="clear" w:color="auto" w:fill="FFFFFF"/>
        <w:spacing w:before="240" w:line="360" w:lineRule="auto"/>
        <w:ind w:left="708"/>
        <w:jc w:val="both"/>
        <w:rPr>
          <w:rFonts w:ascii="Arial" w:hAnsi="Arial" w:cs="Arial"/>
          <w:sz w:val="25"/>
          <w:szCs w:val="25"/>
        </w:rPr>
      </w:pPr>
      <w:r>
        <w:rPr>
          <w:rFonts w:ascii="Arial" w:hAnsi="Arial" w:cs="Arial"/>
          <w:sz w:val="25"/>
          <w:szCs w:val="25"/>
        </w:rPr>
        <w:t>Ahora cuando ya se retiran tiran un disparo al aire en señal de mensaje, es cuando ya dicen (en la Marina), vamos de una vez, vamos a revisar a tu domicilio para ver qué pasó, a chinga, quiero decirte que yo en ese momento no sabía quién había sido, ni nada.</w:t>
      </w:r>
    </w:p>
    <w:p w14:paraId="5521C2FD" w14:textId="77777777" w:rsidR="001D7B29" w:rsidRDefault="001D7B29" w:rsidP="001D7B29">
      <w:pPr>
        <w:shd w:val="clear" w:color="auto" w:fill="FFFFFF"/>
        <w:spacing w:before="240" w:line="360" w:lineRule="auto"/>
        <w:ind w:left="708"/>
        <w:jc w:val="both"/>
        <w:rPr>
          <w:rFonts w:ascii="Arial" w:hAnsi="Arial" w:cs="Arial"/>
          <w:sz w:val="25"/>
          <w:szCs w:val="25"/>
        </w:rPr>
      </w:pPr>
      <w:r>
        <w:rPr>
          <w:rFonts w:ascii="Arial" w:hAnsi="Arial" w:cs="Arial"/>
          <w:sz w:val="25"/>
          <w:szCs w:val="25"/>
        </w:rPr>
        <w:t>Cuando llega el Ministerio Público del estado, ¿sabes cuánto tardó el peritaje para el asesinato de mi hijo? Ni un minuto cabrón, ni un minuto, (dijeron) de dónde le tiraron, de aquí, haber levante la mano señalando, espere no baje la mano para la foto. Es más el casquillo con el que me dispararon lo encontró mi hijo al otro día, temprano, no se dieron ni siquiera de andar con la lamparita, nada, les valía chingada, sabían que le iban a dar carpetazo. (Y) Se llevaron mi vehículo, me lo desmantelaron.</w:t>
      </w:r>
    </w:p>
    <w:p w14:paraId="0B4240E6" w14:textId="77777777" w:rsidR="001D7B29" w:rsidRDefault="001D7B29" w:rsidP="001D7B29">
      <w:pPr>
        <w:shd w:val="clear" w:color="auto" w:fill="FFFFFF"/>
        <w:spacing w:before="240" w:line="360" w:lineRule="auto"/>
        <w:ind w:left="708"/>
        <w:jc w:val="both"/>
        <w:rPr>
          <w:rFonts w:ascii="Arial" w:hAnsi="Arial" w:cs="Arial"/>
          <w:sz w:val="25"/>
          <w:szCs w:val="25"/>
        </w:rPr>
      </w:pPr>
      <w:r>
        <w:rPr>
          <w:rFonts w:ascii="Arial" w:hAnsi="Arial" w:cs="Arial"/>
          <w:sz w:val="25"/>
          <w:szCs w:val="25"/>
        </w:rPr>
        <w:t xml:space="preserve">Ahora por qué yo tengo esta hipótesis, acababan de nombrar a José Manzur como el pacificador del estado, como secretario general de Gobierno, e inmediatamente se dan los casos de Tlatlaya y el mío. Y el de Ayotzinapa, son el mismo año y uno al otro por muy pocos meses de diferencia. </w:t>
      </w:r>
    </w:p>
    <w:p w14:paraId="07C07AFE" w14:textId="77777777" w:rsidR="001D7B29" w:rsidRDefault="001D7B29" w:rsidP="001D7B29">
      <w:pPr>
        <w:shd w:val="clear" w:color="auto" w:fill="FFFFFF"/>
        <w:spacing w:before="240" w:line="360" w:lineRule="auto"/>
        <w:ind w:left="708"/>
        <w:jc w:val="both"/>
        <w:rPr>
          <w:rFonts w:ascii="Arial" w:hAnsi="Arial" w:cs="Arial"/>
          <w:sz w:val="25"/>
          <w:szCs w:val="25"/>
        </w:rPr>
      </w:pPr>
      <w:r>
        <w:rPr>
          <w:rFonts w:ascii="Arial" w:hAnsi="Arial" w:cs="Arial"/>
          <w:sz w:val="25"/>
          <w:szCs w:val="25"/>
        </w:rPr>
        <w:t xml:space="preserve">O sea el mismo pinche grupo criminal ejecutor de los jóvenes porque no aparecen los cuerpos, se manejan como desaparecidos, aunque todos sabemos perfectamente que están muertos, eso es imposible, venimos diciendo que aparezcan con vida porque es la consigna, pero en realidad los mataron, y fue los </w:t>
      </w:r>
      <w:r>
        <w:rPr>
          <w:rFonts w:ascii="Arial" w:hAnsi="Arial" w:cs="Arial"/>
          <w:i/>
          <w:sz w:val="25"/>
          <w:szCs w:val="25"/>
        </w:rPr>
        <w:t>Guerreros Unidos</w:t>
      </w:r>
      <w:r>
        <w:rPr>
          <w:rFonts w:ascii="Arial" w:hAnsi="Arial" w:cs="Arial"/>
          <w:sz w:val="25"/>
          <w:szCs w:val="25"/>
        </w:rPr>
        <w:t xml:space="preserve">, el brazo armado, los guardias blancas que utilizó Peña Nieto para someter, y por qué contra los jóvenes, porque si bien es cierto, mentira o lo que sea, ya le causaban problemas al gobierno con la toma de casetas, con las incursiones y con todo, querían mandar un mensaje de mano dura. </w:t>
      </w:r>
    </w:p>
    <w:p w14:paraId="7E3B2807" w14:textId="77777777" w:rsidR="001D7B29" w:rsidRDefault="001D7B29" w:rsidP="001D7B29">
      <w:pPr>
        <w:shd w:val="clear" w:color="auto" w:fill="FFFFFF"/>
        <w:spacing w:before="240" w:line="360" w:lineRule="auto"/>
        <w:ind w:left="708"/>
        <w:jc w:val="both"/>
        <w:rPr>
          <w:rFonts w:ascii="Arial" w:hAnsi="Arial" w:cs="Arial"/>
          <w:sz w:val="25"/>
          <w:szCs w:val="25"/>
        </w:rPr>
      </w:pPr>
      <w:r>
        <w:rPr>
          <w:rFonts w:ascii="Arial" w:hAnsi="Arial" w:cs="Arial"/>
          <w:sz w:val="25"/>
          <w:szCs w:val="25"/>
        </w:rPr>
        <w:t xml:space="preserve">En mi caso, tantas acciones que realice en contra del gobierno, con una causa justa, pues se les hizo fácil, saben qué este guey… éramos cinco los integrantes de del grupo que participábamos y éramos activistas, defensores y andábamos con nuestro arguende allí en Luvianos en defensa de todo. </w:t>
      </w:r>
    </w:p>
    <w:p w14:paraId="3E7B98DE" w14:textId="77777777" w:rsidR="001D7B29" w:rsidRDefault="001D7B29" w:rsidP="001D7B29">
      <w:pPr>
        <w:shd w:val="clear" w:color="auto" w:fill="FFFFFF"/>
        <w:spacing w:before="240" w:line="360" w:lineRule="auto"/>
        <w:ind w:left="708"/>
        <w:jc w:val="both"/>
        <w:rPr>
          <w:rFonts w:ascii="Arial" w:hAnsi="Arial" w:cs="Arial"/>
          <w:sz w:val="25"/>
          <w:szCs w:val="25"/>
        </w:rPr>
      </w:pPr>
      <w:r>
        <w:rPr>
          <w:rFonts w:ascii="Arial" w:hAnsi="Arial" w:cs="Arial"/>
          <w:sz w:val="25"/>
          <w:szCs w:val="25"/>
        </w:rPr>
        <w:t xml:space="preserve">Cuatro de ellos ya no estaban, ya nada más quedaba yo, soy el único que queda aquí, mi maestro el ingeniero Guillermo está exiliado en Canadá, qué dijeron, puso la radio, necesitamos hacer algo para partirle la madre porque si no nos va a seguir chingando, bueno vamos a darle un estate quieto, se les pasó la mano, no fue a mí, fue a mi hijo, al poco tiempo me tengo que salir de mi pueblo, como una primera instancia, me salgo de mi pueblo, a menos de un año de haberme salido me cierran la radio, la cierran un 15 de octubre, el 4 de noviembre el gobierno del Estado de México, todavía con el mando de Eruviel (Ávila) y de José Manzur emiten un comunicado criminalizándome: se llevó a cabo un operativo en Luvianos, en coordinación con la Marina, el Instituto Federal de Telecomunicaciones, la Secretaría del Medio Ambiente, y la Procuraduría del estado, en donde clausuramos una radio del crimen organizado, en la cual utilizaban para mandar mensajes a la ciudadanía pidiéndole que apoyaran a un grupo criminal relacionado con la delincuencia, así sacaron un desplegado, 21 días tarde, después del cierre… (pero) estaba con cámaras, y gracias a eso pude demandar y ganarles la demanda al gobierno del Estado de México, porque estamos en eso, en la reparación del daño, porque les gané. </w:t>
      </w:r>
    </w:p>
    <w:p w14:paraId="26A44E19" w14:textId="77777777" w:rsidR="001D7B29" w:rsidRDefault="001D7B29" w:rsidP="001D7B29">
      <w:pPr>
        <w:shd w:val="clear" w:color="auto" w:fill="FFFFFF"/>
        <w:spacing w:before="240" w:line="360" w:lineRule="auto"/>
        <w:ind w:left="708"/>
        <w:jc w:val="both"/>
        <w:rPr>
          <w:rFonts w:ascii="Arial" w:hAnsi="Arial" w:cs="Arial"/>
          <w:sz w:val="25"/>
          <w:szCs w:val="25"/>
        </w:rPr>
      </w:pPr>
      <w:r>
        <w:rPr>
          <w:rFonts w:ascii="Arial" w:hAnsi="Arial" w:cs="Arial"/>
          <w:sz w:val="25"/>
          <w:szCs w:val="25"/>
        </w:rPr>
        <w:t xml:space="preserve">Emiten este comunicado, ¿qué han de haber dicho? Le matamos un hijo, ya lo echamos a correr, le cerramos la radio, ¿saben qué?, hay que darle jaque mate a este desgraciado, hay que criminalizarlo y concluimos el caso, ¿qué les parece? y hasta lo desaparecemos. </w:t>
      </w:r>
    </w:p>
    <w:p w14:paraId="0854D992" w14:textId="77777777" w:rsidR="001D7B29" w:rsidRDefault="001D7B29" w:rsidP="001D7B29">
      <w:pPr>
        <w:pStyle w:val="Textoindependiente"/>
        <w:spacing w:line="360" w:lineRule="auto"/>
        <w:ind w:left="708"/>
        <w:jc w:val="both"/>
        <w:rPr>
          <w:rFonts w:ascii="Arial" w:hAnsi="Arial" w:cs="Arial"/>
          <w:sz w:val="24"/>
          <w:szCs w:val="24"/>
        </w:rPr>
      </w:pPr>
      <w:r>
        <w:rPr>
          <w:rFonts w:ascii="Arial" w:hAnsi="Arial" w:cs="Arial"/>
          <w:sz w:val="25"/>
          <w:szCs w:val="25"/>
        </w:rPr>
        <w:t>No contaban con que nosotros teníamos un locutor en Austin, Texas, teníamos archivado todo nuestro contenido, les salió el tiro por la culata. Pudimos demostrar la verdad. (Entrevista Indalecio Benítez, 22:02)</w:t>
      </w:r>
    </w:p>
    <w:p w14:paraId="3A2B6A44" w14:textId="77777777" w:rsidR="001D7B29" w:rsidRDefault="001D7B29" w:rsidP="006A00AB">
      <w:pPr>
        <w:pStyle w:val="Textoindependiente"/>
        <w:spacing w:line="360" w:lineRule="auto"/>
        <w:ind w:firstLine="708"/>
        <w:jc w:val="both"/>
        <w:rPr>
          <w:rFonts w:ascii="Arial" w:hAnsi="Arial" w:cs="Arial"/>
          <w:sz w:val="24"/>
          <w:szCs w:val="24"/>
        </w:rPr>
      </w:pPr>
      <w:r>
        <w:rPr>
          <w:rFonts w:ascii="Arial" w:hAnsi="Arial" w:cs="Arial"/>
          <w:sz w:val="24"/>
          <w:szCs w:val="24"/>
        </w:rPr>
        <w:t xml:space="preserve">En consideración de lo anterior, la vinculación del desempeño profesional de periodistas con agresiones o demandas que padecen en el corto, mediano o largo plazo, es un elemento que no puede soslayarse en el análisis de la protección a periodistas, pues aunque representa una línea muy delgada en esta problemática, es una variable que se presenta en otros casos. </w:t>
      </w:r>
    </w:p>
    <w:p w14:paraId="2E987D55" w14:textId="77777777" w:rsidR="001D7B29" w:rsidRDefault="001D7B29" w:rsidP="006A00AB">
      <w:pPr>
        <w:pStyle w:val="Textoindependiente"/>
        <w:spacing w:line="360" w:lineRule="auto"/>
        <w:ind w:firstLine="708"/>
        <w:jc w:val="both"/>
        <w:rPr>
          <w:rFonts w:ascii="Arial" w:hAnsi="Arial" w:cs="Arial"/>
          <w:sz w:val="24"/>
          <w:szCs w:val="24"/>
        </w:rPr>
      </w:pPr>
      <w:r>
        <w:rPr>
          <w:rFonts w:ascii="Arial" w:hAnsi="Arial" w:cs="Arial"/>
          <w:sz w:val="24"/>
          <w:szCs w:val="24"/>
        </w:rPr>
        <w:t>Situación que se agrava cuando hay tensión entre el poder político y el periodismo, como secuela del ejercicio de la libertad de expresión.</w:t>
      </w:r>
    </w:p>
    <w:p w14:paraId="2B0CFC6C" w14:textId="77777777" w:rsidR="001D7B29" w:rsidRDefault="001D7B29" w:rsidP="006A00AB">
      <w:pPr>
        <w:pStyle w:val="Textoindependiente"/>
        <w:spacing w:line="360" w:lineRule="auto"/>
        <w:ind w:firstLine="708"/>
        <w:jc w:val="both"/>
        <w:rPr>
          <w:rFonts w:ascii="Arial" w:hAnsi="Arial" w:cs="Arial"/>
          <w:sz w:val="24"/>
          <w:szCs w:val="24"/>
        </w:rPr>
      </w:pPr>
      <w:r>
        <w:rPr>
          <w:rFonts w:ascii="Arial" w:hAnsi="Arial" w:cs="Arial"/>
          <w:sz w:val="24"/>
          <w:szCs w:val="24"/>
        </w:rPr>
        <w:t>Es el caso del periodista Humberto Padgett, quien participo en el libro Los Suspirantes 2018 (Planeta, 2017)</w:t>
      </w:r>
      <w:r>
        <w:rPr>
          <w:rFonts w:ascii="Arial" w:hAnsi="Arial" w:cs="Arial"/>
          <w:i/>
          <w:sz w:val="24"/>
          <w:szCs w:val="24"/>
        </w:rPr>
        <w:t xml:space="preserve"> </w:t>
      </w:r>
      <w:r>
        <w:rPr>
          <w:rFonts w:ascii="Arial" w:hAnsi="Arial" w:cs="Arial"/>
          <w:sz w:val="24"/>
          <w:szCs w:val="24"/>
        </w:rPr>
        <w:t xml:space="preserve">con el capítulo denominado “Eruviel Ávila Villegas, Río de Luz”, donde refiere supuestos actos de pederastia en los cuales habrían estado involucrados el exgobernador del Estado de México, Eruviel Ávila Villegas, y al exobispo de Ecatepec, Onésimo Cepeda. </w:t>
      </w:r>
    </w:p>
    <w:p w14:paraId="2C3C8D35" w14:textId="77777777" w:rsidR="001D7B29" w:rsidRDefault="001D7B29" w:rsidP="006A00AB">
      <w:pPr>
        <w:pStyle w:val="Textoindependiente"/>
        <w:spacing w:line="360" w:lineRule="auto"/>
        <w:ind w:firstLine="708"/>
        <w:jc w:val="both"/>
        <w:rPr>
          <w:rFonts w:ascii="Arial" w:hAnsi="Arial" w:cs="Arial"/>
          <w:sz w:val="24"/>
          <w:szCs w:val="24"/>
        </w:rPr>
      </w:pPr>
      <w:r>
        <w:rPr>
          <w:rFonts w:ascii="Arial" w:hAnsi="Arial" w:cs="Arial"/>
          <w:sz w:val="24"/>
          <w:szCs w:val="24"/>
        </w:rPr>
        <w:t>Producto de esa publicación, el exmandatario mexiquense demandó al periodista por daño moral y en octubre de 2018 el juez tercero civil de primera instancia del distrito judicial de Ecatepec, José Epitacio Gumaro García García, encontró culpables a Humberto Padgett, y a una de sus fuentes que cita en dicho texto periodístico, Esteban Sánchez Villanueva. La sentencia indica que se confirmó el daño moral demandado, por lo cual debe pagar una suma económica que no fue cuantificada, aunque el exgobernador Eruviel Ávila solicitaba una reparación de 10 millones de pesos a cada uno de los demandados.</w:t>
      </w:r>
      <w:r>
        <w:rPr>
          <w:rStyle w:val="Refdenotaalpie"/>
        </w:rPr>
        <w:footnoteReference w:id="49"/>
      </w:r>
    </w:p>
    <w:p w14:paraId="2A01F928" w14:textId="546EF6D2" w:rsidR="001D7B29" w:rsidRDefault="001D7B29" w:rsidP="001D7B29">
      <w:pPr>
        <w:pStyle w:val="Textoindependiente"/>
        <w:spacing w:line="360" w:lineRule="auto"/>
        <w:jc w:val="both"/>
        <w:rPr>
          <w:rFonts w:ascii="Arial" w:hAnsi="Arial" w:cs="Arial"/>
          <w:sz w:val="24"/>
          <w:szCs w:val="24"/>
        </w:rPr>
      </w:pPr>
      <w:r>
        <w:rPr>
          <w:rFonts w:ascii="Arial" w:hAnsi="Arial" w:cs="Arial"/>
          <w:sz w:val="24"/>
          <w:szCs w:val="24"/>
        </w:rPr>
        <w:t xml:space="preserve"> </w:t>
      </w:r>
      <w:r w:rsidR="006A00AB">
        <w:rPr>
          <w:rFonts w:ascii="Arial" w:hAnsi="Arial" w:cs="Arial"/>
          <w:sz w:val="24"/>
          <w:szCs w:val="24"/>
        </w:rPr>
        <w:tab/>
      </w:r>
      <w:r>
        <w:rPr>
          <w:rFonts w:ascii="Arial" w:hAnsi="Arial" w:cs="Arial"/>
          <w:sz w:val="24"/>
          <w:szCs w:val="24"/>
        </w:rPr>
        <w:t>A la fecha el periodista litiga una apelación y aclara que está dispuesto a llevar el caso a instancias internacionales, pues denuncia que el fondo de la demanda en su contra es un embate político por su actividad periodística en el Estado de México y el ámbito nacional.</w:t>
      </w:r>
    </w:p>
    <w:p w14:paraId="28C03146" w14:textId="77777777" w:rsidR="001D7B29" w:rsidRDefault="001D7B29" w:rsidP="001D7B29">
      <w:pPr>
        <w:pStyle w:val="Textoindependiente"/>
        <w:spacing w:line="360" w:lineRule="auto"/>
        <w:ind w:left="708"/>
        <w:jc w:val="both"/>
        <w:rPr>
          <w:rFonts w:ascii="Arial" w:hAnsi="Arial" w:cs="Arial"/>
          <w:sz w:val="24"/>
          <w:szCs w:val="24"/>
        </w:rPr>
      </w:pPr>
      <w:r>
        <w:rPr>
          <w:rFonts w:ascii="Arial" w:hAnsi="Arial" w:cs="Arial"/>
          <w:sz w:val="24"/>
          <w:szCs w:val="24"/>
        </w:rPr>
        <w:t xml:space="preserve">Yo insisto en que a mí no me condenan por ese, por ese reportaje, yo creo que hay un asunto oportunista, o sea a mí me condenan porque he trabajado en el Estado de México y he denunciado cosas. Tengo un libro sobre feminicidio que publiqué al inicio de la gubernatura de Eruviel Ávila, tengo un libro sobre las relaciones del narcotráfico con la policía municipal de Alfredo del Mazo, actual gobernador y que publiqué al término del gobierno de Eruviel, en ese libro también se documenta como el padre del actual gobernador y también exgobernador, Alfredo del Mazo González, le vendió una casa en Cuernavaca al extinto narcotraficante, Amado Carrillo Fuentes, el señor de los cielos. Eso lo documenté. </w:t>
      </w:r>
    </w:p>
    <w:p w14:paraId="702F17AE" w14:textId="77777777" w:rsidR="001D7B29" w:rsidRDefault="001D7B29" w:rsidP="001D7B29">
      <w:pPr>
        <w:pStyle w:val="Textoindependiente"/>
        <w:spacing w:line="360" w:lineRule="auto"/>
        <w:ind w:left="708"/>
        <w:jc w:val="both"/>
        <w:rPr>
          <w:rFonts w:ascii="Arial" w:hAnsi="Arial" w:cs="Arial"/>
          <w:sz w:val="24"/>
          <w:szCs w:val="24"/>
        </w:rPr>
      </w:pPr>
      <w:r>
        <w:rPr>
          <w:rFonts w:ascii="Arial" w:hAnsi="Arial" w:cs="Arial"/>
          <w:sz w:val="24"/>
          <w:szCs w:val="24"/>
        </w:rPr>
        <w:t>Entonces aquí se busca una oportunidad y él, y tan se abusa de ésta, que el juez simplemente no reconoce la existencia de la coincidencia de las fuentes, colocando el hecho, lugar y momento a las personas que ellos refieren como participantes en las fiestas sexuales. (Entrevista Humberto Humberto Padgett, 11:44)</w:t>
      </w:r>
    </w:p>
    <w:p w14:paraId="49FA52CB" w14:textId="77777777" w:rsidR="006A00AB" w:rsidRDefault="001D7B29" w:rsidP="006A00AB">
      <w:pPr>
        <w:pStyle w:val="Textoindependiente"/>
        <w:spacing w:line="360" w:lineRule="auto"/>
        <w:ind w:firstLine="708"/>
        <w:jc w:val="both"/>
        <w:rPr>
          <w:rFonts w:ascii="Arial" w:hAnsi="Arial" w:cs="Arial"/>
          <w:sz w:val="24"/>
          <w:szCs w:val="24"/>
        </w:rPr>
      </w:pPr>
      <w:r>
        <w:rPr>
          <w:rFonts w:ascii="Arial" w:hAnsi="Arial" w:cs="Arial"/>
          <w:sz w:val="24"/>
          <w:szCs w:val="24"/>
        </w:rPr>
        <w:t>Los argumentos esgrimidos por Padgett ilustran la dimensión que adquiere la relación entre el poder político y el periodismo cuando el primero considera que el ejercicio periodístico se ha excedido en la aplicación de la libertad de expresión. Aun cuando el periodista, como se indica en este caso, divulgó información con base en fuentes abiertas e identificables.</w:t>
      </w:r>
      <w:r>
        <w:rPr>
          <w:rStyle w:val="Refdenotaalpie"/>
        </w:rPr>
        <w:footnoteReference w:id="50"/>
      </w:r>
      <w:r>
        <w:rPr>
          <w:rFonts w:ascii="Arial" w:hAnsi="Arial" w:cs="Arial"/>
          <w:sz w:val="24"/>
          <w:szCs w:val="24"/>
        </w:rPr>
        <w:t xml:space="preserve"> </w:t>
      </w:r>
    </w:p>
    <w:p w14:paraId="6CB30217" w14:textId="77777777" w:rsidR="006A00AB" w:rsidRDefault="001D7B29" w:rsidP="006A00AB">
      <w:pPr>
        <w:pStyle w:val="Textoindependiente"/>
        <w:spacing w:line="360" w:lineRule="auto"/>
        <w:ind w:firstLine="708"/>
        <w:jc w:val="both"/>
        <w:rPr>
          <w:rFonts w:ascii="Arial" w:hAnsi="Arial" w:cs="Arial"/>
          <w:sz w:val="24"/>
          <w:szCs w:val="24"/>
        </w:rPr>
      </w:pPr>
      <w:r>
        <w:rPr>
          <w:rFonts w:ascii="Arial" w:hAnsi="Arial" w:cs="Arial"/>
          <w:sz w:val="24"/>
          <w:szCs w:val="24"/>
        </w:rPr>
        <w:t>Padgett aclara que la demanda en su contra también evidencia la vulnerabilidad a la cual se enfrenta el periodista cuando trata de ser crítico e interpela al poder político, mediante el ejercicio profesional de la libertad de expresión.</w:t>
      </w:r>
    </w:p>
    <w:p w14:paraId="29E216F3" w14:textId="77777777" w:rsidR="006A00AB" w:rsidRDefault="001D7B29" w:rsidP="006A00AB">
      <w:pPr>
        <w:pStyle w:val="Textoindependiente"/>
        <w:spacing w:line="360" w:lineRule="auto"/>
        <w:ind w:left="708"/>
        <w:jc w:val="both"/>
        <w:rPr>
          <w:rFonts w:ascii="Arial" w:hAnsi="Arial" w:cs="Arial"/>
          <w:sz w:val="24"/>
          <w:szCs w:val="24"/>
        </w:rPr>
      </w:pPr>
      <w:r>
        <w:rPr>
          <w:rFonts w:ascii="Arial" w:hAnsi="Arial" w:cs="Arial"/>
          <w:sz w:val="24"/>
          <w:szCs w:val="24"/>
        </w:rPr>
        <w:t>¿Deben los juzgados admitir demandas de daño moral interpuestas por políticos en contra de periodistas en el área de influencia política de esos políticos?, pues en mi opinión no, porque lleva situaciones de sumo desequilibrio entre las fuerzas en pugna. (Entrevista Humberto Padgett, 7:47)</w:t>
      </w:r>
    </w:p>
    <w:p w14:paraId="56035827" w14:textId="77777777" w:rsidR="006A00AB" w:rsidRDefault="001D7B29" w:rsidP="006A00AB">
      <w:pPr>
        <w:pStyle w:val="Textoindependiente"/>
        <w:spacing w:line="360" w:lineRule="auto"/>
        <w:ind w:firstLine="360"/>
        <w:jc w:val="both"/>
        <w:rPr>
          <w:rFonts w:ascii="Arial" w:hAnsi="Arial" w:cs="Arial"/>
          <w:sz w:val="24"/>
          <w:szCs w:val="24"/>
        </w:rPr>
      </w:pPr>
      <w:r>
        <w:rPr>
          <w:rFonts w:ascii="Arial" w:hAnsi="Arial" w:cs="Arial"/>
          <w:sz w:val="24"/>
          <w:szCs w:val="24"/>
        </w:rPr>
        <w:t>Otro aspecto que resalta Padgett son los costos económicos que genera una demanda de este tipo, lo cual no es asequible para el común de los periodistas, quienes en promedio reciben un salario mensual de 10 mil pesos</w:t>
      </w:r>
      <w:r>
        <w:rPr>
          <w:rStyle w:val="Refdenotaalpie"/>
        </w:rPr>
        <w:footnoteReference w:id="51"/>
      </w:r>
      <w:r>
        <w:rPr>
          <w:rFonts w:ascii="Arial" w:hAnsi="Arial" w:cs="Arial"/>
          <w:sz w:val="24"/>
          <w:szCs w:val="24"/>
        </w:rPr>
        <w:t>, lo cual a su vez genera un impacto inhibitorio para el ejercicio periodístico frente al poder político, pues se crean zonas de silencio ante el temor de la judicialización de la libertad de expresión.</w:t>
      </w:r>
    </w:p>
    <w:p w14:paraId="0705ED03" w14:textId="5FC9A672" w:rsidR="001D7B29" w:rsidRDefault="001D7B29" w:rsidP="006A00AB">
      <w:pPr>
        <w:pStyle w:val="Textoindependiente"/>
        <w:spacing w:line="360" w:lineRule="auto"/>
        <w:ind w:left="708"/>
        <w:jc w:val="both"/>
        <w:rPr>
          <w:rFonts w:ascii="Arial" w:hAnsi="Arial" w:cs="Arial"/>
          <w:sz w:val="24"/>
          <w:szCs w:val="24"/>
        </w:rPr>
      </w:pPr>
      <w:r>
        <w:rPr>
          <w:rFonts w:ascii="Arial" w:hAnsi="Arial" w:cs="Arial"/>
          <w:sz w:val="24"/>
          <w:szCs w:val="24"/>
        </w:rPr>
        <w:t>Cuando un presidente municipal de equis municipio, de equis estado, quiere emprender acción en contra de un periodista, lo único que falta es que redacte una demanda y ya meterá al comunicador en un embrollo legal de años sin que necesariamente tenga la capacidad económica de enfrentarlo, porque una demanda, una defensa jurídica capacitada y especializada no es barata.</w:t>
      </w:r>
    </w:p>
    <w:p w14:paraId="096237C7" w14:textId="4CC93F74" w:rsidR="001D7B29" w:rsidRDefault="001D7B29" w:rsidP="006A00AB">
      <w:pPr>
        <w:pStyle w:val="Textoindependiente"/>
        <w:spacing w:line="360" w:lineRule="auto"/>
        <w:ind w:left="708"/>
        <w:jc w:val="both"/>
        <w:rPr>
          <w:rFonts w:ascii="Arial" w:hAnsi="Arial" w:cs="Arial"/>
          <w:sz w:val="25"/>
          <w:szCs w:val="25"/>
        </w:rPr>
      </w:pPr>
      <w:r>
        <w:rPr>
          <w:rFonts w:ascii="Arial" w:hAnsi="Arial" w:cs="Arial"/>
          <w:sz w:val="24"/>
          <w:szCs w:val="24"/>
        </w:rPr>
        <w:t xml:space="preserve">Luego viene un efecto inhibitorio en el periodista, en su medio, y en la fuente porque hay una advertencia de que habrá acción legal. Y finalmente te vierten la figura </w:t>
      </w:r>
      <w:r w:rsidR="00CF6D92">
        <w:rPr>
          <w:rFonts w:ascii="Arial" w:hAnsi="Arial" w:cs="Arial"/>
          <w:sz w:val="24"/>
          <w:szCs w:val="24"/>
        </w:rPr>
        <w:t>del</w:t>
      </w:r>
      <w:r>
        <w:rPr>
          <w:rFonts w:ascii="Arial" w:hAnsi="Arial" w:cs="Arial"/>
          <w:sz w:val="24"/>
          <w:szCs w:val="24"/>
        </w:rPr>
        <w:t xml:space="preserve"> derecho a la honra, convirtiéndolo en una censura legitimada por un poder judicial, pues sumiso y en muchos casos de escasa competencia. (Entrevista Humberto Padgett, 11:44)</w:t>
      </w:r>
    </w:p>
    <w:p w14:paraId="18027CCD" w14:textId="77777777" w:rsidR="001D7B29" w:rsidRDefault="001D7B29" w:rsidP="006A00AB">
      <w:pPr>
        <w:pStyle w:val="Textoindependiente"/>
        <w:spacing w:line="360" w:lineRule="auto"/>
        <w:ind w:firstLine="708"/>
        <w:jc w:val="both"/>
        <w:rPr>
          <w:rFonts w:ascii="Arial" w:hAnsi="Arial" w:cs="Arial"/>
          <w:sz w:val="25"/>
          <w:szCs w:val="25"/>
        </w:rPr>
      </w:pPr>
      <w:r>
        <w:rPr>
          <w:rFonts w:ascii="Arial" w:hAnsi="Arial" w:cs="Arial"/>
          <w:sz w:val="25"/>
          <w:szCs w:val="25"/>
        </w:rPr>
        <w:t xml:space="preserve">A ello se suma otro problema en la defensa del ejercicio periodístico, pues en países como México dicha protección se ha focalizado en los asesinatos de periodistas, pero sin vislumbrar el fenómeno que diariamente rodea a esta profesión, la cual está expuesta en todo momento al ser una figura de constante interpelación del poder político, lo cual no se visibiliza en su correcta dimensión. </w:t>
      </w:r>
    </w:p>
    <w:p w14:paraId="327A7E18" w14:textId="77777777" w:rsidR="001D7B29" w:rsidRDefault="001D7B29" w:rsidP="001D7B29">
      <w:pPr>
        <w:pStyle w:val="Textoindependiente"/>
        <w:spacing w:line="360" w:lineRule="auto"/>
        <w:ind w:left="708"/>
        <w:jc w:val="both"/>
        <w:rPr>
          <w:rFonts w:ascii="Arial" w:hAnsi="Arial" w:cs="Arial"/>
          <w:sz w:val="24"/>
          <w:szCs w:val="24"/>
        </w:rPr>
      </w:pPr>
      <w:r>
        <w:rPr>
          <w:rFonts w:ascii="Arial" w:hAnsi="Arial" w:cs="Arial"/>
          <w:sz w:val="25"/>
          <w:szCs w:val="25"/>
        </w:rPr>
        <w:t>Eso también habla de la calidad de quienes dicen defender la libertad de expresión, junto con que alzar la voz por un periodista muerto es redituable, levantarla por un periodista en problema es asumir parte de su problema y suponerte en algún tipo de riesgo por parte de quién demanda. (Entrevista Humberto Padgett, 29:20)</w:t>
      </w:r>
    </w:p>
    <w:p w14:paraId="56CC5AF8" w14:textId="77777777" w:rsidR="006A00AB" w:rsidRDefault="001D7B29" w:rsidP="006A00AB">
      <w:pPr>
        <w:pStyle w:val="Textoindependiente"/>
        <w:spacing w:line="360" w:lineRule="auto"/>
        <w:ind w:firstLine="708"/>
        <w:jc w:val="both"/>
        <w:rPr>
          <w:rFonts w:ascii="Arial" w:hAnsi="Arial" w:cs="Arial"/>
          <w:sz w:val="24"/>
          <w:szCs w:val="24"/>
        </w:rPr>
      </w:pPr>
      <w:r>
        <w:rPr>
          <w:rFonts w:ascii="Arial" w:hAnsi="Arial" w:cs="Arial"/>
          <w:sz w:val="24"/>
          <w:szCs w:val="24"/>
        </w:rPr>
        <w:t xml:space="preserve">En este contexto esquemas como el </w:t>
      </w:r>
      <w:r>
        <w:rPr>
          <w:rFonts w:ascii="Arial" w:eastAsia="Times New Roman" w:hAnsi="Arial" w:cs="Arial"/>
          <w:color w:val="000000"/>
          <w:sz w:val="24"/>
          <w:szCs w:val="24"/>
        </w:rPr>
        <w:t>MPPDDHP o la propia Ley de la cual deriva este mecanismo quedan limitados o ajenos a los conflictos que vive un periodista en su relación con el poder político, que por lo expuesto anteriormente se constituye en un riesgo social invisible para los actuales mecanismos de protección a periodistas, quienes a su vez adaptan su ejercicio periodístico a este modelo de entropía social, pues “</w:t>
      </w:r>
      <w:r>
        <w:rPr>
          <w:rFonts w:ascii="Arial" w:hAnsi="Arial" w:cs="Arial"/>
          <w:sz w:val="24"/>
          <w:szCs w:val="24"/>
        </w:rPr>
        <w:t>una parte que define al quehacer del periodismo mexicano es el conveniente silencio o la grosera cobardía” (Entrevista Humberto Padgett, 30:44).</w:t>
      </w:r>
    </w:p>
    <w:p w14:paraId="75327F09" w14:textId="77777777" w:rsidR="006A00AB" w:rsidRDefault="001D7B29" w:rsidP="006A00AB">
      <w:pPr>
        <w:pStyle w:val="Textoindependiente"/>
        <w:spacing w:line="360" w:lineRule="auto"/>
        <w:ind w:firstLine="708"/>
        <w:jc w:val="both"/>
        <w:rPr>
          <w:rFonts w:ascii="Arial" w:hAnsi="Arial" w:cs="Arial"/>
          <w:sz w:val="24"/>
          <w:szCs w:val="24"/>
        </w:rPr>
      </w:pPr>
      <w:r>
        <w:rPr>
          <w:rFonts w:ascii="Arial" w:hAnsi="Arial" w:cs="Arial"/>
          <w:sz w:val="24"/>
          <w:szCs w:val="24"/>
        </w:rPr>
        <w:t>Al respecto el Informe Especial sobre la Situación de la Libertad de Expresión en México (IESLEM, 2018), elaborado por la Comisión Interamericana de Derechos Humanos (CIDH) y la Relatoría Especial para la Libertad de Expresión (RELE), refiere que los ataques contra periodistas exigen modalidades específicas para su reconocimiento.</w:t>
      </w:r>
      <w:r>
        <w:rPr>
          <w:rStyle w:val="Refdenotaalpie"/>
        </w:rPr>
        <w:footnoteReference w:id="52"/>
      </w:r>
      <w:r w:rsidR="006A00AB">
        <w:rPr>
          <w:rFonts w:ascii="Arial" w:hAnsi="Arial" w:cs="Arial"/>
          <w:sz w:val="24"/>
          <w:szCs w:val="24"/>
        </w:rPr>
        <w:t xml:space="preserve"> </w:t>
      </w:r>
    </w:p>
    <w:p w14:paraId="50021BF9" w14:textId="65B53EAE" w:rsidR="001D7B29" w:rsidRDefault="001D7B29" w:rsidP="006A00AB">
      <w:pPr>
        <w:pStyle w:val="Textoindependiente"/>
        <w:spacing w:line="360" w:lineRule="auto"/>
        <w:ind w:left="708"/>
        <w:jc w:val="both"/>
        <w:rPr>
          <w:rFonts w:ascii="Arial" w:hAnsi="Arial" w:cs="Arial"/>
          <w:sz w:val="24"/>
          <w:szCs w:val="24"/>
        </w:rPr>
      </w:pPr>
      <w:r>
        <w:rPr>
          <w:rFonts w:ascii="Arial" w:hAnsi="Arial" w:cs="Arial"/>
          <w:sz w:val="24"/>
          <w:szCs w:val="24"/>
        </w:rPr>
        <w:t>Tanto periodistas como titulares de medios de comunicación expresaron su preocupación por la aplicación, por parte de autoridades, de la ley y de procedimientos legales para hostigar y silenciar actividades periodísticas críticas, por ejemplo, realizando auditorías fiscales injustificadas y planteando acciones penales y civiles infundadas. En varios casos, los ataques no se informan por temor a que la situación se agrave o, sencillamente, por desconfianza. (IESLEM, 2018, p. 7)</w:t>
      </w:r>
    </w:p>
    <w:p w14:paraId="7BF7FD7D" w14:textId="77777777" w:rsidR="001D7B29" w:rsidRDefault="001D7B29" w:rsidP="006A00AB">
      <w:pPr>
        <w:pStyle w:val="Textoindependiente"/>
        <w:spacing w:line="360" w:lineRule="auto"/>
        <w:ind w:firstLine="708"/>
        <w:jc w:val="both"/>
        <w:rPr>
          <w:rFonts w:ascii="Arial" w:hAnsi="Arial" w:cs="Arial"/>
          <w:sz w:val="24"/>
          <w:szCs w:val="24"/>
        </w:rPr>
      </w:pPr>
      <w:r>
        <w:rPr>
          <w:rFonts w:ascii="Arial" w:hAnsi="Arial" w:cs="Arial"/>
          <w:sz w:val="24"/>
          <w:szCs w:val="24"/>
        </w:rPr>
        <w:t>De ahí que sea necesario visibilizar el riesgo social que implica esa relación entre el poder político y periodismo, lo cual también resulta contradictorio, pues ambos tareas se complementarían dentro de un modelo democrático, sin embargo, a la luz de lo comentado por los citados periodistas puede argumentarse el peligro que representa esa relación cuando adquiere matices desfavorables para el periodismo, quien dentro de un ejercicio profesional siempre estará en posición de garantizar el acceso a la información pública.</w:t>
      </w:r>
    </w:p>
    <w:p w14:paraId="73C4A309" w14:textId="77777777" w:rsidR="001D7B29" w:rsidRDefault="001D7B29" w:rsidP="00F43C81">
      <w:pPr>
        <w:pStyle w:val="Textoindependiente"/>
        <w:spacing w:line="360" w:lineRule="auto"/>
        <w:ind w:firstLine="708"/>
        <w:jc w:val="both"/>
        <w:rPr>
          <w:rFonts w:ascii="Arial" w:hAnsi="Arial" w:cs="Arial"/>
          <w:sz w:val="24"/>
          <w:szCs w:val="24"/>
        </w:rPr>
      </w:pPr>
      <w:r>
        <w:rPr>
          <w:rFonts w:ascii="Arial" w:hAnsi="Arial" w:cs="Arial"/>
          <w:sz w:val="24"/>
          <w:szCs w:val="24"/>
        </w:rPr>
        <w:t>Un segundo riesgo social a analizar es la violencia de los poderes fácticos, lo cual es una constante en el ejercicio del periodista Indalecio Benítez Mondragón, antes y después de la agresión que sufrió en el municipio de Luvianos.</w:t>
      </w:r>
    </w:p>
    <w:p w14:paraId="59AF8F92" w14:textId="77777777" w:rsidR="001D7B29" w:rsidRDefault="001D7B29" w:rsidP="00F43C81">
      <w:pPr>
        <w:pStyle w:val="Textoindependiente"/>
        <w:spacing w:line="360" w:lineRule="auto"/>
        <w:ind w:firstLine="708"/>
        <w:jc w:val="both"/>
        <w:rPr>
          <w:rFonts w:ascii="Arial" w:eastAsia="Times New Roman" w:hAnsi="Arial" w:cs="Arial"/>
          <w:color w:val="000000"/>
          <w:sz w:val="24"/>
          <w:szCs w:val="24"/>
        </w:rPr>
      </w:pPr>
      <w:r>
        <w:rPr>
          <w:rFonts w:ascii="Arial" w:hAnsi="Arial" w:cs="Arial"/>
          <w:sz w:val="24"/>
          <w:szCs w:val="24"/>
        </w:rPr>
        <w:t xml:space="preserve">Violencia que escapa al </w:t>
      </w:r>
      <w:r>
        <w:rPr>
          <w:rFonts w:ascii="Arial" w:eastAsia="Times New Roman" w:hAnsi="Arial" w:cs="Arial"/>
          <w:color w:val="000000"/>
          <w:sz w:val="24"/>
          <w:szCs w:val="24"/>
        </w:rPr>
        <w:t>MPPDDHP debido al clima de inseguridad e impunidad que él mismo denuncia, lo cual lo ha obligado a ser investigador de su propia agresión ante las omisiones que advierte en las propias autoridades ministeriales.</w:t>
      </w:r>
    </w:p>
    <w:p w14:paraId="3F23C542" w14:textId="35ADE283" w:rsidR="001D7B29" w:rsidRDefault="001D7B29" w:rsidP="001D7B29">
      <w:pPr>
        <w:pStyle w:val="Textoindependiente"/>
        <w:spacing w:line="360" w:lineRule="auto"/>
        <w:ind w:left="708"/>
        <w:jc w:val="both"/>
        <w:rPr>
          <w:rFonts w:ascii="Arial" w:eastAsia="Times New Roman" w:hAnsi="Arial" w:cs="Arial"/>
          <w:color w:val="000000"/>
          <w:sz w:val="24"/>
          <w:szCs w:val="24"/>
        </w:rPr>
      </w:pPr>
      <w:r>
        <w:rPr>
          <w:rFonts w:ascii="Arial" w:eastAsia="Times New Roman" w:hAnsi="Arial" w:cs="Arial"/>
          <w:color w:val="000000"/>
          <w:sz w:val="24"/>
          <w:szCs w:val="24"/>
        </w:rPr>
        <w:t>Hay unos jóvenes que fueron detenidos por el grupo</w:t>
      </w:r>
      <w:r w:rsidR="00F43C81">
        <w:rPr>
          <w:rFonts w:ascii="Arial" w:eastAsia="Times New Roman" w:hAnsi="Arial" w:cs="Arial"/>
          <w:color w:val="000000"/>
          <w:sz w:val="24"/>
          <w:szCs w:val="24"/>
        </w:rPr>
        <w:t xml:space="preserve"> de militares que participó en </w:t>
      </w:r>
      <w:r>
        <w:rPr>
          <w:rFonts w:ascii="Arial" w:eastAsia="Times New Roman" w:hAnsi="Arial" w:cs="Arial"/>
          <w:color w:val="000000"/>
          <w:sz w:val="24"/>
          <w:szCs w:val="24"/>
        </w:rPr>
        <w:t>los asesinatos de los delincuentes en Tlatlaya, este mismo operativo que mató, eres el primero saberlo, te lo digo, este grupo de m</w:t>
      </w:r>
      <w:r w:rsidR="00F43C81">
        <w:rPr>
          <w:rFonts w:ascii="Arial" w:eastAsia="Times New Roman" w:hAnsi="Arial" w:cs="Arial"/>
          <w:color w:val="000000"/>
          <w:sz w:val="24"/>
          <w:szCs w:val="24"/>
        </w:rPr>
        <w:t xml:space="preserve">ilitares estaba corrompido con </w:t>
      </w:r>
      <w:r>
        <w:rPr>
          <w:rFonts w:ascii="Arial" w:eastAsia="Times New Roman" w:hAnsi="Arial" w:cs="Arial"/>
          <w:color w:val="000000"/>
          <w:sz w:val="24"/>
          <w:szCs w:val="24"/>
        </w:rPr>
        <w:t>los</w:t>
      </w:r>
      <w:r>
        <w:rPr>
          <w:rFonts w:ascii="Arial" w:eastAsia="Times New Roman" w:hAnsi="Arial" w:cs="Arial"/>
          <w:i/>
          <w:iCs/>
          <w:color w:val="000000"/>
          <w:sz w:val="24"/>
          <w:szCs w:val="24"/>
        </w:rPr>
        <w:t xml:space="preserve"> Guerreros Unidos</w:t>
      </w:r>
      <w:r>
        <w:rPr>
          <w:rFonts w:ascii="Arial" w:eastAsia="Times New Roman" w:hAnsi="Arial" w:cs="Arial"/>
          <w:color w:val="000000"/>
          <w:sz w:val="24"/>
          <w:szCs w:val="24"/>
        </w:rPr>
        <w:t>, este grupo criminal proporcionaba información al Ejército, o sea una triangulación, no todo el Ejército tampo</w:t>
      </w:r>
      <w:r w:rsidR="00F43C81">
        <w:rPr>
          <w:rFonts w:ascii="Arial" w:eastAsia="Times New Roman" w:hAnsi="Arial" w:cs="Arial"/>
          <w:color w:val="000000"/>
          <w:sz w:val="24"/>
          <w:szCs w:val="24"/>
        </w:rPr>
        <w:t xml:space="preserve">co, era sí un grupo que estaba </w:t>
      </w:r>
      <w:r>
        <w:rPr>
          <w:rFonts w:ascii="Arial" w:eastAsia="Times New Roman" w:hAnsi="Arial" w:cs="Arial"/>
          <w:color w:val="000000"/>
          <w:sz w:val="24"/>
          <w:szCs w:val="24"/>
        </w:rPr>
        <w:t xml:space="preserve">metido en el 102 Batallón de Tejupilco, el </w:t>
      </w:r>
      <w:r w:rsidR="00F43C81">
        <w:rPr>
          <w:rFonts w:ascii="Arial" w:eastAsia="Times New Roman" w:hAnsi="Arial" w:cs="Arial"/>
          <w:color w:val="000000"/>
          <w:sz w:val="24"/>
          <w:szCs w:val="24"/>
        </w:rPr>
        <w:t xml:space="preserve">grupo de marinos que estaba en </w:t>
      </w:r>
      <w:r>
        <w:rPr>
          <w:rFonts w:ascii="Arial" w:eastAsia="Times New Roman" w:hAnsi="Arial" w:cs="Arial"/>
          <w:color w:val="000000"/>
          <w:sz w:val="24"/>
          <w:szCs w:val="24"/>
        </w:rPr>
        <w:t xml:space="preserve">Luvianos, y estaban corrompidos con los </w:t>
      </w:r>
      <w:r>
        <w:rPr>
          <w:rFonts w:ascii="Arial" w:eastAsia="Times New Roman" w:hAnsi="Arial" w:cs="Arial"/>
          <w:i/>
          <w:iCs/>
          <w:color w:val="000000"/>
          <w:sz w:val="24"/>
          <w:szCs w:val="24"/>
        </w:rPr>
        <w:t>Guerreros Unidos</w:t>
      </w:r>
      <w:r>
        <w:rPr>
          <w:rFonts w:ascii="Arial" w:eastAsia="Times New Roman" w:hAnsi="Arial" w:cs="Arial"/>
          <w:color w:val="000000"/>
          <w:sz w:val="24"/>
          <w:szCs w:val="24"/>
        </w:rPr>
        <w:t xml:space="preserve">, por un lado y otro, eran con favores pagados para allá y para acá. </w:t>
      </w:r>
    </w:p>
    <w:p w14:paraId="5A533A0F" w14:textId="77777777" w:rsidR="001D7B29" w:rsidRDefault="001D7B29" w:rsidP="001D7B29">
      <w:pPr>
        <w:pStyle w:val="Textoindependiente"/>
        <w:spacing w:line="360" w:lineRule="auto"/>
        <w:ind w:left="708"/>
        <w:jc w:val="both"/>
        <w:rPr>
          <w:rFonts w:ascii="Arial" w:eastAsia="Times New Roman" w:hAnsi="Arial" w:cs="Arial"/>
          <w:color w:val="000000"/>
          <w:sz w:val="24"/>
          <w:szCs w:val="24"/>
        </w:rPr>
      </w:pPr>
      <w:r>
        <w:rPr>
          <w:rFonts w:ascii="Arial" w:eastAsia="Times New Roman" w:hAnsi="Arial" w:cs="Arial"/>
          <w:color w:val="000000"/>
          <w:sz w:val="24"/>
          <w:szCs w:val="24"/>
        </w:rPr>
        <w:t xml:space="preserve">Hay unos jóvenes que fueron detenidos por una camioneta del Ejército, del Batallón de ahí de Tejupilco, y fue entregado al grupo de los </w:t>
      </w:r>
      <w:r>
        <w:rPr>
          <w:rFonts w:ascii="Arial" w:eastAsia="Times New Roman" w:hAnsi="Arial" w:cs="Arial"/>
          <w:i/>
          <w:iCs/>
          <w:color w:val="000000"/>
          <w:sz w:val="24"/>
          <w:szCs w:val="24"/>
        </w:rPr>
        <w:t>Guerreros Unidos</w:t>
      </w:r>
      <w:r>
        <w:rPr>
          <w:rFonts w:ascii="Arial" w:eastAsia="Times New Roman" w:hAnsi="Arial" w:cs="Arial"/>
          <w:color w:val="000000"/>
          <w:sz w:val="24"/>
          <w:szCs w:val="24"/>
        </w:rPr>
        <w:t xml:space="preserve"> para que les diera información sobre unos casos.</w:t>
      </w:r>
    </w:p>
    <w:p w14:paraId="45E73D6C" w14:textId="2EE5DE61" w:rsidR="001D7B29" w:rsidRDefault="001D7B29" w:rsidP="001D7B29">
      <w:pPr>
        <w:pStyle w:val="Textoindependiente"/>
        <w:spacing w:line="360" w:lineRule="auto"/>
        <w:ind w:left="708"/>
        <w:jc w:val="both"/>
        <w:rPr>
          <w:rFonts w:ascii="Arial" w:eastAsia="Times New Roman" w:hAnsi="Arial" w:cs="Arial"/>
          <w:color w:val="000000"/>
          <w:sz w:val="24"/>
          <w:szCs w:val="24"/>
        </w:rPr>
      </w:pPr>
      <w:r>
        <w:rPr>
          <w:rFonts w:ascii="Arial" w:eastAsia="Times New Roman" w:hAnsi="Arial" w:cs="Arial"/>
          <w:color w:val="000000"/>
          <w:sz w:val="24"/>
          <w:szCs w:val="24"/>
        </w:rPr>
        <w:t xml:space="preserve">Días antes del atentado que yo sufrí habían lanzado volantes en Luvianos a donde acusaban de la relación que había entre la Marina y el cartel de los </w:t>
      </w:r>
      <w:r>
        <w:rPr>
          <w:rFonts w:ascii="Arial" w:eastAsia="Times New Roman" w:hAnsi="Arial" w:cs="Arial"/>
          <w:i/>
          <w:iCs/>
          <w:color w:val="000000"/>
          <w:sz w:val="24"/>
          <w:szCs w:val="24"/>
        </w:rPr>
        <w:t>Guerreros Unidos</w:t>
      </w:r>
      <w:r>
        <w:rPr>
          <w:rFonts w:ascii="Arial" w:eastAsia="Times New Roman" w:hAnsi="Arial" w:cs="Arial"/>
          <w:color w:val="000000"/>
          <w:sz w:val="24"/>
          <w:szCs w:val="24"/>
        </w:rPr>
        <w:t xml:space="preserve">, ahí pusieron de manifiesto la corrupción, y todo, y levantaron a </w:t>
      </w:r>
      <w:r w:rsidR="00F43C81">
        <w:rPr>
          <w:rFonts w:ascii="Arial" w:eastAsia="Times New Roman" w:hAnsi="Arial" w:cs="Arial"/>
          <w:color w:val="000000"/>
          <w:sz w:val="24"/>
          <w:szCs w:val="24"/>
        </w:rPr>
        <w:t xml:space="preserve">este joven acusándolo de haber </w:t>
      </w:r>
      <w:r>
        <w:rPr>
          <w:rFonts w:ascii="Arial" w:eastAsia="Times New Roman" w:hAnsi="Arial" w:cs="Arial"/>
          <w:color w:val="000000"/>
          <w:sz w:val="24"/>
          <w:szCs w:val="24"/>
        </w:rPr>
        <w:t xml:space="preserve">sido uno de los que tiró ese volante, y ese joven lo vincularon conmigo y le dijeron que también a mí me iba a llevar la chingada porque yo había participado en eso, cosa que es mentira y no me rajaría si lo hubiera hecho, pero no hice ese volante yo, pero sé que la Marina y los Guerreros Unidos tuvieron una plática para desaparecer y buscar quiénes habían lanzado esa información. (Entrevista Indalecio Benítez, 29:22)  </w:t>
      </w:r>
    </w:p>
    <w:p w14:paraId="532C2842" w14:textId="185B2E9E" w:rsidR="001D7B29" w:rsidRDefault="001D7B29" w:rsidP="00F43C81">
      <w:pPr>
        <w:pStyle w:val="Textoindependiente"/>
        <w:spacing w:line="360" w:lineRule="auto"/>
        <w:ind w:firstLine="708"/>
        <w:jc w:val="both"/>
        <w:rPr>
          <w:rFonts w:ascii="Arial" w:eastAsia="Times New Roman" w:hAnsi="Arial" w:cs="Arial"/>
          <w:color w:val="000000"/>
          <w:sz w:val="24"/>
          <w:szCs w:val="24"/>
        </w:rPr>
      </w:pPr>
      <w:r>
        <w:rPr>
          <w:rFonts w:ascii="Arial" w:eastAsia="Times New Roman" w:hAnsi="Arial" w:cs="Arial"/>
          <w:color w:val="000000"/>
          <w:sz w:val="24"/>
          <w:szCs w:val="24"/>
        </w:rPr>
        <w:t xml:space="preserve">En la narración que hace estos hechos, </w:t>
      </w:r>
      <w:r w:rsidR="00CF6D92">
        <w:rPr>
          <w:rFonts w:ascii="Arial" w:eastAsia="Times New Roman" w:hAnsi="Arial" w:cs="Arial"/>
          <w:color w:val="000000"/>
          <w:sz w:val="24"/>
          <w:szCs w:val="24"/>
        </w:rPr>
        <w:t>Benítez</w:t>
      </w:r>
      <w:r>
        <w:rPr>
          <w:rFonts w:ascii="Arial" w:eastAsia="Times New Roman" w:hAnsi="Arial" w:cs="Arial"/>
          <w:color w:val="000000"/>
          <w:sz w:val="24"/>
          <w:szCs w:val="24"/>
        </w:rPr>
        <w:t xml:space="preserve"> ilustra un ambiente donde priva una ausencia del Estado de Derecho, entendido como el modelo de orden donde los poderes públicos son regulados por normas generales y que deben ser ejercidas en el ámbito de las leyes que las regulan.</w:t>
      </w:r>
      <w:r>
        <w:rPr>
          <w:rStyle w:val="Refdenotaalpie"/>
          <w:rFonts w:ascii="Arial" w:eastAsia="Times New Roman" w:hAnsi="Arial" w:cs="Arial"/>
          <w:color w:val="000000"/>
          <w:sz w:val="24"/>
          <w:szCs w:val="24"/>
        </w:rPr>
        <w:footnoteReference w:id="53"/>
      </w:r>
      <w:r>
        <w:rPr>
          <w:rFonts w:ascii="Arial" w:eastAsia="Times New Roman" w:hAnsi="Arial" w:cs="Arial"/>
          <w:color w:val="000000"/>
          <w:sz w:val="24"/>
          <w:szCs w:val="24"/>
        </w:rPr>
        <w:t xml:space="preserve"> </w:t>
      </w:r>
    </w:p>
    <w:p w14:paraId="60114584" w14:textId="77777777" w:rsidR="001D7B29" w:rsidRDefault="001D7B29" w:rsidP="00F43C81">
      <w:pPr>
        <w:pStyle w:val="Textoindependiente"/>
        <w:spacing w:line="360" w:lineRule="auto"/>
        <w:ind w:firstLine="708"/>
        <w:jc w:val="both"/>
        <w:rPr>
          <w:rFonts w:ascii="Arial" w:eastAsia="Times New Roman" w:hAnsi="Arial" w:cs="Arial"/>
          <w:color w:val="000000"/>
          <w:sz w:val="24"/>
          <w:szCs w:val="24"/>
        </w:rPr>
      </w:pPr>
      <w:r>
        <w:rPr>
          <w:rFonts w:ascii="Arial" w:eastAsia="Times New Roman" w:hAnsi="Arial" w:cs="Arial"/>
          <w:color w:val="000000"/>
          <w:sz w:val="24"/>
          <w:szCs w:val="24"/>
        </w:rPr>
        <w:t xml:space="preserve">En este contexto, el riesgo social derivado de la violencia de poderes fácticos, como los grupos del crimen organizado que operan en la zona sur del Estado de México, donde se ubica el municipio de Luvianos, adquiere una mayor gravedad como lo describe el periodista Indalecio Benítez, al referir los acontecimientos que el mismo investigó y que habrían sido previos a la agresión que sufrió él y su familia. </w:t>
      </w:r>
    </w:p>
    <w:p w14:paraId="11A4B51E" w14:textId="3CEC476E" w:rsidR="001D7B29" w:rsidRDefault="001D7B29" w:rsidP="001D7B29">
      <w:pPr>
        <w:pStyle w:val="Textoindependiente"/>
        <w:spacing w:line="360" w:lineRule="auto"/>
        <w:ind w:left="708"/>
        <w:jc w:val="both"/>
        <w:rPr>
          <w:rFonts w:ascii="Arial" w:eastAsia="Times New Roman" w:hAnsi="Arial" w:cs="Arial"/>
          <w:color w:val="000000"/>
          <w:sz w:val="24"/>
          <w:szCs w:val="24"/>
        </w:rPr>
      </w:pPr>
      <w:r>
        <w:rPr>
          <w:rFonts w:ascii="Arial" w:eastAsia="Times New Roman" w:hAnsi="Arial" w:cs="Arial"/>
          <w:color w:val="000000"/>
          <w:sz w:val="24"/>
          <w:szCs w:val="24"/>
        </w:rPr>
        <w:t>Este joven (a quien acusaban de repartir los vola</w:t>
      </w:r>
      <w:r w:rsidR="00F43C81">
        <w:rPr>
          <w:rFonts w:ascii="Arial" w:eastAsia="Times New Roman" w:hAnsi="Arial" w:cs="Arial"/>
          <w:color w:val="000000"/>
          <w:sz w:val="24"/>
          <w:szCs w:val="24"/>
        </w:rPr>
        <w:t xml:space="preserve">ntes), cuando fue levantado, le </w:t>
      </w:r>
      <w:r>
        <w:rPr>
          <w:rFonts w:ascii="Arial" w:eastAsia="Times New Roman" w:hAnsi="Arial" w:cs="Arial"/>
          <w:color w:val="000000"/>
          <w:sz w:val="24"/>
          <w:szCs w:val="24"/>
        </w:rPr>
        <w:t>metieron bolsas con chile, lo metieron en agua,</w:t>
      </w:r>
      <w:r w:rsidR="00F43C81">
        <w:rPr>
          <w:rFonts w:ascii="Arial" w:eastAsia="Times New Roman" w:hAnsi="Arial" w:cs="Arial"/>
          <w:color w:val="000000"/>
          <w:sz w:val="24"/>
          <w:szCs w:val="24"/>
        </w:rPr>
        <w:t xml:space="preserve"> lo torturaron, le hicieron, y </w:t>
      </w:r>
      <w:r>
        <w:rPr>
          <w:rFonts w:ascii="Arial" w:eastAsia="Times New Roman" w:hAnsi="Arial" w:cs="Arial"/>
          <w:color w:val="000000"/>
          <w:sz w:val="24"/>
          <w:szCs w:val="24"/>
        </w:rPr>
        <w:t xml:space="preserve">ahí surgió, porque lo soltaron, porque su familia recurrió, yo mismo estuve presente cuando fuimos a ver a un chavo (con quien) él tenía relación, no de crimen organizado, sino con la ausencia de los </w:t>
      </w:r>
      <w:r>
        <w:rPr>
          <w:rFonts w:ascii="Arial" w:eastAsia="Times New Roman" w:hAnsi="Arial" w:cs="Arial"/>
          <w:i/>
          <w:iCs/>
          <w:color w:val="000000"/>
          <w:sz w:val="24"/>
          <w:szCs w:val="24"/>
        </w:rPr>
        <w:t>Guerreros Unidos</w:t>
      </w:r>
      <w:r>
        <w:rPr>
          <w:rFonts w:ascii="Arial" w:eastAsia="Times New Roman" w:hAnsi="Arial" w:cs="Arial"/>
          <w:color w:val="000000"/>
          <w:sz w:val="24"/>
          <w:szCs w:val="24"/>
        </w:rPr>
        <w:t xml:space="preserve"> para pedirle chichi que no me fueran a matar. Fuimos a pedirle a ese guey que les hablará allá, les hablo y efectivamente dijo: sí aquí lo tenemos, y dice, lo vamos a dejar ir, pero le vamos a sacar toda la sopa al guey, se lo vamos a mandar calientito.</w:t>
      </w:r>
    </w:p>
    <w:p w14:paraId="76C50368" w14:textId="77777777" w:rsidR="001D7B29" w:rsidRDefault="001D7B29" w:rsidP="001D7B29">
      <w:pPr>
        <w:pStyle w:val="Textoindependiente"/>
        <w:spacing w:line="360" w:lineRule="auto"/>
        <w:ind w:left="708"/>
        <w:jc w:val="both"/>
        <w:rPr>
          <w:rFonts w:ascii="Arial" w:eastAsia="Times New Roman" w:hAnsi="Arial" w:cs="Arial"/>
          <w:color w:val="000000"/>
          <w:sz w:val="24"/>
          <w:szCs w:val="24"/>
        </w:rPr>
      </w:pPr>
      <w:r>
        <w:rPr>
          <w:rFonts w:ascii="Arial" w:eastAsia="Times New Roman" w:hAnsi="Arial" w:cs="Arial"/>
          <w:color w:val="000000"/>
          <w:sz w:val="24"/>
          <w:szCs w:val="24"/>
        </w:rPr>
        <w:t xml:space="preserve">Y efectivamente nos lo liberaron y ahí fue donde yo supe, y él fue levantado porque todos los vecinos donde tiene negocio de venta de alimentos, todos vieron cuando fue una camioneta del Ejército Mexicano la que lo levantó y lo entregó con el cartel de los </w:t>
      </w:r>
      <w:r>
        <w:rPr>
          <w:rFonts w:ascii="Arial" w:eastAsia="Times New Roman" w:hAnsi="Arial" w:cs="Arial"/>
          <w:i/>
          <w:iCs/>
          <w:color w:val="000000"/>
          <w:sz w:val="24"/>
          <w:szCs w:val="24"/>
        </w:rPr>
        <w:t>Guerreros Unidos</w:t>
      </w:r>
      <w:r>
        <w:rPr>
          <w:rFonts w:ascii="Arial" w:eastAsia="Times New Roman" w:hAnsi="Arial" w:cs="Arial"/>
          <w:color w:val="000000"/>
          <w:sz w:val="24"/>
          <w:szCs w:val="24"/>
        </w:rPr>
        <w:t>. ¿Hay alguna duda? Y está vivo el muchacho todavía. (Entrevista Indalecio Benítez, 32:00)</w:t>
      </w:r>
    </w:p>
    <w:p w14:paraId="7F209FDE" w14:textId="77777777" w:rsidR="001D7B29" w:rsidRDefault="001D7B29" w:rsidP="00F43C81">
      <w:pPr>
        <w:pStyle w:val="Textoindependiente"/>
        <w:spacing w:line="360" w:lineRule="auto"/>
        <w:ind w:firstLine="708"/>
        <w:jc w:val="both"/>
        <w:rPr>
          <w:rFonts w:ascii="Arial" w:eastAsia="Times New Roman" w:hAnsi="Arial" w:cs="Arial"/>
          <w:color w:val="000000"/>
          <w:sz w:val="24"/>
          <w:szCs w:val="24"/>
        </w:rPr>
      </w:pPr>
      <w:r>
        <w:rPr>
          <w:rFonts w:ascii="Arial" w:eastAsia="Times New Roman" w:hAnsi="Arial" w:cs="Arial"/>
          <w:color w:val="000000"/>
          <w:sz w:val="24"/>
          <w:szCs w:val="24"/>
        </w:rPr>
        <w:t>A partir de la agresión que sufre Benítez y su familia, y su posterior incorporación al MPPDDHP, este organismo realiza distintas evaluaciones sobre los riegos que enfrenta el periodista, incluso esto detona su evacuación de dicha zona.</w:t>
      </w:r>
    </w:p>
    <w:p w14:paraId="21A207DA" w14:textId="77777777" w:rsidR="001D7B29" w:rsidRDefault="001D7B29" w:rsidP="00F43C81">
      <w:pPr>
        <w:pStyle w:val="Textoindependiente"/>
        <w:spacing w:line="360" w:lineRule="auto"/>
        <w:ind w:firstLine="708"/>
        <w:jc w:val="both"/>
        <w:rPr>
          <w:rFonts w:ascii="Arial" w:eastAsia="Times New Roman" w:hAnsi="Arial" w:cs="Arial"/>
          <w:color w:val="000000"/>
          <w:sz w:val="24"/>
          <w:szCs w:val="24"/>
        </w:rPr>
      </w:pPr>
      <w:r>
        <w:rPr>
          <w:rFonts w:ascii="Arial" w:eastAsia="Times New Roman" w:hAnsi="Arial" w:cs="Arial"/>
          <w:color w:val="000000"/>
          <w:sz w:val="24"/>
          <w:szCs w:val="24"/>
        </w:rPr>
        <w:t>Sin embargo, dichas evaluaciones, como también ocurre con las medidas físicas de protección que otorga el MPPDDHP (botón de pánico, cámaras de videovigilancia y reforzamiento de seguridad en su vivienda) resultan superadas por la realidad del propio periodista, quien refiere la facilidad con la cual pueden ser manipuladas.</w:t>
      </w:r>
    </w:p>
    <w:p w14:paraId="601407F1" w14:textId="77777777" w:rsidR="001D7B29" w:rsidRDefault="001D7B29" w:rsidP="001D7B29">
      <w:pPr>
        <w:pStyle w:val="Textoindependiente"/>
        <w:spacing w:line="360" w:lineRule="auto"/>
        <w:ind w:left="708"/>
        <w:jc w:val="both"/>
        <w:rPr>
          <w:rFonts w:ascii="Arial" w:eastAsia="Times New Roman" w:hAnsi="Arial" w:cs="Arial"/>
          <w:color w:val="000000"/>
          <w:sz w:val="24"/>
          <w:szCs w:val="24"/>
        </w:rPr>
      </w:pPr>
      <w:r>
        <w:rPr>
          <w:rFonts w:ascii="Arial" w:eastAsia="Times New Roman" w:hAnsi="Arial" w:cs="Arial"/>
          <w:color w:val="000000"/>
          <w:sz w:val="24"/>
          <w:szCs w:val="24"/>
        </w:rPr>
        <w:t>Te preguntan y te dicen ¿usted sale a la misma hora?, no; ahí te creas una respuesta y lo aplico, por cierto, para que no salga el puntaje alto,</w:t>
      </w:r>
    </w:p>
    <w:p w14:paraId="7B8188E8" w14:textId="77777777" w:rsidR="001D7B29" w:rsidRDefault="001D7B29" w:rsidP="001D7B29">
      <w:pPr>
        <w:pStyle w:val="Textoindependiente"/>
        <w:spacing w:line="360" w:lineRule="auto"/>
        <w:ind w:left="708"/>
        <w:jc w:val="both"/>
        <w:rPr>
          <w:rFonts w:ascii="Arial" w:eastAsia="Times New Roman" w:hAnsi="Arial" w:cs="Arial"/>
          <w:color w:val="000000"/>
          <w:sz w:val="24"/>
          <w:szCs w:val="24"/>
        </w:rPr>
      </w:pPr>
      <w:r>
        <w:rPr>
          <w:rFonts w:ascii="Arial" w:eastAsia="Times New Roman" w:hAnsi="Arial" w:cs="Arial"/>
          <w:color w:val="000000"/>
          <w:sz w:val="24"/>
          <w:szCs w:val="24"/>
        </w:rPr>
        <w:t>¿Haber usted hacia dónde viaja?, a Toluca, a la Ciudad de México y a todos los municipios. ¿A qué hora sale?, no tengo hora, (pero) si yo le digo todos los días salgo a las 10 y cuarto, me voy por aquí derechito y le doblo; tu tú ya sabes que si dices eso, tu puntaje (de riesgo) va aumentar. (Entrevista Indalecio Benítez, 45:05)</w:t>
      </w:r>
    </w:p>
    <w:p w14:paraId="74C1F406" w14:textId="77777777" w:rsidR="00F43C81" w:rsidRDefault="001D7B29" w:rsidP="00F43C81">
      <w:pPr>
        <w:pStyle w:val="Textoindependiente"/>
        <w:spacing w:line="360" w:lineRule="auto"/>
        <w:ind w:firstLine="708"/>
        <w:jc w:val="both"/>
      </w:pPr>
      <w:r>
        <w:rPr>
          <w:rFonts w:ascii="Arial" w:eastAsia="Times New Roman" w:hAnsi="Arial" w:cs="Arial"/>
          <w:color w:val="000000"/>
          <w:sz w:val="24"/>
          <w:szCs w:val="24"/>
        </w:rPr>
        <w:t>Benítez también indica que la Junta de Gobierno del MPPDDHP realiza juntas periódicas donde también se incluye la opinión de las policías federal, estatal y municipal, quienes ofrecen un reporte sobre incidencia delictiva registrada en su entorno cercano, lo cual ayudaría a conocer la magnitud de operación de poderes fácticos como el crimen organizado.</w:t>
      </w:r>
      <w:r>
        <w:rPr>
          <w:rStyle w:val="Refdenotaalpie"/>
          <w:rFonts w:ascii="Arial" w:eastAsia="Times New Roman" w:hAnsi="Arial" w:cs="Arial"/>
          <w:color w:val="000000"/>
          <w:sz w:val="24"/>
          <w:szCs w:val="24"/>
        </w:rPr>
        <w:footnoteReference w:id="54"/>
      </w:r>
      <w:r>
        <w:t xml:space="preserve"> </w:t>
      </w:r>
    </w:p>
    <w:p w14:paraId="6D460EDC" w14:textId="77777777" w:rsidR="00F43C81" w:rsidRDefault="001D7B29" w:rsidP="00F43C81">
      <w:pPr>
        <w:pStyle w:val="Textoindependiente"/>
        <w:spacing w:line="360" w:lineRule="auto"/>
        <w:ind w:firstLine="708"/>
        <w:jc w:val="both"/>
      </w:pPr>
      <w:r>
        <w:rPr>
          <w:rFonts w:ascii="Arial" w:hAnsi="Arial" w:cs="Arial"/>
          <w:sz w:val="24"/>
          <w:szCs w:val="24"/>
        </w:rPr>
        <w:t xml:space="preserve">Sin embargo, periodistas han advertido que dichas evaluaciones no son eficaces por las propias fallas del </w:t>
      </w:r>
      <w:r>
        <w:rPr>
          <w:rFonts w:ascii="Arial" w:eastAsia="Times New Roman" w:hAnsi="Arial" w:cs="Arial"/>
          <w:color w:val="000000"/>
          <w:sz w:val="24"/>
          <w:szCs w:val="24"/>
        </w:rPr>
        <w:t>MPPDDHP, como lo señala el periodista, Luis Velázquez, secretario de la asociación Periodismo Nación Mx, enfocada a la protección de periodistas.</w:t>
      </w:r>
    </w:p>
    <w:p w14:paraId="0070B423" w14:textId="77777777" w:rsidR="00F43C81" w:rsidRDefault="001D7B29" w:rsidP="00F43C81">
      <w:pPr>
        <w:pStyle w:val="Textoindependiente"/>
        <w:spacing w:line="360" w:lineRule="auto"/>
        <w:ind w:left="708"/>
        <w:jc w:val="both"/>
      </w:pPr>
      <w:r>
        <w:rPr>
          <w:rFonts w:ascii="Arial" w:eastAsia="Times New Roman" w:hAnsi="Arial" w:cs="Arial"/>
          <w:color w:val="000000"/>
          <w:sz w:val="24"/>
          <w:szCs w:val="24"/>
        </w:rPr>
        <w:t>C</w:t>
      </w:r>
      <w:r w:rsidRPr="00A9602C">
        <w:rPr>
          <w:rFonts w:ascii="Arial" w:hAnsi="Arial" w:cs="Arial"/>
          <w:sz w:val="24"/>
          <w:szCs w:val="24"/>
        </w:rPr>
        <w:t>onozco de cerca el caso de una chica de Sinaloa y ella estaba muy molesta porque me decía</w:t>
      </w:r>
      <w:r>
        <w:rPr>
          <w:rFonts w:ascii="Arial" w:hAnsi="Arial" w:cs="Arial"/>
          <w:sz w:val="24"/>
          <w:szCs w:val="24"/>
        </w:rPr>
        <w:t>: ¡Oye! l</w:t>
      </w:r>
      <w:r w:rsidRPr="00A9602C">
        <w:rPr>
          <w:rFonts w:ascii="Arial" w:hAnsi="Arial" w:cs="Arial"/>
          <w:sz w:val="24"/>
          <w:szCs w:val="24"/>
        </w:rPr>
        <w:t>a que está haciendo mi proyecto de evaluación es una chica que ni siquiera cono</w:t>
      </w:r>
      <w:r>
        <w:rPr>
          <w:rFonts w:ascii="Arial" w:hAnsi="Arial" w:cs="Arial"/>
          <w:sz w:val="24"/>
          <w:szCs w:val="24"/>
        </w:rPr>
        <w:t>ce Sinaloa, no ha ido a Sinaloa,</w:t>
      </w:r>
      <w:r w:rsidRPr="00A9602C">
        <w:rPr>
          <w:rFonts w:ascii="Arial" w:hAnsi="Arial" w:cs="Arial"/>
          <w:sz w:val="24"/>
          <w:szCs w:val="24"/>
        </w:rPr>
        <w:t xml:space="preserve"> entonces con qué visión alguien que no </w:t>
      </w:r>
      <w:r>
        <w:rPr>
          <w:rFonts w:ascii="Arial" w:hAnsi="Arial" w:cs="Arial"/>
          <w:sz w:val="24"/>
          <w:szCs w:val="24"/>
        </w:rPr>
        <w:t>ha ido a un lugar puede decir: sí, ya puede regresar.</w:t>
      </w:r>
    </w:p>
    <w:p w14:paraId="1DF59956" w14:textId="7127017B" w:rsidR="001D7B29" w:rsidRPr="00F43C81" w:rsidRDefault="001D7B29" w:rsidP="00F43C81">
      <w:pPr>
        <w:pStyle w:val="Textoindependiente"/>
        <w:spacing w:line="360" w:lineRule="auto"/>
        <w:ind w:left="708"/>
        <w:jc w:val="both"/>
      </w:pPr>
      <w:r>
        <w:rPr>
          <w:rFonts w:ascii="Arial" w:eastAsia="Times New Roman" w:hAnsi="Arial" w:cs="Arial"/>
          <w:color w:val="000000"/>
          <w:sz w:val="24"/>
          <w:szCs w:val="24"/>
        </w:rPr>
        <w:t>E</w:t>
      </w:r>
      <w:r w:rsidRPr="00A9602C">
        <w:rPr>
          <w:rFonts w:ascii="Arial" w:hAnsi="Arial" w:cs="Arial"/>
          <w:sz w:val="24"/>
          <w:szCs w:val="24"/>
        </w:rPr>
        <w:t xml:space="preserve">l argumento que le han dado es que ella en algunas ocasiones ha regresado a Sinaloa porque una vez falleció su suegro entonces tuvo que ir al velorio, o se estaba poniendo mal y en lo que se estaba poniendo mal fue y ya el suegro murió y se quedó ahí; entonces como el mecanismo ha registrado que algunas veces ha regresado ella a Sinaloa </w:t>
      </w:r>
      <w:r>
        <w:rPr>
          <w:rFonts w:ascii="Arial" w:hAnsi="Arial" w:cs="Arial"/>
          <w:sz w:val="24"/>
          <w:szCs w:val="24"/>
        </w:rPr>
        <w:t>y no le ha pasado nada dice: ah pues</w:t>
      </w:r>
      <w:r w:rsidRPr="00A9602C">
        <w:rPr>
          <w:rFonts w:ascii="Arial" w:hAnsi="Arial" w:cs="Arial"/>
          <w:sz w:val="24"/>
          <w:szCs w:val="24"/>
        </w:rPr>
        <w:t xml:space="preserve"> como no le ha pasado nada entonces pues yo creo que ya puede regresar </w:t>
      </w:r>
      <w:r>
        <w:rPr>
          <w:rFonts w:ascii="Arial" w:hAnsi="Arial" w:cs="Arial"/>
          <w:sz w:val="24"/>
          <w:szCs w:val="24"/>
        </w:rPr>
        <w:t xml:space="preserve">¿no? (Entrevista Luis Velázquez, 25:11)  </w:t>
      </w:r>
    </w:p>
    <w:p w14:paraId="720828A5" w14:textId="77777777" w:rsidR="001D7B29" w:rsidRDefault="001D7B29" w:rsidP="00F43C81">
      <w:pPr>
        <w:pStyle w:val="Textoindependiente"/>
        <w:spacing w:line="360" w:lineRule="auto"/>
        <w:ind w:firstLine="708"/>
        <w:jc w:val="both"/>
        <w:rPr>
          <w:rFonts w:ascii="Arial" w:eastAsia="Times New Roman" w:hAnsi="Arial" w:cs="Arial"/>
          <w:color w:val="000000"/>
          <w:sz w:val="24"/>
          <w:szCs w:val="24"/>
        </w:rPr>
      </w:pPr>
      <w:r>
        <w:rPr>
          <w:rFonts w:ascii="Arial" w:hAnsi="Arial" w:cs="Arial"/>
          <w:sz w:val="24"/>
          <w:szCs w:val="24"/>
        </w:rPr>
        <w:t xml:space="preserve">Tal falta de eficacia ilustra que el riesgo social ante poderes fácticos como el crimen organizado no es analizado adecuadamente por el </w:t>
      </w:r>
      <w:r>
        <w:rPr>
          <w:rFonts w:ascii="Arial" w:eastAsia="Times New Roman" w:hAnsi="Arial" w:cs="Arial"/>
          <w:color w:val="000000"/>
          <w:sz w:val="24"/>
          <w:szCs w:val="24"/>
        </w:rPr>
        <w:t>MPPDDHP, lo cual vulnera el ejercicio de periodistas como el de Indalecio Benítez Mondragón.</w:t>
      </w:r>
    </w:p>
    <w:p w14:paraId="3E0C28D2" w14:textId="77777777" w:rsidR="001D7B29" w:rsidRDefault="001D7B29" w:rsidP="00F43C81">
      <w:pPr>
        <w:pStyle w:val="Textoindependiente"/>
        <w:spacing w:line="360" w:lineRule="auto"/>
        <w:ind w:firstLine="360"/>
        <w:jc w:val="both"/>
        <w:rPr>
          <w:rFonts w:ascii="Arial" w:hAnsi="Arial" w:cs="Arial"/>
          <w:sz w:val="24"/>
          <w:szCs w:val="24"/>
        </w:rPr>
      </w:pPr>
      <w:r>
        <w:rPr>
          <w:rFonts w:ascii="Arial" w:hAnsi="Arial" w:cs="Arial"/>
          <w:sz w:val="24"/>
          <w:szCs w:val="24"/>
        </w:rPr>
        <w:t>Lo cual va en contra de lo estipulado por la CIDH y RELE, quienes recomiendan identificar los riesgos extraordinarios que viven periodistas, además de contar con evaluaciones adecuadas.</w:t>
      </w:r>
    </w:p>
    <w:p w14:paraId="7386C2E6" w14:textId="77777777" w:rsidR="001D7B29" w:rsidRDefault="001D7B29" w:rsidP="001D7B29">
      <w:pPr>
        <w:pStyle w:val="Textoindependiente"/>
        <w:spacing w:line="360" w:lineRule="auto"/>
        <w:ind w:left="360"/>
        <w:jc w:val="both"/>
        <w:rPr>
          <w:rFonts w:ascii="Arial" w:hAnsi="Arial" w:cs="Arial"/>
          <w:sz w:val="24"/>
          <w:szCs w:val="24"/>
        </w:rPr>
      </w:pPr>
      <w:r>
        <w:rPr>
          <w:rFonts w:ascii="Arial" w:hAnsi="Arial" w:cs="Arial"/>
          <w:sz w:val="24"/>
          <w:szCs w:val="24"/>
        </w:rPr>
        <w:t>Cuando existe una situación estructural sistemática y grave de violencia contra periodistas y trabajadores de medios, la Relatoría Especial ha recomendado a los Estados establecer programas especiales de protección para atender a estos grupos. (Actos de Violencia contra Periodistas, RELE-CIDH)</w:t>
      </w:r>
    </w:p>
    <w:p w14:paraId="670515B9" w14:textId="77777777" w:rsidR="00F43C81" w:rsidRDefault="001D7B29" w:rsidP="00F43C81">
      <w:pPr>
        <w:pStyle w:val="Textoindependiente"/>
        <w:spacing w:line="360" w:lineRule="auto"/>
        <w:ind w:firstLine="360"/>
        <w:jc w:val="both"/>
        <w:rPr>
          <w:rFonts w:ascii="Arial" w:eastAsia="Times New Roman" w:hAnsi="Arial" w:cs="Arial"/>
          <w:color w:val="000000"/>
          <w:sz w:val="24"/>
          <w:szCs w:val="24"/>
        </w:rPr>
      </w:pPr>
      <w:r>
        <w:rPr>
          <w:rFonts w:ascii="Arial" w:hAnsi="Arial" w:cs="Arial"/>
          <w:sz w:val="24"/>
          <w:szCs w:val="24"/>
        </w:rPr>
        <w:t xml:space="preserve">Sin embargo, tal situación no estaría ocurriendo en el caso mexicano, pues la propia Secretaria de Gobernación, de la cual depende el </w:t>
      </w:r>
      <w:r>
        <w:rPr>
          <w:rFonts w:ascii="Arial" w:eastAsia="Times New Roman" w:hAnsi="Arial" w:cs="Arial"/>
          <w:color w:val="000000"/>
          <w:sz w:val="24"/>
          <w:szCs w:val="24"/>
        </w:rPr>
        <w:t xml:space="preserve">MPPDDHP reconoce que las acciones de este mecanismo son reactivas, burocráticas y con pocas medidas de prevención, además de que la cooperación entre el gobierno federal y las entidades federativas no son vinculatorias, lo cual genera discrecionalidad en la atención a los periodistas que están protegidos por este mecanismo. </w:t>
      </w:r>
      <w:r>
        <w:rPr>
          <w:rStyle w:val="Refdenotaalpie"/>
          <w:rFonts w:ascii="Arial" w:eastAsia="Times New Roman" w:hAnsi="Arial" w:cs="Arial"/>
          <w:color w:val="000000"/>
          <w:sz w:val="24"/>
          <w:szCs w:val="24"/>
        </w:rPr>
        <w:footnoteReference w:id="55"/>
      </w:r>
    </w:p>
    <w:p w14:paraId="741AF3AD" w14:textId="34BA380D" w:rsidR="001D7B29" w:rsidRDefault="001D7B29" w:rsidP="00F43C81">
      <w:pPr>
        <w:pStyle w:val="Textoindependiente"/>
        <w:spacing w:line="360" w:lineRule="auto"/>
        <w:ind w:firstLine="360"/>
        <w:jc w:val="both"/>
        <w:rPr>
          <w:rFonts w:ascii="Arial" w:eastAsia="Times New Roman" w:hAnsi="Arial" w:cs="Arial"/>
          <w:color w:val="000000"/>
          <w:sz w:val="24"/>
          <w:szCs w:val="24"/>
        </w:rPr>
      </w:pPr>
      <w:r>
        <w:rPr>
          <w:rFonts w:ascii="Arial" w:eastAsia="Times New Roman" w:hAnsi="Arial" w:cs="Arial"/>
          <w:color w:val="000000"/>
          <w:sz w:val="24"/>
          <w:szCs w:val="24"/>
        </w:rPr>
        <w:t>Un tercer riesgo social que se detecta en el caso del periodista Indalecio Benítez Mondragón es la falta de regulación en materia de publicidad gubernamental, realidad que puede considerarse como generalizada a nivel nacional, sin embargo, este periodista lo ubica como su principal riesgo en materia de ejercicio periodístico, por encima de la relación con el poder público y la actuación de los poderes fácticos.</w:t>
      </w:r>
    </w:p>
    <w:p w14:paraId="7D1085AC" w14:textId="77777777" w:rsidR="00F43C81" w:rsidRDefault="001D7B29" w:rsidP="00F43C81">
      <w:pPr>
        <w:pStyle w:val="Textoindependiente"/>
        <w:spacing w:line="360" w:lineRule="auto"/>
        <w:ind w:firstLine="360"/>
        <w:jc w:val="both"/>
        <w:rPr>
          <w:rFonts w:ascii="Arial" w:eastAsia="Times New Roman" w:hAnsi="Arial" w:cs="Arial"/>
          <w:color w:val="000000"/>
          <w:sz w:val="24"/>
          <w:szCs w:val="24"/>
        </w:rPr>
      </w:pPr>
      <w:r>
        <w:rPr>
          <w:rFonts w:ascii="Arial" w:eastAsia="Times New Roman" w:hAnsi="Arial" w:cs="Arial"/>
          <w:color w:val="000000"/>
          <w:sz w:val="24"/>
          <w:szCs w:val="24"/>
        </w:rPr>
        <w:t>La considera como el principal riesgo social para su ejercicio periodístico debido a la presunta colusión que existe entre el poder público y grupos del crimen organizado, lo cual provocaría que el condicionamiento del presupuesto público en materia de publicidad también se convierta en una complicidad entre funcionarios públicos y delincuentes.</w:t>
      </w:r>
    </w:p>
    <w:p w14:paraId="190ADE67" w14:textId="4746AABA" w:rsidR="001D7B29" w:rsidRPr="00F43C81" w:rsidRDefault="001D7B29" w:rsidP="00F43C81">
      <w:pPr>
        <w:pStyle w:val="Textoindependiente"/>
        <w:spacing w:line="360" w:lineRule="auto"/>
        <w:ind w:left="360"/>
        <w:jc w:val="both"/>
        <w:rPr>
          <w:rFonts w:ascii="Arial" w:eastAsia="Times New Roman" w:hAnsi="Arial" w:cs="Arial"/>
          <w:color w:val="000000"/>
          <w:sz w:val="24"/>
          <w:szCs w:val="24"/>
        </w:rPr>
      </w:pPr>
      <w:r>
        <w:rPr>
          <w:rFonts w:ascii="Arial" w:hAnsi="Arial" w:cs="Arial"/>
          <w:sz w:val="25"/>
          <w:szCs w:val="25"/>
        </w:rPr>
        <w:t>Hay favores que se tienen que pagar entre ellos, y ahí es donde entra el peligro del periodista, el favor que le pueda pedir un presidente municipal cuando tú lo estas atacando, mira fíjate que aquí te chingaste 12 millones de pesos en estas obras y estas, y estas, y tu pensando que estás diciéndolo porque es una acción en contra de un funcionario público, pero ese funcionario público ejerce su palancazo que tiene allá para someterte. (Entrevista Indalecio Benítez, 52:26)</w:t>
      </w:r>
    </w:p>
    <w:p w14:paraId="5D25384D" w14:textId="77777777" w:rsidR="00F43C81" w:rsidRDefault="001D7B29" w:rsidP="00F43C81">
      <w:pPr>
        <w:shd w:val="clear" w:color="auto" w:fill="FFFFFF" w:themeFill="background1"/>
        <w:spacing w:before="240" w:line="360" w:lineRule="auto"/>
        <w:ind w:firstLine="360"/>
        <w:jc w:val="both"/>
        <w:rPr>
          <w:rFonts w:ascii="Arial" w:eastAsia="Times New Roman" w:hAnsi="Arial" w:cs="Arial"/>
          <w:color w:val="000000"/>
          <w:sz w:val="24"/>
          <w:szCs w:val="24"/>
        </w:rPr>
      </w:pPr>
      <w:r>
        <w:rPr>
          <w:rFonts w:ascii="Arial" w:hAnsi="Arial" w:cs="Arial"/>
          <w:sz w:val="25"/>
          <w:szCs w:val="25"/>
        </w:rPr>
        <w:t xml:space="preserve">Lo expresado por este periodista revela una realidad que suele soslayarse u obviarse en materia de protección al ejercicio periodístico, pues el </w:t>
      </w:r>
      <w:r>
        <w:rPr>
          <w:rFonts w:ascii="Arial" w:eastAsia="Times New Roman" w:hAnsi="Arial" w:cs="Arial"/>
          <w:color w:val="000000"/>
          <w:sz w:val="24"/>
          <w:szCs w:val="24"/>
        </w:rPr>
        <w:t>MPPDDHP centra su acción tareas para proteger al periodista que ha sido hostigado u amenazado, así como en líneas para la prevención, pero queda totalmente fuera de su área de influencia una agresión que sufren los periodistas de manera sistemática, y la cual consiste en el condicionamiento publicitario, lo cual a nivel de empresa o periodistas independientes afecta el ejercicio periodístico.</w:t>
      </w:r>
    </w:p>
    <w:p w14:paraId="75CA495D" w14:textId="505161E4" w:rsidR="001D7B29" w:rsidRPr="00F43C81" w:rsidRDefault="001D7B29" w:rsidP="00F43C81">
      <w:pPr>
        <w:shd w:val="clear" w:color="auto" w:fill="FFFFFF" w:themeFill="background1"/>
        <w:spacing w:before="240" w:line="360" w:lineRule="auto"/>
        <w:ind w:left="360"/>
        <w:jc w:val="both"/>
        <w:rPr>
          <w:rFonts w:ascii="Arial" w:eastAsia="Times New Roman" w:hAnsi="Arial" w:cs="Arial"/>
          <w:color w:val="000000"/>
          <w:sz w:val="24"/>
          <w:szCs w:val="24"/>
        </w:rPr>
      </w:pPr>
      <w:r>
        <w:rPr>
          <w:rFonts w:ascii="Arial" w:hAnsi="Arial" w:cs="Arial"/>
          <w:sz w:val="25"/>
          <w:szCs w:val="25"/>
        </w:rPr>
        <w:t>En</w:t>
      </w:r>
      <w:r w:rsidRPr="0098049A">
        <w:rPr>
          <w:rFonts w:ascii="Arial" w:hAnsi="Arial" w:cs="Arial"/>
          <w:sz w:val="25"/>
          <w:szCs w:val="25"/>
        </w:rPr>
        <w:t xml:space="preserve"> México ha sido histórico el tema de que se utiliza la publicidad oficial para censurar a los periodistas ¿no? y entonces sí tu como medio de comunicación firmas un convenio con una autoridad prácticamente a partir de ahí ya tienes perdida el 50% de tu libertad de expresión ¿no?</w:t>
      </w:r>
      <w:r>
        <w:rPr>
          <w:rFonts w:ascii="Arial" w:hAnsi="Arial" w:cs="Arial"/>
          <w:sz w:val="25"/>
          <w:szCs w:val="25"/>
        </w:rPr>
        <w:t>,</w:t>
      </w:r>
      <w:r w:rsidRPr="0098049A">
        <w:rPr>
          <w:rFonts w:ascii="Arial" w:hAnsi="Arial" w:cs="Arial"/>
          <w:sz w:val="25"/>
          <w:szCs w:val="25"/>
        </w:rPr>
        <w:t xml:space="preserve"> porque te</w:t>
      </w:r>
      <w:r>
        <w:rPr>
          <w:rFonts w:ascii="Arial" w:hAnsi="Arial" w:cs="Arial"/>
          <w:sz w:val="25"/>
          <w:szCs w:val="25"/>
        </w:rPr>
        <w:t xml:space="preserve"> condicionan casi casi, </w:t>
      </w:r>
      <w:r w:rsidRPr="0098049A">
        <w:rPr>
          <w:rFonts w:ascii="Arial" w:hAnsi="Arial" w:cs="Arial"/>
          <w:sz w:val="25"/>
          <w:szCs w:val="25"/>
        </w:rPr>
        <w:t>a</w:t>
      </w:r>
      <w:r>
        <w:rPr>
          <w:rFonts w:ascii="Arial" w:hAnsi="Arial" w:cs="Arial"/>
          <w:sz w:val="25"/>
          <w:szCs w:val="25"/>
        </w:rPr>
        <w:t xml:space="preserve"> </w:t>
      </w:r>
      <w:r w:rsidRPr="0098049A">
        <w:rPr>
          <w:rFonts w:ascii="Arial" w:hAnsi="Arial" w:cs="Arial"/>
          <w:sz w:val="25"/>
          <w:szCs w:val="25"/>
        </w:rPr>
        <w:t>lo</w:t>
      </w:r>
      <w:r>
        <w:rPr>
          <w:rFonts w:ascii="Arial" w:hAnsi="Arial" w:cs="Arial"/>
          <w:sz w:val="25"/>
          <w:szCs w:val="25"/>
        </w:rPr>
        <w:t xml:space="preserve"> </w:t>
      </w:r>
      <w:r w:rsidRPr="0098049A">
        <w:rPr>
          <w:rFonts w:ascii="Arial" w:hAnsi="Arial" w:cs="Arial"/>
          <w:sz w:val="25"/>
          <w:szCs w:val="25"/>
        </w:rPr>
        <w:t>mejor no te lo dicen</w:t>
      </w:r>
      <w:r>
        <w:rPr>
          <w:rFonts w:ascii="Arial" w:hAnsi="Arial" w:cs="Arial"/>
          <w:sz w:val="25"/>
          <w:szCs w:val="25"/>
        </w:rPr>
        <w:t>,</w:t>
      </w:r>
      <w:r w:rsidRPr="0098049A">
        <w:rPr>
          <w:rFonts w:ascii="Arial" w:hAnsi="Arial" w:cs="Arial"/>
          <w:sz w:val="25"/>
          <w:szCs w:val="25"/>
        </w:rPr>
        <w:t xml:space="preserve"> pero si te dejan claro el</w:t>
      </w:r>
      <w:r>
        <w:rPr>
          <w:rFonts w:ascii="Arial" w:hAnsi="Arial" w:cs="Arial"/>
          <w:sz w:val="25"/>
          <w:szCs w:val="25"/>
        </w:rPr>
        <w:t xml:space="preserve">: </w:t>
      </w:r>
      <w:r w:rsidRPr="0098049A">
        <w:rPr>
          <w:rFonts w:ascii="Arial" w:hAnsi="Arial" w:cs="Arial"/>
          <w:sz w:val="25"/>
          <w:szCs w:val="25"/>
        </w:rPr>
        <w:t>oye porque me estás c</w:t>
      </w:r>
      <w:r>
        <w:rPr>
          <w:rFonts w:ascii="Arial" w:hAnsi="Arial" w:cs="Arial"/>
          <w:sz w:val="25"/>
          <w:szCs w:val="25"/>
        </w:rPr>
        <w:t>riticando si te di publicidad,</w:t>
      </w:r>
      <w:r w:rsidRPr="0098049A">
        <w:rPr>
          <w:rFonts w:ascii="Arial" w:hAnsi="Arial" w:cs="Arial"/>
          <w:sz w:val="25"/>
          <w:szCs w:val="25"/>
        </w:rPr>
        <w:t xml:space="preserve"> o sea se ha utilizado de forma perversa el tema de la publicidad</w:t>
      </w:r>
      <w:r>
        <w:rPr>
          <w:rFonts w:ascii="Arial" w:hAnsi="Arial" w:cs="Arial"/>
          <w:sz w:val="25"/>
          <w:szCs w:val="25"/>
        </w:rPr>
        <w:t>.</w:t>
      </w:r>
    </w:p>
    <w:p w14:paraId="6C6D7B5B" w14:textId="77777777" w:rsidR="001D7B29" w:rsidRDefault="001D7B29" w:rsidP="001D7B29">
      <w:pPr>
        <w:shd w:val="clear" w:color="auto" w:fill="FFFFFF" w:themeFill="background1"/>
        <w:spacing w:before="240" w:line="360" w:lineRule="auto"/>
        <w:ind w:left="360"/>
        <w:jc w:val="both"/>
        <w:rPr>
          <w:rFonts w:ascii="Arial" w:hAnsi="Arial" w:cs="Arial"/>
          <w:sz w:val="25"/>
          <w:szCs w:val="25"/>
        </w:rPr>
      </w:pPr>
      <w:r>
        <w:rPr>
          <w:rFonts w:ascii="Arial" w:hAnsi="Arial" w:cs="Arial"/>
          <w:sz w:val="25"/>
          <w:szCs w:val="25"/>
        </w:rPr>
        <w:t xml:space="preserve"> P</w:t>
      </w:r>
      <w:r w:rsidRPr="0098049A">
        <w:rPr>
          <w:rFonts w:ascii="Arial" w:hAnsi="Arial" w:cs="Arial"/>
          <w:sz w:val="25"/>
          <w:szCs w:val="25"/>
        </w:rPr>
        <w:t>ero ese es un modelo que viene del régimen priista, el régimen priista así era como tenía controlados a los medios</w:t>
      </w:r>
      <w:r>
        <w:rPr>
          <w:rFonts w:ascii="Arial" w:hAnsi="Arial" w:cs="Arial"/>
          <w:sz w:val="25"/>
          <w:szCs w:val="25"/>
        </w:rPr>
        <w:t>,</w:t>
      </w:r>
      <w:r w:rsidRPr="0098049A">
        <w:rPr>
          <w:rFonts w:ascii="Arial" w:hAnsi="Arial" w:cs="Arial"/>
          <w:sz w:val="25"/>
          <w:szCs w:val="25"/>
        </w:rPr>
        <w:t xml:space="preserve"> entonces ahora lo que ha pasado es eso y aquí en la Ciudad de México hay muchos casos que se pueden documentar de que pues a los periodistas los ce</w:t>
      </w:r>
      <w:r>
        <w:rPr>
          <w:rFonts w:ascii="Arial" w:hAnsi="Arial" w:cs="Arial"/>
          <w:sz w:val="25"/>
          <w:szCs w:val="25"/>
        </w:rPr>
        <w:t>nsuran, simplemente le dicen: o</w:t>
      </w:r>
      <w:r w:rsidRPr="0098049A">
        <w:rPr>
          <w:rFonts w:ascii="Arial" w:hAnsi="Arial" w:cs="Arial"/>
          <w:sz w:val="25"/>
          <w:szCs w:val="25"/>
        </w:rPr>
        <w:t>ye ese</w:t>
      </w:r>
      <w:r>
        <w:rPr>
          <w:rFonts w:ascii="Arial" w:hAnsi="Arial" w:cs="Arial"/>
          <w:sz w:val="25"/>
          <w:szCs w:val="25"/>
        </w:rPr>
        <w:t xml:space="preserve"> se tema no lo vas a manejar </w:t>
      </w:r>
      <w:r w:rsidRPr="0098049A">
        <w:rPr>
          <w:rFonts w:ascii="Arial" w:hAnsi="Arial" w:cs="Arial"/>
          <w:sz w:val="25"/>
          <w:szCs w:val="25"/>
        </w:rPr>
        <w:t>o después de haber publicado un tema, el funcionario va se queja y como tiene un acuerdo comercial con el medios</w:t>
      </w:r>
      <w:r>
        <w:rPr>
          <w:rFonts w:ascii="Arial" w:hAnsi="Arial" w:cs="Arial"/>
          <w:sz w:val="25"/>
          <w:szCs w:val="25"/>
        </w:rPr>
        <w:t>,</w:t>
      </w:r>
      <w:r w:rsidRPr="0098049A">
        <w:rPr>
          <w:rFonts w:ascii="Arial" w:hAnsi="Arial" w:cs="Arial"/>
          <w:sz w:val="25"/>
          <w:szCs w:val="25"/>
        </w:rPr>
        <w:t xml:space="preserve"> pues terminan cambiando de fuente al reportero, esos casos se d</w:t>
      </w:r>
      <w:r>
        <w:rPr>
          <w:rFonts w:ascii="Arial" w:hAnsi="Arial" w:cs="Arial"/>
          <w:sz w:val="25"/>
          <w:szCs w:val="25"/>
        </w:rPr>
        <w:t>an mucho, todavía siguen siendo.</w:t>
      </w:r>
    </w:p>
    <w:p w14:paraId="3F223497" w14:textId="1953D06E" w:rsidR="001D7B29" w:rsidRDefault="001D7B29" w:rsidP="001D7B29">
      <w:pPr>
        <w:shd w:val="clear" w:color="auto" w:fill="FFFFFF" w:themeFill="background1"/>
        <w:spacing w:before="240" w:line="360" w:lineRule="auto"/>
        <w:ind w:left="360"/>
        <w:jc w:val="both"/>
        <w:rPr>
          <w:rFonts w:ascii="Arial" w:hAnsi="Arial" w:cs="Arial"/>
          <w:sz w:val="25"/>
          <w:szCs w:val="25"/>
        </w:rPr>
      </w:pPr>
      <w:r>
        <w:rPr>
          <w:rFonts w:ascii="Arial" w:hAnsi="Arial" w:cs="Arial"/>
          <w:sz w:val="25"/>
          <w:szCs w:val="25"/>
        </w:rPr>
        <w:t>Y</w:t>
      </w:r>
      <w:r w:rsidRPr="0098049A">
        <w:rPr>
          <w:rFonts w:ascii="Arial" w:hAnsi="Arial" w:cs="Arial"/>
          <w:sz w:val="25"/>
          <w:szCs w:val="25"/>
        </w:rPr>
        <w:t xml:space="preserve"> en esos casos el mecanismo por ejemplo ni interviene, no interviene por dos cosas: una porque tienen el pretexto de que la ley no les da para hacerlo y el otro</w:t>
      </w:r>
      <w:r>
        <w:rPr>
          <w:rFonts w:ascii="Arial" w:hAnsi="Arial" w:cs="Arial"/>
          <w:sz w:val="25"/>
          <w:szCs w:val="25"/>
        </w:rPr>
        <w:t>,</w:t>
      </w:r>
      <w:r w:rsidRPr="0098049A">
        <w:rPr>
          <w:rFonts w:ascii="Arial" w:hAnsi="Arial" w:cs="Arial"/>
          <w:sz w:val="25"/>
          <w:szCs w:val="25"/>
        </w:rPr>
        <w:t xml:space="preserve"> pues también que los mismos compañeros como desconocen también en el gremio mucho los mecanismos</w:t>
      </w:r>
      <w:r>
        <w:rPr>
          <w:rFonts w:ascii="Arial" w:hAnsi="Arial" w:cs="Arial"/>
          <w:sz w:val="25"/>
          <w:szCs w:val="25"/>
        </w:rPr>
        <w:t>,</w:t>
      </w:r>
      <w:r w:rsidRPr="0098049A">
        <w:rPr>
          <w:rFonts w:ascii="Arial" w:hAnsi="Arial" w:cs="Arial"/>
          <w:sz w:val="25"/>
          <w:szCs w:val="25"/>
        </w:rPr>
        <w:t xml:space="preserve"> a pesar de que ya llevan tiempo o no confían en ello</w:t>
      </w:r>
      <w:r>
        <w:rPr>
          <w:rFonts w:ascii="Arial" w:hAnsi="Arial" w:cs="Arial"/>
          <w:sz w:val="25"/>
          <w:szCs w:val="25"/>
        </w:rPr>
        <w:t xml:space="preserve">s. (Entrevista Luis </w:t>
      </w:r>
      <w:r w:rsidR="00CF6D92">
        <w:rPr>
          <w:rFonts w:ascii="Arial" w:hAnsi="Arial" w:cs="Arial"/>
          <w:sz w:val="25"/>
          <w:szCs w:val="25"/>
        </w:rPr>
        <w:t>Velázquez</w:t>
      </w:r>
      <w:r>
        <w:rPr>
          <w:rFonts w:ascii="Arial" w:hAnsi="Arial" w:cs="Arial"/>
          <w:sz w:val="25"/>
          <w:szCs w:val="25"/>
        </w:rPr>
        <w:t>, 34:50)</w:t>
      </w:r>
    </w:p>
    <w:p w14:paraId="1E48594D" w14:textId="77777777" w:rsidR="001D7B29" w:rsidRDefault="001D7B29" w:rsidP="00F43C81">
      <w:pPr>
        <w:shd w:val="clear" w:color="auto" w:fill="FFFFFF" w:themeFill="background1"/>
        <w:spacing w:before="240" w:line="360" w:lineRule="auto"/>
        <w:ind w:firstLine="360"/>
        <w:jc w:val="both"/>
        <w:rPr>
          <w:rFonts w:ascii="Arial" w:hAnsi="Arial" w:cs="Arial"/>
          <w:sz w:val="25"/>
          <w:szCs w:val="25"/>
        </w:rPr>
      </w:pPr>
      <w:r>
        <w:rPr>
          <w:rFonts w:ascii="Arial" w:hAnsi="Arial" w:cs="Arial"/>
          <w:sz w:val="25"/>
          <w:szCs w:val="25"/>
        </w:rPr>
        <w:t>Esta situación nos conduce al cuarto riesgo social que enfrenta el periodista Indalecio Benítez Mondragón, y el cual es la secuela de los tres anteriores riesgos sociales: la censura o autocensura del propio periodista.</w:t>
      </w:r>
    </w:p>
    <w:p w14:paraId="5896ADA5" w14:textId="77777777" w:rsidR="001D7B29" w:rsidRDefault="001D7B29" w:rsidP="00F43C81">
      <w:pPr>
        <w:shd w:val="clear" w:color="auto" w:fill="FFFFFF" w:themeFill="background1"/>
        <w:spacing w:before="240" w:line="360" w:lineRule="auto"/>
        <w:ind w:firstLine="360"/>
        <w:jc w:val="both"/>
        <w:rPr>
          <w:rFonts w:ascii="Arial" w:eastAsia="Times New Roman" w:hAnsi="Arial" w:cs="Arial"/>
          <w:color w:val="000000"/>
          <w:sz w:val="24"/>
          <w:szCs w:val="24"/>
        </w:rPr>
      </w:pPr>
      <w:r>
        <w:rPr>
          <w:rFonts w:ascii="Arial" w:hAnsi="Arial" w:cs="Arial"/>
          <w:sz w:val="25"/>
          <w:szCs w:val="25"/>
        </w:rPr>
        <w:t xml:space="preserve">Esto a pesar de que uno de los objetivos del </w:t>
      </w:r>
      <w:r>
        <w:rPr>
          <w:rFonts w:ascii="Arial" w:eastAsia="Times New Roman" w:hAnsi="Arial" w:cs="Arial"/>
          <w:color w:val="000000"/>
          <w:sz w:val="24"/>
          <w:szCs w:val="24"/>
        </w:rPr>
        <w:t>MPPDDHP es garantizar la vida, libertad y seguridad de las personas, como consecuencia del ejercicio de la libertad de expresión</w:t>
      </w:r>
      <w:r>
        <w:rPr>
          <w:rStyle w:val="Refdenotaalpie"/>
          <w:rFonts w:ascii="Arial" w:eastAsia="Times New Roman" w:hAnsi="Arial" w:cs="Arial"/>
          <w:color w:val="000000"/>
          <w:sz w:val="24"/>
          <w:szCs w:val="24"/>
        </w:rPr>
        <w:footnoteReference w:id="56"/>
      </w:r>
      <w:r>
        <w:rPr>
          <w:rFonts w:ascii="Arial" w:eastAsia="Times New Roman" w:hAnsi="Arial" w:cs="Arial"/>
          <w:color w:val="000000"/>
          <w:sz w:val="24"/>
          <w:szCs w:val="24"/>
        </w:rPr>
        <w:t>, lo cual lleva implícito el tratar de evitar la censura o autocensura del periodista en riesgo.</w:t>
      </w:r>
    </w:p>
    <w:p w14:paraId="27908881" w14:textId="77777777" w:rsidR="001D7B29" w:rsidRDefault="001D7B29" w:rsidP="00F43C81">
      <w:pPr>
        <w:shd w:val="clear" w:color="auto" w:fill="FFFFFF" w:themeFill="background1"/>
        <w:spacing w:before="240" w:line="360" w:lineRule="auto"/>
        <w:ind w:firstLine="360"/>
        <w:jc w:val="both"/>
        <w:rPr>
          <w:rFonts w:ascii="Arial" w:eastAsia="Times New Roman" w:hAnsi="Arial" w:cs="Arial"/>
          <w:color w:val="000000"/>
          <w:sz w:val="24"/>
          <w:szCs w:val="24"/>
        </w:rPr>
      </w:pPr>
      <w:r>
        <w:rPr>
          <w:rFonts w:ascii="Arial" w:eastAsia="Times New Roman" w:hAnsi="Arial" w:cs="Arial"/>
          <w:color w:val="000000"/>
          <w:sz w:val="24"/>
          <w:szCs w:val="24"/>
        </w:rPr>
        <w:t>Sin embargo, en el caso del periodista Indalecio Benítez Mondragón la autocensura es un riesgo social que está normalizado dentro de su diario ejercicio profesional, e incluso se convierte en un factor de ponderación profesional.</w:t>
      </w:r>
    </w:p>
    <w:p w14:paraId="6ED1967A" w14:textId="77777777" w:rsidR="001D7B29" w:rsidRDefault="001D7B29" w:rsidP="001D7B29">
      <w:pPr>
        <w:shd w:val="clear" w:color="auto" w:fill="FFFFFF" w:themeFill="background1"/>
        <w:spacing w:before="240" w:line="360" w:lineRule="auto"/>
        <w:ind w:left="360"/>
        <w:jc w:val="both"/>
        <w:rPr>
          <w:rFonts w:ascii="Arial" w:hAnsi="Arial" w:cs="Arial"/>
          <w:sz w:val="25"/>
          <w:szCs w:val="25"/>
        </w:rPr>
      </w:pPr>
      <w:r>
        <w:rPr>
          <w:rFonts w:ascii="Arial" w:hAnsi="Arial" w:cs="Arial"/>
          <w:sz w:val="25"/>
          <w:szCs w:val="25"/>
        </w:rPr>
        <w:t>Yo me levanto a las cinco de la mañana todos los días, hago un recuento de todas las notas que me manda un colaborador, yo soy el que las digo en la radio, hago una evaluación y eliminó, está no, porque me puede traer problemas. (Entrevista Indalecio Benítez, 49:57)</w:t>
      </w:r>
    </w:p>
    <w:p w14:paraId="7986A972" w14:textId="77777777" w:rsidR="001D7B29" w:rsidRDefault="001D7B29" w:rsidP="00F43C81">
      <w:pPr>
        <w:shd w:val="clear" w:color="auto" w:fill="FFFFFF" w:themeFill="background1"/>
        <w:spacing w:before="240" w:line="360" w:lineRule="auto"/>
        <w:ind w:firstLine="360"/>
        <w:jc w:val="both"/>
        <w:rPr>
          <w:rFonts w:ascii="Arial" w:hAnsi="Arial" w:cs="Arial"/>
          <w:sz w:val="25"/>
          <w:szCs w:val="25"/>
        </w:rPr>
      </w:pPr>
      <w:r>
        <w:rPr>
          <w:rFonts w:ascii="Arial" w:hAnsi="Arial" w:cs="Arial"/>
          <w:sz w:val="25"/>
          <w:szCs w:val="25"/>
        </w:rPr>
        <w:t>La justificación de tal actitud deriva de una medida de autoprotección, donde el propio periodista busca enfrentar una situación de vulnerabilidad mediante la determinación de objetivos prioritarios y no prioritarios.</w:t>
      </w:r>
    </w:p>
    <w:p w14:paraId="3E1F869B" w14:textId="77777777" w:rsidR="001D7B29" w:rsidRDefault="001D7B29" w:rsidP="001D7B29">
      <w:pPr>
        <w:shd w:val="clear" w:color="auto" w:fill="FFFFFF" w:themeFill="background1"/>
        <w:spacing w:before="240" w:line="360" w:lineRule="auto"/>
        <w:ind w:left="360"/>
        <w:jc w:val="both"/>
        <w:rPr>
          <w:rFonts w:ascii="Arial" w:hAnsi="Arial" w:cs="Arial"/>
          <w:sz w:val="25"/>
          <w:szCs w:val="25"/>
        </w:rPr>
      </w:pPr>
      <w:r>
        <w:rPr>
          <w:rFonts w:ascii="Arial" w:hAnsi="Arial" w:cs="Arial"/>
          <w:sz w:val="25"/>
          <w:szCs w:val="25"/>
        </w:rPr>
        <w:t>Sí, mira, ¿qué es lo que trato de hacer?, al menos saber quién es el que me va a chingar, porque si atacó a los dos, uno se va a echar la culpa al otro; así atacó a uno, no atacando, más bien diciendo la verdad de uno, y con eso te vas a dar cuenta de dónde viene el madrazo. (Entrevista Indalecio Benítez, 50:12)</w:t>
      </w:r>
    </w:p>
    <w:p w14:paraId="2C614A48" w14:textId="5A353FF3" w:rsidR="00F43C81" w:rsidRDefault="001D7B29" w:rsidP="0033304A">
      <w:pPr>
        <w:shd w:val="clear" w:color="auto" w:fill="FFFFFF" w:themeFill="background1"/>
        <w:spacing w:before="240" w:line="360" w:lineRule="auto"/>
        <w:ind w:firstLine="360"/>
        <w:jc w:val="both"/>
        <w:rPr>
          <w:rFonts w:ascii="Arial" w:eastAsia="Times New Roman" w:hAnsi="Arial" w:cs="Arial"/>
          <w:color w:val="000000"/>
          <w:sz w:val="24"/>
          <w:szCs w:val="24"/>
        </w:rPr>
      </w:pPr>
      <w:r>
        <w:rPr>
          <w:rFonts w:ascii="Arial" w:hAnsi="Arial" w:cs="Arial"/>
          <w:sz w:val="25"/>
          <w:szCs w:val="25"/>
        </w:rPr>
        <w:t xml:space="preserve">Al respecto comenta que el </w:t>
      </w:r>
      <w:r>
        <w:rPr>
          <w:rFonts w:ascii="Arial" w:eastAsia="Times New Roman" w:hAnsi="Arial" w:cs="Arial"/>
          <w:color w:val="000000"/>
          <w:sz w:val="24"/>
          <w:szCs w:val="24"/>
        </w:rPr>
        <w:t>MPPDDHP está enterado de dicha autocensura, así como de la información que difunde sobre distintos actores políticos.</w:t>
      </w:r>
    </w:p>
    <w:p w14:paraId="47E345C3" w14:textId="77777777" w:rsidR="0033304A" w:rsidRDefault="0033304A" w:rsidP="0033304A">
      <w:pPr>
        <w:shd w:val="clear" w:color="auto" w:fill="FFFFFF" w:themeFill="background1"/>
        <w:spacing w:before="240" w:line="360" w:lineRule="auto"/>
        <w:ind w:firstLine="360"/>
        <w:jc w:val="both"/>
        <w:rPr>
          <w:rFonts w:ascii="Arial" w:eastAsia="Times New Roman" w:hAnsi="Arial" w:cs="Arial"/>
          <w:color w:val="000000"/>
          <w:sz w:val="24"/>
          <w:szCs w:val="24"/>
        </w:rPr>
      </w:pPr>
    </w:p>
    <w:p w14:paraId="679096DD" w14:textId="382BFF76" w:rsidR="0033304A" w:rsidRDefault="00F43C81" w:rsidP="0033304A">
      <w:pPr>
        <w:shd w:val="clear" w:color="auto" w:fill="FFFFFF" w:themeFill="background1"/>
        <w:spacing w:before="240" w:line="360" w:lineRule="auto"/>
        <w:ind w:left="360"/>
        <w:jc w:val="both"/>
        <w:rPr>
          <w:rFonts w:ascii="Arial" w:hAnsi="Arial" w:cs="Arial"/>
          <w:b/>
          <w:color w:val="00000A"/>
          <w:sz w:val="24"/>
        </w:rPr>
      </w:pPr>
      <w:r>
        <w:rPr>
          <w:rFonts w:ascii="Arial" w:hAnsi="Arial" w:cs="Arial"/>
          <w:b/>
          <w:color w:val="00000A"/>
          <w:sz w:val="24"/>
        </w:rPr>
        <w:t xml:space="preserve">IV.d) </w:t>
      </w:r>
      <w:r w:rsidR="001D7B29">
        <w:rPr>
          <w:rFonts w:ascii="Arial" w:hAnsi="Arial" w:cs="Arial"/>
          <w:b/>
          <w:color w:val="00000A"/>
          <w:sz w:val="24"/>
        </w:rPr>
        <w:t>Evaluación del ejercicio periodístico de Indalecio Benítez en materia de libertad de expresión</w:t>
      </w:r>
    </w:p>
    <w:p w14:paraId="0AF4166E" w14:textId="7576747D" w:rsidR="0033304A" w:rsidRDefault="0033304A" w:rsidP="00C657DF">
      <w:pPr>
        <w:shd w:val="clear" w:color="auto" w:fill="FFFFFF" w:themeFill="background1"/>
        <w:spacing w:before="240" w:line="360" w:lineRule="auto"/>
        <w:ind w:firstLine="360"/>
        <w:jc w:val="both"/>
        <w:rPr>
          <w:rFonts w:ascii="Arial" w:eastAsia="Times New Roman" w:hAnsi="Arial" w:cs="Arial"/>
          <w:color w:val="000000"/>
          <w:sz w:val="24"/>
          <w:szCs w:val="24"/>
        </w:rPr>
      </w:pPr>
      <w:r>
        <w:rPr>
          <w:rFonts w:ascii="Arial" w:hAnsi="Arial" w:cs="Arial"/>
          <w:color w:val="00000A"/>
          <w:sz w:val="24"/>
        </w:rPr>
        <w:t xml:space="preserve">A la luz de los riesgos sociales </w:t>
      </w:r>
      <w:r w:rsidR="00882136">
        <w:rPr>
          <w:rFonts w:ascii="Arial" w:hAnsi="Arial" w:cs="Arial"/>
          <w:color w:val="00000A"/>
          <w:sz w:val="24"/>
        </w:rPr>
        <w:t>descritos en este análisis puede determinarse que el ejercicio periodístico del periodista Indalecio Benítez Mondrag</w:t>
      </w:r>
      <w:r w:rsidR="00C13FD3">
        <w:rPr>
          <w:rFonts w:ascii="Arial" w:hAnsi="Arial" w:cs="Arial"/>
          <w:color w:val="00000A"/>
          <w:sz w:val="24"/>
        </w:rPr>
        <w:t xml:space="preserve">ón, quien está bajo el </w:t>
      </w:r>
      <w:r w:rsidR="00C13FD3">
        <w:rPr>
          <w:rFonts w:ascii="Arial" w:eastAsia="Times New Roman" w:hAnsi="Arial" w:cs="Arial"/>
          <w:color w:val="000000"/>
          <w:sz w:val="24"/>
          <w:szCs w:val="24"/>
        </w:rPr>
        <w:t>MPPDDHP, muestra vulnerabilidades en materia de la relación con el poder político, la intervención de poderes fácticos como el crimen organizado, el condicionamiento publicitario derivado de presupuestos públicos, y la censura o autocensura que deriva de las primeras tres variables.</w:t>
      </w:r>
    </w:p>
    <w:p w14:paraId="5C5FDA5E" w14:textId="4A40DEED" w:rsidR="00C13FD3" w:rsidRDefault="00C657DF" w:rsidP="00C657DF">
      <w:pPr>
        <w:shd w:val="clear" w:color="auto" w:fill="FFFFFF" w:themeFill="background1"/>
        <w:spacing w:before="240" w:line="360" w:lineRule="auto"/>
        <w:ind w:firstLine="360"/>
        <w:jc w:val="both"/>
        <w:rPr>
          <w:rFonts w:ascii="Arial" w:eastAsia="Times New Roman" w:hAnsi="Arial" w:cs="Arial"/>
          <w:color w:val="000000"/>
          <w:sz w:val="24"/>
          <w:szCs w:val="24"/>
        </w:rPr>
      </w:pPr>
      <w:r>
        <w:rPr>
          <w:rFonts w:ascii="Arial" w:eastAsia="Times New Roman" w:hAnsi="Arial" w:cs="Arial"/>
          <w:color w:val="000000"/>
          <w:sz w:val="24"/>
          <w:szCs w:val="24"/>
        </w:rPr>
        <w:t>El ejercicio periodístico, como manifestación primaria de la libertad de expresión, y garante del derecho de acceso a la información encuentra diques en estos riesgos sociales, los cuales provocan que dicha libertad sea selectiva en función de la propia estrategia del citado periodista para afrontar las distintas problemáticas dentro de su ejercicio profesional.</w:t>
      </w:r>
    </w:p>
    <w:p w14:paraId="3CA6C112" w14:textId="77777777" w:rsidR="001669DC" w:rsidRDefault="00C657DF" w:rsidP="001669DC">
      <w:pPr>
        <w:shd w:val="clear" w:color="auto" w:fill="FFFFFF" w:themeFill="background1"/>
        <w:spacing w:before="240" w:line="360" w:lineRule="auto"/>
        <w:ind w:firstLine="360"/>
        <w:jc w:val="both"/>
        <w:rPr>
          <w:rFonts w:ascii="Arial" w:eastAsia="Times New Roman" w:hAnsi="Arial" w:cs="Arial"/>
          <w:color w:val="000000"/>
          <w:sz w:val="24"/>
          <w:szCs w:val="24"/>
        </w:rPr>
      </w:pPr>
      <w:r>
        <w:rPr>
          <w:rFonts w:ascii="Arial" w:eastAsia="Times New Roman" w:hAnsi="Arial" w:cs="Arial"/>
          <w:color w:val="000000"/>
          <w:sz w:val="24"/>
          <w:szCs w:val="24"/>
        </w:rPr>
        <w:t>Esta limitación de la libertad de expresión provoca que se desvirtúe el objetivo principal de la actividad periodística, como lo admite el propio Indalecio Ben</w:t>
      </w:r>
      <w:r w:rsidR="001669DC">
        <w:rPr>
          <w:rFonts w:ascii="Arial" w:eastAsia="Times New Roman" w:hAnsi="Arial" w:cs="Arial"/>
          <w:color w:val="000000"/>
          <w:sz w:val="24"/>
          <w:szCs w:val="24"/>
        </w:rPr>
        <w:t>ítez.</w:t>
      </w:r>
    </w:p>
    <w:p w14:paraId="7BB1E24F" w14:textId="1BDA9CCE" w:rsidR="001669DC" w:rsidRDefault="001669DC" w:rsidP="001669DC">
      <w:pPr>
        <w:shd w:val="clear" w:color="auto" w:fill="FFFFFF" w:themeFill="background1"/>
        <w:spacing w:before="240" w:line="360" w:lineRule="auto"/>
        <w:ind w:left="360"/>
        <w:jc w:val="both"/>
        <w:rPr>
          <w:rFonts w:ascii="Arial" w:hAnsi="Arial" w:cs="Arial"/>
          <w:sz w:val="25"/>
          <w:szCs w:val="25"/>
        </w:rPr>
      </w:pPr>
      <w:r>
        <w:rPr>
          <w:rFonts w:ascii="Arial" w:hAnsi="Arial" w:cs="Arial"/>
          <w:sz w:val="25"/>
          <w:szCs w:val="25"/>
        </w:rPr>
        <w:t>El hecho de autocensurarte compañero, pues ya como que tú mismo te traumas, ¿tú crees que yo me siento tranquilo a veces el saber de pendejadas y que no las puedas decir?, pues moralmente tú dices, a cabrón, entonces soy periodista para unos y para otros no. Sí te trauma. (Entrevista Indalecio Benítez, 53:59)</w:t>
      </w:r>
    </w:p>
    <w:p w14:paraId="2CBE3C97" w14:textId="72057FF0" w:rsidR="00FE0CC4" w:rsidRDefault="00FE0CC4" w:rsidP="00E33DA8">
      <w:pPr>
        <w:shd w:val="clear" w:color="auto" w:fill="FFFFFF" w:themeFill="background1"/>
        <w:spacing w:before="240" w:line="360" w:lineRule="auto"/>
        <w:ind w:firstLine="360"/>
        <w:jc w:val="both"/>
        <w:rPr>
          <w:rFonts w:ascii="Arial" w:hAnsi="Arial" w:cs="Arial"/>
          <w:sz w:val="25"/>
          <w:szCs w:val="25"/>
        </w:rPr>
      </w:pPr>
      <w:r>
        <w:rPr>
          <w:rFonts w:ascii="Arial" w:hAnsi="Arial" w:cs="Arial"/>
          <w:sz w:val="25"/>
          <w:szCs w:val="25"/>
        </w:rPr>
        <w:t>Como señala Hidalgo (2018) la libertad de expresión no puede ser limitada, pues de lo contrario ya no es una libertad. Lo mismo sucede con el periodismo, el cual pierde capacidad de interpelación al estar en un espacio de constantes riesgos sociales, lo cual reduciría al ejercicio periodístico a un ámbito instrumental, sin incidir en correcta clasificación de la realidad.</w:t>
      </w:r>
      <w:r>
        <w:rPr>
          <w:rStyle w:val="Refdenotaalpie"/>
          <w:rFonts w:ascii="Arial" w:hAnsi="Arial" w:cs="Arial"/>
          <w:sz w:val="25"/>
          <w:szCs w:val="25"/>
        </w:rPr>
        <w:footnoteReference w:id="57"/>
      </w:r>
    </w:p>
    <w:p w14:paraId="60318943" w14:textId="77777777" w:rsidR="00CD789C" w:rsidRDefault="00FE0CC4" w:rsidP="00E33DA8">
      <w:pPr>
        <w:shd w:val="clear" w:color="auto" w:fill="FFFFFF" w:themeFill="background1"/>
        <w:spacing w:before="240" w:line="360" w:lineRule="auto"/>
        <w:ind w:firstLine="360"/>
        <w:jc w:val="both"/>
        <w:rPr>
          <w:rFonts w:ascii="Arial" w:hAnsi="Arial" w:cs="Arial"/>
          <w:sz w:val="25"/>
          <w:szCs w:val="25"/>
        </w:rPr>
      </w:pPr>
      <w:r>
        <w:rPr>
          <w:rFonts w:ascii="Arial" w:hAnsi="Arial" w:cs="Arial"/>
          <w:sz w:val="25"/>
          <w:szCs w:val="25"/>
        </w:rPr>
        <w:t xml:space="preserve">En el caso de Indalecio Benítez la relación con el poder político continúa siendo un factor </w:t>
      </w:r>
      <w:r w:rsidR="00E33DA8">
        <w:rPr>
          <w:rFonts w:ascii="Arial" w:hAnsi="Arial" w:cs="Arial"/>
          <w:sz w:val="25"/>
          <w:szCs w:val="25"/>
        </w:rPr>
        <w:t>de riesgo que se potencia con su</w:t>
      </w:r>
      <w:r>
        <w:rPr>
          <w:rFonts w:ascii="Arial" w:hAnsi="Arial" w:cs="Arial"/>
          <w:sz w:val="25"/>
          <w:szCs w:val="25"/>
        </w:rPr>
        <w:t xml:space="preserve"> perfil de constantes interp</w:t>
      </w:r>
      <w:r w:rsidR="00E33DA8">
        <w:rPr>
          <w:rFonts w:ascii="Arial" w:hAnsi="Arial" w:cs="Arial"/>
          <w:sz w:val="25"/>
          <w:szCs w:val="25"/>
        </w:rPr>
        <w:t>elaciones a autoridades mun</w:t>
      </w:r>
      <w:r w:rsidR="00CD789C">
        <w:rPr>
          <w:rFonts w:ascii="Arial" w:hAnsi="Arial" w:cs="Arial"/>
          <w:sz w:val="25"/>
          <w:szCs w:val="25"/>
        </w:rPr>
        <w:t>icipales, estatales y federales.</w:t>
      </w:r>
    </w:p>
    <w:p w14:paraId="580A058F" w14:textId="59E91099" w:rsidR="00FE0CC4" w:rsidRDefault="00CD789C" w:rsidP="00E33DA8">
      <w:pPr>
        <w:shd w:val="clear" w:color="auto" w:fill="FFFFFF" w:themeFill="background1"/>
        <w:spacing w:before="240" w:line="360" w:lineRule="auto"/>
        <w:ind w:firstLine="360"/>
        <w:jc w:val="both"/>
        <w:rPr>
          <w:rFonts w:ascii="Arial" w:hAnsi="Arial" w:cs="Arial"/>
          <w:sz w:val="25"/>
          <w:szCs w:val="25"/>
        </w:rPr>
      </w:pPr>
      <w:r>
        <w:rPr>
          <w:rFonts w:ascii="Arial" w:hAnsi="Arial" w:cs="Arial"/>
          <w:sz w:val="25"/>
          <w:szCs w:val="25"/>
        </w:rPr>
        <w:t xml:space="preserve"> S</w:t>
      </w:r>
      <w:r w:rsidR="00E33DA8">
        <w:rPr>
          <w:rFonts w:ascii="Arial" w:hAnsi="Arial" w:cs="Arial"/>
          <w:sz w:val="25"/>
          <w:szCs w:val="25"/>
        </w:rPr>
        <w:t>in embargo, esta situación también se convierte en un referente favorable para el periodista, quien se ha hecho más visible en la zona sur del Estado de México, lo cual se constituye en un sistema de autoprotección que también coadyuva en el caso de la influencia del crimen organizado.</w:t>
      </w:r>
    </w:p>
    <w:p w14:paraId="68DBDEAF" w14:textId="54E38EA8" w:rsidR="00E33DA8" w:rsidRDefault="00E33DA8" w:rsidP="00E33DA8">
      <w:pPr>
        <w:shd w:val="clear" w:color="auto" w:fill="FFFFFF" w:themeFill="background1"/>
        <w:spacing w:before="240" w:line="360" w:lineRule="auto"/>
        <w:ind w:firstLine="360"/>
        <w:jc w:val="both"/>
        <w:rPr>
          <w:rFonts w:ascii="Arial" w:eastAsia="Times New Roman" w:hAnsi="Arial" w:cs="Arial"/>
          <w:color w:val="000000"/>
          <w:sz w:val="24"/>
          <w:szCs w:val="24"/>
        </w:rPr>
      </w:pPr>
      <w:r>
        <w:rPr>
          <w:rFonts w:ascii="Arial" w:hAnsi="Arial" w:cs="Arial"/>
          <w:sz w:val="25"/>
          <w:szCs w:val="25"/>
        </w:rPr>
        <w:t xml:space="preserve">Como el mismo </w:t>
      </w:r>
      <w:r w:rsidR="008717B5">
        <w:rPr>
          <w:rFonts w:ascii="Arial" w:hAnsi="Arial" w:cs="Arial"/>
          <w:sz w:val="25"/>
          <w:szCs w:val="25"/>
        </w:rPr>
        <w:t>Benítez</w:t>
      </w:r>
      <w:r>
        <w:rPr>
          <w:rFonts w:ascii="Arial" w:hAnsi="Arial" w:cs="Arial"/>
          <w:sz w:val="25"/>
          <w:szCs w:val="25"/>
        </w:rPr>
        <w:t xml:space="preserve"> lo expresa, previo a su regreso al municipio de Luvianos, al margen de las medidas de protección que le brindó el </w:t>
      </w:r>
      <w:r>
        <w:rPr>
          <w:rFonts w:ascii="Arial" w:eastAsia="Times New Roman" w:hAnsi="Arial" w:cs="Arial"/>
          <w:color w:val="000000"/>
          <w:sz w:val="24"/>
          <w:szCs w:val="24"/>
        </w:rPr>
        <w:t>MPPDDHP, comenzó a generarse un ambiente de seguridad para él y su familia mediante la gestión y el involucramiento con demandas sociales, aunado a su activismo en materia de derechos humanos.</w:t>
      </w:r>
    </w:p>
    <w:p w14:paraId="656FC845" w14:textId="638648A1" w:rsidR="00E33DA8" w:rsidRDefault="00E33DA8" w:rsidP="00E33DA8">
      <w:pPr>
        <w:shd w:val="clear" w:color="auto" w:fill="FFFFFF" w:themeFill="background1"/>
        <w:spacing w:before="240" w:line="360" w:lineRule="auto"/>
        <w:ind w:left="708"/>
        <w:jc w:val="both"/>
        <w:rPr>
          <w:rFonts w:ascii="Arial" w:hAnsi="Arial" w:cs="Arial"/>
          <w:sz w:val="25"/>
          <w:szCs w:val="25"/>
        </w:rPr>
      </w:pPr>
      <w:r>
        <w:rPr>
          <w:rFonts w:ascii="Arial" w:hAnsi="Arial" w:cs="Arial"/>
          <w:sz w:val="25"/>
          <w:szCs w:val="25"/>
        </w:rPr>
        <w:t xml:space="preserve">Hay que trabajar con el pueblo, mira puedes ir a Luvianos y te puedo mencionar que arriba de un 90% de la gente me protege, donde quiera que voy me conocen, me ayudan, y están conmigo. Crea un grupo vecinal, llamase de </w:t>
      </w:r>
      <w:r w:rsidRPr="0000504B">
        <w:rPr>
          <w:rFonts w:ascii="Arial" w:hAnsi="Arial" w:cs="Arial"/>
          <w:sz w:val="25"/>
          <w:szCs w:val="25"/>
        </w:rPr>
        <w:t>WhatsApp</w:t>
      </w:r>
      <w:r>
        <w:rPr>
          <w:rFonts w:ascii="Arial" w:hAnsi="Arial" w:cs="Arial"/>
          <w:sz w:val="25"/>
          <w:szCs w:val="25"/>
        </w:rPr>
        <w:t>, de convivencia, convive con tus vecinos, esto te va a ayudar, es una red de autoprotección, te va a dar más resultados que los mecanismos que te implemente el gobierno; ¿de qué te sirve el pinche botón de pánico? de nada, cuando lo actives ya te dieron los balazos. (Entrevista Indalecio Benítez, 38:37)</w:t>
      </w:r>
    </w:p>
    <w:p w14:paraId="50D13AA2" w14:textId="77EB8C7D" w:rsidR="00CD789C" w:rsidRDefault="00E33DA8" w:rsidP="00CD789C">
      <w:pPr>
        <w:shd w:val="clear" w:color="auto" w:fill="FFFFFF" w:themeFill="background1"/>
        <w:spacing w:before="240" w:line="360" w:lineRule="auto"/>
        <w:ind w:firstLine="708"/>
        <w:jc w:val="both"/>
        <w:rPr>
          <w:rFonts w:ascii="Arial" w:hAnsi="Arial" w:cs="Arial"/>
          <w:sz w:val="25"/>
          <w:szCs w:val="25"/>
        </w:rPr>
      </w:pPr>
      <w:r>
        <w:rPr>
          <w:rFonts w:ascii="Arial" w:hAnsi="Arial" w:cs="Arial"/>
          <w:sz w:val="25"/>
          <w:szCs w:val="25"/>
        </w:rPr>
        <w:t xml:space="preserve">A la fecha el 85% de los ingresos </w:t>
      </w:r>
      <w:r w:rsidR="00CD789C">
        <w:rPr>
          <w:rFonts w:ascii="Arial" w:hAnsi="Arial" w:cs="Arial"/>
          <w:sz w:val="25"/>
          <w:szCs w:val="25"/>
        </w:rPr>
        <w:t>de la radiodifusora los destina a ayudas sociales, pues él se sostiene económicamente de un negocio de perifoneo y otro de grupos musicales.</w:t>
      </w:r>
      <w:r>
        <w:rPr>
          <w:rFonts w:ascii="Arial" w:hAnsi="Arial" w:cs="Arial"/>
          <w:sz w:val="25"/>
          <w:szCs w:val="25"/>
        </w:rPr>
        <w:t xml:space="preserve"> </w:t>
      </w:r>
    </w:p>
    <w:p w14:paraId="0C62FF1F" w14:textId="16BEB2FE" w:rsidR="00E33DA8" w:rsidRDefault="00CD789C" w:rsidP="00CD789C">
      <w:pPr>
        <w:shd w:val="clear" w:color="auto" w:fill="FFFFFF" w:themeFill="background1"/>
        <w:spacing w:before="240" w:line="360" w:lineRule="auto"/>
        <w:ind w:left="708"/>
        <w:jc w:val="both"/>
        <w:rPr>
          <w:rFonts w:ascii="Arial" w:hAnsi="Arial" w:cs="Arial"/>
          <w:sz w:val="25"/>
          <w:szCs w:val="25"/>
        </w:rPr>
      </w:pPr>
      <w:r>
        <w:rPr>
          <w:rFonts w:ascii="Arial" w:hAnsi="Arial" w:cs="Arial"/>
          <w:sz w:val="25"/>
          <w:szCs w:val="25"/>
        </w:rPr>
        <w:t>E</w:t>
      </w:r>
      <w:r w:rsidR="00E33DA8">
        <w:rPr>
          <w:rFonts w:ascii="Arial" w:hAnsi="Arial" w:cs="Arial"/>
          <w:sz w:val="25"/>
          <w:szCs w:val="25"/>
        </w:rPr>
        <w:t>l estar haciendo un trabajo comunitario, altruista, de esta magnitud, te ayuda a tener el apoyo del pueblo, ese es el trabajo que tiene que hacer uno para mantenerte protegido. El mismo crimen organizado en lugar de atacarte, te va a proteger, por qué motivos, yo si algo me pasara, ten plena seguridad que no es el crimen organizado el que me lo haga, sería el gobierno, por qué te lo digo, yo no le estoy causando ningún problema al crimen organizado, ninguno, le estoy ayudando a la gente, y el crimen organizado lo que menos quiere es que se les caliente la plaza. Ellos saben que al darme un madrazo a mí o alguien de mi equipo de colaboradores es no nada más echarse encima a la prensa mexicana.</w:t>
      </w:r>
    </w:p>
    <w:p w14:paraId="27B96761" w14:textId="082ED7A4" w:rsidR="00E33DA8" w:rsidRDefault="00E33DA8" w:rsidP="00CD789C">
      <w:pPr>
        <w:shd w:val="clear" w:color="auto" w:fill="FFFFFF" w:themeFill="background1"/>
        <w:spacing w:before="240" w:line="360" w:lineRule="auto"/>
        <w:ind w:left="708"/>
        <w:jc w:val="both"/>
        <w:rPr>
          <w:rFonts w:ascii="Arial" w:hAnsi="Arial" w:cs="Arial"/>
          <w:sz w:val="25"/>
          <w:szCs w:val="25"/>
        </w:rPr>
      </w:pPr>
      <w:r>
        <w:rPr>
          <w:rFonts w:ascii="Arial" w:hAnsi="Arial" w:cs="Arial"/>
          <w:sz w:val="25"/>
          <w:szCs w:val="25"/>
        </w:rPr>
        <w:t>Estuve en centro y sudamérica hace poco tiempo y fui a crear vínculos de colaboración con los sindicatos de periodistas de centro y sudamérica, por qué, porque eso me da visibilidad y hasta cierto punto una protección. Estuve en Europa y me fui a hacer lo mismo, crear vínculos, yo estoy dentro del programa “Haz que te vean”, porque haciendo que te vean el gobierno le va a pensar y el crimen organizado con mayor razón, y si yo no estoy</w:t>
      </w:r>
      <w:r w:rsidR="00CD789C">
        <w:rPr>
          <w:rFonts w:ascii="Arial" w:hAnsi="Arial" w:cs="Arial"/>
          <w:sz w:val="25"/>
          <w:szCs w:val="25"/>
        </w:rPr>
        <w:t xml:space="preserve"> atacando al crimen organizado. (Entrevista Indalecio Benítez, 38:37)</w:t>
      </w:r>
    </w:p>
    <w:p w14:paraId="32510A0C" w14:textId="77777777" w:rsidR="00FC2E0B" w:rsidRDefault="005715B2" w:rsidP="00FC2E0B">
      <w:pPr>
        <w:shd w:val="clear" w:color="auto" w:fill="FFFFFF" w:themeFill="background1"/>
        <w:spacing w:before="240" w:line="360" w:lineRule="auto"/>
        <w:ind w:firstLine="708"/>
        <w:jc w:val="both"/>
        <w:rPr>
          <w:rFonts w:ascii="Arial" w:hAnsi="Arial" w:cs="Arial"/>
          <w:sz w:val="25"/>
          <w:szCs w:val="25"/>
        </w:rPr>
      </w:pPr>
      <w:r>
        <w:rPr>
          <w:rFonts w:ascii="Arial" w:hAnsi="Arial" w:cs="Arial"/>
          <w:sz w:val="25"/>
          <w:szCs w:val="25"/>
        </w:rPr>
        <w:t xml:space="preserve">Esta estrategia adoptada por Indalecio Benítez Mondragón le permite una mayor interlocución con la audiencia, que combinado con su activismo social, le dan no sólo visibilidad, sino lo colocan como una figura mediática en dicha región, lo cual es un </w:t>
      </w:r>
      <w:r w:rsidR="00FC2E0B">
        <w:rPr>
          <w:rFonts w:ascii="Arial" w:hAnsi="Arial" w:cs="Arial"/>
          <w:sz w:val="25"/>
          <w:szCs w:val="25"/>
        </w:rPr>
        <w:t>factor que le permite equilibrar la vulnerabilidad derivada de los citados riesgos sociales.</w:t>
      </w:r>
    </w:p>
    <w:p w14:paraId="0813644E" w14:textId="10365BE7" w:rsidR="005715B2" w:rsidRDefault="00FC2E0B" w:rsidP="00FC2E0B">
      <w:pPr>
        <w:shd w:val="clear" w:color="auto" w:fill="FFFFFF" w:themeFill="background1"/>
        <w:spacing w:before="240" w:line="360" w:lineRule="auto"/>
        <w:ind w:firstLine="708"/>
        <w:jc w:val="both"/>
        <w:rPr>
          <w:rFonts w:ascii="Arial" w:hAnsi="Arial" w:cs="Arial"/>
          <w:sz w:val="25"/>
          <w:szCs w:val="25"/>
        </w:rPr>
      </w:pPr>
      <w:r>
        <w:rPr>
          <w:rFonts w:ascii="Arial" w:hAnsi="Arial" w:cs="Arial"/>
          <w:sz w:val="25"/>
          <w:szCs w:val="25"/>
        </w:rPr>
        <w:t>En este contexto construye no sólo un entorno seguro para él y su familia, sino que abre espacios para un ejercicio periodístico cercano a la comunidad, lo cual sería un modelo de autoprotección con posibilidades de replicarse en casos similares de periodistas agredidos, amenazados u hostigados.</w:t>
      </w:r>
      <w:r w:rsidR="005715B2">
        <w:rPr>
          <w:rFonts w:ascii="Arial" w:hAnsi="Arial" w:cs="Arial"/>
          <w:sz w:val="25"/>
          <w:szCs w:val="25"/>
        </w:rPr>
        <w:t xml:space="preserve"> </w:t>
      </w:r>
    </w:p>
    <w:p w14:paraId="41E2C1C5" w14:textId="77777777" w:rsidR="005602E9" w:rsidRDefault="00FC2E0B" w:rsidP="00FE0CC4">
      <w:pPr>
        <w:shd w:val="clear" w:color="auto" w:fill="FFFFFF" w:themeFill="background1"/>
        <w:spacing w:before="240" w:line="360" w:lineRule="auto"/>
        <w:jc w:val="both"/>
        <w:rPr>
          <w:rFonts w:ascii="Arial" w:eastAsia="Times New Roman" w:hAnsi="Arial" w:cs="Arial"/>
          <w:color w:val="000000"/>
          <w:sz w:val="24"/>
          <w:szCs w:val="24"/>
        </w:rPr>
      </w:pPr>
      <w:r>
        <w:rPr>
          <w:rFonts w:ascii="Arial" w:hAnsi="Arial" w:cs="Arial"/>
          <w:sz w:val="25"/>
          <w:szCs w:val="25"/>
        </w:rPr>
        <w:tab/>
        <w:t xml:space="preserve">Ante las carencias y deficiencias del </w:t>
      </w:r>
      <w:r>
        <w:rPr>
          <w:rFonts w:ascii="Arial" w:eastAsia="Times New Roman" w:hAnsi="Arial" w:cs="Arial"/>
          <w:color w:val="000000"/>
          <w:sz w:val="24"/>
          <w:szCs w:val="24"/>
        </w:rPr>
        <w:t>MPPDDHP</w:t>
      </w:r>
      <w:r w:rsidR="005602E9">
        <w:rPr>
          <w:rFonts w:ascii="Arial" w:eastAsia="Times New Roman" w:hAnsi="Arial" w:cs="Arial"/>
          <w:color w:val="000000"/>
          <w:sz w:val="24"/>
          <w:szCs w:val="24"/>
        </w:rPr>
        <w:t>, las medidas adoptadas por el citado periodista coinciden las recomendaciones de autoprotección enunciadas por la propia CIDH y la RELE.</w:t>
      </w:r>
    </w:p>
    <w:p w14:paraId="1D7B7BBD" w14:textId="1D21BFD2" w:rsidR="00FE0CC4" w:rsidRDefault="005602E9" w:rsidP="005602E9">
      <w:pPr>
        <w:shd w:val="clear" w:color="auto" w:fill="FFFFFF" w:themeFill="background1"/>
        <w:spacing w:before="240" w:line="360" w:lineRule="auto"/>
        <w:ind w:left="708"/>
        <w:jc w:val="both"/>
        <w:rPr>
          <w:rFonts w:ascii="Arial" w:eastAsia="Times New Roman" w:hAnsi="Arial" w:cs="Arial"/>
          <w:color w:val="000000"/>
          <w:sz w:val="24"/>
          <w:szCs w:val="24"/>
        </w:rPr>
      </w:pPr>
      <w:r>
        <w:rPr>
          <w:rFonts w:ascii="Arial" w:eastAsia="Times New Roman" w:hAnsi="Arial" w:cs="Arial"/>
          <w:color w:val="000000"/>
          <w:sz w:val="24"/>
          <w:szCs w:val="24"/>
        </w:rPr>
        <w:t xml:space="preserve">Los periodistas y las organizaciones de la sociedad civil están en condiciones de trabajar en redes para exigir justicia, promover avances en la protección brindada por el gobierno, compartir mejores prácticas y establecer sus propios sistemas de protección colectiva. (IESLEM, CIDH-RELE, p. 11) </w:t>
      </w:r>
    </w:p>
    <w:p w14:paraId="40FFA955" w14:textId="77777777" w:rsidR="00B63BAA" w:rsidRDefault="004F408B" w:rsidP="00B63BAA">
      <w:pPr>
        <w:shd w:val="clear" w:color="auto" w:fill="FFFFFF" w:themeFill="background1"/>
        <w:spacing w:before="240" w:line="360" w:lineRule="auto"/>
        <w:ind w:firstLine="708"/>
        <w:jc w:val="both"/>
        <w:rPr>
          <w:rFonts w:ascii="Arial" w:hAnsi="Arial" w:cs="Arial"/>
          <w:sz w:val="25"/>
          <w:szCs w:val="25"/>
        </w:rPr>
      </w:pPr>
      <w:r>
        <w:rPr>
          <w:rFonts w:ascii="Arial" w:hAnsi="Arial" w:cs="Arial"/>
          <w:sz w:val="25"/>
          <w:szCs w:val="25"/>
        </w:rPr>
        <w:t xml:space="preserve">En tal virtud, el ejercicio periodístico del periodista sureño convive con riesgo sociales, los cuales son parte de una relación dialéctica, donde el periodismo pugna por ejercer un derecho humano, que engloba a </w:t>
      </w:r>
      <w:r w:rsidR="00B63BAA">
        <w:rPr>
          <w:rFonts w:ascii="Arial" w:hAnsi="Arial" w:cs="Arial"/>
          <w:sz w:val="25"/>
          <w:szCs w:val="25"/>
        </w:rPr>
        <w:t xml:space="preserve">su vez a </w:t>
      </w:r>
      <w:r>
        <w:rPr>
          <w:rFonts w:ascii="Arial" w:hAnsi="Arial" w:cs="Arial"/>
          <w:sz w:val="25"/>
          <w:szCs w:val="25"/>
        </w:rPr>
        <w:t>la dignidad humana</w:t>
      </w:r>
      <w:r w:rsidR="00B63BAA">
        <w:rPr>
          <w:rFonts w:ascii="Arial" w:hAnsi="Arial" w:cs="Arial"/>
          <w:sz w:val="25"/>
          <w:szCs w:val="25"/>
        </w:rPr>
        <w:t>, sin embargo, en esa negociación indirecta con poderes públicos y fácticos incide en un mayor involucramiento social, lo cual a mediano y largo plazo le ha permitido mayores espacios de libertad para su ejercicio periodístico.</w:t>
      </w:r>
    </w:p>
    <w:p w14:paraId="32C89E6D" w14:textId="411796C4" w:rsidR="004F655B" w:rsidRDefault="004F408B" w:rsidP="004F655B">
      <w:pPr>
        <w:shd w:val="clear" w:color="auto" w:fill="FFFFFF" w:themeFill="background1"/>
        <w:spacing w:before="240" w:line="360" w:lineRule="auto"/>
        <w:jc w:val="both"/>
        <w:rPr>
          <w:rFonts w:ascii="Arial" w:hAnsi="Arial" w:cs="Arial"/>
          <w:sz w:val="25"/>
          <w:szCs w:val="25"/>
        </w:rPr>
      </w:pPr>
      <w:r>
        <w:rPr>
          <w:rFonts w:ascii="Arial" w:hAnsi="Arial" w:cs="Arial"/>
          <w:sz w:val="25"/>
          <w:szCs w:val="25"/>
        </w:rPr>
        <w:t xml:space="preserve"> </w:t>
      </w:r>
    </w:p>
    <w:p w14:paraId="6BEBBACE" w14:textId="77777777" w:rsidR="00E030C9" w:rsidRPr="00E030C9" w:rsidRDefault="00E030C9" w:rsidP="00E030C9">
      <w:pPr>
        <w:pStyle w:val="Textoindependiente"/>
      </w:pPr>
    </w:p>
    <w:p w14:paraId="001358A1" w14:textId="77777777" w:rsidR="000D7076" w:rsidRPr="000D7076" w:rsidRDefault="000D7076" w:rsidP="000D7076">
      <w:pPr>
        <w:pStyle w:val="Textoindependiente"/>
      </w:pPr>
      <w:bookmarkStart w:id="49" w:name="__RefHeading__2233_1000385367"/>
      <w:bookmarkEnd w:id="49"/>
    </w:p>
    <w:p w14:paraId="3CCDC9C0" w14:textId="77777777" w:rsidR="002D6313" w:rsidRDefault="002D6313" w:rsidP="002D6313">
      <w:pPr>
        <w:pStyle w:val="Ttulo2"/>
        <w:numPr>
          <w:ilvl w:val="0"/>
          <w:numId w:val="0"/>
        </w:numPr>
        <w:ind w:left="576" w:hanging="576"/>
        <w:rPr>
          <w:rFonts w:ascii="Arial" w:hAnsi="Arial" w:cs="Arial"/>
          <w:b/>
          <w:color w:val="00000A"/>
          <w:sz w:val="24"/>
        </w:rPr>
      </w:pPr>
      <w:bookmarkStart w:id="50" w:name="_Toc4083823"/>
    </w:p>
    <w:bookmarkEnd w:id="50"/>
    <w:p w14:paraId="4EF71637" w14:textId="79C003E1" w:rsidR="00E030C9" w:rsidRDefault="00E030C9" w:rsidP="00E030C9">
      <w:pPr>
        <w:pStyle w:val="Textoindependiente"/>
      </w:pPr>
    </w:p>
    <w:p w14:paraId="4556A195" w14:textId="77777777" w:rsidR="00687577" w:rsidRDefault="00687577">
      <w:pPr>
        <w:spacing w:line="360" w:lineRule="auto"/>
        <w:jc w:val="both"/>
        <w:rPr>
          <w:rFonts w:ascii="Arial" w:hAnsi="Arial" w:cs="Arial"/>
          <w:sz w:val="24"/>
          <w:szCs w:val="24"/>
        </w:rPr>
      </w:pPr>
    </w:p>
    <w:p w14:paraId="127B8044" w14:textId="181DBC99" w:rsidR="00030C1B" w:rsidRPr="00030C1B" w:rsidRDefault="00030C1B">
      <w:pPr>
        <w:pStyle w:val="Ttulo1"/>
        <w:pageBreakBefore/>
        <w:jc w:val="center"/>
        <w:rPr>
          <w:rFonts w:ascii="Arial" w:hAnsi="Arial" w:cs="Arial"/>
          <w:sz w:val="24"/>
          <w:szCs w:val="24"/>
        </w:rPr>
      </w:pPr>
      <w:bookmarkStart w:id="51" w:name="__RefHeading__2241_1000385367"/>
      <w:bookmarkStart w:id="52" w:name="_Toc4083826"/>
      <w:bookmarkEnd w:id="51"/>
      <w:r>
        <w:rPr>
          <w:rFonts w:ascii="Arial" w:hAnsi="Arial" w:cs="Arial"/>
          <w:sz w:val="24"/>
          <w:szCs w:val="24"/>
        </w:rPr>
        <w:t>Hidaldo</w:t>
      </w:r>
    </w:p>
    <w:bookmarkEnd w:id="52"/>
    <w:p w14:paraId="7037C993" w14:textId="61BEEAE5" w:rsidR="00687577" w:rsidRPr="00171E18" w:rsidRDefault="00030C1B" w:rsidP="00171E18">
      <w:pPr>
        <w:pStyle w:val="Ttulo1"/>
        <w:pageBreakBefore/>
        <w:numPr>
          <w:ilvl w:val="0"/>
          <w:numId w:val="0"/>
        </w:numPr>
        <w:spacing w:line="360" w:lineRule="auto"/>
        <w:jc w:val="both"/>
        <w:rPr>
          <w:rFonts w:ascii="Arial" w:hAnsi="Arial" w:cs="Arial"/>
          <w:sz w:val="24"/>
          <w:szCs w:val="24"/>
        </w:rPr>
      </w:pPr>
      <w:r w:rsidRPr="00171E18">
        <w:rPr>
          <w:rFonts w:ascii="Arial" w:hAnsi="Arial" w:cs="Arial"/>
          <w:sz w:val="24"/>
          <w:szCs w:val="24"/>
        </w:rPr>
        <w:t xml:space="preserve"> </w:t>
      </w:r>
    </w:p>
    <w:p w14:paraId="66271A0E" w14:textId="77777777" w:rsidR="00687577" w:rsidRDefault="00687577">
      <w:pPr>
        <w:spacing w:after="0" w:line="360" w:lineRule="auto"/>
        <w:jc w:val="both"/>
        <w:rPr>
          <w:rFonts w:ascii="Arial" w:hAnsi="Arial" w:cs="Arial"/>
          <w:b/>
          <w:bCs/>
          <w:sz w:val="24"/>
          <w:szCs w:val="24"/>
          <w:lang w:val="es-ES"/>
        </w:rPr>
      </w:pPr>
    </w:p>
    <w:p w14:paraId="051F891F" w14:textId="77777777" w:rsidR="00687577" w:rsidRDefault="00687577">
      <w:pPr>
        <w:spacing w:after="0" w:line="360" w:lineRule="auto"/>
        <w:jc w:val="both"/>
        <w:rPr>
          <w:rFonts w:ascii="Arial" w:hAnsi="Arial" w:cs="Arial"/>
          <w:b/>
          <w:bCs/>
          <w:sz w:val="24"/>
          <w:szCs w:val="24"/>
          <w:lang w:val="es-ES"/>
        </w:rPr>
      </w:pPr>
    </w:p>
    <w:p w14:paraId="25DC0B4F" w14:textId="77777777" w:rsidR="00687577" w:rsidRDefault="00687577">
      <w:pPr>
        <w:spacing w:after="0" w:line="360" w:lineRule="auto"/>
        <w:jc w:val="both"/>
        <w:rPr>
          <w:rFonts w:ascii="Arial" w:hAnsi="Arial" w:cs="Arial"/>
          <w:b/>
          <w:bCs/>
          <w:sz w:val="24"/>
          <w:szCs w:val="24"/>
          <w:lang w:val="es-ES"/>
        </w:rPr>
      </w:pPr>
    </w:p>
    <w:p w14:paraId="05AA8D26" w14:textId="77777777" w:rsidR="00687577" w:rsidRDefault="00687577">
      <w:pPr>
        <w:spacing w:after="0" w:line="360" w:lineRule="auto"/>
        <w:jc w:val="both"/>
        <w:rPr>
          <w:rFonts w:ascii="Arial" w:hAnsi="Arial" w:cs="Arial"/>
          <w:b/>
          <w:bCs/>
          <w:sz w:val="24"/>
          <w:szCs w:val="24"/>
          <w:lang w:val="es-ES"/>
        </w:rPr>
      </w:pPr>
    </w:p>
    <w:p w14:paraId="7AF5AE29" w14:textId="77777777" w:rsidR="00687577" w:rsidRDefault="00687577">
      <w:pPr>
        <w:spacing w:after="0" w:line="360" w:lineRule="auto"/>
        <w:jc w:val="both"/>
        <w:rPr>
          <w:rFonts w:ascii="Arial" w:hAnsi="Arial" w:cs="Arial"/>
          <w:b/>
          <w:bCs/>
          <w:sz w:val="24"/>
          <w:szCs w:val="24"/>
          <w:lang w:val="es-ES"/>
        </w:rPr>
      </w:pPr>
    </w:p>
    <w:p w14:paraId="3E276669" w14:textId="77777777" w:rsidR="00687577" w:rsidRDefault="00687577">
      <w:pPr>
        <w:spacing w:after="0" w:line="360" w:lineRule="auto"/>
        <w:jc w:val="both"/>
        <w:rPr>
          <w:rFonts w:ascii="Arial" w:hAnsi="Arial" w:cs="Arial"/>
          <w:b/>
          <w:bCs/>
          <w:sz w:val="24"/>
          <w:szCs w:val="24"/>
          <w:lang w:val="es-ES"/>
        </w:rPr>
      </w:pPr>
    </w:p>
    <w:p w14:paraId="0890AC61" w14:textId="77777777" w:rsidR="00687577" w:rsidRDefault="00687577">
      <w:pPr>
        <w:spacing w:after="0" w:line="360" w:lineRule="auto"/>
        <w:jc w:val="both"/>
        <w:rPr>
          <w:rFonts w:ascii="Arial" w:hAnsi="Arial" w:cs="Arial"/>
          <w:b/>
          <w:bCs/>
          <w:sz w:val="24"/>
          <w:szCs w:val="24"/>
          <w:lang w:val="es-ES"/>
        </w:rPr>
      </w:pPr>
    </w:p>
    <w:p w14:paraId="3131BDBC" w14:textId="77777777" w:rsidR="00687577" w:rsidRDefault="00687577">
      <w:pPr>
        <w:spacing w:after="0" w:line="360" w:lineRule="auto"/>
        <w:jc w:val="both"/>
        <w:rPr>
          <w:rFonts w:ascii="Arial" w:hAnsi="Arial" w:cs="Arial"/>
          <w:b/>
          <w:bCs/>
          <w:sz w:val="24"/>
          <w:szCs w:val="24"/>
          <w:lang w:val="es-ES"/>
        </w:rPr>
      </w:pPr>
    </w:p>
    <w:p w14:paraId="5C48AD7C" w14:textId="77777777" w:rsidR="00687577" w:rsidRDefault="00687577">
      <w:pPr>
        <w:spacing w:after="0" w:line="360" w:lineRule="auto"/>
        <w:jc w:val="both"/>
        <w:rPr>
          <w:rFonts w:ascii="Arial" w:hAnsi="Arial" w:cs="Arial"/>
          <w:b/>
          <w:bCs/>
          <w:sz w:val="24"/>
          <w:szCs w:val="24"/>
          <w:lang w:val="es-ES"/>
        </w:rPr>
      </w:pPr>
    </w:p>
    <w:p w14:paraId="6B34663B" w14:textId="77777777" w:rsidR="00687577" w:rsidRDefault="00687577">
      <w:pPr>
        <w:spacing w:after="0" w:line="360" w:lineRule="auto"/>
        <w:jc w:val="both"/>
        <w:rPr>
          <w:rFonts w:ascii="Arial" w:hAnsi="Arial" w:cs="Arial"/>
          <w:b/>
          <w:bCs/>
          <w:sz w:val="24"/>
          <w:szCs w:val="24"/>
          <w:lang w:val="es-ES"/>
        </w:rPr>
      </w:pPr>
    </w:p>
    <w:p w14:paraId="5442CCC2" w14:textId="77777777" w:rsidR="00687577" w:rsidRDefault="00687577">
      <w:pPr>
        <w:spacing w:after="0" w:line="360" w:lineRule="auto"/>
        <w:jc w:val="both"/>
        <w:rPr>
          <w:rFonts w:ascii="Arial" w:hAnsi="Arial" w:cs="Arial"/>
          <w:b/>
          <w:bCs/>
          <w:sz w:val="24"/>
          <w:szCs w:val="24"/>
          <w:lang w:val="es-ES"/>
        </w:rPr>
      </w:pPr>
    </w:p>
    <w:p w14:paraId="21B61AE6" w14:textId="77777777" w:rsidR="00687577" w:rsidRDefault="00687577">
      <w:pPr>
        <w:spacing w:after="0" w:line="360" w:lineRule="auto"/>
        <w:jc w:val="both"/>
        <w:rPr>
          <w:rFonts w:ascii="Arial" w:hAnsi="Arial" w:cs="Arial"/>
          <w:b/>
          <w:bCs/>
          <w:sz w:val="24"/>
          <w:szCs w:val="24"/>
          <w:lang w:val="es-ES"/>
        </w:rPr>
      </w:pPr>
    </w:p>
    <w:p w14:paraId="6232BD06" w14:textId="77777777" w:rsidR="00687577" w:rsidRDefault="00687577">
      <w:pPr>
        <w:spacing w:after="0" w:line="360" w:lineRule="auto"/>
        <w:jc w:val="both"/>
        <w:rPr>
          <w:rFonts w:ascii="Arial" w:hAnsi="Arial" w:cs="Arial"/>
          <w:b/>
          <w:bCs/>
          <w:sz w:val="24"/>
          <w:szCs w:val="24"/>
          <w:lang w:val="es-ES"/>
        </w:rPr>
      </w:pPr>
    </w:p>
    <w:p w14:paraId="4F8A765B" w14:textId="77777777" w:rsidR="00687577" w:rsidRDefault="00687577">
      <w:pPr>
        <w:spacing w:after="0" w:line="360" w:lineRule="auto"/>
        <w:jc w:val="both"/>
        <w:rPr>
          <w:rFonts w:ascii="Arial" w:hAnsi="Arial" w:cs="Arial"/>
          <w:b/>
          <w:bCs/>
          <w:sz w:val="24"/>
          <w:szCs w:val="24"/>
          <w:lang w:val="es-ES"/>
        </w:rPr>
      </w:pPr>
    </w:p>
    <w:p w14:paraId="0DEB5F79" w14:textId="77777777" w:rsidR="00687577" w:rsidRDefault="00687577">
      <w:pPr>
        <w:rPr>
          <w:rFonts w:ascii="Arial" w:hAnsi="Arial" w:cs="Arial"/>
          <w:b/>
          <w:bCs/>
          <w:sz w:val="24"/>
          <w:szCs w:val="24"/>
          <w:lang w:val="es-ES"/>
        </w:rPr>
      </w:pPr>
    </w:p>
    <w:p w14:paraId="19BA5357" w14:textId="77777777" w:rsidR="00687577" w:rsidRDefault="00687577" w:rsidP="00171E18">
      <w:pPr>
        <w:pStyle w:val="Ttulo1"/>
        <w:pageBreakBefore/>
        <w:numPr>
          <w:ilvl w:val="0"/>
          <w:numId w:val="0"/>
        </w:numPr>
        <w:rPr>
          <w:rFonts w:ascii="Arial" w:hAnsi="Arial" w:cs="Arial"/>
          <w:sz w:val="24"/>
          <w:szCs w:val="24"/>
        </w:rPr>
      </w:pPr>
      <w:bookmarkStart w:id="53" w:name="__RefHeading__2243_1000385367"/>
      <w:bookmarkStart w:id="54" w:name="_Toc4083827"/>
      <w:bookmarkEnd w:id="53"/>
      <w:r>
        <w:rPr>
          <w:rFonts w:ascii="Arial" w:hAnsi="Arial" w:cs="Arial"/>
          <w:b/>
          <w:color w:val="00000A"/>
          <w:sz w:val="24"/>
          <w:lang w:val="es-ES"/>
        </w:rPr>
        <w:t>Referencias:</w:t>
      </w:r>
      <w:bookmarkEnd w:id="54"/>
    </w:p>
    <w:p w14:paraId="1C1BF4CB" w14:textId="77777777" w:rsidR="00687577" w:rsidRDefault="00687577">
      <w:pPr>
        <w:pStyle w:val="Prrafodelista10"/>
        <w:shd w:val="clear" w:color="auto" w:fill="FFFFFF"/>
        <w:spacing w:after="0" w:line="100" w:lineRule="atLeast"/>
        <w:ind w:left="567" w:firstLine="567"/>
        <w:rPr>
          <w:rFonts w:ascii="Arial" w:hAnsi="Arial" w:cs="Arial"/>
          <w:sz w:val="24"/>
          <w:szCs w:val="24"/>
        </w:rPr>
      </w:pPr>
    </w:p>
    <w:p w14:paraId="778ACE75" w14:textId="77777777" w:rsidR="00687577" w:rsidRDefault="00687577">
      <w:pPr>
        <w:spacing w:after="0" w:line="360" w:lineRule="auto"/>
        <w:ind w:left="567" w:right="616" w:firstLine="567"/>
        <w:jc w:val="both"/>
        <w:rPr>
          <w:rFonts w:ascii="Arial" w:hAnsi="Arial" w:cs="Arial"/>
          <w:color w:val="000000"/>
          <w:sz w:val="24"/>
          <w:szCs w:val="24"/>
        </w:rPr>
      </w:pPr>
      <w:r>
        <w:rPr>
          <w:rFonts w:ascii="Arial" w:hAnsi="Arial" w:cs="Arial"/>
          <w:sz w:val="24"/>
          <w:szCs w:val="24"/>
        </w:rPr>
        <w:t xml:space="preserve">Ackerman, J. y Sandoval, I. (2005) </w:t>
      </w:r>
      <w:r>
        <w:rPr>
          <w:rFonts w:ascii="Arial" w:hAnsi="Arial" w:cs="Arial"/>
          <w:i/>
          <w:sz w:val="24"/>
          <w:szCs w:val="24"/>
        </w:rPr>
        <w:t>Leyes de Acceso a la Información en el Mundo</w:t>
      </w:r>
      <w:r>
        <w:rPr>
          <w:rFonts w:ascii="Arial" w:hAnsi="Arial" w:cs="Arial"/>
          <w:sz w:val="24"/>
          <w:szCs w:val="24"/>
        </w:rPr>
        <w:t>.  México: IFAI.</w:t>
      </w:r>
    </w:p>
    <w:p w14:paraId="231F5FFB" w14:textId="77777777" w:rsidR="00687577" w:rsidRDefault="00687577">
      <w:pPr>
        <w:spacing w:before="240" w:line="360" w:lineRule="auto"/>
        <w:ind w:left="567" w:firstLine="567"/>
        <w:jc w:val="both"/>
        <w:rPr>
          <w:rFonts w:ascii="Arial" w:hAnsi="Arial" w:cs="Arial"/>
          <w:sz w:val="24"/>
          <w:szCs w:val="24"/>
        </w:rPr>
      </w:pPr>
      <w:r>
        <w:rPr>
          <w:rFonts w:ascii="Arial" w:hAnsi="Arial" w:cs="Arial"/>
          <w:color w:val="000000"/>
          <w:sz w:val="24"/>
          <w:szCs w:val="24"/>
        </w:rPr>
        <w:t xml:space="preserve">Aladro, E. (2013). </w:t>
      </w:r>
      <w:r>
        <w:rPr>
          <w:rFonts w:ascii="Arial" w:hAnsi="Arial" w:cs="Arial"/>
          <w:i/>
          <w:color w:val="000000"/>
          <w:sz w:val="24"/>
          <w:szCs w:val="24"/>
        </w:rPr>
        <w:t>Las Teorías Profesionales y las 5 crisis del periodismo</w:t>
      </w:r>
      <w:r>
        <w:rPr>
          <w:rFonts w:ascii="Arial" w:hAnsi="Arial" w:cs="Arial"/>
          <w:color w:val="000000"/>
          <w:sz w:val="24"/>
          <w:szCs w:val="24"/>
        </w:rPr>
        <w:t>. Agosto, 26, 2017, de Redalyc Sitio web: http.//www.redalyc.org/html/935/93528051007/</w:t>
      </w:r>
    </w:p>
    <w:p w14:paraId="05B1F53B" w14:textId="77777777" w:rsidR="00687577" w:rsidRDefault="00687577">
      <w:pPr>
        <w:spacing w:after="0" w:line="360" w:lineRule="auto"/>
        <w:ind w:left="567" w:firstLine="567"/>
        <w:jc w:val="both"/>
        <w:rPr>
          <w:rFonts w:ascii="Arial" w:hAnsi="Arial" w:cs="Arial"/>
          <w:sz w:val="24"/>
          <w:szCs w:val="24"/>
        </w:rPr>
      </w:pPr>
      <w:r>
        <w:rPr>
          <w:rFonts w:ascii="Arial" w:hAnsi="Arial" w:cs="Arial"/>
          <w:sz w:val="24"/>
          <w:szCs w:val="24"/>
        </w:rPr>
        <w:t xml:space="preserve">Article 19. (2016). Sitio de la Organización Article 19. Disponible en: </w:t>
      </w:r>
      <w:hyperlink r:id="rId11" w:history="1">
        <w:r>
          <w:rPr>
            <w:rStyle w:val="Hipervnculo"/>
            <w:rFonts w:ascii="Arial" w:hAnsi="Arial" w:cs="Arial"/>
            <w:sz w:val="24"/>
            <w:szCs w:val="24"/>
          </w:rPr>
          <w:t>https://www.article19.org/pages/es/resource-language.html</w:t>
        </w:r>
      </w:hyperlink>
      <w:r>
        <w:rPr>
          <w:rFonts w:ascii="Arial" w:hAnsi="Arial" w:cs="Arial"/>
          <w:sz w:val="24"/>
          <w:szCs w:val="24"/>
        </w:rPr>
        <w:t xml:space="preserve"> (Accesado 8 de octubre de 2016)</w:t>
      </w:r>
    </w:p>
    <w:p w14:paraId="17199222" w14:textId="77777777" w:rsidR="00687577" w:rsidRDefault="00687577">
      <w:pPr>
        <w:spacing w:after="0" w:line="360" w:lineRule="auto"/>
        <w:ind w:left="567" w:firstLine="567"/>
        <w:jc w:val="both"/>
        <w:rPr>
          <w:rFonts w:ascii="Arial" w:hAnsi="Arial" w:cs="Arial"/>
          <w:sz w:val="24"/>
          <w:szCs w:val="24"/>
        </w:rPr>
      </w:pPr>
      <w:r>
        <w:rPr>
          <w:rFonts w:ascii="Arial" w:hAnsi="Arial" w:cs="Arial"/>
          <w:sz w:val="24"/>
          <w:szCs w:val="24"/>
        </w:rPr>
        <w:t xml:space="preserve">Ausín, T. (2006) Contar y no mentir. Sobre el derecho positivo a recibir información veraz. En: </w:t>
      </w:r>
      <w:r>
        <w:rPr>
          <w:rFonts w:ascii="Arial" w:hAnsi="Arial" w:cs="Arial"/>
          <w:i/>
          <w:sz w:val="24"/>
          <w:szCs w:val="24"/>
        </w:rPr>
        <w:t>Los derechos positivos. Las demandas justas de acciones y prestaciones</w:t>
      </w:r>
      <w:r>
        <w:rPr>
          <w:rFonts w:ascii="Arial" w:hAnsi="Arial" w:cs="Arial"/>
          <w:sz w:val="24"/>
          <w:szCs w:val="24"/>
        </w:rPr>
        <w:t>. Peña, L. y Ausín, T. (editores), Madrid: Plaza y Valdés, 59-70.</w:t>
      </w:r>
    </w:p>
    <w:p w14:paraId="4B07D095" w14:textId="77777777" w:rsidR="00687577" w:rsidRDefault="00687577">
      <w:pPr>
        <w:spacing w:after="0" w:line="360" w:lineRule="auto"/>
        <w:ind w:left="567" w:firstLine="567"/>
        <w:jc w:val="both"/>
        <w:rPr>
          <w:rFonts w:ascii="Arial" w:hAnsi="Arial" w:cs="Arial"/>
          <w:sz w:val="24"/>
          <w:szCs w:val="24"/>
        </w:rPr>
      </w:pPr>
      <w:r>
        <w:rPr>
          <w:rFonts w:ascii="Arial" w:hAnsi="Arial" w:cs="Arial"/>
          <w:sz w:val="24"/>
          <w:szCs w:val="24"/>
        </w:rPr>
        <w:t>Ausín, T. (2014) Democracia razonable: la información necesaria para la deliberación ineludible. En</w:t>
      </w:r>
      <w:r>
        <w:rPr>
          <w:rFonts w:ascii="Arial" w:hAnsi="Arial" w:cs="Arial"/>
          <w:i/>
          <w:sz w:val="24"/>
          <w:szCs w:val="24"/>
        </w:rPr>
        <w:t>: Democracia Ética, una propuesta para las democracias corruptas</w:t>
      </w:r>
      <w:r>
        <w:rPr>
          <w:rFonts w:ascii="Arial" w:hAnsi="Arial" w:cs="Arial"/>
          <w:sz w:val="24"/>
          <w:szCs w:val="24"/>
        </w:rPr>
        <w:t>, Oscar Diego Bautista y Txetxu Ausín (compiladores), México: IEEM. (Verificado)</w:t>
      </w:r>
    </w:p>
    <w:p w14:paraId="05D9C0BF" w14:textId="77777777" w:rsidR="00687577" w:rsidRDefault="00687577">
      <w:pPr>
        <w:spacing w:after="0" w:line="360" w:lineRule="auto"/>
        <w:ind w:left="567" w:firstLine="567"/>
        <w:jc w:val="both"/>
        <w:rPr>
          <w:rFonts w:ascii="Arial" w:hAnsi="Arial" w:cs="Arial"/>
          <w:color w:val="000000"/>
          <w:sz w:val="24"/>
          <w:szCs w:val="24"/>
        </w:rPr>
      </w:pPr>
      <w:r>
        <w:rPr>
          <w:rFonts w:ascii="Arial" w:hAnsi="Arial" w:cs="Arial"/>
          <w:sz w:val="24"/>
          <w:szCs w:val="24"/>
        </w:rPr>
        <w:t>Ávila V., E. (2012) Iniciativa de Decreto por la que se expide la Ley para la Protección Integral del Ejercicio Periodístico del Estado de México. H.LVII Legislatura del Estado de México: 3 de octubre de 2012.</w:t>
      </w:r>
    </w:p>
    <w:p w14:paraId="0DC3FFFC" w14:textId="77777777" w:rsidR="00687577" w:rsidRDefault="00687577">
      <w:pPr>
        <w:spacing w:before="240" w:line="360" w:lineRule="auto"/>
        <w:ind w:left="567" w:firstLine="567"/>
        <w:jc w:val="both"/>
        <w:rPr>
          <w:rFonts w:ascii="Arial" w:hAnsi="Arial" w:cs="Arial"/>
          <w:color w:val="000000"/>
          <w:sz w:val="24"/>
          <w:szCs w:val="24"/>
        </w:rPr>
      </w:pPr>
      <w:r>
        <w:rPr>
          <w:rFonts w:ascii="Arial" w:hAnsi="Arial" w:cs="Arial"/>
          <w:color w:val="000000"/>
          <w:sz w:val="24"/>
          <w:szCs w:val="24"/>
        </w:rPr>
        <w:t xml:space="preserve">Avilés, R. (2007). </w:t>
      </w:r>
      <w:r>
        <w:rPr>
          <w:rFonts w:ascii="Arial" w:hAnsi="Arial" w:cs="Arial"/>
          <w:i/>
          <w:color w:val="000000"/>
          <w:sz w:val="24"/>
          <w:szCs w:val="24"/>
        </w:rPr>
        <w:t xml:space="preserve">La Censura al Periodismo en México: Revisión Histórica y Perspectivas. </w:t>
      </w:r>
      <w:r>
        <w:rPr>
          <w:rFonts w:ascii="Arial" w:hAnsi="Arial" w:cs="Arial"/>
          <w:color w:val="000000"/>
          <w:sz w:val="24"/>
          <w:szCs w:val="24"/>
        </w:rPr>
        <w:t>Razón y Palabra. 59, p.9</w:t>
      </w:r>
    </w:p>
    <w:p w14:paraId="33401A8C" w14:textId="77777777" w:rsidR="00687577" w:rsidRDefault="00687577">
      <w:pPr>
        <w:spacing w:before="240" w:line="360" w:lineRule="auto"/>
        <w:ind w:left="567" w:firstLine="567"/>
        <w:jc w:val="both"/>
        <w:rPr>
          <w:rFonts w:ascii="Arial" w:hAnsi="Arial" w:cs="Arial"/>
          <w:bCs/>
          <w:sz w:val="24"/>
          <w:szCs w:val="24"/>
          <w:lang w:val="es-ES"/>
        </w:rPr>
      </w:pPr>
      <w:r>
        <w:rPr>
          <w:rFonts w:ascii="Arial" w:hAnsi="Arial" w:cs="Arial"/>
          <w:color w:val="000000"/>
          <w:sz w:val="24"/>
          <w:szCs w:val="24"/>
        </w:rPr>
        <w:t xml:space="preserve">Basabe, S. (2005). </w:t>
      </w:r>
      <w:r>
        <w:rPr>
          <w:rFonts w:ascii="Arial" w:hAnsi="Arial" w:cs="Arial"/>
          <w:i/>
          <w:color w:val="000000"/>
          <w:sz w:val="24"/>
          <w:szCs w:val="24"/>
        </w:rPr>
        <w:t>La teoría de sistemas de Niklas Luhmann, Apuntes previos para una aplicación a la sociología del derecho</w:t>
      </w:r>
      <w:r>
        <w:rPr>
          <w:rFonts w:ascii="Arial" w:hAnsi="Arial" w:cs="Arial"/>
          <w:color w:val="000000"/>
          <w:sz w:val="24"/>
          <w:szCs w:val="24"/>
        </w:rPr>
        <w:t>. Octubre, 20, 2017, de Flacso. Sitio web: file:///C:/Users/lenovo/Downloads/fa-agora-basabe-2005.pdf</w:t>
      </w:r>
    </w:p>
    <w:p w14:paraId="3D4748F2" w14:textId="292481CC" w:rsidR="00687577" w:rsidRDefault="00687577">
      <w:pPr>
        <w:spacing w:after="0" w:line="360" w:lineRule="auto"/>
        <w:ind w:left="567" w:firstLine="567"/>
        <w:jc w:val="both"/>
        <w:rPr>
          <w:rFonts w:ascii="Arial" w:hAnsi="Arial" w:cs="Arial"/>
          <w:bCs/>
          <w:sz w:val="24"/>
          <w:szCs w:val="24"/>
          <w:lang w:val="es-ES"/>
        </w:rPr>
      </w:pPr>
      <w:r>
        <w:rPr>
          <w:rFonts w:ascii="Arial" w:hAnsi="Arial" w:cs="Arial"/>
          <w:bCs/>
          <w:sz w:val="24"/>
          <w:szCs w:val="24"/>
          <w:lang w:val="es-ES"/>
        </w:rPr>
        <w:t xml:space="preserve">Betancourt, F. (2014) </w:t>
      </w:r>
      <w:r>
        <w:rPr>
          <w:rFonts w:ascii="Arial" w:hAnsi="Arial" w:cs="Arial"/>
          <w:bCs/>
          <w:i/>
          <w:sz w:val="24"/>
          <w:szCs w:val="24"/>
          <w:lang w:val="es-ES"/>
        </w:rPr>
        <w:t>La Importancia del Debate Público para la Democracia</w:t>
      </w:r>
      <w:r>
        <w:rPr>
          <w:rFonts w:ascii="Arial" w:hAnsi="Arial" w:cs="Arial"/>
          <w:bCs/>
          <w:sz w:val="24"/>
          <w:szCs w:val="24"/>
          <w:lang w:val="es-ES"/>
        </w:rPr>
        <w:t xml:space="preserve">: </w:t>
      </w:r>
      <w:r>
        <w:rPr>
          <w:rFonts w:ascii="Arial" w:hAnsi="Arial" w:cs="Arial"/>
          <w:bCs/>
          <w:i/>
          <w:sz w:val="24"/>
          <w:szCs w:val="24"/>
          <w:lang w:val="es-ES"/>
        </w:rPr>
        <w:t>Cuadernos de Formación Ciudadana 3</w:t>
      </w:r>
      <w:r>
        <w:rPr>
          <w:rFonts w:ascii="Arial" w:hAnsi="Arial" w:cs="Arial"/>
          <w:bCs/>
          <w:sz w:val="24"/>
          <w:szCs w:val="24"/>
          <w:lang w:val="es-ES"/>
        </w:rPr>
        <w:t>, México: IEEM.</w:t>
      </w:r>
    </w:p>
    <w:p w14:paraId="2F75E618" w14:textId="77777777" w:rsidR="00CB3DE0" w:rsidRDefault="00CB3DE0" w:rsidP="00CB3DE0">
      <w:pPr>
        <w:spacing w:after="0" w:line="360" w:lineRule="auto"/>
        <w:ind w:left="708" w:firstLine="426"/>
        <w:jc w:val="both"/>
        <w:rPr>
          <w:rStyle w:val="Hipervnculo"/>
          <w:rFonts w:ascii="Arial" w:hAnsi="Arial" w:cs="Arial"/>
          <w:color w:val="auto"/>
          <w:sz w:val="24"/>
          <w:szCs w:val="24"/>
          <w:u w:val="none"/>
        </w:rPr>
      </w:pPr>
      <w:r w:rsidRPr="00CB3DE0">
        <w:rPr>
          <w:rFonts w:ascii="Arial" w:hAnsi="Arial" w:cs="Arial"/>
          <w:sz w:val="24"/>
          <w:szCs w:val="24"/>
        </w:rPr>
        <w:t xml:space="preserve">Buendía y Esquivel, tomado de Cendejas Jáuregui, M. (2007). Evolución histórica del derecho a la información. (I. d. unam, Ed.) Derecho Comparado de la Información (10). Tomado de: </w:t>
      </w:r>
      <w:hyperlink r:id="rId12" w:history="1">
        <w:r w:rsidRPr="00CB3DE0">
          <w:rPr>
            <w:rStyle w:val="Hipervnculo"/>
            <w:rFonts w:ascii="Arial" w:hAnsi="Arial" w:cs="Arial"/>
            <w:sz w:val="24"/>
            <w:szCs w:val="24"/>
          </w:rPr>
          <w:t>http://biblioteca.diputados.gob.mx/janium/bv/ce/lxiii/lib_exp_permex.pdf</w:t>
        </w:r>
      </w:hyperlink>
      <w:r w:rsidRPr="00CB3DE0">
        <w:rPr>
          <w:rStyle w:val="Hipervnculo"/>
          <w:rFonts w:ascii="Arial" w:hAnsi="Arial" w:cs="Arial"/>
          <w:sz w:val="24"/>
          <w:szCs w:val="24"/>
        </w:rPr>
        <w:tab/>
      </w:r>
    </w:p>
    <w:p w14:paraId="72C64ED1" w14:textId="0396137A" w:rsidR="00687577" w:rsidRPr="00CB3DE0" w:rsidRDefault="00687577" w:rsidP="00CB3DE0">
      <w:pPr>
        <w:spacing w:after="0" w:line="360" w:lineRule="auto"/>
        <w:ind w:left="708" w:firstLine="426"/>
        <w:jc w:val="both"/>
        <w:rPr>
          <w:rFonts w:ascii="Arial" w:hAnsi="Arial" w:cs="Arial"/>
          <w:sz w:val="24"/>
          <w:szCs w:val="24"/>
        </w:rPr>
      </w:pPr>
      <w:r>
        <w:rPr>
          <w:rFonts w:ascii="Arial" w:hAnsi="Arial" w:cs="Arial"/>
          <w:color w:val="000000"/>
          <w:sz w:val="24"/>
          <w:szCs w:val="24"/>
        </w:rPr>
        <w:t xml:space="preserve">Bunge, M. (2014). </w:t>
      </w:r>
      <w:r>
        <w:rPr>
          <w:rFonts w:ascii="Arial" w:hAnsi="Arial" w:cs="Arial"/>
          <w:i/>
          <w:color w:val="000000"/>
          <w:sz w:val="24"/>
          <w:szCs w:val="24"/>
        </w:rPr>
        <w:t>La Ciencia. Su método y su filosofía</w:t>
      </w:r>
      <w:r>
        <w:rPr>
          <w:rFonts w:ascii="Arial" w:hAnsi="Arial" w:cs="Arial"/>
          <w:color w:val="000000"/>
          <w:sz w:val="24"/>
          <w:szCs w:val="24"/>
        </w:rPr>
        <w:t>. Argentina: Penguin Random House.</w:t>
      </w:r>
    </w:p>
    <w:p w14:paraId="3CCA9F23" w14:textId="77777777" w:rsidR="00687577" w:rsidRDefault="00687577">
      <w:pPr>
        <w:spacing w:before="240" w:line="360" w:lineRule="auto"/>
        <w:ind w:left="567" w:firstLine="567"/>
        <w:jc w:val="both"/>
        <w:rPr>
          <w:rFonts w:ascii="Arial" w:hAnsi="Arial" w:cs="Arial"/>
          <w:color w:val="000000"/>
          <w:sz w:val="24"/>
          <w:szCs w:val="24"/>
        </w:rPr>
      </w:pPr>
      <w:r>
        <w:rPr>
          <w:rFonts w:ascii="Arial" w:hAnsi="Arial" w:cs="Arial"/>
          <w:color w:val="000000"/>
          <w:sz w:val="24"/>
          <w:szCs w:val="24"/>
        </w:rPr>
        <w:t>Cabalin, C. &amp; Lagos, C.  (2009</w:t>
      </w:r>
      <w:r>
        <w:rPr>
          <w:rFonts w:ascii="Arial" w:hAnsi="Arial" w:cs="Arial"/>
          <w:i/>
          <w:color w:val="000000"/>
          <w:sz w:val="24"/>
          <w:szCs w:val="24"/>
        </w:rPr>
        <w:t>). Libertad de Expresión y Periodismo en Chile: presiones y mordazas.</w:t>
      </w:r>
      <w:r>
        <w:rPr>
          <w:rFonts w:ascii="Arial" w:hAnsi="Arial" w:cs="Arial"/>
          <w:color w:val="000000"/>
          <w:sz w:val="24"/>
          <w:szCs w:val="24"/>
        </w:rPr>
        <w:t xml:space="preserve"> Agosto, 27, 2017, de Redalyc.org Sitio web: http.//www.redalyc.org/html/649/64911530003/</w:t>
      </w:r>
    </w:p>
    <w:p w14:paraId="4447DB41" w14:textId="77777777" w:rsidR="00687577" w:rsidRDefault="00687577">
      <w:pPr>
        <w:spacing w:before="240" w:line="360" w:lineRule="auto"/>
        <w:ind w:left="567" w:firstLine="567"/>
        <w:jc w:val="both"/>
        <w:rPr>
          <w:rFonts w:ascii="Arial" w:hAnsi="Arial" w:cs="Arial"/>
          <w:color w:val="000000"/>
          <w:sz w:val="24"/>
          <w:szCs w:val="24"/>
        </w:rPr>
      </w:pPr>
      <w:r>
        <w:rPr>
          <w:rFonts w:ascii="Arial" w:hAnsi="Arial" w:cs="Arial"/>
          <w:color w:val="000000"/>
          <w:sz w:val="24"/>
          <w:szCs w:val="24"/>
        </w:rPr>
        <w:t xml:space="preserve">Campbell, F. (2002). </w:t>
      </w:r>
      <w:r>
        <w:rPr>
          <w:rFonts w:ascii="Arial" w:hAnsi="Arial" w:cs="Arial"/>
          <w:i/>
          <w:color w:val="000000"/>
          <w:sz w:val="24"/>
          <w:szCs w:val="24"/>
        </w:rPr>
        <w:t>Periodismo escrito</w:t>
      </w:r>
      <w:r>
        <w:rPr>
          <w:rFonts w:ascii="Arial" w:hAnsi="Arial" w:cs="Arial"/>
          <w:color w:val="000000"/>
          <w:sz w:val="24"/>
          <w:szCs w:val="24"/>
        </w:rPr>
        <w:t>. México: Alfaguara.</w:t>
      </w:r>
    </w:p>
    <w:p w14:paraId="13B328C7" w14:textId="77777777" w:rsidR="00687577" w:rsidRDefault="00687577">
      <w:pPr>
        <w:spacing w:before="240" w:line="360" w:lineRule="auto"/>
        <w:ind w:left="567" w:firstLine="567"/>
        <w:jc w:val="both"/>
        <w:rPr>
          <w:rFonts w:ascii="Arial" w:hAnsi="Arial" w:cs="Arial"/>
          <w:bCs/>
          <w:sz w:val="24"/>
          <w:szCs w:val="24"/>
          <w:lang w:val="es-ES"/>
        </w:rPr>
      </w:pPr>
      <w:r>
        <w:rPr>
          <w:rFonts w:ascii="Arial" w:hAnsi="Arial" w:cs="Arial"/>
          <w:color w:val="000000"/>
          <w:sz w:val="24"/>
          <w:szCs w:val="24"/>
        </w:rPr>
        <w:t xml:space="preserve">Casero, A. (2009). </w:t>
      </w:r>
      <w:r>
        <w:rPr>
          <w:rFonts w:ascii="Arial" w:hAnsi="Arial" w:cs="Arial"/>
          <w:i/>
          <w:color w:val="000000"/>
          <w:sz w:val="24"/>
          <w:szCs w:val="24"/>
        </w:rPr>
        <w:t>El control político de la información periodística</w:t>
      </w:r>
      <w:r>
        <w:rPr>
          <w:rFonts w:ascii="Arial" w:hAnsi="Arial" w:cs="Arial"/>
          <w:color w:val="000000"/>
          <w:sz w:val="24"/>
          <w:szCs w:val="24"/>
        </w:rPr>
        <w:t>. Agosto, 24, 2017, de Redalyc Sitio web: http.//www.redalyc.org/html/819/81911786029/</w:t>
      </w:r>
    </w:p>
    <w:p w14:paraId="5B301DCD" w14:textId="77777777" w:rsidR="00687577" w:rsidRDefault="00687577">
      <w:pPr>
        <w:spacing w:after="0" w:line="360" w:lineRule="auto"/>
        <w:ind w:left="567" w:firstLine="567"/>
        <w:jc w:val="both"/>
        <w:rPr>
          <w:rFonts w:ascii="Arial" w:hAnsi="Arial" w:cs="Arial"/>
          <w:color w:val="000000"/>
          <w:sz w:val="24"/>
          <w:szCs w:val="24"/>
        </w:rPr>
      </w:pPr>
      <w:r>
        <w:rPr>
          <w:rFonts w:ascii="Arial" w:hAnsi="Arial" w:cs="Arial"/>
          <w:bCs/>
          <w:sz w:val="24"/>
          <w:szCs w:val="24"/>
          <w:lang w:val="es-ES"/>
        </w:rPr>
        <w:t xml:space="preserve">Castañeda, J. (1998) Función crucial de la prensa en la construcción de una esquiva democracia latinoamericana. En: </w:t>
      </w:r>
      <w:r>
        <w:rPr>
          <w:rFonts w:ascii="Arial" w:hAnsi="Arial" w:cs="Arial"/>
          <w:bCs/>
          <w:i/>
          <w:sz w:val="24"/>
          <w:szCs w:val="24"/>
          <w:lang w:val="es-ES"/>
        </w:rPr>
        <w:t>Comunicación Política y Democracia</w:t>
      </w:r>
      <w:r>
        <w:rPr>
          <w:rFonts w:ascii="Arial" w:hAnsi="Arial" w:cs="Arial"/>
          <w:bCs/>
          <w:sz w:val="24"/>
          <w:szCs w:val="24"/>
          <w:lang w:val="es-ES"/>
        </w:rPr>
        <w:t>. México: Cal y Arena.</w:t>
      </w:r>
    </w:p>
    <w:p w14:paraId="5FF43490" w14:textId="77777777" w:rsidR="00687577" w:rsidRDefault="00687577">
      <w:pPr>
        <w:pStyle w:val="Prrafodelista10"/>
        <w:spacing w:line="360" w:lineRule="auto"/>
        <w:ind w:left="567" w:firstLine="567"/>
        <w:jc w:val="both"/>
        <w:rPr>
          <w:rFonts w:ascii="Arial" w:hAnsi="Arial" w:cs="Arial"/>
          <w:color w:val="000000"/>
          <w:sz w:val="24"/>
          <w:szCs w:val="24"/>
        </w:rPr>
      </w:pPr>
      <w:r>
        <w:rPr>
          <w:rFonts w:ascii="Arial" w:hAnsi="Arial" w:cs="Arial"/>
          <w:color w:val="000000"/>
          <w:sz w:val="24"/>
          <w:szCs w:val="24"/>
        </w:rPr>
        <w:t xml:space="preserve">Cedano, P. (2015). </w:t>
      </w:r>
      <w:r>
        <w:rPr>
          <w:rFonts w:ascii="Arial" w:hAnsi="Arial" w:cs="Arial"/>
          <w:i/>
          <w:iCs/>
          <w:color w:val="000000"/>
          <w:sz w:val="24"/>
          <w:szCs w:val="24"/>
        </w:rPr>
        <w:t>Antecedentes y Evolución del Mecanismo de Protección de Personas Defensoras y Periodistas</w:t>
      </w:r>
      <w:r>
        <w:rPr>
          <w:rFonts w:ascii="Arial" w:hAnsi="Arial" w:cs="Arial"/>
          <w:color w:val="000000"/>
          <w:sz w:val="24"/>
          <w:szCs w:val="24"/>
        </w:rPr>
        <w:t xml:space="preserve">. Tomado de </w:t>
      </w:r>
      <w:hyperlink r:id="rId13" w:history="1">
        <w:r>
          <w:rPr>
            <w:rStyle w:val="Hipervnculo"/>
            <w:rFonts w:ascii="Arial" w:hAnsi="Arial" w:cs="Arial"/>
            <w:sz w:val="24"/>
            <w:szCs w:val="24"/>
          </w:rPr>
          <w:t>http.//razonyraiz.com/wp-content/uploads/2016/06/CNDH-Antecedentes-del-Mecanismo-2015.pdf</w:t>
        </w:r>
      </w:hyperlink>
      <w:r>
        <w:rPr>
          <w:rFonts w:ascii="Arial" w:hAnsi="Arial" w:cs="Arial"/>
          <w:sz w:val="24"/>
          <w:szCs w:val="24"/>
        </w:rPr>
        <w:t xml:space="preserve">, </w:t>
      </w:r>
    </w:p>
    <w:p w14:paraId="36915227" w14:textId="77777777" w:rsidR="00687577" w:rsidRDefault="00687577">
      <w:pPr>
        <w:spacing w:before="240" w:line="360" w:lineRule="auto"/>
        <w:ind w:left="567" w:firstLine="567"/>
        <w:jc w:val="both"/>
        <w:rPr>
          <w:rFonts w:ascii="Arial" w:hAnsi="Arial" w:cs="Arial"/>
          <w:color w:val="000000"/>
          <w:sz w:val="24"/>
          <w:szCs w:val="24"/>
        </w:rPr>
      </w:pPr>
      <w:r>
        <w:rPr>
          <w:rFonts w:ascii="Arial" w:hAnsi="Arial" w:cs="Arial"/>
          <w:color w:val="000000"/>
          <w:sz w:val="24"/>
          <w:szCs w:val="24"/>
        </w:rPr>
        <w:t xml:space="preserve">CJDH. (2014). </w:t>
      </w:r>
      <w:r>
        <w:rPr>
          <w:rFonts w:ascii="Arial" w:hAnsi="Arial" w:cs="Arial"/>
          <w:i/>
          <w:color w:val="000000"/>
          <w:sz w:val="24"/>
          <w:szCs w:val="24"/>
        </w:rPr>
        <w:t>Protección de Periodistas en el ámbito local en México</w:t>
      </w:r>
      <w:r>
        <w:rPr>
          <w:rFonts w:ascii="Arial" w:hAnsi="Arial" w:cs="Arial"/>
          <w:color w:val="000000"/>
          <w:sz w:val="24"/>
          <w:szCs w:val="24"/>
        </w:rPr>
        <w:t xml:space="preserve">. Agosto, 27, 2017, de Freedomhouse Sitio web: </w:t>
      </w:r>
      <w:hyperlink r:id="rId14" w:history="1">
        <w:r>
          <w:rPr>
            <w:rStyle w:val="Hipervnculo"/>
            <w:rFonts w:ascii="Arial" w:hAnsi="Arial" w:cs="Arial"/>
            <w:sz w:val="24"/>
            <w:szCs w:val="24"/>
          </w:rPr>
          <w:t>https://freedomhouse.org/sites/default/files/Protecci%C3%B3n%20a%20periodistas%20en%20el%20%C3%A1mbito%20local%20en%20M%C3%A9xico%20-%20SCM%20%28Enero%202014%29.pdf</w:t>
        </w:r>
      </w:hyperlink>
    </w:p>
    <w:p w14:paraId="000973D8" w14:textId="77777777" w:rsidR="00687577" w:rsidRDefault="00687577">
      <w:pPr>
        <w:spacing w:before="240" w:line="360" w:lineRule="auto"/>
        <w:ind w:left="567" w:firstLine="567"/>
        <w:jc w:val="both"/>
        <w:rPr>
          <w:rFonts w:ascii="Arial" w:hAnsi="Arial" w:cs="Arial"/>
          <w:color w:val="000000"/>
          <w:sz w:val="24"/>
          <w:szCs w:val="24"/>
        </w:rPr>
      </w:pPr>
      <w:r>
        <w:rPr>
          <w:rFonts w:ascii="Arial" w:hAnsi="Arial" w:cs="Arial"/>
          <w:color w:val="000000"/>
          <w:sz w:val="24"/>
          <w:szCs w:val="24"/>
        </w:rPr>
        <w:t xml:space="preserve">Congreso de la Unión. (1917). </w:t>
      </w:r>
      <w:r>
        <w:rPr>
          <w:rFonts w:ascii="Arial" w:hAnsi="Arial" w:cs="Arial"/>
          <w:i/>
          <w:color w:val="000000"/>
          <w:sz w:val="24"/>
          <w:szCs w:val="24"/>
        </w:rPr>
        <w:t>Constitución Política de los Estados Unidos Mexicanos</w:t>
      </w:r>
      <w:r>
        <w:rPr>
          <w:rFonts w:ascii="Arial" w:hAnsi="Arial" w:cs="Arial"/>
          <w:color w:val="000000"/>
          <w:sz w:val="24"/>
          <w:szCs w:val="24"/>
        </w:rPr>
        <w:t>. México: UNAM.</w:t>
      </w:r>
    </w:p>
    <w:p w14:paraId="05ADD880" w14:textId="77777777" w:rsidR="00687577" w:rsidRDefault="00687577">
      <w:pPr>
        <w:spacing w:line="360" w:lineRule="auto"/>
        <w:ind w:left="567" w:firstLine="567"/>
        <w:jc w:val="both"/>
        <w:rPr>
          <w:rFonts w:ascii="Arial" w:hAnsi="Arial" w:cs="Arial"/>
          <w:color w:val="000000"/>
          <w:sz w:val="24"/>
          <w:szCs w:val="24"/>
        </w:rPr>
      </w:pPr>
      <w:r>
        <w:rPr>
          <w:rFonts w:ascii="Arial" w:hAnsi="Arial" w:cs="Arial"/>
          <w:color w:val="000000"/>
          <w:sz w:val="24"/>
          <w:szCs w:val="24"/>
        </w:rPr>
        <w:t xml:space="preserve">Congreso de la Unión. (2012). </w:t>
      </w:r>
      <w:r>
        <w:rPr>
          <w:rFonts w:ascii="Arial" w:eastAsia="Times New Roman" w:hAnsi="Arial" w:cs="Arial"/>
          <w:i/>
          <w:iCs/>
          <w:color w:val="000000"/>
          <w:sz w:val="24"/>
          <w:szCs w:val="24"/>
        </w:rPr>
        <w:t>Ley para la Protección de Personas Defensoras de Derechos Humanos y Periodistas</w:t>
      </w:r>
      <w:r>
        <w:rPr>
          <w:rFonts w:ascii="Arial" w:eastAsia="Times New Roman" w:hAnsi="Arial" w:cs="Arial"/>
          <w:color w:val="000000"/>
          <w:sz w:val="24"/>
          <w:szCs w:val="24"/>
        </w:rPr>
        <w:t>. Diario Oficial de la Federación. México.</w:t>
      </w:r>
    </w:p>
    <w:p w14:paraId="79574E5C" w14:textId="77777777" w:rsidR="00687577" w:rsidRDefault="00687577">
      <w:pPr>
        <w:spacing w:before="240" w:line="360" w:lineRule="auto"/>
        <w:ind w:left="567" w:firstLine="567"/>
        <w:jc w:val="both"/>
        <w:rPr>
          <w:rFonts w:ascii="Arial" w:hAnsi="Arial" w:cs="Arial"/>
          <w:sz w:val="24"/>
          <w:szCs w:val="24"/>
        </w:rPr>
      </w:pPr>
      <w:r>
        <w:rPr>
          <w:rFonts w:ascii="Arial" w:hAnsi="Arial" w:cs="Arial"/>
          <w:color w:val="000000"/>
          <w:sz w:val="24"/>
          <w:szCs w:val="24"/>
        </w:rPr>
        <w:t xml:space="preserve">Congreso de la Unión. (2012). </w:t>
      </w:r>
      <w:r>
        <w:rPr>
          <w:rFonts w:ascii="Arial" w:hAnsi="Arial" w:cs="Arial"/>
          <w:i/>
          <w:color w:val="000000"/>
          <w:sz w:val="24"/>
          <w:szCs w:val="24"/>
        </w:rPr>
        <w:t>Ley para la Protección de Personas Defensoras de Derechos Humanos y Periodistas</w:t>
      </w:r>
      <w:r>
        <w:rPr>
          <w:rFonts w:ascii="Arial" w:hAnsi="Arial" w:cs="Arial"/>
          <w:color w:val="000000"/>
          <w:sz w:val="24"/>
          <w:szCs w:val="24"/>
        </w:rPr>
        <w:t>. México: Diario Oficial de la Federación.</w:t>
      </w:r>
    </w:p>
    <w:p w14:paraId="25661F32" w14:textId="77777777" w:rsidR="00687577" w:rsidRDefault="00687577">
      <w:pPr>
        <w:spacing w:after="0" w:line="360" w:lineRule="auto"/>
        <w:ind w:left="567" w:firstLine="567"/>
        <w:jc w:val="both"/>
        <w:rPr>
          <w:rFonts w:ascii="Arial" w:hAnsi="Arial" w:cs="Arial"/>
          <w:bCs/>
          <w:sz w:val="24"/>
          <w:szCs w:val="24"/>
          <w:lang w:val="es-ES"/>
        </w:rPr>
      </w:pPr>
      <w:r>
        <w:rPr>
          <w:rFonts w:ascii="Arial" w:hAnsi="Arial" w:cs="Arial"/>
          <w:sz w:val="24"/>
          <w:szCs w:val="24"/>
        </w:rPr>
        <w:t xml:space="preserve">Coultrap, J. (1999) From Parliamentarism to Pluralism, Models of Democracy and the European Union´s. “Democratic Deficit”. </w:t>
      </w:r>
      <w:r>
        <w:rPr>
          <w:rFonts w:ascii="Arial" w:hAnsi="Arial" w:cs="Arial"/>
          <w:i/>
          <w:sz w:val="24"/>
          <w:szCs w:val="24"/>
        </w:rPr>
        <w:t>Journal of Theoretical Politics,</w:t>
      </w:r>
      <w:r>
        <w:rPr>
          <w:rFonts w:ascii="Arial" w:hAnsi="Arial" w:cs="Arial"/>
          <w:sz w:val="24"/>
          <w:szCs w:val="24"/>
        </w:rPr>
        <w:t xml:space="preserve"> 1, 107-135.</w:t>
      </w:r>
    </w:p>
    <w:p w14:paraId="59C787AC" w14:textId="77777777" w:rsidR="00687577" w:rsidRDefault="00687577">
      <w:pPr>
        <w:spacing w:after="0" w:line="360" w:lineRule="auto"/>
        <w:ind w:left="567" w:firstLine="567"/>
        <w:jc w:val="both"/>
        <w:rPr>
          <w:rFonts w:ascii="Arial" w:hAnsi="Arial" w:cs="Arial"/>
          <w:bCs/>
          <w:sz w:val="24"/>
          <w:szCs w:val="24"/>
          <w:lang w:val="es-ES"/>
        </w:rPr>
      </w:pPr>
      <w:r>
        <w:rPr>
          <w:rFonts w:ascii="Arial" w:hAnsi="Arial" w:cs="Arial"/>
          <w:bCs/>
          <w:sz w:val="24"/>
          <w:szCs w:val="24"/>
          <w:lang w:val="es-ES"/>
        </w:rPr>
        <w:t xml:space="preserve">Crespo, J. (2001) </w:t>
      </w:r>
      <w:r>
        <w:rPr>
          <w:rFonts w:ascii="Arial" w:hAnsi="Arial" w:cs="Arial"/>
          <w:bCs/>
          <w:i/>
          <w:sz w:val="24"/>
          <w:szCs w:val="24"/>
          <w:lang w:val="es-ES"/>
        </w:rPr>
        <w:t>Fundamentos Políticos de la Rendición de Cuentas</w:t>
      </w:r>
      <w:r>
        <w:rPr>
          <w:rFonts w:ascii="Arial" w:hAnsi="Arial" w:cs="Arial"/>
          <w:bCs/>
          <w:sz w:val="24"/>
          <w:szCs w:val="24"/>
          <w:lang w:val="es-ES"/>
        </w:rPr>
        <w:t>, México: Cámara de Diputados LVIII Legislatura y Auditoria Superior de la Federación.</w:t>
      </w:r>
    </w:p>
    <w:p w14:paraId="56ACA866" w14:textId="77777777" w:rsidR="00687577" w:rsidRDefault="00687577">
      <w:pPr>
        <w:spacing w:before="240" w:line="360" w:lineRule="auto"/>
        <w:ind w:left="567" w:firstLine="567"/>
        <w:jc w:val="both"/>
        <w:rPr>
          <w:rFonts w:ascii="Arial" w:hAnsi="Arial" w:cs="Arial"/>
          <w:color w:val="000000"/>
          <w:sz w:val="24"/>
          <w:szCs w:val="24"/>
        </w:rPr>
      </w:pPr>
      <w:r>
        <w:rPr>
          <w:rFonts w:ascii="Arial" w:hAnsi="Arial" w:cs="Arial"/>
          <w:bCs/>
          <w:sz w:val="24"/>
          <w:szCs w:val="24"/>
          <w:lang w:val="es-ES"/>
        </w:rPr>
        <w:t xml:space="preserve">Crespo, J. (2001) </w:t>
      </w:r>
      <w:r>
        <w:rPr>
          <w:rFonts w:ascii="Arial" w:hAnsi="Arial" w:cs="Arial"/>
          <w:bCs/>
          <w:i/>
          <w:sz w:val="24"/>
          <w:szCs w:val="24"/>
          <w:lang w:val="es-ES"/>
        </w:rPr>
        <w:t>Fundamentos Políticos de la Rendición de Cuentas</w:t>
      </w:r>
      <w:r>
        <w:rPr>
          <w:rFonts w:ascii="Arial" w:hAnsi="Arial" w:cs="Arial"/>
          <w:bCs/>
          <w:sz w:val="24"/>
          <w:szCs w:val="24"/>
          <w:lang w:val="es-ES"/>
        </w:rPr>
        <w:t>, México: Cámara de Diputados LVIII Legislatura y Auditoria Superior de la Federación.</w:t>
      </w:r>
    </w:p>
    <w:p w14:paraId="38C545DE" w14:textId="77777777" w:rsidR="00687577" w:rsidRDefault="00687577">
      <w:pPr>
        <w:spacing w:before="240" w:line="360" w:lineRule="auto"/>
        <w:ind w:left="567" w:firstLine="567"/>
        <w:jc w:val="both"/>
        <w:rPr>
          <w:rFonts w:ascii="Arial" w:hAnsi="Arial" w:cs="Arial"/>
          <w:sz w:val="24"/>
          <w:szCs w:val="24"/>
        </w:rPr>
      </w:pPr>
      <w:r>
        <w:rPr>
          <w:rFonts w:ascii="Arial" w:hAnsi="Arial" w:cs="Arial"/>
          <w:color w:val="000000"/>
          <w:sz w:val="24"/>
          <w:szCs w:val="24"/>
        </w:rPr>
        <w:t xml:space="preserve">De Aguinaga, E. (2001). </w:t>
      </w:r>
      <w:r>
        <w:rPr>
          <w:rFonts w:ascii="Arial" w:hAnsi="Arial" w:cs="Arial"/>
          <w:i/>
          <w:color w:val="000000"/>
          <w:sz w:val="24"/>
          <w:szCs w:val="24"/>
        </w:rPr>
        <w:t>Hacia una teoría del periodismo</w:t>
      </w:r>
      <w:r>
        <w:rPr>
          <w:rFonts w:ascii="Arial" w:hAnsi="Arial" w:cs="Arial"/>
          <w:color w:val="000000"/>
          <w:sz w:val="24"/>
          <w:szCs w:val="24"/>
        </w:rPr>
        <w:t>. Estudios sobre el mensaje periodístico, 7, 241-255.</w:t>
      </w:r>
    </w:p>
    <w:p w14:paraId="0316364F" w14:textId="77777777" w:rsidR="00687577" w:rsidRDefault="00687577">
      <w:pPr>
        <w:spacing w:before="240" w:line="360" w:lineRule="auto"/>
        <w:ind w:left="567" w:firstLine="567"/>
        <w:jc w:val="both"/>
        <w:rPr>
          <w:rFonts w:ascii="Arial" w:hAnsi="Arial" w:cs="Arial"/>
          <w:color w:val="000000"/>
          <w:sz w:val="24"/>
          <w:szCs w:val="24"/>
        </w:rPr>
      </w:pPr>
      <w:r>
        <w:rPr>
          <w:rFonts w:ascii="Arial" w:hAnsi="Arial" w:cs="Arial"/>
          <w:sz w:val="24"/>
          <w:szCs w:val="24"/>
        </w:rPr>
        <w:t xml:space="preserve">Diego, O. (2015). </w:t>
      </w:r>
      <w:r>
        <w:rPr>
          <w:rFonts w:ascii="Arial" w:hAnsi="Arial" w:cs="Arial"/>
          <w:i/>
          <w:sz w:val="24"/>
          <w:szCs w:val="24"/>
        </w:rPr>
        <w:t>Componentes para construir un marco ético preventivo contra la corrupción</w:t>
      </w:r>
      <w:r>
        <w:rPr>
          <w:rFonts w:ascii="Arial" w:hAnsi="Arial" w:cs="Arial"/>
          <w:sz w:val="24"/>
          <w:szCs w:val="24"/>
        </w:rPr>
        <w:t>. En: Ética pública frente a corrupción, instrumentos éticos de aplicación práctica, Oscar Diego (coordinador) México: Instituto de Administración Pública del Estado de México (IAPEM).</w:t>
      </w:r>
    </w:p>
    <w:p w14:paraId="062E3451" w14:textId="77777777" w:rsidR="00687577" w:rsidRDefault="00687577">
      <w:pPr>
        <w:spacing w:before="240" w:line="360" w:lineRule="auto"/>
        <w:ind w:left="567" w:firstLine="567"/>
        <w:jc w:val="both"/>
        <w:rPr>
          <w:rFonts w:ascii="Arial" w:eastAsia="Times New Roman" w:hAnsi="Arial" w:cs="Arial"/>
          <w:color w:val="000000"/>
          <w:sz w:val="24"/>
          <w:szCs w:val="24"/>
        </w:rPr>
      </w:pPr>
      <w:r>
        <w:rPr>
          <w:rFonts w:ascii="Arial" w:hAnsi="Arial" w:cs="Arial"/>
          <w:color w:val="000000"/>
          <w:sz w:val="24"/>
          <w:szCs w:val="24"/>
        </w:rPr>
        <w:t xml:space="preserve">Espacio_OSC. (2017). </w:t>
      </w:r>
      <w:r>
        <w:rPr>
          <w:rFonts w:ascii="Arial" w:hAnsi="Arial" w:cs="Arial"/>
          <w:i/>
          <w:color w:val="000000"/>
          <w:sz w:val="24"/>
          <w:szCs w:val="24"/>
        </w:rPr>
        <w:t>La Deuda del Estado Mexicano</w:t>
      </w:r>
      <w:r>
        <w:rPr>
          <w:rFonts w:ascii="Arial" w:hAnsi="Arial" w:cs="Arial"/>
          <w:color w:val="000000"/>
          <w:sz w:val="24"/>
          <w:szCs w:val="24"/>
        </w:rPr>
        <w:t>. México: Artículo 19.</w:t>
      </w:r>
    </w:p>
    <w:p w14:paraId="3599C312" w14:textId="77777777" w:rsidR="00687577" w:rsidRDefault="00687577">
      <w:pPr>
        <w:spacing w:line="360" w:lineRule="auto"/>
        <w:ind w:left="567" w:firstLine="567"/>
        <w:jc w:val="both"/>
        <w:rPr>
          <w:rFonts w:ascii="Arial" w:hAnsi="Arial" w:cs="Arial"/>
          <w:sz w:val="24"/>
          <w:szCs w:val="24"/>
        </w:rPr>
      </w:pPr>
      <w:r>
        <w:rPr>
          <w:rFonts w:ascii="Arial" w:eastAsia="Times New Roman" w:hAnsi="Arial" w:cs="Arial"/>
          <w:color w:val="000000"/>
          <w:sz w:val="24"/>
          <w:szCs w:val="24"/>
        </w:rPr>
        <w:t xml:space="preserve">Espacio-OSC. (2017). </w:t>
      </w:r>
      <w:r>
        <w:rPr>
          <w:rFonts w:ascii="Arial" w:eastAsia="Times New Roman" w:hAnsi="Arial" w:cs="Arial"/>
          <w:i/>
          <w:color w:val="000000"/>
          <w:sz w:val="24"/>
          <w:szCs w:val="24"/>
        </w:rPr>
        <w:t>La Deuda del Estado Mexicano</w:t>
      </w:r>
      <w:r>
        <w:rPr>
          <w:rFonts w:ascii="Arial" w:eastAsia="Times New Roman" w:hAnsi="Arial" w:cs="Arial"/>
          <w:color w:val="000000"/>
          <w:sz w:val="24"/>
          <w:szCs w:val="24"/>
        </w:rPr>
        <w:t>. México.</w:t>
      </w:r>
    </w:p>
    <w:p w14:paraId="66DD6A7C" w14:textId="77777777" w:rsidR="00687577" w:rsidRDefault="00687577">
      <w:pPr>
        <w:spacing w:before="240" w:line="360" w:lineRule="auto"/>
        <w:ind w:left="567" w:firstLine="567"/>
        <w:jc w:val="both"/>
        <w:rPr>
          <w:rFonts w:ascii="Arial" w:hAnsi="Arial" w:cs="Arial"/>
          <w:bCs/>
          <w:sz w:val="24"/>
          <w:szCs w:val="24"/>
          <w:lang w:val="es-ES"/>
        </w:rPr>
      </w:pPr>
      <w:r>
        <w:rPr>
          <w:rFonts w:ascii="Arial" w:hAnsi="Arial" w:cs="Arial"/>
          <w:sz w:val="24"/>
          <w:szCs w:val="24"/>
        </w:rPr>
        <w:t xml:space="preserve">Flores, C. (2015). </w:t>
      </w:r>
      <w:r>
        <w:rPr>
          <w:rFonts w:ascii="Arial" w:hAnsi="Arial" w:cs="Arial"/>
          <w:i/>
          <w:sz w:val="24"/>
          <w:szCs w:val="24"/>
        </w:rPr>
        <w:t>Estado de Excepción: confrontaciones schmittianas</w:t>
      </w:r>
      <w:r>
        <w:rPr>
          <w:rFonts w:ascii="Arial" w:hAnsi="Arial" w:cs="Arial"/>
          <w:sz w:val="24"/>
          <w:szCs w:val="24"/>
        </w:rPr>
        <w:t>. México: Instituto Electoral del Estado de México (IEEM).</w:t>
      </w:r>
    </w:p>
    <w:p w14:paraId="574B099C" w14:textId="77777777" w:rsidR="00687577" w:rsidRDefault="00687577">
      <w:pPr>
        <w:spacing w:after="0" w:line="360" w:lineRule="auto"/>
        <w:ind w:left="567" w:firstLine="567"/>
        <w:jc w:val="both"/>
        <w:rPr>
          <w:rFonts w:ascii="Arial" w:hAnsi="Arial" w:cs="Arial"/>
          <w:color w:val="000000"/>
          <w:sz w:val="24"/>
          <w:szCs w:val="24"/>
        </w:rPr>
      </w:pPr>
      <w:r>
        <w:rPr>
          <w:rFonts w:ascii="Arial" w:hAnsi="Arial" w:cs="Arial"/>
          <w:bCs/>
          <w:sz w:val="24"/>
          <w:szCs w:val="24"/>
          <w:lang w:val="es-ES"/>
        </w:rPr>
        <w:t xml:space="preserve">Fuentes, P. (2008) </w:t>
      </w:r>
      <w:r>
        <w:rPr>
          <w:rFonts w:ascii="Arial" w:hAnsi="Arial" w:cs="Arial"/>
          <w:bCs/>
          <w:i/>
          <w:sz w:val="24"/>
          <w:szCs w:val="24"/>
          <w:lang w:val="es-ES"/>
        </w:rPr>
        <w:t>Género y Periodismo: El Caso de las Mujeres en la Prensa Local Escrita</w:t>
      </w:r>
      <w:r>
        <w:rPr>
          <w:rFonts w:ascii="Arial" w:hAnsi="Arial" w:cs="Arial"/>
          <w:bCs/>
          <w:sz w:val="24"/>
          <w:szCs w:val="24"/>
          <w:lang w:val="es-ES"/>
        </w:rPr>
        <w:t>, México: Universidad Autónoma del Estado de México.</w:t>
      </w:r>
    </w:p>
    <w:p w14:paraId="74BC9B75" w14:textId="77777777" w:rsidR="00687577" w:rsidRDefault="00687577">
      <w:pPr>
        <w:spacing w:before="240" w:line="360" w:lineRule="auto"/>
        <w:ind w:left="567" w:firstLine="567"/>
        <w:jc w:val="both"/>
        <w:rPr>
          <w:rFonts w:ascii="Arial" w:hAnsi="Arial" w:cs="Arial"/>
          <w:color w:val="333333"/>
          <w:sz w:val="24"/>
          <w:szCs w:val="24"/>
        </w:rPr>
      </w:pPr>
      <w:r>
        <w:rPr>
          <w:rFonts w:ascii="Arial" w:hAnsi="Arial" w:cs="Arial"/>
          <w:color w:val="000000"/>
          <w:sz w:val="24"/>
          <w:szCs w:val="24"/>
        </w:rPr>
        <w:t xml:space="preserve">Fuentes, X. (2002). </w:t>
      </w:r>
      <w:r>
        <w:rPr>
          <w:rFonts w:ascii="Arial" w:hAnsi="Arial" w:cs="Arial"/>
          <w:i/>
          <w:color w:val="000000"/>
          <w:sz w:val="24"/>
          <w:szCs w:val="24"/>
        </w:rPr>
        <w:t>La protección de la libertad de expresión en el sistema interamericano de derechos humanos y la promoción de la democracia</w:t>
      </w:r>
      <w:r>
        <w:rPr>
          <w:rFonts w:ascii="Arial" w:hAnsi="Arial" w:cs="Arial"/>
          <w:color w:val="000000"/>
          <w:sz w:val="24"/>
          <w:szCs w:val="24"/>
        </w:rPr>
        <w:t>. Revista de Derecho, XIII, 225-244.</w:t>
      </w:r>
    </w:p>
    <w:p w14:paraId="02A4C607" w14:textId="77777777" w:rsidR="00687577" w:rsidRDefault="00687577">
      <w:pPr>
        <w:spacing w:before="240" w:line="360" w:lineRule="auto"/>
        <w:ind w:left="567" w:firstLine="567"/>
        <w:jc w:val="both"/>
        <w:rPr>
          <w:rFonts w:ascii="Arial" w:hAnsi="Arial" w:cs="Arial"/>
          <w:bCs/>
          <w:sz w:val="24"/>
          <w:szCs w:val="24"/>
          <w:lang w:val="es-ES"/>
        </w:rPr>
      </w:pPr>
      <w:r>
        <w:rPr>
          <w:rFonts w:ascii="Arial" w:hAnsi="Arial" w:cs="Arial"/>
          <w:color w:val="333333"/>
          <w:sz w:val="24"/>
          <w:szCs w:val="24"/>
        </w:rPr>
        <w:t xml:space="preserve">García, S. &amp; Gonza, A. (2007) </w:t>
      </w:r>
      <w:r>
        <w:rPr>
          <w:rFonts w:ascii="Arial" w:hAnsi="Arial" w:cs="Arial"/>
          <w:i/>
          <w:sz w:val="24"/>
          <w:szCs w:val="24"/>
        </w:rPr>
        <w:t>La libertad de expresión en la jurisprudencia de la Corte Interamericana de Derechos Humanos</w:t>
      </w:r>
      <w:r>
        <w:rPr>
          <w:rFonts w:ascii="Arial" w:hAnsi="Arial" w:cs="Arial"/>
          <w:i/>
          <w:color w:val="333333"/>
          <w:sz w:val="24"/>
          <w:szCs w:val="24"/>
        </w:rPr>
        <w:t xml:space="preserve">. </w:t>
      </w:r>
      <w:r>
        <w:rPr>
          <w:rFonts w:ascii="Arial" w:hAnsi="Arial" w:cs="Arial"/>
          <w:color w:val="333333"/>
          <w:sz w:val="24"/>
          <w:szCs w:val="24"/>
        </w:rPr>
        <w:t>México:</w:t>
      </w:r>
      <w:r>
        <w:rPr>
          <w:rFonts w:ascii="Arial" w:hAnsi="Arial" w:cs="Arial"/>
          <w:i/>
          <w:color w:val="333333"/>
          <w:sz w:val="24"/>
          <w:szCs w:val="24"/>
        </w:rPr>
        <w:t xml:space="preserve"> </w:t>
      </w:r>
      <w:r>
        <w:rPr>
          <w:rFonts w:ascii="Arial" w:hAnsi="Arial" w:cs="Arial"/>
          <w:color w:val="333333"/>
          <w:sz w:val="24"/>
          <w:szCs w:val="24"/>
        </w:rPr>
        <w:t xml:space="preserve">Jano. </w:t>
      </w:r>
    </w:p>
    <w:p w14:paraId="064DAB07" w14:textId="77777777" w:rsidR="00687577" w:rsidRDefault="00687577">
      <w:pPr>
        <w:spacing w:after="0" w:line="360" w:lineRule="auto"/>
        <w:ind w:left="567" w:firstLine="567"/>
        <w:jc w:val="both"/>
        <w:rPr>
          <w:rFonts w:ascii="Arial" w:hAnsi="Arial" w:cs="Arial"/>
          <w:bCs/>
          <w:sz w:val="24"/>
          <w:szCs w:val="24"/>
          <w:lang w:val="es-ES"/>
        </w:rPr>
      </w:pPr>
      <w:r>
        <w:rPr>
          <w:rFonts w:ascii="Arial" w:hAnsi="Arial" w:cs="Arial"/>
          <w:bCs/>
          <w:sz w:val="24"/>
          <w:szCs w:val="24"/>
          <w:lang w:val="es-ES"/>
        </w:rPr>
        <w:t xml:space="preserve">Gómez, E. (2016) </w:t>
      </w:r>
      <w:r>
        <w:rPr>
          <w:rFonts w:ascii="Arial" w:hAnsi="Arial" w:cs="Arial"/>
          <w:bCs/>
          <w:i/>
          <w:sz w:val="24"/>
          <w:szCs w:val="24"/>
          <w:lang w:val="es-ES"/>
        </w:rPr>
        <w:t>La Encrucijada del Periodismo en el Estado de México.</w:t>
      </w:r>
      <w:r>
        <w:rPr>
          <w:rFonts w:ascii="Arial" w:hAnsi="Arial" w:cs="Arial"/>
          <w:bCs/>
          <w:sz w:val="24"/>
          <w:szCs w:val="24"/>
          <w:lang w:val="es-ES"/>
        </w:rPr>
        <w:t xml:space="preserve"> Métrica Digital. Disponible en: </w:t>
      </w:r>
      <w:r>
        <w:rPr>
          <w:rFonts w:ascii="Arial" w:hAnsi="Arial" w:cs="Arial"/>
          <w:bCs/>
          <w:sz w:val="24"/>
          <w:szCs w:val="24"/>
          <w:u w:val="single"/>
          <w:lang w:val="es-ES"/>
        </w:rPr>
        <w:t>http.//www.metricadigital.com/home/index.php/sociedad/item/1215-la-encrucijada-del-periodismo-en-el-estado-de-m%C3%A9xico.html</w:t>
      </w:r>
      <w:r>
        <w:rPr>
          <w:rFonts w:ascii="Arial" w:hAnsi="Arial" w:cs="Arial"/>
          <w:bCs/>
          <w:sz w:val="24"/>
          <w:szCs w:val="24"/>
          <w:lang w:val="es-ES"/>
        </w:rPr>
        <w:t xml:space="preserve"> (Accesado el 6 de octubre de 2016)</w:t>
      </w:r>
    </w:p>
    <w:p w14:paraId="6CA6CCA9" w14:textId="77777777" w:rsidR="00687577" w:rsidRDefault="00687577">
      <w:pPr>
        <w:spacing w:after="0" w:line="360" w:lineRule="auto"/>
        <w:ind w:left="567" w:firstLine="567"/>
        <w:jc w:val="both"/>
        <w:rPr>
          <w:rFonts w:ascii="Arial" w:hAnsi="Arial" w:cs="Arial"/>
          <w:color w:val="000000"/>
          <w:sz w:val="24"/>
          <w:szCs w:val="24"/>
        </w:rPr>
      </w:pPr>
      <w:r>
        <w:rPr>
          <w:rFonts w:ascii="Arial" w:hAnsi="Arial" w:cs="Arial"/>
          <w:bCs/>
          <w:sz w:val="24"/>
          <w:szCs w:val="24"/>
          <w:lang w:val="es-ES"/>
        </w:rPr>
        <w:t xml:space="preserve">Gómez, E. (2016) </w:t>
      </w:r>
      <w:r>
        <w:rPr>
          <w:rFonts w:ascii="Arial" w:hAnsi="Arial" w:cs="Arial"/>
          <w:bCs/>
          <w:i/>
          <w:sz w:val="24"/>
          <w:szCs w:val="24"/>
          <w:lang w:val="es-ES"/>
        </w:rPr>
        <w:t>Las Leyes de Periodistas: Entre Derechos Ficticios y Dádivas Sociales</w:t>
      </w:r>
      <w:r>
        <w:rPr>
          <w:rFonts w:ascii="Arial" w:hAnsi="Arial" w:cs="Arial"/>
          <w:bCs/>
          <w:sz w:val="24"/>
          <w:szCs w:val="24"/>
          <w:lang w:val="es-ES"/>
        </w:rPr>
        <w:t xml:space="preserve">. Métrica Digital. Disponible en: </w:t>
      </w:r>
      <w:r>
        <w:rPr>
          <w:rFonts w:ascii="Arial" w:hAnsi="Arial" w:cs="Arial"/>
          <w:bCs/>
          <w:sz w:val="24"/>
          <w:szCs w:val="24"/>
          <w:u w:val="single"/>
          <w:lang w:val="es-ES"/>
        </w:rPr>
        <w:t>http.//www.metricadigital.com/home/index.php/parlamento/item/1160-leyes-de-periodistas-entre-derechos-ficticios-y-d%C3%A1divas-sociales.html</w:t>
      </w:r>
      <w:r>
        <w:rPr>
          <w:rFonts w:ascii="Arial" w:hAnsi="Arial" w:cs="Arial"/>
          <w:bCs/>
          <w:sz w:val="24"/>
          <w:szCs w:val="24"/>
          <w:lang w:val="es-ES"/>
        </w:rPr>
        <w:t xml:space="preserve"> (Accesado el 5 de octubre de 2016)</w:t>
      </w:r>
    </w:p>
    <w:p w14:paraId="56066B2A" w14:textId="77777777" w:rsidR="00687577" w:rsidRDefault="00687577">
      <w:pPr>
        <w:spacing w:before="240" w:line="360" w:lineRule="auto"/>
        <w:ind w:left="567" w:firstLine="567"/>
        <w:jc w:val="both"/>
        <w:rPr>
          <w:rFonts w:ascii="Arial" w:hAnsi="Arial" w:cs="Arial"/>
          <w:sz w:val="24"/>
          <w:szCs w:val="24"/>
        </w:rPr>
      </w:pPr>
      <w:r>
        <w:rPr>
          <w:rFonts w:ascii="Arial" w:hAnsi="Arial" w:cs="Arial"/>
          <w:color w:val="000000"/>
          <w:sz w:val="24"/>
          <w:szCs w:val="24"/>
        </w:rPr>
        <w:t xml:space="preserve">Gomis, L. (1991). </w:t>
      </w:r>
      <w:r>
        <w:rPr>
          <w:rFonts w:ascii="Arial" w:hAnsi="Arial" w:cs="Arial"/>
          <w:i/>
          <w:color w:val="000000"/>
          <w:sz w:val="24"/>
          <w:szCs w:val="24"/>
        </w:rPr>
        <w:t>Teoría de Periodismo</w:t>
      </w:r>
      <w:r>
        <w:rPr>
          <w:rFonts w:ascii="Arial" w:hAnsi="Arial" w:cs="Arial"/>
          <w:color w:val="000000"/>
          <w:sz w:val="24"/>
          <w:szCs w:val="24"/>
        </w:rPr>
        <w:t>. España: Ediciones Paidós Ibérica.</w:t>
      </w:r>
    </w:p>
    <w:p w14:paraId="4F4A1E05" w14:textId="77777777" w:rsidR="00687577" w:rsidRDefault="00687577">
      <w:pPr>
        <w:pStyle w:val="Textonotapie1"/>
        <w:spacing w:before="240" w:after="160" w:line="360" w:lineRule="auto"/>
        <w:ind w:left="567" w:firstLine="567"/>
        <w:jc w:val="both"/>
        <w:rPr>
          <w:rFonts w:ascii="Arial" w:hAnsi="Arial" w:cs="Arial"/>
          <w:bCs/>
          <w:sz w:val="24"/>
          <w:szCs w:val="24"/>
          <w:lang w:val="es-ES"/>
        </w:rPr>
      </w:pPr>
      <w:r>
        <w:rPr>
          <w:rFonts w:ascii="Arial" w:hAnsi="Arial" w:cs="Arial"/>
          <w:sz w:val="24"/>
          <w:szCs w:val="24"/>
        </w:rPr>
        <w:t xml:space="preserve">Gonnet, J. (2010). </w:t>
      </w:r>
      <w:r>
        <w:rPr>
          <w:rFonts w:ascii="Arial" w:hAnsi="Arial" w:cs="Arial"/>
          <w:bCs/>
          <w:i/>
          <w:color w:val="000000"/>
          <w:sz w:val="24"/>
          <w:szCs w:val="24"/>
        </w:rPr>
        <w:t>La política desde la teoría de sistemas sociales de Niklas Luhmann</w:t>
      </w:r>
      <w:r>
        <w:rPr>
          <w:rFonts w:ascii="Arial" w:hAnsi="Arial" w:cs="Arial"/>
          <w:bCs/>
          <w:color w:val="000000"/>
          <w:sz w:val="24"/>
          <w:szCs w:val="24"/>
        </w:rPr>
        <w:t xml:space="preserve">. Octubre, 14, 2017 de Argumentos. Sitio web: </w:t>
      </w:r>
      <w:hyperlink r:id="rId15" w:history="1">
        <w:r>
          <w:rPr>
            <w:rStyle w:val="Hipervnculo"/>
            <w:rFonts w:ascii="Arial" w:hAnsi="Arial" w:cs="Arial"/>
            <w:sz w:val="24"/>
            <w:szCs w:val="24"/>
          </w:rPr>
          <w:t>http.//www.scielo.org.mx/scielo.php?script=sci_arttext&amp;pid=S0187-57952010000300014</w:t>
        </w:r>
      </w:hyperlink>
    </w:p>
    <w:p w14:paraId="696E9801" w14:textId="77777777" w:rsidR="00687577" w:rsidRDefault="00687577">
      <w:pPr>
        <w:spacing w:after="0" w:line="360" w:lineRule="auto"/>
        <w:ind w:left="567" w:firstLine="567"/>
        <w:jc w:val="both"/>
        <w:rPr>
          <w:rFonts w:ascii="Arial" w:hAnsi="Arial" w:cs="Arial"/>
          <w:color w:val="000000"/>
          <w:sz w:val="24"/>
          <w:szCs w:val="24"/>
        </w:rPr>
      </w:pPr>
      <w:r>
        <w:rPr>
          <w:rFonts w:ascii="Arial" w:hAnsi="Arial" w:cs="Arial"/>
          <w:bCs/>
          <w:sz w:val="24"/>
          <w:szCs w:val="24"/>
          <w:lang w:val="es-ES"/>
        </w:rPr>
        <w:t xml:space="preserve">González, P. (1965) </w:t>
      </w:r>
      <w:r>
        <w:rPr>
          <w:rFonts w:ascii="Arial" w:hAnsi="Arial" w:cs="Arial"/>
          <w:i/>
          <w:sz w:val="24"/>
          <w:szCs w:val="24"/>
        </w:rPr>
        <w:t>La democracia en México</w:t>
      </w:r>
      <w:r>
        <w:rPr>
          <w:rFonts w:ascii="Arial" w:hAnsi="Arial" w:cs="Arial"/>
          <w:sz w:val="24"/>
          <w:szCs w:val="24"/>
        </w:rPr>
        <w:t xml:space="preserve">, México: Editorial Era </w:t>
      </w:r>
    </w:p>
    <w:p w14:paraId="52CA57AC" w14:textId="77777777" w:rsidR="00687577" w:rsidRDefault="00687577">
      <w:pPr>
        <w:pStyle w:val="Textonotapie1"/>
        <w:spacing w:before="240" w:after="160" w:line="360" w:lineRule="auto"/>
        <w:ind w:left="567" w:firstLine="567"/>
        <w:jc w:val="both"/>
        <w:rPr>
          <w:rFonts w:ascii="Arial" w:hAnsi="Arial" w:cs="Arial"/>
          <w:sz w:val="24"/>
          <w:szCs w:val="24"/>
        </w:rPr>
      </w:pPr>
      <w:r>
        <w:rPr>
          <w:rFonts w:ascii="Arial" w:hAnsi="Arial" w:cs="Arial"/>
          <w:color w:val="000000"/>
          <w:sz w:val="24"/>
          <w:szCs w:val="24"/>
        </w:rPr>
        <w:t xml:space="preserve">Grossman, C. (2010). </w:t>
      </w:r>
      <w:r>
        <w:rPr>
          <w:rFonts w:ascii="Arial" w:hAnsi="Arial" w:cs="Arial"/>
          <w:i/>
          <w:color w:val="000000"/>
          <w:sz w:val="24"/>
          <w:szCs w:val="24"/>
        </w:rPr>
        <w:t>La libertad de expresión en el sistema interamericano de protección a los derechos humanos</w:t>
      </w:r>
      <w:r>
        <w:rPr>
          <w:rFonts w:ascii="Arial" w:hAnsi="Arial" w:cs="Arial"/>
          <w:color w:val="000000"/>
          <w:sz w:val="24"/>
          <w:szCs w:val="24"/>
        </w:rPr>
        <w:t xml:space="preserve">. </w:t>
      </w:r>
      <w:r>
        <w:rPr>
          <w:rFonts w:ascii="Arial" w:hAnsi="Arial" w:cs="Arial"/>
          <w:color w:val="000000"/>
          <w:sz w:val="24"/>
          <w:szCs w:val="24"/>
          <w:lang w:val="en-US"/>
        </w:rPr>
        <w:t>Octubre, 20, 2017, de ILSA Journal of International &amp; Comparative Law Sitio web: http.//nsuworks.nova.edu/cgi/viewcontent.cgi?article=1342&amp;context=ilsajournal</w:t>
      </w:r>
    </w:p>
    <w:p w14:paraId="37923E3F" w14:textId="77777777" w:rsidR="00687577" w:rsidRDefault="00687577">
      <w:pPr>
        <w:spacing w:after="0" w:line="360" w:lineRule="auto"/>
        <w:ind w:left="567" w:firstLine="567"/>
        <w:jc w:val="both"/>
        <w:rPr>
          <w:rFonts w:ascii="Arial" w:hAnsi="Arial" w:cs="Arial"/>
          <w:sz w:val="24"/>
          <w:szCs w:val="24"/>
        </w:rPr>
      </w:pPr>
      <w:r>
        <w:rPr>
          <w:rFonts w:ascii="Arial" w:hAnsi="Arial" w:cs="Arial"/>
          <w:sz w:val="24"/>
          <w:szCs w:val="24"/>
        </w:rPr>
        <w:t xml:space="preserve">Habermas, J. (1989) </w:t>
      </w:r>
      <w:r>
        <w:rPr>
          <w:rFonts w:ascii="Arial" w:hAnsi="Arial" w:cs="Arial"/>
          <w:i/>
          <w:sz w:val="24"/>
          <w:szCs w:val="24"/>
        </w:rPr>
        <w:t>Teoría de la acción comunicativa: complementos y estudios previos</w:t>
      </w:r>
      <w:r>
        <w:rPr>
          <w:rFonts w:ascii="Arial" w:hAnsi="Arial" w:cs="Arial"/>
          <w:sz w:val="24"/>
          <w:szCs w:val="24"/>
        </w:rPr>
        <w:t>. Madrid: Cátedra.</w:t>
      </w:r>
    </w:p>
    <w:p w14:paraId="006ACBC9" w14:textId="77777777" w:rsidR="00687577" w:rsidRDefault="00687577">
      <w:pPr>
        <w:spacing w:after="0" w:line="360" w:lineRule="auto"/>
        <w:ind w:left="567" w:firstLine="567"/>
        <w:jc w:val="both"/>
        <w:rPr>
          <w:rFonts w:ascii="Arial" w:hAnsi="Arial" w:cs="Arial"/>
          <w:sz w:val="24"/>
          <w:szCs w:val="24"/>
        </w:rPr>
      </w:pPr>
      <w:r>
        <w:rPr>
          <w:rFonts w:ascii="Arial" w:hAnsi="Arial" w:cs="Arial"/>
          <w:sz w:val="24"/>
          <w:szCs w:val="24"/>
        </w:rPr>
        <w:t xml:space="preserve">Habermas, J. (1994) </w:t>
      </w:r>
      <w:r>
        <w:rPr>
          <w:rFonts w:ascii="Arial" w:hAnsi="Arial" w:cs="Arial"/>
          <w:i/>
          <w:sz w:val="24"/>
          <w:szCs w:val="24"/>
        </w:rPr>
        <w:t>Historia y crítica de la opinión pública: la transformación estructural de la vida pública</w:t>
      </w:r>
      <w:r>
        <w:rPr>
          <w:rFonts w:ascii="Arial" w:hAnsi="Arial" w:cs="Arial"/>
          <w:sz w:val="24"/>
          <w:szCs w:val="24"/>
        </w:rPr>
        <w:t>, Barcelona: G. Gili.</w:t>
      </w:r>
    </w:p>
    <w:p w14:paraId="1C1889C8" w14:textId="77777777" w:rsidR="00687577" w:rsidRDefault="00687577">
      <w:pPr>
        <w:spacing w:after="0" w:line="360" w:lineRule="auto"/>
        <w:ind w:left="567" w:firstLine="567"/>
        <w:jc w:val="both"/>
        <w:rPr>
          <w:rFonts w:ascii="Arial" w:hAnsi="Arial" w:cs="Arial"/>
          <w:color w:val="000000"/>
          <w:sz w:val="24"/>
          <w:szCs w:val="24"/>
        </w:rPr>
      </w:pPr>
      <w:r>
        <w:rPr>
          <w:rFonts w:ascii="Arial" w:hAnsi="Arial" w:cs="Arial"/>
          <w:sz w:val="24"/>
          <w:szCs w:val="24"/>
        </w:rPr>
        <w:t xml:space="preserve">Hernández, R. (1999) </w:t>
      </w:r>
      <w:r>
        <w:rPr>
          <w:rFonts w:ascii="Arial" w:hAnsi="Arial" w:cs="Arial"/>
          <w:bCs/>
          <w:i/>
          <w:sz w:val="24"/>
          <w:szCs w:val="24"/>
          <w:lang w:val="es-ES"/>
        </w:rPr>
        <w:t>Sólo para Periodistas: manual de supervivencia en los medios mexicanos</w:t>
      </w:r>
      <w:r>
        <w:rPr>
          <w:rFonts w:ascii="Arial" w:hAnsi="Arial" w:cs="Arial"/>
          <w:bCs/>
          <w:sz w:val="24"/>
          <w:szCs w:val="24"/>
          <w:lang w:val="es-ES"/>
        </w:rPr>
        <w:t>. México: Grijalbo.</w:t>
      </w:r>
    </w:p>
    <w:p w14:paraId="2F260DF4" w14:textId="77777777" w:rsidR="004F655B" w:rsidRDefault="00687577" w:rsidP="004F655B">
      <w:pPr>
        <w:spacing w:line="360" w:lineRule="auto"/>
        <w:ind w:left="567" w:firstLine="567"/>
        <w:jc w:val="both"/>
        <w:rPr>
          <w:rFonts w:ascii="Arial" w:hAnsi="Arial" w:cs="Arial"/>
          <w:color w:val="000000"/>
          <w:sz w:val="24"/>
          <w:szCs w:val="24"/>
        </w:rPr>
      </w:pPr>
      <w:r>
        <w:rPr>
          <w:rFonts w:ascii="Arial" w:hAnsi="Arial" w:cs="Arial"/>
          <w:color w:val="000000"/>
          <w:sz w:val="24"/>
          <w:szCs w:val="24"/>
        </w:rPr>
        <w:t xml:space="preserve">Hernández, R. (1999). </w:t>
      </w:r>
      <w:r>
        <w:rPr>
          <w:rFonts w:ascii="Arial" w:hAnsi="Arial" w:cs="Arial"/>
          <w:i/>
          <w:color w:val="000000"/>
          <w:sz w:val="24"/>
          <w:szCs w:val="24"/>
        </w:rPr>
        <w:t>Sólo para periodistas, manual de supervivencia en los medios mexicanos</w:t>
      </w:r>
      <w:r>
        <w:rPr>
          <w:rFonts w:ascii="Arial" w:hAnsi="Arial" w:cs="Arial"/>
          <w:color w:val="000000"/>
          <w:sz w:val="24"/>
          <w:szCs w:val="24"/>
        </w:rPr>
        <w:t xml:space="preserve">. Enero. 1999. México. Grijalbo. </w:t>
      </w:r>
      <w:r>
        <w:rPr>
          <w:rFonts w:ascii="Arial" w:hAnsi="Arial" w:cs="Arial"/>
          <w:sz w:val="24"/>
          <w:szCs w:val="24"/>
        </w:rPr>
        <w:t xml:space="preserve">Gómez, J. &amp; Turón, C. (2014). </w:t>
      </w:r>
      <w:r>
        <w:rPr>
          <w:rFonts w:ascii="Arial" w:hAnsi="Arial" w:cs="Arial"/>
          <w:i/>
          <w:iCs/>
          <w:sz w:val="24"/>
          <w:szCs w:val="24"/>
        </w:rPr>
        <w:t xml:space="preserve">Los periodistas entre la necesidad de los Derechos Humanos. </w:t>
      </w:r>
      <w:r>
        <w:rPr>
          <w:rFonts w:ascii="Arial" w:hAnsi="Arial" w:cs="Arial"/>
          <w:sz w:val="24"/>
          <w:szCs w:val="24"/>
        </w:rPr>
        <w:t>Junio,</w:t>
      </w:r>
      <w:r>
        <w:rPr>
          <w:rFonts w:ascii="Arial" w:hAnsi="Arial" w:cs="Arial"/>
          <w:i/>
          <w:iCs/>
          <w:sz w:val="24"/>
          <w:szCs w:val="24"/>
        </w:rPr>
        <w:t xml:space="preserve"> </w:t>
      </w:r>
      <w:r>
        <w:rPr>
          <w:rFonts w:ascii="Arial" w:hAnsi="Arial" w:cs="Arial"/>
          <w:sz w:val="24"/>
          <w:szCs w:val="24"/>
        </w:rPr>
        <w:t xml:space="preserve">13-14, 2014, de Universitat Pompeu Fabra y Sociedad Española de Periodística (SEP), Sitio </w:t>
      </w:r>
      <w:hyperlink r:id="rId16" w:history="1">
        <w:r>
          <w:rPr>
            <w:rStyle w:val="Hipervnculo"/>
            <w:rFonts w:ascii="Arial" w:hAnsi="Arial" w:cs="Arial"/>
            <w:sz w:val="24"/>
            <w:szCs w:val="24"/>
          </w:rPr>
          <w:t>https://idus.us.es/xmlui/bitstream/handle/11441/42941/Pages%20from%20Actas-Congreso-SEP-2014-small-2.pdf?sequence=1&amp;isAllowed=y</w:t>
        </w:r>
      </w:hyperlink>
    </w:p>
    <w:p w14:paraId="32F5FD5A" w14:textId="4E9A896B" w:rsidR="00687577" w:rsidRPr="004F655B" w:rsidRDefault="004F655B" w:rsidP="004F655B">
      <w:pPr>
        <w:spacing w:line="360" w:lineRule="auto"/>
        <w:jc w:val="both"/>
        <w:rPr>
          <w:rFonts w:ascii="Arial" w:hAnsi="Arial" w:cs="Arial"/>
          <w:color w:val="000000"/>
          <w:sz w:val="24"/>
          <w:szCs w:val="24"/>
        </w:rPr>
      </w:pPr>
      <w:r>
        <w:rPr>
          <w:rFonts w:ascii="Arial" w:hAnsi="Arial" w:cs="Arial"/>
          <w:color w:val="000000"/>
          <w:sz w:val="24"/>
          <w:szCs w:val="24"/>
        </w:rPr>
        <w:t xml:space="preserve">        </w:t>
      </w:r>
      <w:r w:rsidR="00687577">
        <w:rPr>
          <w:rFonts w:ascii="Arial" w:hAnsi="Arial" w:cs="Arial"/>
          <w:color w:val="000000"/>
          <w:sz w:val="24"/>
          <w:szCs w:val="24"/>
        </w:rPr>
        <w:t xml:space="preserve">Hernández, R. (1999). </w:t>
      </w:r>
      <w:r w:rsidR="00687577">
        <w:rPr>
          <w:rFonts w:ascii="Arial" w:hAnsi="Arial" w:cs="Arial"/>
          <w:i/>
          <w:color w:val="000000"/>
          <w:sz w:val="24"/>
          <w:szCs w:val="24"/>
        </w:rPr>
        <w:t>Sólo para periodistas</w:t>
      </w:r>
      <w:r w:rsidR="00687577">
        <w:rPr>
          <w:rFonts w:ascii="Arial" w:hAnsi="Arial" w:cs="Arial"/>
          <w:color w:val="000000"/>
          <w:sz w:val="24"/>
          <w:szCs w:val="24"/>
        </w:rPr>
        <w:t>. México: Grijalbo.</w:t>
      </w:r>
    </w:p>
    <w:p w14:paraId="41D6831D" w14:textId="77777777" w:rsidR="004F655B" w:rsidRDefault="004F655B" w:rsidP="004F655B">
      <w:pPr>
        <w:ind w:left="567"/>
        <w:rPr>
          <w:rStyle w:val="Hipervnculo"/>
          <w:rFonts w:ascii="Arial" w:hAnsi="Arial" w:cs="Arial"/>
          <w:color w:val="auto"/>
          <w:sz w:val="24"/>
          <w:u w:val="none"/>
        </w:rPr>
      </w:pPr>
      <w:r>
        <w:rPr>
          <w:rFonts w:ascii="Arial" w:hAnsi="Arial" w:cs="Arial"/>
          <w:sz w:val="24"/>
        </w:rPr>
        <w:t xml:space="preserve">IEACPO, CNDH (2018), Informe Especial Sobre Asignación y Contratación de Publicidad Oficial. Tomado de: </w:t>
      </w:r>
      <w:hyperlink r:id="rId17" w:history="1">
        <w:r>
          <w:rPr>
            <w:rStyle w:val="Hipervnculo"/>
          </w:rPr>
          <w:t>http://informe.cndh.org.mx/uploads/menu/40112/InformeEspecial-PubliOficial.pdf</w:t>
        </w:r>
      </w:hyperlink>
    </w:p>
    <w:p w14:paraId="22054262" w14:textId="58AEB805" w:rsidR="00687577" w:rsidRPr="004F655B" w:rsidRDefault="00687577" w:rsidP="004F655B">
      <w:pPr>
        <w:ind w:left="567"/>
        <w:rPr>
          <w:rFonts w:ascii="Arial" w:hAnsi="Arial" w:cs="Arial"/>
          <w:sz w:val="24"/>
        </w:rPr>
      </w:pPr>
      <w:r>
        <w:rPr>
          <w:rFonts w:ascii="Arial" w:hAnsi="Arial" w:cs="Arial"/>
          <w:sz w:val="24"/>
          <w:szCs w:val="24"/>
        </w:rPr>
        <w:t xml:space="preserve">Kant, E. (1998) </w:t>
      </w:r>
      <w:r>
        <w:rPr>
          <w:rFonts w:ascii="Arial" w:hAnsi="Arial" w:cs="Arial"/>
          <w:i/>
          <w:sz w:val="24"/>
          <w:szCs w:val="24"/>
        </w:rPr>
        <w:t>La Paz Perpetua</w:t>
      </w:r>
      <w:r>
        <w:rPr>
          <w:rFonts w:ascii="Arial" w:hAnsi="Arial" w:cs="Arial"/>
          <w:sz w:val="24"/>
          <w:szCs w:val="24"/>
        </w:rPr>
        <w:t xml:space="preserve">. México: Porrúa. </w:t>
      </w:r>
    </w:p>
    <w:p w14:paraId="3ED07787" w14:textId="77777777" w:rsidR="00687577" w:rsidRDefault="00687577" w:rsidP="004F655B">
      <w:pPr>
        <w:spacing w:after="0" w:line="360" w:lineRule="auto"/>
        <w:ind w:left="567"/>
        <w:jc w:val="both"/>
        <w:rPr>
          <w:rFonts w:ascii="Arial" w:hAnsi="Arial" w:cs="Arial"/>
          <w:sz w:val="24"/>
          <w:szCs w:val="24"/>
        </w:rPr>
      </w:pPr>
      <w:r>
        <w:rPr>
          <w:rFonts w:ascii="Arial" w:hAnsi="Arial" w:cs="Arial"/>
          <w:sz w:val="24"/>
          <w:szCs w:val="24"/>
        </w:rPr>
        <w:t xml:space="preserve">Kompass, A. (coord.) (2003). </w:t>
      </w:r>
      <w:r>
        <w:rPr>
          <w:rFonts w:ascii="Arial" w:hAnsi="Arial" w:cs="Arial"/>
          <w:i/>
          <w:sz w:val="24"/>
          <w:szCs w:val="24"/>
        </w:rPr>
        <w:t xml:space="preserve">Diagnóstico sobre la situación de los Derechos Humanos en México. </w:t>
      </w:r>
      <w:r>
        <w:rPr>
          <w:rFonts w:ascii="Arial" w:hAnsi="Arial" w:cs="Arial"/>
          <w:sz w:val="24"/>
          <w:szCs w:val="24"/>
        </w:rPr>
        <w:t xml:space="preserve">México: Oficina del Alto Comisionado de las Naciones </w:t>
      </w:r>
      <w:r>
        <w:rPr>
          <w:rFonts w:ascii="Arial" w:hAnsi="Arial" w:cs="Arial"/>
          <w:color w:val="000000"/>
          <w:sz w:val="24"/>
          <w:szCs w:val="24"/>
        </w:rPr>
        <w:t xml:space="preserve">Unidas para los Derechos Humanos. Disponible en: </w:t>
      </w:r>
      <w:hyperlink r:id="rId18" w:history="1">
        <w:r>
          <w:rPr>
            <w:rStyle w:val="Hipervnculo"/>
            <w:rFonts w:ascii="Arial" w:hAnsi="Arial" w:cs="Arial"/>
            <w:color w:val="000000"/>
            <w:sz w:val="24"/>
            <w:szCs w:val="24"/>
          </w:rPr>
          <w:t>http.//www.hchr.org.mx/images/doc_pub/8diagnosticocompleto.pdf</w:t>
        </w:r>
      </w:hyperlink>
      <w:r>
        <w:rPr>
          <w:rFonts w:ascii="Arial" w:hAnsi="Arial" w:cs="Arial"/>
          <w:color w:val="000000"/>
          <w:sz w:val="24"/>
          <w:szCs w:val="24"/>
        </w:rPr>
        <w:t xml:space="preserve"> (Accesado el día 20 de mayo de 2011)</w:t>
      </w:r>
    </w:p>
    <w:p w14:paraId="5E864C49" w14:textId="77777777" w:rsidR="00687577" w:rsidRDefault="00687577">
      <w:pPr>
        <w:spacing w:after="0" w:line="360" w:lineRule="auto"/>
        <w:ind w:left="567" w:firstLine="567"/>
        <w:jc w:val="both"/>
        <w:rPr>
          <w:rFonts w:ascii="Arial" w:hAnsi="Arial" w:cs="Arial"/>
          <w:sz w:val="24"/>
          <w:szCs w:val="24"/>
        </w:rPr>
      </w:pPr>
      <w:r>
        <w:rPr>
          <w:rFonts w:ascii="Arial" w:hAnsi="Arial" w:cs="Arial"/>
          <w:sz w:val="24"/>
          <w:szCs w:val="24"/>
        </w:rPr>
        <w:t xml:space="preserve">López, A. (2004) La Transparencia en México: apuntes para su análisis. En: </w:t>
      </w:r>
      <w:r>
        <w:rPr>
          <w:rFonts w:ascii="Arial" w:hAnsi="Arial" w:cs="Arial"/>
          <w:i/>
          <w:sz w:val="24"/>
          <w:szCs w:val="24"/>
        </w:rPr>
        <w:t>México entra en la era de la Transparencia.</w:t>
      </w:r>
      <w:r>
        <w:rPr>
          <w:rFonts w:ascii="Arial" w:hAnsi="Arial" w:cs="Arial"/>
          <w:sz w:val="24"/>
          <w:szCs w:val="24"/>
        </w:rPr>
        <w:t xml:space="preserve"> México: IFAI.</w:t>
      </w:r>
    </w:p>
    <w:p w14:paraId="612968FB" w14:textId="77777777" w:rsidR="00687577" w:rsidRDefault="00687577">
      <w:pPr>
        <w:spacing w:line="360" w:lineRule="auto"/>
        <w:ind w:left="567" w:firstLine="567"/>
        <w:jc w:val="both"/>
        <w:rPr>
          <w:rFonts w:ascii="Arial" w:hAnsi="Arial" w:cs="Arial"/>
          <w:sz w:val="24"/>
          <w:szCs w:val="24"/>
        </w:rPr>
      </w:pPr>
      <w:r>
        <w:rPr>
          <w:rFonts w:ascii="Arial" w:hAnsi="Arial" w:cs="Arial"/>
          <w:sz w:val="24"/>
          <w:szCs w:val="24"/>
        </w:rPr>
        <w:t xml:space="preserve">Lozano, J. (2016). </w:t>
      </w:r>
      <w:r>
        <w:rPr>
          <w:rFonts w:ascii="Arial" w:hAnsi="Arial" w:cs="Arial"/>
          <w:i/>
          <w:iCs/>
          <w:sz w:val="24"/>
          <w:szCs w:val="24"/>
        </w:rPr>
        <w:t>El Acuerdo para la Cobertura Informativa de la Violencia en México: un intento fallido de autorregulación</w:t>
      </w:r>
      <w:r>
        <w:rPr>
          <w:rFonts w:ascii="Arial" w:hAnsi="Arial" w:cs="Arial"/>
          <w:sz w:val="24"/>
          <w:szCs w:val="24"/>
        </w:rPr>
        <w:t>. Mayo-Agosto 2016, Comunicación y Sociedad, Departamento de Estudios de la Comunicación Social, Universidad de Guadalajara. Artículo</w:t>
      </w:r>
    </w:p>
    <w:p w14:paraId="0CAD4492" w14:textId="77777777" w:rsidR="00687577" w:rsidRDefault="00687577">
      <w:pPr>
        <w:spacing w:after="0" w:line="360" w:lineRule="auto"/>
        <w:ind w:left="567" w:firstLine="567"/>
        <w:jc w:val="both"/>
        <w:rPr>
          <w:rFonts w:ascii="Arial" w:hAnsi="Arial" w:cs="Arial"/>
          <w:sz w:val="24"/>
          <w:szCs w:val="24"/>
        </w:rPr>
      </w:pPr>
      <w:r>
        <w:rPr>
          <w:rFonts w:ascii="Arial" w:hAnsi="Arial" w:cs="Arial"/>
          <w:sz w:val="24"/>
          <w:szCs w:val="24"/>
        </w:rPr>
        <w:t xml:space="preserve">Méndez, V. (2014) Legitimidad o déficit de la democracia: Entre Platón y Jurgen Habermas. En: </w:t>
      </w:r>
      <w:r>
        <w:rPr>
          <w:rFonts w:ascii="Arial" w:hAnsi="Arial" w:cs="Arial"/>
          <w:i/>
          <w:sz w:val="24"/>
          <w:szCs w:val="24"/>
        </w:rPr>
        <w:t xml:space="preserve">Democracia Ética: una propuesta para las democracias corruptas. </w:t>
      </w:r>
      <w:r>
        <w:rPr>
          <w:rFonts w:ascii="Arial" w:hAnsi="Arial" w:cs="Arial"/>
          <w:sz w:val="24"/>
          <w:szCs w:val="24"/>
        </w:rPr>
        <w:t>México: IEEM. (Verificado)</w:t>
      </w:r>
    </w:p>
    <w:p w14:paraId="02F2AF8F" w14:textId="77777777" w:rsidR="00CB3DE0" w:rsidRDefault="00687577" w:rsidP="00CB3DE0">
      <w:pPr>
        <w:spacing w:after="0" w:line="360" w:lineRule="auto"/>
        <w:ind w:left="567" w:firstLine="567"/>
        <w:jc w:val="both"/>
        <w:rPr>
          <w:rFonts w:ascii="Arial" w:hAnsi="Arial" w:cs="Arial"/>
          <w:sz w:val="24"/>
          <w:szCs w:val="24"/>
        </w:rPr>
      </w:pPr>
      <w:r>
        <w:rPr>
          <w:rFonts w:ascii="Arial" w:hAnsi="Arial" w:cs="Arial"/>
          <w:sz w:val="24"/>
          <w:szCs w:val="24"/>
        </w:rPr>
        <w:t xml:space="preserve">Montes de Oca, J. (2011) </w:t>
      </w:r>
      <w:r>
        <w:rPr>
          <w:rFonts w:ascii="Arial" w:hAnsi="Arial" w:cs="Arial"/>
          <w:i/>
          <w:sz w:val="24"/>
          <w:szCs w:val="24"/>
        </w:rPr>
        <w:t>Democracia participativa para la gobernabilidad: bajo un nuevo institucionalismo en México</w:t>
      </w:r>
      <w:r>
        <w:rPr>
          <w:rFonts w:ascii="Arial" w:hAnsi="Arial" w:cs="Arial"/>
          <w:sz w:val="24"/>
          <w:szCs w:val="24"/>
        </w:rPr>
        <w:t>. México: IEEM.</w:t>
      </w:r>
    </w:p>
    <w:p w14:paraId="17A1A944" w14:textId="77777777" w:rsidR="00CB3DE0" w:rsidRPr="00CB3DE0" w:rsidRDefault="00CB3DE0" w:rsidP="00CB3DE0">
      <w:pPr>
        <w:spacing w:after="0" w:line="360" w:lineRule="auto"/>
        <w:ind w:left="567" w:firstLine="567"/>
        <w:jc w:val="both"/>
        <w:rPr>
          <w:rFonts w:ascii="Arial" w:hAnsi="Arial" w:cs="Arial"/>
          <w:sz w:val="24"/>
          <w:szCs w:val="24"/>
        </w:rPr>
      </w:pPr>
      <w:r w:rsidRPr="00CB3DE0">
        <w:rPr>
          <w:rFonts w:ascii="Arial" w:hAnsi="Arial" w:cs="Arial"/>
          <w:bCs/>
          <w:sz w:val="24"/>
          <w:szCs w:val="24"/>
          <w:lang w:val="es-ES"/>
        </w:rPr>
        <w:t xml:space="preserve">Musacchio, H. (2010). Granados Chapa, un periodista en contexto. Temas de Hoy, México. </w:t>
      </w:r>
    </w:p>
    <w:p w14:paraId="3537127F" w14:textId="6C8724F5" w:rsidR="00687577" w:rsidRDefault="00687577" w:rsidP="00CB3DE0">
      <w:pPr>
        <w:spacing w:after="0" w:line="360" w:lineRule="auto"/>
        <w:ind w:left="567" w:firstLine="567"/>
        <w:jc w:val="both"/>
        <w:rPr>
          <w:rFonts w:ascii="Arial" w:hAnsi="Arial" w:cs="Arial"/>
          <w:sz w:val="24"/>
          <w:szCs w:val="24"/>
        </w:rPr>
      </w:pPr>
      <w:r>
        <w:rPr>
          <w:rFonts w:ascii="Arial" w:hAnsi="Arial" w:cs="Arial"/>
          <w:sz w:val="24"/>
          <w:szCs w:val="24"/>
        </w:rPr>
        <w:t xml:space="preserve">Neuman, L. (2002) </w:t>
      </w:r>
      <w:r>
        <w:rPr>
          <w:rFonts w:ascii="Arial" w:hAnsi="Arial" w:cs="Arial"/>
          <w:i/>
          <w:sz w:val="24"/>
          <w:szCs w:val="24"/>
        </w:rPr>
        <w:t>Acceso a la Información: La llave para la democracia</w:t>
      </w:r>
      <w:r>
        <w:rPr>
          <w:rFonts w:ascii="Arial" w:hAnsi="Arial" w:cs="Arial"/>
          <w:sz w:val="24"/>
          <w:szCs w:val="24"/>
        </w:rPr>
        <w:t>. México: Centro Carter.</w:t>
      </w:r>
    </w:p>
    <w:p w14:paraId="1CCD55CD" w14:textId="77777777" w:rsidR="00687577" w:rsidRDefault="00687577">
      <w:pPr>
        <w:pStyle w:val="Prrafodelista10"/>
        <w:shd w:val="clear" w:color="auto" w:fill="FFFFFF"/>
        <w:spacing w:after="0" w:line="100" w:lineRule="atLeast"/>
        <w:ind w:left="567" w:firstLine="567"/>
        <w:rPr>
          <w:rFonts w:ascii="Arial" w:hAnsi="Arial" w:cs="Arial"/>
          <w:sz w:val="24"/>
          <w:szCs w:val="24"/>
        </w:rPr>
      </w:pPr>
      <w:r>
        <w:rPr>
          <w:rFonts w:ascii="Arial" w:hAnsi="Arial" w:cs="Arial"/>
          <w:sz w:val="24"/>
          <w:szCs w:val="24"/>
        </w:rPr>
        <w:t xml:space="preserve">OACNUDH. (2003). </w:t>
      </w:r>
      <w:r>
        <w:rPr>
          <w:rFonts w:ascii="Arial" w:hAnsi="Arial" w:cs="Arial"/>
          <w:i/>
          <w:iCs/>
          <w:sz w:val="24"/>
          <w:szCs w:val="24"/>
        </w:rPr>
        <w:t>Diagnóstico sobre la Situación de los Derechos Humanos en México</w:t>
      </w:r>
      <w:r>
        <w:rPr>
          <w:rFonts w:ascii="Arial" w:hAnsi="Arial" w:cs="Arial"/>
          <w:sz w:val="24"/>
          <w:szCs w:val="24"/>
        </w:rPr>
        <w:t>. Grupo Mundi-Prensa. México. http.//www.hchr.org.mx/images/doc_pub/8diagnosticocompleto.pdf</w:t>
      </w:r>
    </w:p>
    <w:p w14:paraId="0C614DC7" w14:textId="77777777" w:rsidR="00687577" w:rsidRDefault="00687577">
      <w:pPr>
        <w:pStyle w:val="Prrafodelista10"/>
        <w:shd w:val="clear" w:color="auto" w:fill="FFFFFF"/>
        <w:spacing w:after="0" w:line="100" w:lineRule="atLeast"/>
        <w:ind w:left="567" w:firstLine="567"/>
        <w:rPr>
          <w:rFonts w:ascii="Arial" w:hAnsi="Arial" w:cs="Arial"/>
          <w:color w:val="000000"/>
          <w:sz w:val="24"/>
          <w:szCs w:val="24"/>
        </w:rPr>
      </w:pPr>
      <w:r>
        <w:rPr>
          <w:rFonts w:ascii="Arial" w:hAnsi="Arial" w:cs="Arial"/>
          <w:sz w:val="24"/>
          <w:szCs w:val="24"/>
        </w:rPr>
        <w:t xml:space="preserve">OEA. (2018). </w:t>
      </w:r>
      <w:r>
        <w:rPr>
          <w:rFonts w:ascii="Arial" w:hAnsi="Arial" w:cs="Arial"/>
          <w:i/>
          <w:iCs/>
          <w:sz w:val="24"/>
          <w:szCs w:val="24"/>
        </w:rPr>
        <w:t>Declaración Conjunta sobre la Independencia y la Diversidad de los Medios de Comunicación en la Era Digital</w:t>
      </w:r>
      <w:r>
        <w:rPr>
          <w:rFonts w:ascii="Arial" w:hAnsi="Arial" w:cs="Arial"/>
          <w:sz w:val="24"/>
          <w:szCs w:val="24"/>
        </w:rPr>
        <w:t xml:space="preserve">. </w:t>
      </w:r>
      <w:r>
        <w:rPr>
          <w:rFonts w:ascii="Arial" w:hAnsi="Arial" w:cs="Arial"/>
          <w:sz w:val="24"/>
          <w:szCs w:val="24"/>
          <w:lang w:val="en-US"/>
        </w:rPr>
        <w:t xml:space="preserve">Sitio web </w:t>
      </w:r>
      <w:hyperlink r:id="rId19" w:history="1">
        <w:r>
          <w:rPr>
            <w:rStyle w:val="Hipervnculo"/>
            <w:rFonts w:ascii="Arial" w:eastAsia="Times New Roman" w:hAnsi="Arial" w:cs="Arial"/>
            <w:bCs/>
            <w:sz w:val="24"/>
            <w:szCs w:val="24"/>
            <w:lang w:val="en-US"/>
          </w:rPr>
          <w:t>http.//www.oas.org/es/cidh/expresion/showarticle.asp?artID=1100&amp;lID=2</w:t>
        </w:r>
      </w:hyperlink>
    </w:p>
    <w:p w14:paraId="0BF17688" w14:textId="77777777" w:rsidR="00687577" w:rsidRDefault="00687577">
      <w:pPr>
        <w:spacing w:before="240" w:line="360" w:lineRule="auto"/>
        <w:ind w:left="567" w:firstLine="567"/>
        <w:jc w:val="both"/>
        <w:rPr>
          <w:rFonts w:ascii="Arial" w:hAnsi="Arial" w:cs="Arial"/>
          <w:color w:val="000000"/>
          <w:sz w:val="24"/>
          <w:szCs w:val="24"/>
        </w:rPr>
      </w:pPr>
      <w:r>
        <w:rPr>
          <w:rFonts w:ascii="Arial" w:hAnsi="Arial" w:cs="Arial"/>
          <w:color w:val="000000"/>
          <w:sz w:val="24"/>
          <w:szCs w:val="24"/>
        </w:rPr>
        <w:t xml:space="preserve">Olivé, L. (2006). </w:t>
      </w:r>
      <w:r>
        <w:rPr>
          <w:rFonts w:ascii="Arial" w:hAnsi="Arial" w:cs="Arial"/>
          <w:i/>
          <w:color w:val="000000"/>
          <w:sz w:val="24"/>
          <w:szCs w:val="24"/>
        </w:rPr>
        <w:t>Racionalidad Epistémica</w:t>
      </w:r>
      <w:r>
        <w:rPr>
          <w:rFonts w:ascii="Arial" w:hAnsi="Arial" w:cs="Arial"/>
          <w:color w:val="000000"/>
          <w:sz w:val="24"/>
          <w:szCs w:val="24"/>
        </w:rPr>
        <w:t>. España: Editorial Trotta.</w:t>
      </w:r>
    </w:p>
    <w:p w14:paraId="495CEB77" w14:textId="77777777" w:rsidR="00687577" w:rsidRDefault="00687577">
      <w:pPr>
        <w:spacing w:before="240" w:line="360" w:lineRule="auto"/>
        <w:ind w:left="567" w:firstLine="567"/>
        <w:jc w:val="both"/>
        <w:rPr>
          <w:rFonts w:ascii="Arial" w:hAnsi="Arial" w:cs="Arial"/>
          <w:color w:val="000000"/>
          <w:sz w:val="24"/>
          <w:szCs w:val="24"/>
        </w:rPr>
      </w:pPr>
      <w:r>
        <w:rPr>
          <w:rFonts w:ascii="Arial" w:hAnsi="Arial" w:cs="Arial"/>
          <w:color w:val="000000"/>
          <w:sz w:val="24"/>
          <w:szCs w:val="24"/>
        </w:rPr>
        <w:t xml:space="preserve">ONU. (1948). </w:t>
      </w:r>
      <w:r>
        <w:rPr>
          <w:rFonts w:ascii="Arial" w:hAnsi="Arial" w:cs="Arial"/>
          <w:i/>
          <w:color w:val="000000"/>
          <w:sz w:val="24"/>
          <w:szCs w:val="24"/>
        </w:rPr>
        <w:t>Declaración Universal de los Derechos Humanos</w:t>
      </w:r>
      <w:r>
        <w:rPr>
          <w:rFonts w:ascii="Arial" w:hAnsi="Arial" w:cs="Arial"/>
          <w:color w:val="000000"/>
          <w:sz w:val="24"/>
          <w:szCs w:val="24"/>
        </w:rPr>
        <w:t>. Agosto, 25, 2017, de ONU Sitio web: http.//www.un.org/es/universal-declaration-human-rights/</w:t>
      </w:r>
    </w:p>
    <w:p w14:paraId="0CC20695" w14:textId="77777777" w:rsidR="00687577" w:rsidRDefault="00687577">
      <w:pPr>
        <w:spacing w:before="240" w:line="360" w:lineRule="auto"/>
        <w:ind w:left="567" w:firstLine="567"/>
        <w:jc w:val="both"/>
        <w:rPr>
          <w:rFonts w:ascii="Arial" w:hAnsi="Arial" w:cs="Arial"/>
          <w:bCs/>
          <w:sz w:val="24"/>
          <w:szCs w:val="24"/>
          <w:lang w:val="es-ES"/>
        </w:rPr>
      </w:pPr>
      <w:r>
        <w:rPr>
          <w:rFonts w:ascii="Arial" w:hAnsi="Arial" w:cs="Arial"/>
          <w:color w:val="000000"/>
          <w:sz w:val="24"/>
          <w:szCs w:val="24"/>
        </w:rPr>
        <w:t xml:space="preserve">ONU. (2012). </w:t>
      </w:r>
      <w:r>
        <w:rPr>
          <w:rFonts w:ascii="Arial" w:hAnsi="Arial" w:cs="Arial"/>
          <w:i/>
          <w:color w:val="000000"/>
          <w:sz w:val="24"/>
          <w:szCs w:val="24"/>
        </w:rPr>
        <w:t>Plan de Acción de las Naciones Unidas sobre la Seguridad de los Periodistas y la Cuestión de la Impunidad</w:t>
      </w:r>
      <w:r>
        <w:rPr>
          <w:rFonts w:ascii="Arial" w:hAnsi="Arial" w:cs="Arial"/>
          <w:color w:val="000000"/>
          <w:sz w:val="24"/>
          <w:szCs w:val="24"/>
        </w:rPr>
        <w:t>. Octubre, 15, 2017, de ONU Sitio web: http.//www.unesco.org/new/fileadmin/MULTIMEDIA/HQ/CI/CI/pdf/official_documents/UN-Plan-on-Safety-Journalists_ES_UN-Logo.pdf</w:t>
      </w:r>
    </w:p>
    <w:p w14:paraId="0A832726" w14:textId="77777777" w:rsidR="00687577" w:rsidRDefault="00687577">
      <w:pPr>
        <w:spacing w:after="0" w:line="360" w:lineRule="auto"/>
        <w:ind w:left="567" w:firstLine="567"/>
        <w:jc w:val="both"/>
        <w:rPr>
          <w:rFonts w:ascii="Arial" w:hAnsi="Arial" w:cs="Arial"/>
          <w:color w:val="000000"/>
          <w:sz w:val="24"/>
          <w:szCs w:val="24"/>
        </w:rPr>
      </w:pPr>
      <w:r>
        <w:rPr>
          <w:rFonts w:ascii="Arial" w:hAnsi="Arial" w:cs="Arial"/>
          <w:bCs/>
          <w:sz w:val="24"/>
          <w:szCs w:val="24"/>
          <w:lang w:val="es-ES"/>
        </w:rPr>
        <w:t xml:space="preserve">Paz, O. (2001) Postdata. En: </w:t>
      </w:r>
      <w:r>
        <w:rPr>
          <w:rFonts w:ascii="Arial" w:hAnsi="Arial" w:cs="Arial"/>
          <w:bCs/>
          <w:i/>
          <w:sz w:val="24"/>
          <w:szCs w:val="24"/>
          <w:lang w:val="es-ES"/>
        </w:rPr>
        <w:t>Sueño en Libertad Escritos Políticos</w:t>
      </w:r>
      <w:r>
        <w:rPr>
          <w:rFonts w:ascii="Arial" w:hAnsi="Arial" w:cs="Arial"/>
          <w:bCs/>
          <w:sz w:val="24"/>
          <w:szCs w:val="24"/>
          <w:lang w:val="es-ES"/>
        </w:rPr>
        <w:t>. México: Seix Barral.</w:t>
      </w:r>
    </w:p>
    <w:p w14:paraId="648185F0" w14:textId="77777777" w:rsidR="00687577" w:rsidRDefault="00687577">
      <w:pPr>
        <w:spacing w:before="240" w:line="360" w:lineRule="auto"/>
        <w:ind w:left="567" w:firstLine="567"/>
        <w:jc w:val="both"/>
        <w:rPr>
          <w:rFonts w:ascii="Arial" w:hAnsi="Arial" w:cs="Arial"/>
          <w:bCs/>
          <w:sz w:val="24"/>
          <w:szCs w:val="24"/>
          <w:lang w:val="es-ES"/>
        </w:rPr>
      </w:pPr>
      <w:r>
        <w:rPr>
          <w:rFonts w:ascii="Arial" w:hAnsi="Arial" w:cs="Arial"/>
          <w:color w:val="000000"/>
          <w:sz w:val="24"/>
          <w:szCs w:val="24"/>
        </w:rPr>
        <w:t xml:space="preserve">Pereira, F. (2010). </w:t>
      </w:r>
      <w:r>
        <w:rPr>
          <w:rFonts w:ascii="Arial" w:hAnsi="Arial" w:cs="Arial"/>
          <w:i/>
          <w:color w:val="000000"/>
          <w:sz w:val="24"/>
          <w:szCs w:val="24"/>
        </w:rPr>
        <w:t>El mundo de los periodistas: aspectos teóricos y metodológicos</w:t>
      </w:r>
      <w:r>
        <w:rPr>
          <w:rFonts w:ascii="Arial" w:hAnsi="Arial" w:cs="Arial"/>
          <w:color w:val="000000"/>
          <w:sz w:val="24"/>
          <w:szCs w:val="24"/>
        </w:rPr>
        <w:t>. Comunicación y Sociedad, 13, 101-124.</w:t>
      </w:r>
    </w:p>
    <w:p w14:paraId="57FC3DAD" w14:textId="77777777" w:rsidR="00687577" w:rsidRDefault="00687577">
      <w:pPr>
        <w:spacing w:after="0" w:line="360" w:lineRule="auto"/>
        <w:ind w:left="567" w:firstLine="567"/>
        <w:jc w:val="both"/>
        <w:rPr>
          <w:rFonts w:ascii="Arial" w:hAnsi="Arial" w:cs="Arial"/>
          <w:bCs/>
          <w:sz w:val="24"/>
          <w:szCs w:val="24"/>
          <w:lang w:val="es-ES"/>
        </w:rPr>
      </w:pPr>
      <w:r>
        <w:rPr>
          <w:rFonts w:ascii="Arial" w:hAnsi="Arial" w:cs="Arial"/>
          <w:bCs/>
          <w:sz w:val="24"/>
          <w:szCs w:val="24"/>
          <w:lang w:val="es-ES"/>
        </w:rPr>
        <w:t xml:space="preserve">Reyes, G. (1996) </w:t>
      </w:r>
      <w:r>
        <w:rPr>
          <w:rFonts w:ascii="Arial" w:hAnsi="Arial" w:cs="Arial"/>
          <w:bCs/>
          <w:i/>
          <w:sz w:val="24"/>
          <w:szCs w:val="24"/>
          <w:lang w:val="es-ES"/>
        </w:rPr>
        <w:t xml:space="preserve">Periodismo de Investigación. </w:t>
      </w:r>
      <w:r>
        <w:rPr>
          <w:rFonts w:ascii="Arial" w:hAnsi="Arial" w:cs="Arial"/>
          <w:bCs/>
          <w:sz w:val="24"/>
          <w:szCs w:val="24"/>
          <w:lang w:val="es-ES"/>
        </w:rPr>
        <w:t>México: Trillas.</w:t>
      </w:r>
    </w:p>
    <w:p w14:paraId="02D6E87F" w14:textId="77777777" w:rsidR="00687577" w:rsidRDefault="00687577">
      <w:pPr>
        <w:spacing w:before="240" w:line="360" w:lineRule="auto"/>
        <w:ind w:left="567" w:firstLine="567"/>
        <w:jc w:val="both"/>
        <w:rPr>
          <w:rFonts w:ascii="Arial" w:hAnsi="Arial" w:cs="Arial"/>
          <w:bCs/>
          <w:sz w:val="24"/>
          <w:szCs w:val="24"/>
          <w:lang w:val="es-ES"/>
        </w:rPr>
      </w:pPr>
      <w:r>
        <w:rPr>
          <w:rFonts w:ascii="Arial" w:hAnsi="Arial" w:cs="Arial"/>
          <w:bCs/>
          <w:sz w:val="24"/>
          <w:szCs w:val="24"/>
          <w:lang w:val="es-ES"/>
        </w:rPr>
        <w:t xml:space="preserve">Reyes, G. (1996) </w:t>
      </w:r>
      <w:r>
        <w:rPr>
          <w:rFonts w:ascii="Arial" w:hAnsi="Arial" w:cs="Arial"/>
          <w:bCs/>
          <w:i/>
          <w:sz w:val="24"/>
          <w:szCs w:val="24"/>
          <w:lang w:val="es-ES"/>
        </w:rPr>
        <w:t xml:space="preserve">Periodismo de Investigación. </w:t>
      </w:r>
      <w:r>
        <w:rPr>
          <w:rFonts w:ascii="Arial" w:hAnsi="Arial" w:cs="Arial"/>
          <w:bCs/>
          <w:sz w:val="24"/>
          <w:szCs w:val="24"/>
          <w:lang w:val="es-ES"/>
        </w:rPr>
        <w:t>México: Trillas.</w:t>
      </w:r>
    </w:p>
    <w:p w14:paraId="09A21107" w14:textId="77777777" w:rsidR="00687577" w:rsidRDefault="00687577">
      <w:pPr>
        <w:spacing w:after="0" w:line="360" w:lineRule="auto"/>
        <w:ind w:left="567" w:firstLine="567"/>
        <w:jc w:val="both"/>
        <w:rPr>
          <w:rFonts w:ascii="Arial" w:hAnsi="Arial" w:cs="Arial"/>
          <w:color w:val="000000"/>
          <w:sz w:val="24"/>
          <w:szCs w:val="24"/>
        </w:rPr>
      </w:pPr>
      <w:r>
        <w:rPr>
          <w:rFonts w:ascii="Arial" w:hAnsi="Arial" w:cs="Arial"/>
          <w:bCs/>
          <w:sz w:val="24"/>
          <w:szCs w:val="24"/>
          <w:lang w:val="es-ES"/>
        </w:rPr>
        <w:t xml:space="preserve">Riva Palacio, R. (1998) </w:t>
      </w:r>
      <w:r>
        <w:rPr>
          <w:rFonts w:ascii="Arial" w:hAnsi="Arial" w:cs="Arial"/>
          <w:bCs/>
          <w:i/>
          <w:sz w:val="24"/>
          <w:szCs w:val="24"/>
          <w:lang w:val="es-ES"/>
        </w:rPr>
        <w:t>Más allá de los Límites: Ensayos para un nuevo periodismo.</w:t>
      </w:r>
      <w:r>
        <w:rPr>
          <w:rFonts w:ascii="Arial" w:hAnsi="Arial" w:cs="Arial"/>
          <w:bCs/>
          <w:sz w:val="24"/>
          <w:szCs w:val="24"/>
          <w:lang w:val="es-ES"/>
        </w:rPr>
        <w:t xml:space="preserve"> México: Universidad Iberoamericana y Fundación Manuel Buendía.</w:t>
      </w:r>
    </w:p>
    <w:p w14:paraId="2973F890" w14:textId="77777777" w:rsidR="00687577" w:rsidRDefault="00687577">
      <w:pPr>
        <w:spacing w:before="240" w:line="360" w:lineRule="auto"/>
        <w:ind w:left="567" w:firstLine="567"/>
        <w:jc w:val="both"/>
        <w:rPr>
          <w:rFonts w:ascii="Arial" w:hAnsi="Arial" w:cs="Arial"/>
          <w:sz w:val="24"/>
          <w:szCs w:val="24"/>
        </w:rPr>
      </w:pPr>
      <w:r>
        <w:rPr>
          <w:rFonts w:ascii="Arial" w:hAnsi="Arial" w:cs="Arial"/>
          <w:color w:val="000000"/>
          <w:sz w:val="24"/>
          <w:szCs w:val="24"/>
        </w:rPr>
        <w:t xml:space="preserve">Rodelo, F. (2009). </w:t>
      </w:r>
      <w:r>
        <w:rPr>
          <w:rFonts w:ascii="Arial" w:hAnsi="Arial" w:cs="Arial"/>
          <w:i/>
          <w:color w:val="000000"/>
          <w:sz w:val="24"/>
          <w:szCs w:val="24"/>
        </w:rPr>
        <w:t xml:space="preserve">Periodismo en entornos violentos: el caso de los periodistas de Culiacán, Sinaloa. </w:t>
      </w:r>
      <w:r>
        <w:rPr>
          <w:rFonts w:ascii="Arial" w:hAnsi="Arial" w:cs="Arial"/>
          <w:color w:val="000000"/>
          <w:sz w:val="24"/>
          <w:szCs w:val="24"/>
        </w:rPr>
        <w:t xml:space="preserve">Agosto, 23, 2017, de Scielo Sitio web: </w:t>
      </w:r>
      <w:hyperlink r:id="rId20" w:history="1">
        <w:r>
          <w:rPr>
            <w:rStyle w:val="Hipervnculo"/>
            <w:rFonts w:ascii="Arial" w:hAnsi="Arial" w:cs="Arial"/>
            <w:sz w:val="24"/>
            <w:szCs w:val="24"/>
          </w:rPr>
          <w:t>http.//scielo.unam.mx/scielo.php?pid=S0188-252X2009000200005&amp;script=sci_arttext</w:t>
        </w:r>
      </w:hyperlink>
    </w:p>
    <w:p w14:paraId="61136D90" w14:textId="77777777" w:rsidR="00687577" w:rsidRDefault="00687577">
      <w:pPr>
        <w:spacing w:after="0" w:line="360" w:lineRule="auto"/>
        <w:ind w:left="567" w:firstLine="567"/>
        <w:jc w:val="both"/>
        <w:rPr>
          <w:rFonts w:ascii="Arial" w:hAnsi="Arial" w:cs="Arial"/>
          <w:sz w:val="24"/>
          <w:szCs w:val="24"/>
        </w:rPr>
      </w:pPr>
      <w:r>
        <w:rPr>
          <w:rFonts w:ascii="Arial" w:hAnsi="Arial" w:cs="Arial"/>
          <w:sz w:val="24"/>
          <w:szCs w:val="24"/>
        </w:rPr>
        <w:t xml:space="preserve">Rodríguez, J. (2006) </w:t>
      </w:r>
      <w:r>
        <w:rPr>
          <w:rFonts w:ascii="Arial" w:hAnsi="Arial" w:cs="Arial"/>
          <w:i/>
          <w:sz w:val="24"/>
          <w:szCs w:val="24"/>
        </w:rPr>
        <w:t>Estado y Transparencia: un paseo por la filosofía política</w:t>
      </w:r>
      <w:r>
        <w:rPr>
          <w:rFonts w:ascii="Arial" w:hAnsi="Arial" w:cs="Arial"/>
          <w:sz w:val="24"/>
          <w:szCs w:val="24"/>
        </w:rPr>
        <w:t>. México: IFAI, segunda edición.</w:t>
      </w:r>
    </w:p>
    <w:p w14:paraId="415F2649" w14:textId="77777777" w:rsidR="00687577" w:rsidRDefault="00687577">
      <w:pPr>
        <w:spacing w:line="360" w:lineRule="auto"/>
        <w:ind w:left="567" w:firstLine="567"/>
        <w:jc w:val="both"/>
        <w:rPr>
          <w:rFonts w:ascii="Arial" w:hAnsi="Arial" w:cs="Arial"/>
          <w:sz w:val="24"/>
          <w:szCs w:val="24"/>
        </w:rPr>
      </w:pPr>
      <w:r>
        <w:rPr>
          <w:rFonts w:ascii="Arial" w:hAnsi="Arial" w:cs="Arial"/>
          <w:sz w:val="24"/>
          <w:szCs w:val="24"/>
        </w:rPr>
        <w:t xml:space="preserve">Rosas, A. (2010). </w:t>
      </w:r>
      <w:r>
        <w:rPr>
          <w:rFonts w:ascii="Arial" w:hAnsi="Arial" w:cs="Arial"/>
          <w:i/>
          <w:iCs/>
          <w:sz w:val="24"/>
          <w:szCs w:val="24"/>
        </w:rPr>
        <w:t>Agravios/agresiones a periodistas. Concepto e implicaciones en los derechos humanos</w:t>
      </w:r>
      <w:r>
        <w:rPr>
          <w:rFonts w:ascii="Arial" w:hAnsi="Arial" w:cs="Arial"/>
          <w:sz w:val="24"/>
          <w:szCs w:val="24"/>
        </w:rPr>
        <w:t xml:space="preserve">. Instituto de Investigaciones Jurídicas de la UNAM. México. Tomado de </w:t>
      </w:r>
      <w:hyperlink r:id="rId21" w:history="1">
        <w:r>
          <w:rPr>
            <w:rStyle w:val="Hipervnculo"/>
            <w:rFonts w:ascii="Arial" w:hAnsi="Arial" w:cs="Arial"/>
            <w:sz w:val="24"/>
            <w:szCs w:val="24"/>
          </w:rPr>
          <w:t>https://revistas-colaboracion.juridicas.unam.mx/index.php/decoin/article/view/33186/30150</w:t>
        </w:r>
      </w:hyperlink>
      <w:r>
        <w:rPr>
          <w:rFonts w:ascii="Arial" w:hAnsi="Arial" w:cs="Arial"/>
          <w:sz w:val="24"/>
          <w:szCs w:val="24"/>
        </w:rPr>
        <w:t>. 5 de noviembre de 2018.</w:t>
      </w:r>
    </w:p>
    <w:p w14:paraId="7A4C8F24" w14:textId="77777777" w:rsidR="00687577" w:rsidRDefault="00687577">
      <w:pPr>
        <w:spacing w:after="0" w:line="360" w:lineRule="auto"/>
        <w:ind w:left="567" w:firstLine="567"/>
        <w:jc w:val="both"/>
        <w:rPr>
          <w:rFonts w:ascii="Arial" w:hAnsi="Arial" w:cs="Arial"/>
          <w:bCs/>
          <w:sz w:val="24"/>
          <w:szCs w:val="24"/>
          <w:lang w:val="es-ES"/>
        </w:rPr>
      </w:pPr>
      <w:r>
        <w:rPr>
          <w:rFonts w:ascii="Arial" w:hAnsi="Arial" w:cs="Arial"/>
          <w:sz w:val="24"/>
          <w:szCs w:val="24"/>
        </w:rPr>
        <w:t xml:space="preserve">Rousseau, J. (1992) </w:t>
      </w:r>
      <w:r>
        <w:rPr>
          <w:rFonts w:ascii="Arial" w:hAnsi="Arial" w:cs="Arial"/>
          <w:i/>
          <w:sz w:val="24"/>
          <w:szCs w:val="24"/>
        </w:rPr>
        <w:t>El Contrato Social o Principios de Derecho Político</w:t>
      </w:r>
      <w:r>
        <w:rPr>
          <w:rFonts w:ascii="Arial" w:hAnsi="Arial" w:cs="Arial"/>
          <w:sz w:val="24"/>
          <w:szCs w:val="24"/>
        </w:rPr>
        <w:t>. México: Editorial Porrúa.</w:t>
      </w:r>
    </w:p>
    <w:p w14:paraId="661C4300" w14:textId="77777777" w:rsidR="00687577" w:rsidRDefault="00687577">
      <w:pPr>
        <w:spacing w:after="0" w:line="360" w:lineRule="auto"/>
        <w:ind w:left="567" w:firstLine="567"/>
        <w:jc w:val="both"/>
        <w:rPr>
          <w:rFonts w:ascii="Arial" w:hAnsi="Arial" w:cs="Arial"/>
          <w:sz w:val="24"/>
          <w:szCs w:val="24"/>
        </w:rPr>
      </w:pPr>
      <w:r>
        <w:rPr>
          <w:rFonts w:ascii="Arial" w:hAnsi="Arial" w:cs="Arial"/>
          <w:bCs/>
          <w:sz w:val="24"/>
          <w:szCs w:val="24"/>
          <w:lang w:val="es-ES"/>
        </w:rPr>
        <w:t xml:space="preserve">Ruiz, V. (2014) </w:t>
      </w:r>
      <w:r>
        <w:rPr>
          <w:rFonts w:ascii="Arial" w:hAnsi="Arial" w:cs="Arial"/>
          <w:bCs/>
          <w:i/>
          <w:sz w:val="24"/>
          <w:szCs w:val="24"/>
          <w:lang w:val="es-ES"/>
        </w:rPr>
        <w:t>Democracia y derechos humanos en México situación actual</w:t>
      </w:r>
      <w:r>
        <w:rPr>
          <w:rFonts w:ascii="Arial" w:hAnsi="Arial" w:cs="Arial"/>
          <w:bCs/>
          <w:sz w:val="24"/>
          <w:szCs w:val="24"/>
          <w:lang w:val="es-ES"/>
        </w:rPr>
        <w:t>. México: Comisión de Derechos Humanos del Estado de México.</w:t>
      </w:r>
    </w:p>
    <w:p w14:paraId="654338A1" w14:textId="4051FD93" w:rsidR="00687577" w:rsidRDefault="00687577">
      <w:pPr>
        <w:spacing w:before="240" w:line="360" w:lineRule="auto"/>
        <w:ind w:left="567" w:firstLine="567"/>
        <w:jc w:val="both"/>
        <w:rPr>
          <w:rFonts w:ascii="Arial" w:hAnsi="Arial" w:cs="Arial"/>
          <w:sz w:val="24"/>
          <w:szCs w:val="24"/>
        </w:rPr>
      </w:pPr>
      <w:r>
        <w:rPr>
          <w:rFonts w:ascii="Arial" w:hAnsi="Arial" w:cs="Arial"/>
          <w:sz w:val="24"/>
          <w:szCs w:val="24"/>
        </w:rPr>
        <w:t xml:space="preserve">Ruiz, V. (2014). </w:t>
      </w:r>
      <w:r>
        <w:rPr>
          <w:rFonts w:ascii="Arial" w:hAnsi="Arial" w:cs="Arial"/>
          <w:i/>
          <w:sz w:val="24"/>
          <w:szCs w:val="24"/>
        </w:rPr>
        <w:t>Democracia y derechos humanos en México, situación actual</w:t>
      </w:r>
      <w:r>
        <w:rPr>
          <w:rFonts w:ascii="Arial" w:hAnsi="Arial" w:cs="Arial"/>
          <w:sz w:val="24"/>
          <w:szCs w:val="24"/>
        </w:rPr>
        <w:t>. México: Comisión de Derechos Humanos del Estado de México (CDHEM).</w:t>
      </w:r>
    </w:p>
    <w:p w14:paraId="141563E9" w14:textId="77777777" w:rsidR="00CB3DE0" w:rsidRPr="00CB3DE0" w:rsidRDefault="00CB3DE0" w:rsidP="00CB3DE0">
      <w:pPr>
        <w:spacing w:after="0" w:line="360" w:lineRule="auto"/>
        <w:ind w:left="426" w:firstLine="708"/>
        <w:jc w:val="both"/>
        <w:rPr>
          <w:rFonts w:ascii="Arial" w:hAnsi="Arial" w:cs="Arial"/>
          <w:bCs/>
          <w:sz w:val="24"/>
          <w:szCs w:val="24"/>
          <w:lang w:val="es-ES"/>
        </w:rPr>
      </w:pPr>
      <w:r w:rsidRPr="00CB3DE0">
        <w:rPr>
          <w:rFonts w:ascii="Arial" w:hAnsi="Arial" w:cs="Arial"/>
          <w:bCs/>
          <w:sz w:val="24"/>
          <w:szCs w:val="24"/>
          <w:lang w:val="es-ES"/>
        </w:rPr>
        <w:t xml:space="preserve">Scherer, J. (2008). La terca memoria. Debolsillo, México. </w:t>
      </w:r>
    </w:p>
    <w:p w14:paraId="5EE06C53" w14:textId="5A01022A" w:rsidR="00687577" w:rsidRDefault="00687577" w:rsidP="00CB3DE0">
      <w:pPr>
        <w:spacing w:after="0" w:line="360" w:lineRule="auto"/>
        <w:ind w:left="708" w:firstLine="426"/>
        <w:jc w:val="both"/>
        <w:rPr>
          <w:rFonts w:ascii="Arial" w:hAnsi="Arial" w:cs="Arial"/>
          <w:bCs/>
          <w:sz w:val="24"/>
          <w:szCs w:val="24"/>
          <w:lang w:val="es-ES"/>
        </w:rPr>
      </w:pPr>
      <w:r>
        <w:rPr>
          <w:rFonts w:ascii="Arial" w:hAnsi="Arial" w:cs="Arial"/>
          <w:sz w:val="24"/>
          <w:szCs w:val="24"/>
        </w:rPr>
        <w:t xml:space="preserve">Sohr, R. (1998) </w:t>
      </w:r>
      <w:r>
        <w:rPr>
          <w:rFonts w:ascii="Arial" w:hAnsi="Arial" w:cs="Arial"/>
          <w:bCs/>
          <w:i/>
          <w:sz w:val="24"/>
          <w:szCs w:val="24"/>
          <w:lang w:val="es-ES"/>
        </w:rPr>
        <w:t>Historia y Poder de la Prensa</w:t>
      </w:r>
      <w:r>
        <w:rPr>
          <w:rFonts w:ascii="Arial" w:hAnsi="Arial" w:cs="Arial"/>
          <w:bCs/>
          <w:sz w:val="24"/>
          <w:szCs w:val="24"/>
          <w:lang w:val="es-ES"/>
        </w:rPr>
        <w:t>, México: Editorial Andrés Bello.</w:t>
      </w:r>
    </w:p>
    <w:p w14:paraId="62A8A54F" w14:textId="77777777" w:rsidR="00687577" w:rsidRDefault="00687577">
      <w:pPr>
        <w:spacing w:after="0" w:line="360" w:lineRule="auto"/>
        <w:ind w:left="567" w:firstLine="567"/>
        <w:jc w:val="both"/>
        <w:rPr>
          <w:rFonts w:ascii="Arial" w:hAnsi="Arial" w:cs="Arial"/>
          <w:sz w:val="24"/>
          <w:szCs w:val="24"/>
        </w:rPr>
      </w:pPr>
      <w:r>
        <w:rPr>
          <w:rFonts w:ascii="Arial" w:hAnsi="Arial" w:cs="Arial"/>
          <w:bCs/>
          <w:sz w:val="24"/>
          <w:szCs w:val="24"/>
          <w:lang w:val="es-ES"/>
        </w:rPr>
        <w:t xml:space="preserve">Toledo, E. (2014) </w:t>
      </w:r>
      <w:r>
        <w:rPr>
          <w:rFonts w:ascii="Arial" w:hAnsi="Arial" w:cs="Arial"/>
          <w:bCs/>
          <w:i/>
          <w:sz w:val="24"/>
          <w:szCs w:val="24"/>
          <w:lang w:val="es-ES"/>
        </w:rPr>
        <w:t>La Rendición de Cuentas como imperativo de la democracia</w:t>
      </w:r>
      <w:r>
        <w:rPr>
          <w:rFonts w:ascii="Arial" w:hAnsi="Arial" w:cs="Arial"/>
          <w:bCs/>
          <w:sz w:val="24"/>
          <w:szCs w:val="24"/>
          <w:lang w:val="es-ES"/>
        </w:rPr>
        <w:t xml:space="preserve">. México: IEEM. </w:t>
      </w:r>
    </w:p>
    <w:p w14:paraId="7ADABCE2" w14:textId="77777777" w:rsidR="00687577" w:rsidRDefault="00687577">
      <w:pPr>
        <w:spacing w:after="0" w:line="360" w:lineRule="auto"/>
        <w:ind w:left="567" w:firstLine="567"/>
        <w:jc w:val="both"/>
        <w:rPr>
          <w:rFonts w:ascii="Arial" w:hAnsi="Arial" w:cs="Arial"/>
          <w:color w:val="000000"/>
          <w:sz w:val="24"/>
          <w:szCs w:val="24"/>
        </w:rPr>
      </w:pPr>
      <w:r>
        <w:rPr>
          <w:rFonts w:ascii="Arial" w:hAnsi="Arial" w:cs="Arial"/>
          <w:sz w:val="24"/>
          <w:szCs w:val="24"/>
        </w:rPr>
        <w:t xml:space="preserve">Ugalde, L. (2002) </w:t>
      </w:r>
      <w:r>
        <w:rPr>
          <w:rFonts w:ascii="Arial" w:hAnsi="Arial" w:cs="Arial"/>
          <w:i/>
          <w:sz w:val="24"/>
          <w:szCs w:val="24"/>
        </w:rPr>
        <w:t>Rendición de Cuentas y democracia: El caso de México.</w:t>
      </w:r>
      <w:r>
        <w:rPr>
          <w:rFonts w:ascii="Arial" w:hAnsi="Arial" w:cs="Arial"/>
          <w:sz w:val="24"/>
          <w:szCs w:val="24"/>
        </w:rPr>
        <w:t xml:space="preserve"> México: IFE.</w:t>
      </w:r>
    </w:p>
    <w:p w14:paraId="348D2D9A" w14:textId="77777777" w:rsidR="00687577" w:rsidRDefault="00687577">
      <w:pPr>
        <w:spacing w:before="240" w:line="360" w:lineRule="auto"/>
        <w:ind w:left="567" w:firstLine="567"/>
        <w:jc w:val="both"/>
        <w:rPr>
          <w:rFonts w:ascii="Arial" w:hAnsi="Arial" w:cs="Arial"/>
          <w:sz w:val="24"/>
          <w:szCs w:val="24"/>
        </w:rPr>
      </w:pPr>
      <w:r>
        <w:rPr>
          <w:rFonts w:ascii="Arial" w:hAnsi="Arial" w:cs="Arial"/>
          <w:color w:val="000000"/>
          <w:sz w:val="24"/>
          <w:szCs w:val="24"/>
        </w:rPr>
        <w:t xml:space="preserve">UNESCO. (2013). </w:t>
      </w:r>
      <w:r>
        <w:rPr>
          <w:rFonts w:ascii="Arial" w:hAnsi="Arial" w:cs="Arial"/>
          <w:i/>
          <w:color w:val="000000"/>
          <w:sz w:val="24"/>
          <w:szCs w:val="24"/>
        </w:rPr>
        <w:t xml:space="preserve">Indicadores de la Seguridad de los Periodistas: Nivel Nacional. </w:t>
      </w:r>
      <w:r>
        <w:rPr>
          <w:rFonts w:ascii="Arial" w:hAnsi="Arial" w:cs="Arial"/>
          <w:color w:val="000000"/>
          <w:sz w:val="24"/>
          <w:szCs w:val="24"/>
        </w:rPr>
        <w:t>Francia: División de la Libertad de Expresión y el Desarrollo de los Medios de Comunicación (FEM).</w:t>
      </w:r>
    </w:p>
    <w:p w14:paraId="271B3E65" w14:textId="77777777" w:rsidR="00687577" w:rsidRDefault="00687577">
      <w:pPr>
        <w:spacing w:line="360" w:lineRule="auto"/>
        <w:ind w:left="567" w:firstLine="567"/>
        <w:jc w:val="both"/>
        <w:rPr>
          <w:rFonts w:ascii="Arial" w:hAnsi="Arial" w:cs="Arial"/>
          <w:color w:val="000000"/>
          <w:sz w:val="24"/>
          <w:szCs w:val="24"/>
        </w:rPr>
      </w:pPr>
      <w:r>
        <w:rPr>
          <w:rFonts w:ascii="Arial" w:hAnsi="Arial" w:cs="Arial"/>
          <w:sz w:val="24"/>
          <w:szCs w:val="24"/>
        </w:rPr>
        <w:t xml:space="preserve">UNESCO. (2018). </w:t>
      </w:r>
      <w:r>
        <w:rPr>
          <w:rFonts w:ascii="Arial" w:hAnsi="Arial" w:cs="Arial"/>
          <w:i/>
          <w:iCs/>
          <w:sz w:val="24"/>
          <w:szCs w:val="24"/>
        </w:rPr>
        <w:t>Principales Organizaciones de Defensa de Periodistas</w:t>
      </w:r>
      <w:r>
        <w:rPr>
          <w:rFonts w:ascii="Arial" w:hAnsi="Arial" w:cs="Arial"/>
          <w:sz w:val="24"/>
          <w:szCs w:val="24"/>
        </w:rPr>
        <w:t xml:space="preserve">. Sitio web: </w:t>
      </w:r>
      <w:hyperlink r:id="rId22" w:history="1">
        <w:r>
          <w:rPr>
            <w:rStyle w:val="Hipervnculo"/>
            <w:rFonts w:ascii="Arial" w:hAnsi="Arial" w:cs="Arial"/>
            <w:sz w:val="24"/>
            <w:szCs w:val="24"/>
          </w:rPr>
          <w:t>http.//www.unesco.org/new/es/media-services/single-view-tv-release/news/main_organizations_for_the_defence_of_journalists/</w:t>
        </w:r>
      </w:hyperlink>
      <w:r>
        <w:rPr>
          <w:rFonts w:ascii="Arial" w:hAnsi="Arial" w:cs="Arial"/>
          <w:sz w:val="24"/>
          <w:szCs w:val="24"/>
        </w:rPr>
        <w:t>, tomado el 4 de noviembre de 2018.</w:t>
      </w:r>
    </w:p>
    <w:p w14:paraId="5B356D2D" w14:textId="77777777" w:rsidR="00687577" w:rsidRDefault="00687577">
      <w:pPr>
        <w:spacing w:before="240" w:line="360" w:lineRule="auto"/>
        <w:ind w:left="567" w:firstLine="567"/>
        <w:jc w:val="both"/>
        <w:rPr>
          <w:rStyle w:val="personname"/>
          <w:rFonts w:ascii="Arial" w:hAnsi="Arial" w:cs="Arial"/>
          <w:color w:val="000000"/>
          <w:sz w:val="24"/>
          <w:szCs w:val="24"/>
        </w:rPr>
      </w:pPr>
      <w:r>
        <w:rPr>
          <w:rFonts w:ascii="Arial" w:hAnsi="Arial" w:cs="Arial"/>
          <w:color w:val="000000"/>
          <w:sz w:val="24"/>
          <w:szCs w:val="24"/>
        </w:rPr>
        <w:t xml:space="preserve">Urteaga, E. (2009). </w:t>
      </w:r>
      <w:r>
        <w:rPr>
          <w:rFonts w:ascii="Arial" w:hAnsi="Arial" w:cs="Arial"/>
          <w:i/>
          <w:color w:val="000000"/>
          <w:sz w:val="24"/>
          <w:szCs w:val="24"/>
        </w:rPr>
        <w:t>La teoría de sistemas de Niklas Luhmann</w:t>
      </w:r>
      <w:r>
        <w:rPr>
          <w:rFonts w:ascii="Arial" w:hAnsi="Arial" w:cs="Arial"/>
          <w:color w:val="000000"/>
          <w:sz w:val="24"/>
          <w:szCs w:val="24"/>
        </w:rPr>
        <w:t>. Revista Internacional de Filosofía, XV, pp. 301-317.</w:t>
      </w:r>
    </w:p>
    <w:p w14:paraId="2BAA31F0" w14:textId="77777777" w:rsidR="00687577" w:rsidRDefault="00687577">
      <w:pPr>
        <w:spacing w:after="0" w:line="360" w:lineRule="auto"/>
        <w:ind w:left="567" w:firstLine="567"/>
        <w:jc w:val="both"/>
        <w:rPr>
          <w:rFonts w:ascii="Arial" w:hAnsi="Arial" w:cs="Arial"/>
          <w:sz w:val="24"/>
          <w:szCs w:val="24"/>
        </w:rPr>
      </w:pPr>
      <w:r>
        <w:rPr>
          <w:rStyle w:val="personname"/>
          <w:rFonts w:ascii="Arial" w:hAnsi="Arial" w:cs="Arial"/>
          <w:color w:val="000000"/>
          <w:sz w:val="24"/>
          <w:szCs w:val="24"/>
        </w:rPr>
        <w:t>Villanueva, E</w:t>
      </w:r>
      <w:r>
        <w:rPr>
          <w:rFonts w:ascii="Arial" w:hAnsi="Arial" w:cs="Arial"/>
          <w:color w:val="000000"/>
          <w:sz w:val="24"/>
          <w:szCs w:val="24"/>
        </w:rPr>
        <w:t>. (2003)</w:t>
      </w:r>
      <w:r>
        <w:rPr>
          <w:rStyle w:val="apple-converted-space"/>
          <w:rFonts w:ascii="Arial" w:hAnsi="Arial" w:cs="Arial"/>
          <w:color w:val="000000"/>
          <w:sz w:val="24"/>
          <w:szCs w:val="24"/>
        </w:rPr>
        <w:t> </w:t>
      </w:r>
      <w:r>
        <w:rPr>
          <w:rStyle w:val="nfasis"/>
          <w:rFonts w:ascii="Arial" w:hAnsi="Arial" w:cs="Arial"/>
          <w:color w:val="000000"/>
          <w:sz w:val="24"/>
          <w:szCs w:val="24"/>
        </w:rPr>
        <w:t>Derecho de acceso a la información pública en Latinoamérica.</w:t>
      </w:r>
      <w:r>
        <w:rPr>
          <w:rFonts w:ascii="Arial" w:hAnsi="Arial" w:cs="Arial"/>
          <w:color w:val="000000"/>
          <w:sz w:val="24"/>
          <w:szCs w:val="24"/>
        </w:rPr>
        <w:t xml:space="preserve"> México: Instituto de Investigaciones Jurídicas de la UNAM.</w:t>
      </w:r>
    </w:p>
    <w:p w14:paraId="3B4A8ED1" w14:textId="77777777" w:rsidR="00687577" w:rsidRDefault="00687577">
      <w:pPr>
        <w:spacing w:after="0" w:line="360" w:lineRule="auto"/>
        <w:ind w:left="567" w:firstLine="567"/>
        <w:jc w:val="both"/>
        <w:rPr>
          <w:rFonts w:ascii="Arial" w:hAnsi="Arial" w:cs="Arial"/>
          <w:sz w:val="24"/>
          <w:szCs w:val="24"/>
        </w:rPr>
      </w:pPr>
      <w:r>
        <w:rPr>
          <w:rFonts w:ascii="Arial" w:hAnsi="Arial" w:cs="Arial"/>
          <w:sz w:val="24"/>
          <w:szCs w:val="24"/>
        </w:rPr>
        <w:t xml:space="preserve">Villanueva, E. (2008) </w:t>
      </w:r>
      <w:r>
        <w:rPr>
          <w:rFonts w:ascii="Arial" w:hAnsi="Arial" w:cs="Arial"/>
          <w:i/>
          <w:sz w:val="24"/>
          <w:szCs w:val="24"/>
        </w:rPr>
        <w:t>Temas Selectos de Derecho de la Información.</w:t>
      </w:r>
      <w:r>
        <w:rPr>
          <w:rFonts w:ascii="Arial" w:hAnsi="Arial" w:cs="Arial"/>
          <w:sz w:val="24"/>
          <w:szCs w:val="24"/>
        </w:rPr>
        <w:t xml:space="preserve"> México: Instituto de Investigaciones Jurídicas de la UNAM.</w:t>
      </w:r>
    </w:p>
    <w:p w14:paraId="3655BE78" w14:textId="77777777" w:rsidR="00687577" w:rsidRDefault="00687577">
      <w:pPr>
        <w:spacing w:before="240" w:line="360" w:lineRule="auto"/>
        <w:ind w:left="567" w:firstLine="567"/>
        <w:jc w:val="both"/>
        <w:rPr>
          <w:rFonts w:ascii="Arial" w:hAnsi="Arial" w:cs="Arial"/>
          <w:color w:val="000000"/>
          <w:sz w:val="24"/>
          <w:szCs w:val="24"/>
        </w:rPr>
      </w:pPr>
      <w:r>
        <w:rPr>
          <w:rFonts w:ascii="Arial" w:hAnsi="Arial" w:cs="Arial"/>
          <w:sz w:val="24"/>
          <w:szCs w:val="24"/>
        </w:rPr>
        <w:t xml:space="preserve">Villanueva, E. (2008) </w:t>
      </w:r>
      <w:r>
        <w:rPr>
          <w:rFonts w:ascii="Arial" w:hAnsi="Arial" w:cs="Arial"/>
          <w:i/>
          <w:sz w:val="24"/>
          <w:szCs w:val="24"/>
        </w:rPr>
        <w:t>Temas Selectos de Derecho de la Información.</w:t>
      </w:r>
      <w:r>
        <w:rPr>
          <w:rFonts w:ascii="Arial" w:hAnsi="Arial" w:cs="Arial"/>
          <w:sz w:val="24"/>
          <w:szCs w:val="24"/>
        </w:rPr>
        <w:t xml:space="preserve"> México: Instituto de Investigaciones Jurídicas de la UNAM.</w:t>
      </w:r>
    </w:p>
    <w:p w14:paraId="1278D392" w14:textId="77777777" w:rsidR="00687577" w:rsidRDefault="00687577">
      <w:pPr>
        <w:spacing w:before="240" w:line="360" w:lineRule="auto"/>
        <w:ind w:left="567" w:firstLine="567"/>
        <w:jc w:val="both"/>
        <w:rPr>
          <w:rFonts w:ascii="Arial" w:hAnsi="Arial" w:cs="Arial"/>
          <w:sz w:val="24"/>
          <w:szCs w:val="24"/>
        </w:rPr>
      </w:pPr>
      <w:r>
        <w:rPr>
          <w:rFonts w:ascii="Arial" w:hAnsi="Arial" w:cs="Arial"/>
          <w:color w:val="000000"/>
          <w:sz w:val="24"/>
          <w:szCs w:val="24"/>
        </w:rPr>
        <w:t xml:space="preserve">Villoro, L. (2002). </w:t>
      </w:r>
      <w:r>
        <w:rPr>
          <w:rFonts w:ascii="Arial" w:hAnsi="Arial" w:cs="Arial"/>
          <w:i/>
          <w:color w:val="000000"/>
          <w:sz w:val="24"/>
          <w:szCs w:val="24"/>
        </w:rPr>
        <w:t>Creer, saber, conocer</w:t>
      </w:r>
      <w:r>
        <w:rPr>
          <w:rFonts w:ascii="Arial" w:hAnsi="Arial" w:cs="Arial"/>
          <w:color w:val="000000"/>
          <w:sz w:val="24"/>
          <w:szCs w:val="24"/>
        </w:rPr>
        <w:t>. México: Siglo 21.</w:t>
      </w:r>
    </w:p>
    <w:p w14:paraId="40593093" w14:textId="77777777" w:rsidR="00687577" w:rsidRDefault="00687577">
      <w:pPr>
        <w:spacing w:line="360" w:lineRule="auto"/>
        <w:ind w:left="567" w:firstLine="567"/>
        <w:jc w:val="both"/>
        <w:rPr>
          <w:rFonts w:ascii="Arial" w:hAnsi="Arial" w:cs="Arial"/>
          <w:sz w:val="24"/>
          <w:szCs w:val="24"/>
        </w:rPr>
      </w:pPr>
      <w:r>
        <w:rPr>
          <w:rFonts w:ascii="Arial" w:hAnsi="Arial" w:cs="Arial"/>
          <w:sz w:val="24"/>
          <w:szCs w:val="24"/>
        </w:rPr>
        <w:t xml:space="preserve">Vital, H. (2006). </w:t>
      </w:r>
      <w:r>
        <w:rPr>
          <w:rFonts w:ascii="Arial" w:hAnsi="Arial" w:cs="Arial"/>
          <w:i/>
          <w:iCs/>
          <w:sz w:val="24"/>
          <w:szCs w:val="24"/>
        </w:rPr>
        <w:t>Propuesta de Indicadores para un periodismo de Calidad en México</w:t>
      </w:r>
      <w:r>
        <w:rPr>
          <w:rFonts w:ascii="Arial" w:hAnsi="Arial" w:cs="Arial"/>
          <w:sz w:val="24"/>
          <w:szCs w:val="24"/>
        </w:rPr>
        <w:t xml:space="preserve">. Universidad Iberoamericana, México. </w:t>
      </w:r>
    </w:p>
    <w:p w14:paraId="38A95B82" w14:textId="77777777" w:rsidR="00687577" w:rsidRDefault="00687577">
      <w:pPr>
        <w:spacing w:line="360" w:lineRule="auto"/>
        <w:ind w:left="567" w:firstLine="567"/>
        <w:jc w:val="both"/>
      </w:pPr>
      <w:r>
        <w:rPr>
          <w:rFonts w:ascii="Arial" w:hAnsi="Arial" w:cs="Arial"/>
          <w:sz w:val="24"/>
          <w:szCs w:val="24"/>
        </w:rPr>
        <w:t>Piedra, N. (2004). Relaciones de poder: leyendo a foucault desde la perspectiva de género. </w:t>
      </w:r>
      <w:r>
        <w:rPr>
          <w:rFonts w:ascii="Arial" w:hAnsi="Arial" w:cs="Arial"/>
          <w:i/>
          <w:iCs/>
          <w:sz w:val="24"/>
          <w:szCs w:val="24"/>
        </w:rPr>
        <w:t>Revista de Ciencias Sociales (Cr), IV </w:t>
      </w:r>
      <w:r>
        <w:rPr>
          <w:rFonts w:ascii="Arial" w:hAnsi="Arial" w:cs="Arial"/>
          <w:sz w:val="24"/>
          <w:szCs w:val="24"/>
        </w:rPr>
        <w:t>(106), 123-141. </w:t>
      </w:r>
    </w:p>
    <w:p w14:paraId="5EC52BE8" w14:textId="54370DC5" w:rsidR="000D7076" w:rsidRPr="00E14E36" w:rsidRDefault="000D7076" w:rsidP="000D7076">
      <w:pPr>
        <w:shd w:val="clear" w:color="auto" w:fill="FFFFFF"/>
        <w:spacing w:before="100" w:beforeAutospacing="1" w:after="100" w:afterAutospacing="1" w:line="360" w:lineRule="auto"/>
        <w:jc w:val="both"/>
        <w:rPr>
          <w:rFonts w:ascii="Arial" w:eastAsia="Times New Roman" w:hAnsi="Arial" w:cs="Arial"/>
          <w:color w:val="000000"/>
          <w:sz w:val="24"/>
          <w:szCs w:val="24"/>
          <w:lang w:eastAsia="es-MX"/>
        </w:rPr>
      </w:pPr>
      <w:r>
        <w:rPr>
          <w:rFonts w:ascii="Arial" w:hAnsi="Arial" w:cs="Arial"/>
          <w:b/>
          <w:color w:val="333333"/>
          <w:sz w:val="24"/>
          <w:szCs w:val="24"/>
          <w:shd w:val="clear" w:color="auto" w:fill="FFFFFF"/>
        </w:rPr>
        <w:t>Referencias</w:t>
      </w:r>
      <w:r w:rsidR="004F408B">
        <w:rPr>
          <w:rFonts w:ascii="Arial" w:hAnsi="Arial" w:cs="Arial"/>
          <w:b/>
          <w:color w:val="333333"/>
          <w:sz w:val="24"/>
          <w:szCs w:val="24"/>
          <w:shd w:val="clear" w:color="auto" w:fill="FFFFFF"/>
        </w:rPr>
        <w:t xml:space="preserve"> complementarias</w:t>
      </w:r>
      <w:r w:rsidRPr="0075534D">
        <w:rPr>
          <w:rFonts w:ascii="Arial" w:hAnsi="Arial" w:cs="Arial"/>
          <w:b/>
          <w:color w:val="333333"/>
          <w:sz w:val="24"/>
          <w:szCs w:val="24"/>
          <w:shd w:val="clear" w:color="auto" w:fill="FFFFFF"/>
        </w:rPr>
        <w:t xml:space="preserve">: </w:t>
      </w:r>
    </w:p>
    <w:p w14:paraId="4D32406B" w14:textId="77777777" w:rsidR="000D7076" w:rsidRPr="00582B0C" w:rsidRDefault="000D7076" w:rsidP="000D7076">
      <w:pPr>
        <w:spacing w:line="360" w:lineRule="auto"/>
        <w:rPr>
          <w:rFonts w:ascii="Arial" w:hAnsi="Arial" w:cs="Arial"/>
          <w:color w:val="333333"/>
          <w:sz w:val="24"/>
          <w:szCs w:val="24"/>
          <w:shd w:val="clear" w:color="auto" w:fill="FFFFFF"/>
        </w:rPr>
      </w:pPr>
      <w:r w:rsidRPr="00582B0C">
        <w:rPr>
          <w:rFonts w:ascii="Arial" w:hAnsi="Arial" w:cs="Arial"/>
          <w:color w:val="000000"/>
          <w:sz w:val="24"/>
          <w:szCs w:val="24"/>
        </w:rPr>
        <w:t xml:space="preserve">Aladro, E. (2013). </w:t>
      </w:r>
      <w:r w:rsidRPr="00582B0C">
        <w:rPr>
          <w:rFonts w:ascii="Arial" w:hAnsi="Arial" w:cs="Arial"/>
          <w:i/>
          <w:color w:val="000000"/>
          <w:sz w:val="24"/>
          <w:szCs w:val="24"/>
        </w:rPr>
        <w:t>Las Teorías Profesionales y las 5 crisis del periodismo</w:t>
      </w:r>
      <w:r w:rsidRPr="00582B0C">
        <w:rPr>
          <w:rFonts w:ascii="Arial" w:hAnsi="Arial" w:cs="Arial"/>
          <w:color w:val="000000"/>
          <w:sz w:val="24"/>
          <w:szCs w:val="24"/>
        </w:rPr>
        <w:t>. Agosto, 26, 2017, de Redalyc Sitio web: http://www.redalyc.org/html/935/93528051007/</w:t>
      </w:r>
    </w:p>
    <w:p w14:paraId="1BDE1A3F" w14:textId="77777777" w:rsidR="000D7076" w:rsidRPr="00582B0C" w:rsidRDefault="000D7076" w:rsidP="000D7076">
      <w:pPr>
        <w:spacing w:line="360" w:lineRule="auto"/>
        <w:jc w:val="both"/>
        <w:rPr>
          <w:rFonts w:ascii="Arial" w:hAnsi="Arial" w:cs="Arial"/>
          <w:color w:val="000000"/>
          <w:sz w:val="24"/>
          <w:szCs w:val="24"/>
        </w:rPr>
      </w:pPr>
      <w:r w:rsidRPr="00582B0C">
        <w:rPr>
          <w:rFonts w:ascii="Arial" w:hAnsi="Arial" w:cs="Arial"/>
          <w:color w:val="000000"/>
          <w:sz w:val="24"/>
          <w:szCs w:val="24"/>
        </w:rPr>
        <w:t xml:space="preserve">Avilés, R. (2007). </w:t>
      </w:r>
      <w:r w:rsidRPr="00582B0C">
        <w:rPr>
          <w:rFonts w:ascii="Arial" w:hAnsi="Arial" w:cs="Arial"/>
          <w:i/>
          <w:color w:val="000000"/>
          <w:sz w:val="24"/>
          <w:szCs w:val="24"/>
        </w:rPr>
        <w:t xml:space="preserve">La Censura al Periodismo en México: Revisión Histórica y Perspectivas. </w:t>
      </w:r>
      <w:r w:rsidRPr="00582B0C">
        <w:rPr>
          <w:rFonts w:ascii="Arial" w:hAnsi="Arial" w:cs="Arial"/>
          <w:color w:val="000000"/>
          <w:sz w:val="24"/>
          <w:szCs w:val="24"/>
        </w:rPr>
        <w:t>Razón y Palabra. 59, p.9</w:t>
      </w:r>
    </w:p>
    <w:p w14:paraId="32A1A067" w14:textId="77777777" w:rsidR="000D7076" w:rsidRPr="00582B0C" w:rsidRDefault="000D7076" w:rsidP="000D7076">
      <w:pPr>
        <w:spacing w:line="360" w:lineRule="auto"/>
        <w:rPr>
          <w:rFonts w:ascii="Arial" w:hAnsi="Arial" w:cs="Arial"/>
          <w:color w:val="000000"/>
          <w:sz w:val="24"/>
          <w:szCs w:val="24"/>
        </w:rPr>
      </w:pPr>
      <w:r w:rsidRPr="00582B0C">
        <w:rPr>
          <w:rFonts w:ascii="Arial" w:hAnsi="Arial" w:cs="Arial"/>
          <w:color w:val="000000"/>
          <w:sz w:val="24"/>
          <w:szCs w:val="24"/>
        </w:rPr>
        <w:t xml:space="preserve">Basabe, S. (2005). </w:t>
      </w:r>
      <w:r w:rsidRPr="00582B0C">
        <w:rPr>
          <w:rFonts w:ascii="Arial" w:hAnsi="Arial" w:cs="Arial"/>
          <w:i/>
          <w:color w:val="000000"/>
          <w:sz w:val="24"/>
          <w:szCs w:val="24"/>
        </w:rPr>
        <w:t>La teoría de sistemas de Niklas Luhmann, Apuntes previos para una aplicación a la sociología del derecho</w:t>
      </w:r>
      <w:r w:rsidRPr="00582B0C">
        <w:rPr>
          <w:rFonts w:ascii="Arial" w:hAnsi="Arial" w:cs="Arial"/>
          <w:color w:val="000000"/>
          <w:sz w:val="24"/>
          <w:szCs w:val="24"/>
        </w:rPr>
        <w:t>. Octubre, 20, 2017, de Flacso. Sitio web: file:///C:/Users/lenovo/Downloads/fa-agora-basabe-2005.pdf</w:t>
      </w:r>
    </w:p>
    <w:p w14:paraId="7D936E20" w14:textId="77777777" w:rsidR="000D7076" w:rsidRPr="00582B0C" w:rsidRDefault="000D7076" w:rsidP="000D7076">
      <w:pPr>
        <w:spacing w:line="360" w:lineRule="auto"/>
        <w:rPr>
          <w:rFonts w:ascii="Arial" w:hAnsi="Arial" w:cs="Arial"/>
          <w:color w:val="000000"/>
          <w:sz w:val="24"/>
          <w:szCs w:val="24"/>
        </w:rPr>
      </w:pPr>
      <w:r w:rsidRPr="00582B0C">
        <w:rPr>
          <w:rFonts w:ascii="Arial" w:hAnsi="Arial" w:cs="Arial"/>
          <w:color w:val="000000"/>
          <w:sz w:val="24"/>
          <w:szCs w:val="24"/>
        </w:rPr>
        <w:t xml:space="preserve">Bunge, M. (2014). </w:t>
      </w:r>
      <w:r w:rsidRPr="00582B0C">
        <w:rPr>
          <w:rFonts w:ascii="Arial" w:hAnsi="Arial" w:cs="Arial"/>
          <w:i/>
          <w:color w:val="000000"/>
          <w:sz w:val="24"/>
          <w:szCs w:val="24"/>
        </w:rPr>
        <w:t>La Ciencia. Su método y su filosofía</w:t>
      </w:r>
      <w:r w:rsidRPr="00582B0C">
        <w:rPr>
          <w:rFonts w:ascii="Arial" w:hAnsi="Arial" w:cs="Arial"/>
          <w:color w:val="000000"/>
          <w:sz w:val="24"/>
          <w:szCs w:val="24"/>
        </w:rPr>
        <w:t>. Argentina: Penguin Random House.</w:t>
      </w:r>
    </w:p>
    <w:p w14:paraId="1BF4B23F" w14:textId="77777777" w:rsidR="000D7076" w:rsidRPr="00582B0C" w:rsidRDefault="000D7076" w:rsidP="000D7076">
      <w:pPr>
        <w:spacing w:line="360" w:lineRule="auto"/>
        <w:rPr>
          <w:rFonts w:ascii="Arial" w:hAnsi="Arial" w:cs="Arial"/>
          <w:color w:val="000000"/>
          <w:sz w:val="24"/>
          <w:szCs w:val="24"/>
        </w:rPr>
      </w:pPr>
      <w:r w:rsidRPr="00582B0C">
        <w:rPr>
          <w:rFonts w:ascii="Arial" w:hAnsi="Arial" w:cs="Arial"/>
          <w:color w:val="000000"/>
          <w:sz w:val="24"/>
          <w:szCs w:val="24"/>
        </w:rPr>
        <w:t>Cabalin, C. &amp; Lagos, C.  (2009</w:t>
      </w:r>
      <w:r w:rsidRPr="00582B0C">
        <w:rPr>
          <w:rFonts w:ascii="Arial" w:hAnsi="Arial" w:cs="Arial"/>
          <w:i/>
          <w:color w:val="000000"/>
          <w:sz w:val="24"/>
          <w:szCs w:val="24"/>
        </w:rPr>
        <w:t>). Libertad de Expresión y Periodismo en Chile: presiones y mordazas.</w:t>
      </w:r>
      <w:r w:rsidRPr="00582B0C">
        <w:rPr>
          <w:rFonts w:ascii="Arial" w:hAnsi="Arial" w:cs="Arial"/>
          <w:color w:val="000000"/>
          <w:sz w:val="24"/>
          <w:szCs w:val="24"/>
        </w:rPr>
        <w:t xml:space="preserve"> Agosto, 27, 2017, de Redalyc.org Sitio web: </w:t>
      </w:r>
      <w:r w:rsidRPr="00133561">
        <w:rPr>
          <w:rFonts w:ascii="Arial" w:hAnsi="Arial" w:cs="Arial"/>
          <w:color w:val="000000"/>
          <w:sz w:val="24"/>
          <w:szCs w:val="24"/>
        </w:rPr>
        <w:t>http://www.redalyc.org/html/649/64911530003/</w:t>
      </w:r>
    </w:p>
    <w:p w14:paraId="1566CEAA" w14:textId="77777777" w:rsidR="000D7076" w:rsidRPr="00582B0C" w:rsidRDefault="000D7076" w:rsidP="000D7076">
      <w:pPr>
        <w:spacing w:line="360" w:lineRule="auto"/>
        <w:rPr>
          <w:rFonts w:ascii="Arial" w:hAnsi="Arial" w:cs="Arial"/>
          <w:color w:val="333333"/>
          <w:sz w:val="24"/>
          <w:szCs w:val="24"/>
          <w:shd w:val="clear" w:color="auto" w:fill="FFFFFF"/>
        </w:rPr>
      </w:pPr>
      <w:r w:rsidRPr="00582B0C">
        <w:rPr>
          <w:rFonts w:ascii="Arial" w:hAnsi="Arial" w:cs="Arial"/>
          <w:color w:val="000000"/>
          <w:sz w:val="24"/>
          <w:szCs w:val="24"/>
        </w:rPr>
        <w:t xml:space="preserve">Caloca, E. (2005). </w:t>
      </w:r>
      <w:r w:rsidRPr="00582B0C">
        <w:rPr>
          <w:rFonts w:ascii="Arial" w:hAnsi="Arial" w:cs="Arial"/>
          <w:i/>
          <w:color w:val="000000"/>
          <w:sz w:val="24"/>
          <w:szCs w:val="24"/>
        </w:rPr>
        <w:t>Recuento Histórico del Periodismo</w:t>
      </w:r>
      <w:r w:rsidRPr="00582B0C">
        <w:rPr>
          <w:rFonts w:ascii="Arial" w:hAnsi="Arial" w:cs="Arial"/>
          <w:color w:val="000000"/>
          <w:sz w:val="24"/>
          <w:szCs w:val="24"/>
        </w:rPr>
        <w:t>. México: SEP-IPN.</w:t>
      </w:r>
    </w:p>
    <w:p w14:paraId="241316F1" w14:textId="77777777" w:rsidR="000D7076" w:rsidRPr="00582B0C" w:rsidRDefault="000D7076" w:rsidP="000D7076">
      <w:pPr>
        <w:spacing w:line="360" w:lineRule="auto"/>
        <w:rPr>
          <w:rFonts w:ascii="Arial" w:hAnsi="Arial" w:cs="Arial"/>
          <w:color w:val="000000"/>
          <w:sz w:val="24"/>
          <w:szCs w:val="24"/>
        </w:rPr>
      </w:pPr>
      <w:r w:rsidRPr="00582B0C">
        <w:rPr>
          <w:rFonts w:ascii="Arial" w:hAnsi="Arial" w:cs="Arial"/>
          <w:color w:val="000000"/>
          <w:sz w:val="24"/>
          <w:szCs w:val="24"/>
        </w:rPr>
        <w:t xml:space="preserve">Campa, H. (2014). </w:t>
      </w:r>
      <w:r w:rsidRPr="00582B0C">
        <w:rPr>
          <w:rFonts w:ascii="Arial" w:hAnsi="Arial" w:cs="Arial"/>
          <w:i/>
          <w:color w:val="000000"/>
          <w:sz w:val="24"/>
          <w:szCs w:val="24"/>
        </w:rPr>
        <w:t>Cuando el Mecanismo Falla</w:t>
      </w:r>
      <w:r w:rsidRPr="00582B0C">
        <w:rPr>
          <w:rFonts w:ascii="Arial" w:hAnsi="Arial" w:cs="Arial"/>
          <w:color w:val="000000"/>
          <w:sz w:val="24"/>
          <w:szCs w:val="24"/>
        </w:rPr>
        <w:t>. México: CIDE.</w:t>
      </w:r>
    </w:p>
    <w:p w14:paraId="0B63E476" w14:textId="77777777" w:rsidR="000D7076" w:rsidRPr="00582B0C" w:rsidRDefault="000D7076" w:rsidP="000D7076">
      <w:pPr>
        <w:spacing w:line="360" w:lineRule="auto"/>
        <w:rPr>
          <w:rFonts w:ascii="Arial" w:hAnsi="Arial" w:cs="Arial"/>
          <w:color w:val="000000"/>
          <w:sz w:val="24"/>
          <w:szCs w:val="24"/>
        </w:rPr>
      </w:pPr>
      <w:r w:rsidRPr="00582B0C">
        <w:rPr>
          <w:rFonts w:ascii="Arial" w:hAnsi="Arial" w:cs="Arial"/>
          <w:color w:val="000000"/>
          <w:sz w:val="24"/>
          <w:szCs w:val="24"/>
        </w:rPr>
        <w:t xml:space="preserve">Campbell, F. (2002). </w:t>
      </w:r>
      <w:r w:rsidRPr="00582B0C">
        <w:rPr>
          <w:rFonts w:ascii="Arial" w:hAnsi="Arial" w:cs="Arial"/>
          <w:i/>
          <w:color w:val="000000"/>
          <w:sz w:val="24"/>
          <w:szCs w:val="24"/>
        </w:rPr>
        <w:t>Periodismo escrito</w:t>
      </w:r>
      <w:r w:rsidRPr="00582B0C">
        <w:rPr>
          <w:rFonts w:ascii="Arial" w:hAnsi="Arial" w:cs="Arial"/>
          <w:color w:val="000000"/>
          <w:sz w:val="24"/>
          <w:szCs w:val="24"/>
        </w:rPr>
        <w:t>. México: Alfaguara.</w:t>
      </w:r>
    </w:p>
    <w:p w14:paraId="12402C3B" w14:textId="77777777" w:rsidR="000D7076" w:rsidRPr="00582B0C" w:rsidRDefault="000D7076" w:rsidP="000D7076">
      <w:pPr>
        <w:spacing w:line="360" w:lineRule="auto"/>
        <w:rPr>
          <w:rFonts w:ascii="Arial" w:hAnsi="Arial" w:cs="Arial"/>
          <w:color w:val="333333"/>
          <w:sz w:val="24"/>
          <w:szCs w:val="24"/>
          <w:shd w:val="clear" w:color="auto" w:fill="FFFFFF"/>
        </w:rPr>
      </w:pPr>
      <w:r w:rsidRPr="00582B0C">
        <w:rPr>
          <w:rFonts w:ascii="Arial" w:hAnsi="Arial" w:cs="Arial"/>
          <w:color w:val="000000"/>
          <w:sz w:val="24"/>
          <w:szCs w:val="24"/>
        </w:rPr>
        <w:t xml:space="preserve">Casero, A. (2009). </w:t>
      </w:r>
      <w:r w:rsidRPr="00582B0C">
        <w:rPr>
          <w:rFonts w:ascii="Arial" w:hAnsi="Arial" w:cs="Arial"/>
          <w:i/>
          <w:color w:val="000000"/>
          <w:sz w:val="24"/>
          <w:szCs w:val="24"/>
        </w:rPr>
        <w:t>El control político de la información periodística</w:t>
      </w:r>
      <w:r w:rsidRPr="00582B0C">
        <w:rPr>
          <w:rFonts w:ascii="Arial" w:hAnsi="Arial" w:cs="Arial"/>
          <w:color w:val="000000"/>
          <w:sz w:val="24"/>
          <w:szCs w:val="24"/>
        </w:rPr>
        <w:t>. Agosto, 24, 2017, de Redalyc Sitio web: http://www.redalyc.org/html/819/81911786029/</w:t>
      </w:r>
    </w:p>
    <w:p w14:paraId="42ED911A" w14:textId="77777777" w:rsidR="000D7076" w:rsidRPr="00582B0C" w:rsidRDefault="000D7076" w:rsidP="000D7076">
      <w:pPr>
        <w:spacing w:line="360" w:lineRule="auto"/>
        <w:rPr>
          <w:rFonts w:ascii="Arial" w:hAnsi="Arial" w:cs="Arial"/>
          <w:color w:val="000000"/>
          <w:sz w:val="24"/>
          <w:szCs w:val="24"/>
        </w:rPr>
      </w:pPr>
      <w:r w:rsidRPr="00582B0C">
        <w:rPr>
          <w:rFonts w:ascii="Arial" w:hAnsi="Arial" w:cs="Arial"/>
          <w:color w:val="000000"/>
          <w:sz w:val="24"/>
          <w:szCs w:val="24"/>
        </w:rPr>
        <w:t xml:space="preserve">CJDH. (2014). </w:t>
      </w:r>
      <w:r w:rsidRPr="00582B0C">
        <w:rPr>
          <w:rFonts w:ascii="Arial" w:hAnsi="Arial" w:cs="Arial"/>
          <w:i/>
          <w:color w:val="000000"/>
          <w:sz w:val="24"/>
          <w:szCs w:val="24"/>
        </w:rPr>
        <w:t>Protección de Periodistas en el ámbito local en México</w:t>
      </w:r>
      <w:r w:rsidRPr="00582B0C">
        <w:rPr>
          <w:rFonts w:ascii="Arial" w:hAnsi="Arial" w:cs="Arial"/>
          <w:color w:val="000000"/>
          <w:sz w:val="24"/>
          <w:szCs w:val="24"/>
        </w:rPr>
        <w:t xml:space="preserve">. Agosto, 27, 2017, de Freedomhouse Sitio web: </w:t>
      </w:r>
      <w:r w:rsidRPr="00133561">
        <w:rPr>
          <w:rFonts w:ascii="Arial" w:hAnsi="Arial" w:cs="Arial"/>
          <w:sz w:val="24"/>
          <w:szCs w:val="24"/>
        </w:rPr>
        <w:t>https://freedomhouse.org/sites/default/files/Protecci%C3%B3n%20a%20periodistas%20en%20el%20%C3%A1mbito%20local%20en%20M%C3%A9xico%20-%20SCM%20%28Enero%202014%29.pdf</w:t>
      </w:r>
    </w:p>
    <w:p w14:paraId="2EE458BB" w14:textId="77777777" w:rsidR="000D7076" w:rsidRPr="00582B0C" w:rsidRDefault="000D7076" w:rsidP="000D7076">
      <w:pPr>
        <w:spacing w:line="360" w:lineRule="auto"/>
        <w:rPr>
          <w:rFonts w:ascii="Arial" w:hAnsi="Arial" w:cs="Arial"/>
          <w:color w:val="000000"/>
          <w:sz w:val="24"/>
          <w:szCs w:val="24"/>
        </w:rPr>
      </w:pPr>
      <w:r w:rsidRPr="00582B0C">
        <w:rPr>
          <w:rFonts w:ascii="Arial" w:hAnsi="Arial" w:cs="Arial"/>
          <w:color w:val="000000"/>
          <w:sz w:val="24"/>
          <w:szCs w:val="24"/>
        </w:rPr>
        <w:t xml:space="preserve">Congreso de la Unión. (1917). </w:t>
      </w:r>
      <w:r w:rsidRPr="00582B0C">
        <w:rPr>
          <w:rFonts w:ascii="Arial" w:hAnsi="Arial" w:cs="Arial"/>
          <w:i/>
          <w:color w:val="000000"/>
          <w:sz w:val="24"/>
          <w:szCs w:val="24"/>
        </w:rPr>
        <w:t>Constitución Política de los Estados Unidos Mexicanos</w:t>
      </w:r>
      <w:r w:rsidRPr="00582B0C">
        <w:rPr>
          <w:rFonts w:ascii="Arial" w:hAnsi="Arial" w:cs="Arial"/>
          <w:color w:val="000000"/>
          <w:sz w:val="24"/>
          <w:szCs w:val="24"/>
        </w:rPr>
        <w:t>. México: UNAM.</w:t>
      </w:r>
    </w:p>
    <w:p w14:paraId="092CBFF3" w14:textId="77777777" w:rsidR="000D7076" w:rsidRPr="00582B0C" w:rsidRDefault="000D7076" w:rsidP="000D7076">
      <w:pPr>
        <w:spacing w:line="360" w:lineRule="auto"/>
        <w:rPr>
          <w:rFonts w:ascii="Arial" w:hAnsi="Arial" w:cs="Arial"/>
          <w:i/>
          <w:color w:val="333333"/>
          <w:sz w:val="24"/>
          <w:szCs w:val="24"/>
          <w:shd w:val="clear" w:color="auto" w:fill="FFFFFF"/>
        </w:rPr>
      </w:pPr>
      <w:r w:rsidRPr="00582B0C">
        <w:rPr>
          <w:rFonts w:ascii="Arial" w:hAnsi="Arial" w:cs="Arial"/>
          <w:color w:val="000000"/>
          <w:sz w:val="24"/>
          <w:szCs w:val="24"/>
        </w:rPr>
        <w:t xml:space="preserve">Congreso de la Unión. (2012). </w:t>
      </w:r>
      <w:r w:rsidRPr="00582B0C">
        <w:rPr>
          <w:rFonts w:ascii="Arial" w:hAnsi="Arial" w:cs="Arial"/>
          <w:i/>
          <w:color w:val="000000"/>
          <w:sz w:val="24"/>
          <w:szCs w:val="24"/>
        </w:rPr>
        <w:t>Ley para la Protección de Personas Defensoras de Derechos Humanos y Periodistas</w:t>
      </w:r>
      <w:r w:rsidRPr="00582B0C">
        <w:rPr>
          <w:rFonts w:ascii="Arial" w:hAnsi="Arial" w:cs="Arial"/>
          <w:color w:val="000000"/>
          <w:sz w:val="24"/>
          <w:szCs w:val="24"/>
        </w:rPr>
        <w:t>. México: Diario Oficial de la Federación.</w:t>
      </w:r>
    </w:p>
    <w:p w14:paraId="14CC81BB" w14:textId="77777777" w:rsidR="000D7076" w:rsidRPr="00582B0C" w:rsidRDefault="000D7076" w:rsidP="000D7076">
      <w:pPr>
        <w:spacing w:after="0" w:line="360" w:lineRule="auto"/>
        <w:jc w:val="both"/>
        <w:rPr>
          <w:rFonts w:ascii="Arial" w:hAnsi="Arial" w:cs="Arial"/>
          <w:bCs/>
          <w:sz w:val="24"/>
          <w:szCs w:val="24"/>
          <w:lang w:val="es-ES"/>
        </w:rPr>
      </w:pPr>
      <w:r w:rsidRPr="00582B0C">
        <w:rPr>
          <w:rFonts w:ascii="Arial" w:hAnsi="Arial" w:cs="Arial"/>
          <w:bCs/>
          <w:sz w:val="24"/>
          <w:szCs w:val="24"/>
          <w:lang w:val="es-ES"/>
        </w:rPr>
        <w:t xml:space="preserve">Crespo, J. (2001) </w:t>
      </w:r>
      <w:r w:rsidRPr="00582B0C">
        <w:rPr>
          <w:rFonts w:ascii="Arial" w:hAnsi="Arial" w:cs="Arial"/>
          <w:bCs/>
          <w:i/>
          <w:sz w:val="24"/>
          <w:szCs w:val="24"/>
          <w:lang w:val="es-ES"/>
        </w:rPr>
        <w:t>Fundamentos Políticos de la Rendición de Cuentas</w:t>
      </w:r>
      <w:r w:rsidRPr="00582B0C">
        <w:rPr>
          <w:rFonts w:ascii="Arial" w:hAnsi="Arial" w:cs="Arial"/>
          <w:bCs/>
          <w:sz w:val="24"/>
          <w:szCs w:val="24"/>
          <w:lang w:val="es-ES"/>
        </w:rPr>
        <w:t>, México: Cámara de Diputados LVIII Legislatura y Auditoria Superior de la Federación.</w:t>
      </w:r>
    </w:p>
    <w:p w14:paraId="04999C1C" w14:textId="77777777" w:rsidR="000D7076" w:rsidRPr="00582B0C" w:rsidRDefault="000D7076" w:rsidP="000D7076">
      <w:pPr>
        <w:spacing w:after="0" w:line="360" w:lineRule="auto"/>
        <w:jc w:val="both"/>
        <w:rPr>
          <w:rFonts w:ascii="Arial" w:hAnsi="Arial" w:cs="Arial"/>
          <w:color w:val="000000"/>
          <w:sz w:val="24"/>
          <w:szCs w:val="24"/>
        </w:rPr>
      </w:pPr>
      <w:r w:rsidRPr="00582B0C">
        <w:rPr>
          <w:rFonts w:ascii="Arial" w:hAnsi="Arial" w:cs="Arial"/>
          <w:color w:val="000000"/>
          <w:sz w:val="24"/>
          <w:szCs w:val="24"/>
        </w:rPr>
        <w:t xml:space="preserve">De Aguinaga, E. (2001). </w:t>
      </w:r>
      <w:r w:rsidRPr="00582B0C">
        <w:rPr>
          <w:rFonts w:ascii="Arial" w:hAnsi="Arial" w:cs="Arial"/>
          <w:i/>
          <w:color w:val="000000"/>
          <w:sz w:val="24"/>
          <w:szCs w:val="24"/>
        </w:rPr>
        <w:t>Hacia una teoría del periodismo</w:t>
      </w:r>
      <w:r w:rsidRPr="00582B0C">
        <w:rPr>
          <w:rFonts w:ascii="Arial" w:hAnsi="Arial" w:cs="Arial"/>
          <w:color w:val="000000"/>
          <w:sz w:val="24"/>
          <w:szCs w:val="24"/>
        </w:rPr>
        <w:t>. Estudios sobre el mensaje periodístico, 7, 241-255.</w:t>
      </w:r>
    </w:p>
    <w:p w14:paraId="140681FE" w14:textId="77777777" w:rsidR="000D7076" w:rsidRPr="00582B0C" w:rsidRDefault="000D7076" w:rsidP="000D7076">
      <w:pPr>
        <w:spacing w:after="0" w:line="360" w:lineRule="auto"/>
        <w:jc w:val="both"/>
        <w:rPr>
          <w:rFonts w:ascii="Arial" w:hAnsi="Arial" w:cs="Arial"/>
          <w:color w:val="000000"/>
          <w:sz w:val="24"/>
          <w:szCs w:val="24"/>
        </w:rPr>
      </w:pPr>
      <w:r w:rsidRPr="00582B0C">
        <w:rPr>
          <w:rFonts w:ascii="Arial" w:hAnsi="Arial" w:cs="Arial"/>
          <w:color w:val="000000"/>
          <w:sz w:val="24"/>
          <w:szCs w:val="24"/>
        </w:rPr>
        <w:t xml:space="preserve">De Assis, C. (2017). </w:t>
      </w:r>
      <w:r w:rsidRPr="00582B0C">
        <w:rPr>
          <w:rFonts w:ascii="Arial" w:hAnsi="Arial" w:cs="Arial"/>
          <w:i/>
          <w:color w:val="000000"/>
          <w:sz w:val="24"/>
          <w:szCs w:val="24"/>
        </w:rPr>
        <w:t>Relatores de ONU y CIDH exhortan al gobierno de México a brindar protección efectiva a periodistas del país.</w:t>
      </w:r>
      <w:r w:rsidRPr="00582B0C">
        <w:rPr>
          <w:rFonts w:ascii="Arial" w:hAnsi="Arial" w:cs="Arial"/>
          <w:color w:val="000000"/>
          <w:sz w:val="24"/>
          <w:szCs w:val="24"/>
        </w:rPr>
        <w:t xml:space="preserve"> Diciembre, 7, 2017, de Knightcenter Sitio web: </w:t>
      </w:r>
      <w:r w:rsidRPr="00133561">
        <w:rPr>
          <w:rFonts w:ascii="Arial" w:hAnsi="Arial" w:cs="Arial"/>
          <w:color w:val="000000"/>
          <w:sz w:val="24"/>
          <w:szCs w:val="24"/>
        </w:rPr>
        <w:t>https://knightcenter.utexas.edu/es/blog/00-19073-relatores-de-onu-y-cidh-exhortan-al-gobierno-de-mexico-brindar-proteccion-efectiva-per</w:t>
      </w:r>
    </w:p>
    <w:p w14:paraId="58B59A01" w14:textId="77777777" w:rsidR="000D7076" w:rsidRPr="00582B0C" w:rsidRDefault="000D7076" w:rsidP="000D7076">
      <w:pPr>
        <w:spacing w:after="0" w:line="360" w:lineRule="auto"/>
        <w:jc w:val="both"/>
        <w:rPr>
          <w:rFonts w:ascii="Arial" w:hAnsi="Arial" w:cs="Arial"/>
          <w:color w:val="000000"/>
          <w:sz w:val="24"/>
          <w:szCs w:val="24"/>
        </w:rPr>
      </w:pPr>
      <w:r w:rsidRPr="00582B0C">
        <w:rPr>
          <w:rFonts w:ascii="Arial" w:hAnsi="Arial" w:cs="Arial"/>
          <w:color w:val="000000"/>
          <w:sz w:val="24"/>
          <w:szCs w:val="24"/>
        </w:rPr>
        <w:t xml:space="preserve">De la Rosa, M. (2013). </w:t>
      </w:r>
      <w:r w:rsidRPr="00582B0C">
        <w:rPr>
          <w:rFonts w:ascii="Arial" w:hAnsi="Arial" w:cs="Arial"/>
          <w:i/>
          <w:color w:val="000000"/>
          <w:sz w:val="24"/>
          <w:szCs w:val="24"/>
        </w:rPr>
        <w:t>El periodismo en México en estado de indefensió</w:t>
      </w:r>
      <w:r w:rsidRPr="00582B0C">
        <w:rPr>
          <w:rFonts w:ascii="Arial" w:hAnsi="Arial" w:cs="Arial"/>
          <w:color w:val="000000"/>
          <w:sz w:val="24"/>
          <w:szCs w:val="24"/>
        </w:rPr>
        <w:t>n. Fundación Rafael Preciado, 505, 1-72.</w:t>
      </w:r>
    </w:p>
    <w:p w14:paraId="49E20310" w14:textId="77777777" w:rsidR="000D7076" w:rsidRPr="00582B0C" w:rsidRDefault="000D7076" w:rsidP="000D7076">
      <w:pPr>
        <w:spacing w:line="360" w:lineRule="auto"/>
        <w:jc w:val="both"/>
        <w:rPr>
          <w:rFonts w:ascii="Arial" w:hAnsi="Arial" w:cs="Arial"/>
          <w:sz w:val="24"/>
          <w:szCs w:val="24"/>
        </w:rPr>
      </w:pPr>
      <w:r w:rsidRPr="00582B0C">
        <w:rPr>
          <w:rFonts w:ascii="Arial" w:hAnsi="Arial" w:cs="Arial"/>
          <w:color w:val="000000"/>
          <w:sz w:val="24"/>
          <w:szCs w:val="24"/>
        </w:rPr>
        <w:t xml:space="preserve">Díaz, B. &amp; De Frutos, R. (2017). </w:t>
      </w:r>
      <w:r w:rsidRPr="00582B0C">
        <w:rPr>
          <w:rFonts w:ascii="Arial" w:hAnsi="Arial" w:cs="Arial"/>
          <w:i/>
          <w:color w:val="000000"/>
          <w:sz w:val="24"/>
          <w:szCs w:val="24"/>
        </w:rPr>
        <w:t>Asesinatos, hostigamientos y desapariciones. La realidad de los periodistas latinoamericanos en el s. XXI</w:t>
      </w:r>
      <w:r w:rsidRPr="00582B0C">
        <w:rPr>
          <w:rFonts w:ascii="Arial" w:hAnsi="Arial" w:cs="Arial"/>
          <w:color w:val="000000"/>
          <w:sz w:val="24"/>
          <w:szCs w:val="24"/>
        </w:rPr>
        <w:t>. Revista Latina de Comunicación Social, 72, 1418-1434.</w:t>
      </w:r>
    </w:p>
    <w:p w14:paraId="7E9C4976" w14:textId="77777777" w:rsidR="000D7076" w:rsidRPr="00582B0C" w:rsidRDefault="000D7076" w:rsidP="000D7076">
      <w:pPr>
        <w:spacing w:line="360" w:lineRule="auto"/>
        <w:jc w:val="both"/>
        <w:rPr>
          <w:rFonts w:ascii="Arial" w:hAnsi="Arial" w:cs="Arial"/>
          <w:sz w:val="24"/>
          <w:szCs w:val="24"/>
        </w:rPr>
      </w:pPr>
      <w:r w:rsidRPr="00582B0C">
        <w:rPr>
          <w:rFonts w:ascii="Arial" w:hAnsi="Arial" w:cs="Arial"/>
          <w:sz w:val="24"/>
          <w:szCs w:val="24"/>
        </w:rPr>
        <w:t xml:space="preserve">Diego, O. (2015). </w:t>
      </w:r>
      <w:r w:rsidRPr="00582B0C">
        <w:rPr>
          <w:rFonts w:ascii="Arial" w:hAnsi="Arial" w:cs="Arial"/>
          <w:i/>
          <w:sz w:val="24"/>
          <w:szCs w:val="24"/>
        </w:rPr>
        <w:t>Componentes para construir un marco ético preventivo contra la corrupción</w:t>
      </w:r>
      <w:r w:rsidRPr="00582B0C">
        <w:rPr>
          <w:rFonts w:ascii="Arial" w:hAnsi="Arial" w:cs="Arial"/>
          <w:sz w:val="24"/>
          <w:szCs w:val="24"/>
        </w:rPr>
        <w:t>. En: Ética pública frente a corrupción, instrumentos éticos de aplicación práctica, Oscar Diego (coordinador) México: Instituto de Administración Pública del Estado de México (IAPEM).</w:t>
      </w:r>
    </w:p>
    <w:p w14:paraId="4CBB2D1A" w14:textId="77777777" w:rsidR="000D7076" w:rsidRPr="00582B0C" w:rsidRDefault="000D7076" w:rsidP="000D7076">
      <w:pPr>
        <w:spacing w:after="0" w:line="360" w:lineRule="auto"/>
        <w:jc w:val="both"/>
        <w:rPr>
          <w:rFonts w:ascii="Arial" w:hAnsi="Arial" w:cs="Arial"/>
          <w:color w:val="000000"/>
        </w:rPr>
      </w:pPr>
      <w:r w:rsidRPr="00582B0C">
        <w:rPr>
          <w:rFonts w:ascii="Arial" w:hAnsi="Arial" w:cs="Arial"/>
          <w:color w:val="000000"/>
          <w:sz w:val="24"/>
          <w:szCs w:val="24"/>
        </w:rPr>
        <w:t xml:space="preserve">Espacio_OSC. (2017). </w:t>
      </w:r>
      <w:r w:rsidRPr="00582B0C">
        <w:rPr>
          <w:rFonts w:ascii="Arial" w:hAnsi="Arial" w:cs="Arial"/>
          <w:i/>
          <w:color w:val="000000"/>
          <w:sz w:val="24"/>
          <w:szCs w:val="24"/>
        </w:rPr>
        <w:t>La Deuda del Estado Mexicano</w:t>
      </w:r>
      <w:r w:rsidRPr="00582B0C">
        <w:rPr>
          <w:rFonts w:ascii="Arial" w:hAnsi="Arial" w:cs="Arial"/>
          <w:color w:val="000000"/>
          <w:sz w:val="24"/>
          <w:szCs w:val="24"/>
        </w:rPr>
        <w:t>. México: Artículo 19</w:t>
      </w:r>
      <w:r w:rsidRPr="00582B0C">
        <w:rPr>
          <w:rFonts w:ascii="Arial" w:hAnsi="Arial" w:cs="Arial"/>
          <w:color w:val="000000"/>
        </w:rPr>
        <w:t>.</w:t>
      </w:r>
    </w:p>
    <w:p w14:paraId="43BE1463" w14:textId="77777777" w:rsidR="000D7076" w:rsidRPr="00582B0C" w:rsidRDefault="000D7076" w:rsidP="000D7076">
      <w:pPr>
        <w:spacing w:line="360" w:lineRule="auto"/>
        <w:jc w:val="both"/>
        <w:rPr>
          <w:rFonts w:ascii="Arial" w:hAnsi="Arial" w:cs="Arial"/>
          <w:sz w:val="24"/>
          <w:szCs w:val="24"/>
        </w:rPr>
      </w:pPr>
      <w:r w:rsidRPr="00582B0C">
        <w:rPr>
          <w:rFonts w:ascii="Arial" w:hAnsi="Arial" w:cs="Arial"/>
          <w:sz w:val="24"/>
          <w:szCs w:val="24"/>
        </w:rPr>
        <w:t xml:space="preserve">Flores, C. (2015). </w:t>
      </w:r>
      <w:r w:rsidRPr="00582B0C">
        <w:rPr>
          <w:rFonts w:ascii="Arial" w:hAnsi="Arial" w:cs="Arial"/>
          <w:i/>
          <w:sz w:val="24"/>
          <w:szCs w:val="24"/>
        </w:rPr>
        <w:t>Estado de Excepción: confrontaciones schmittianas</w:t>
      </w:r>
      <w:r w:rsidRPr="00582B0C">
        <w:rPr>
          <w:rFonts w:ascii="Arial" w:hAnsi="Arial" w:cs="Arial"/>
          <w:sz w:val="24"/>
          <w:szCs w:val="24"/>
        </w:rPr>
        <w:t>. México: Instituto Electoral del Estado de México (IEEM).</w:t>
      </w:r>
    </w:p>
    <w:p w14:paraId="6E2100EA" w14:textId="77777777" w:rsidR="000D7076" w:rsidRPr="00582B0C" w:rsidRDefault="000D7076" w:rsidP="000D7076">
      <w:pPr>
        <w:spacing w:after="0" w:line="360" w:lineRule="auto"/>
        <w:jc w:val="both"/>
        <w:rPr>
          <w:rFonts w:ascii="Arial" w:hAnsi="Arial" w:cs="Arial"/>
          <w:bCs/>
          <w:sz w:val="24"/>
          <w:szCs w:val="24"/>
          <w:lang w:val="es-ES"/>
        </w:rPr>
      </w:pPr>
      <w:r w:rsidRPr="00582B0C">
        <w:rPr>
          <w:rFonts w:ascii="Arial" w:hAnsi="Arial" w:cs="Arial"/>
          <w:color w:val="000000"/>
          <w:sz w:val="24"/>
          <w:szCs w:val="24"/>
        </w:rPr>
        <w:t xml:space="preserve">Fuentes, X. (2002). </w:t>
      </w:r>
      <w:r w:rsidRPr="00582B0C">
        <w:rPr>
          <w:rFonts w:ascii="Arial" w:hAnsi="Arial" w:cs="Arial"/>
          <w:i/>
          <w:color w:val="000000"/>
          <w:sz w:val="24"/>
          <w:szCs w:val="24"/>
        </w:rPr>
        <w:t>La protección de la libertad de expresión en el sistema interamericano de derechos humanos y la promoción de la democracia</w:t>
      </w:r>
      <w:r w:rsidRPr="00582B0C">
        <w:rPr>
          <w:rFonts w:ascii="Arial" w:hAnsi="Arial" w:cs="Arial"/>
          <w:color w:val="000000"/>
          <w:sz w:val="24"/>
          <w:szCs w:val="24"/>
        </w:rPr>
        <w:t>. Revista de Derecho, XIII, 225-244.</w:t>
      </w:r>
    </w:p>
    <w:p w14:paraId="032D00E1" w14:textId="77777777" w:rsidR="000D7076" w:rsidRPr="00582B0C" w:rsidRDefault="000D7076" w:rsidP="000D7076">
      <w:pPr>
        <w:spacing w:line="360" w:lineRule="auto"/>
        <w:rPr>
          <w:rFonts w:ascii="Arial" w:hAnsi="Arial" w:cs="Arial"/>
          <w:color w:val="333333"/>
          <w:sz w:val="24"/>
          <w:szCs w:val="24"/>
          <w:shd w:val="clear" w:color="auto" w:fill="FFFFFF"/>
        </w:rPr>
      </w:pPr>
      <w:r w:rsidRPr="00582B0C">
        <w:rPr>
          <w:rFonts w:ascii="Arial" w:hAnsi="Arial" w:cs="Arial"/>
          <w:color w:val="333333"/>
          <w:sz w:val="24"/>
          <w:szCs w:val="24"/>
          <w:shd w:val="clear" w:color="auto" w:fill="FFFFFF"/>
        </w:rPr>
        <w:t xml:space="preserve">García, S. &amp; Gonza, A. (2007) </w:t>
      </w:r>
      <w:r w:rsidRPr="00582B0C">
        <w:rPr>
          <w:rFonts w:ascii="Arial" w:hAnsi="Arial" w:cs="Arial"/>
          <w:i/>
          <w:sz w:val="24"/>
          <w:szCs w:val="24"/>
        </w:rPr>
        <w:t>La libertad de expresión en la jurisprudencia de la Corte Interamericana de Derechos Humanos</w:t>
      </w:r>
      <w:r w:rsidRPr="00582B0C">
        <w:rPr>
          <w:rFonts w:ascii="Arial" w:hAnsi="Arial" w:cs="Arial"/>
          <w:i/>
          <w:color w:val="333333"/>
          <w:sz w:val="24"/>
          <w:szCs w:val="24"/>
          <w:shd w:val="clear" w:color="auto" w:fill="FFFFFF"/>
        </w:rPr>
        <w:t xml:space="preserve">. </w:t>
      </w:r>
      <w:r w:rsidRPr="00582B0C">
        <w:rPr>
          <w:rFonts w:ascii="Arial" w:hAnsi="Arial" w:cs="Arial"/>
          <w:color w:val="333333"/>
          <w:sz w:val="24"/>
          <w:szCs w:val="24"/>
          <w:shd w:val="clear" w:color="auto" w:fill="FFFFFF"/>
        </w:rPr>
        <w:t>México:</w:t>
      </w:r>
      <w:r w:rsidRPr="00582B0C">
        <w:rPr>
          <w:rFonts w:ascii="Arial" w:hAnsi="Arial" w:cs="Arial"/>
          <w:i/>
          <w:color w:val="333333"/>
          <w:sz w:val="24"/>
          <w:szCs w:val="24"/>
          <w:shd w:val="clear" w:color="auto" w:fill="FFFFFF"/>
        </w:rPr>
        <w:t xml:space="preserve"> </w:t>
      </w:r>
      <w:r w:rsidRPr="00582B0C">
        <w:rPr>
          <w:rFonts w:ascii="Arial" w:hAnsi="Arial" w:cs="Arial"/>
          <w:color w:val="333333"/>
          <w:sz w:val="24"/>
          <w:szCs w:val="24"/>
          <w:shd w:val="clear" w:color="auto" w:fill="FFFFFF"/>
        </w:rPr>
        <w:t xml:space="preserve">Jano. </w:t>
      </w:r>
    </w:p>
    <w:p w14:paraId="7087728E" w14:textId="77777777" w:rsidR="000D7076" w:rsidRPr="00582B0C" w:rsidRDefault="000D7076" w:rsidP="000D7076">
      <w:pPr>
        <w:spacing w:line="360" w:lineRule="auto"/>
        <w:rPr>
          <w:rFonts w:ascii="Arial" w:hAnsi="Arial" w:cs="Arial"/>
          <w:color w:val="000000" w:themeColor="text1"/>
          <w:sz w:val="24"/>
          <w:szCs w:val="24"/>
          <w:shd w:val="clear" w:color="auto" w:fill="FFFFFF"/>
        </w:rPr>
      </w:pPr>
      <w:r w:rsidRPr="00582B0C">
        <w:rPr>
          <w:rFonts w:ascii="Arial" w:hAnsi="Arial" w:cs="Arial"/>
          <w:color w:val="000000" w:themeColor="text1"/>
          <w:sz w:val="24"/>
          <w:szCs w:val="24"/>
          <w:shd w:val="clear" w:color="auto" w:fill="FFFFFF"/>
        </w:rPr>
        <w:t xml:space="preserve">Gomez, P. &amp; R, Cruz. (2004) </w:t>
      </w:r>
      <w:r w:rsidRPr="00582B0C">
        <w:rPr>
          <w:rFonts w:ascii="Arial" w:hAnsi="Arial" w:cs="Arial"/>
          <w:i/>
          <w:color w:val="000000" w:themeColor="text1"/>
          <w:sz w:val="24"/>
          <w:szCs w:val="24"/>
          <w:shd w:val="clear" w:color="auto" w:fill="FFFFFF"/>
        </w:rPr>
        <w:t>Eficacia de los Mecanismos de Protección del Derecho a la Libertad de Expresión</w:t>
      </w:r>
      <w:r w:rsidRPr="00582B0C">
        <w:rPr>
          <w:rFonts w:ascii="Arial" w:hAnsi="Arial" w:cs="Arial"/>
          <w:color w:val="000000" w:themeColor="text1"/>
          <w:sz w:val="24"/>
          <w:szCs w:val="24"/>
          <w:shd w:val="clear" w:color="auto" w:fill="FFFFFF"/>
        </w:rPr>
        <w:t>. El Salvador: Facultad de Jurisprudencia y Ciencias Sociales-Universidad de El Salvador.</w:t>
      </w:r>
    </w:p>
    <w:p w14:paraId="1742A1FC" w14:textId="77777777" w:rsidR="000D7076" w:rsidRPr="00582B0C" w:rsidRDefault="000D7076" w:rsidP="000D7076">
      <w:pPr>
        <w:spacing w:line="360" w:lineRule="auto"/>
        <w:rPr>
          <w:rFonts w:ascii="Arial" w:hAnsi="Arial" w:cs="Arial"/>
          <w:color w:val="000000"/>
          <w:sz w:val="24"/>
          <w:szCs w:val="24"/>
        </w:rPr>
      </w:pPr>
      <w:r w:rsidRPr="00582B0C">
        <w:rPr>
          <w:rFonts w:ascii="Arial" w:hAnsi="Arial" w:cs="Arial"/>
          <w:color w:val="000000"/>
          <w:sz w:val="24"/>
          <w:szCs w:val="24"/>
        </w:rPr>
        <w:t xml:space="preserve">Gomis, L. (1991). </w:t>
      </w:r>
      <w:r w:rsidRPr="00582B0C">
        <w:rPr>
          <w:rFonts w:ascii="Arial" w:hAnsi="Arial" w:cs="Arial"/>
          <w:i/>
          <w:color w:val="000000"/>
          <w:sz w:val="24"/>
          <w:szCs w:val="24"/>
        </w:rPr>
        <w:t>Teoría de Periodismo</w:t>
      </w:r>
      <w:r w:rsidRPr="00582B0C">
        <w:rPr>
          <w:rFonts w:ascii="Arial" w:hAnsi="Arial" w:cs="Arial"/>
          <w:color w:val="000000"/>
          <w:sz w:val="24"/>
          <w:szCs w:val="24"/>
        </w:rPr>
        <w:t>. España: Ediciones Paidós Ibérica.</w:t>
      </w:r>
    </w:p>
    <w:p w14:paraId="724CF66B" w14:textId="77777777" w:rsidR="000D7076" w:rsidRPr="00582B0C" w:rsidRDefault="000D7076" w:rsidP="000D7076">
      <w:pPr>
        <w:pStyle w:val="Textonotapie"/>
        <w:rPr>
          <w:rStyle w:val="Hipervnculo"/>
          <w:rFonts w:ascii="Arial" w:hAnsi="Arial" w:cs="Arial"/>
          <w:bCs/>
          <w:sz w:val="24"/>
          <w:szCs w:val="24"/>
          <w:shd w:val="clear" w:color="auto" w:fill="FFFFFF"/>
        </w:rPr>
      </w:pPr>
      <w:r w:rsidRPr="00582B0C">
        <w:rPr>
          <w:rFonts w:ascii="Arial" w:hAnsi="Arial" w:cs="Arial"/>
          <w:sz w:val="24"/>
          <w:szCs w:val="24"/>
        </w:rPr>
        <w:t xml:space="preserve">Gonnet, J. (2010). </w:t>
      </w:r>
      <w:r w:rsidRPr="00582B0C">
        <w:rPr>
          <w:rFonts w:ascii="Arial" w:hAnsi="Arial" w:cs="Arial"/>
          <w:bCs/>
          <w:i/>
          <w:color w:val="000000"/>
          <w:sz w:val="24"/>
          <w:szCs w:val="24"/>
          <w:shd w:val="clear" w:color="auto" w:fill="FFFFFF"/>
        </w:rPr>
        <w:t>La política desde la teoría de sistemas sociales de Niklas Luhmann</w:t>
      </w:r>
      <w:r w:rsidRPr="00582B0C">
        <w:rPr>
          <w:rFonts w:ascii="Arial" w:hAnsi="Arial" w:cs="Arial"/>
          <w:bCs/>
          <w:color w:val="000000"/>
          <w:sz w:val="24"/>
          <w:szCs w:val="24"/>
          <w:shd w:val="clear" w:color="auto" w:fill="FFFFFF"/>
        </w:rPr>
        <w:t xml:space="preserve">. Octubre, 14, 2017 de Argumentos. Sitio web: </w:t>
      </w:r>
      <w:r w:rsidRPr="00133561">
        <w:rPr>
          <w:rFonts w:ascii="Arial" w:hAnsi="Arial" w:cs="Arial"/>
          <w:bCs/>
          <w:sz w:val="24"/>
          <w:szCs w:val="24"/>
          <w:shd w:val="clear" w:color="auto" w:fill="FFFFFF"/>
        </w:rPr>
        <w:t>http://www.scielo.org.mx/scielo.php?script=sci_arttext&amp;pid=S0187-57952010000300014</w:t>
      </w:r>
    </w:p>
    <w:p w14:paraId="5BAFD03C" w14:textId="7580CFAC" w:rsidR="000D7076" w:rsidRPr="00582B0C" w:rsidRDefault="000D7076" w:rsidP="004F655B">
      <w:pPr>
        <w:pStyle w:val="Textonotapie"/>
        <w:spacing w:line="360" w:lineRule="auto"/>
        <w:ind w:left="0" w:firstLine="0"/>
        <w:jc w:val="both"/>
        <w:rPr>
          <w:rFonts w:ascii="Arial" w:hAnsi="Arial" w:cs="Arial"/>
          <w:bCs/>
          <w:color w:val="000000"/>
          <w:sz w:val="24"/>
          <w:szCs w:val="24"/>
          <w:shd w:val="clear" w:color="auto" w:fill="FFFFFF"/>
        </w:rPr>
      </w:pPr>
      <w:r w:rsidRPr="00582B0C">
        <w:rPr>
          <w:rFonts w:ascii="Arial" w:hAnsi="Arial" w:cs="Arial"/>
          <w:color w:val="000000"/>
          <w:sz w:val="24"/>
          <w:szCs w:val="24"/>
        </w:rPr>
        <w:t xml:space="preserve">Grossman, C. (2010). </w:t>
      </w:r>
      <w:r w:rsidRPr="00582B0C">
        <w:rPr>
          <w:rFonts w:ascii="Arial" w:hAnsi="Arial" w:cs="Arial"/>
          <w:i/>
          <w:color w:val="000000"/>
          <w:sz w:val="24"/>
          <w:szCs w:val="24"/>
        </w:rPr>
        <w:t>La libertad de expresión en el sistema interamericano de protección a los derechos humanos</w:t>
      </w:r>
      <w:r w:rsidRPr="00582B0C">
        <w:rPr>
          <w:rFonts w:ascii="Arial" w:hAnsi="Arial" w:cs="Arial"/>
          <w:color w:val="000000"/>
          <w:sz w:val="24"/>
          <w:szCs w:val="24"/>
        </w:rPr>
        <w:t>. Octubre, 20, 2017, de ILSA Journal of International &amp; Comparative Law Sitio web: http://nsuworks.nova.edu/cgi/viewcontent.cgi?article=1342&amp;context=ilsajournal</w:t>
      </w:r>
    </w:p>
    <w:p w14:paraId="02D475F4" w14:textId="77777777" w:rsidR="000D7076" w:rsidRPr="00582B0C" w:rsidRDefault="000D7076" w:rsidP="000D7076">
      <w:pPr>
        <w:spacing w:line="360" w:lineRule="auto"/>
        <w:jc w:val="both"/>
        <w:rPr>
          <w:rFonts w:ascii="Arial" w:hAnsi="Arial" w:cs="Arial"/>
          <w:color w:val="000000"/>
          <w:sz w:val="24"/>
          <w:szCs w:val="24"/>
        </w:rPr>
      </w:pPr>
      <w:r w:rsidRPr="00582B0C">
        <w:rPr>
          <w:rFonts w:ascii="Arial" w:hAnsi="Arial" w:cs="Arial"/>
          <w:color w:val="000000"/>
          <w:sz w:val="24"/>
          <w:szCs w:val="24"/>
        </w:rPr>
        <w:t xml:space="preserve">Hernández, R. (1999). </w:t>
      </w:r>
      <w:r w:rsidRPr="00582B0C">
        <w:rPr>
          <w:rFonts w:ascii="Arial" w:hAnsi="Arial" w:cs="Arial"/>
          <w:i/>
          <w:color w:val="000000"/>
          <w:sz w:val="24"/>
          <w:szCs w:val="24"/>
        </w:rPr>
        <w:t>Sólo para periodistas</w:t>
      </w:r>
      <w:r w:rsidRPr="00582B0C">
        <w:rPr>
          <w:rFonts w:ascii="Arial" w:hAnsi="Arial" w:cs="Arial"/>
          <w:color w:val="000000"/>
          <w:sz w:val="24"/>
          <w:szCs w:val="24"/>
        </w:rPr>
        <w:t>. México: Grijalbo.</w:t>
      </w:r>
    </w:p>
    <w:p w14:paraId="2BBDB130" w14:textId="77777777" w:rsidR="000D7076" w:rsidRPr="00582B0C" w:rsidRDefault="000D7076" w:rsidP="000D7076">
      <w:pPr>
        <w:spacing w:line="360" w:lineRule="auto"/>
        <w:jc w:val="both"/>
        <w:rPr>
          <w:rFonts w:ascii="Arial" w:hAnsi="Arial" w:cs="Arial"/>
          <w:color w:val="000000"/>
          <w:sz w:val="24"/>
          <w:szCs w:val="24"/>
        </w:rPr>
      </w:pPr>
      <w:r w:rsidRPr="00582B0C">
        <w:rPr>
          <w:rFonts w:ascii="Arial" w:hAnsi="Arial" w:cs="Arial"/>
          <w:color w:val="000000"/>
          <w:sz w:val="24"/>
          <w:szCs w:val="24"/>
        </w:rPr>
        <w:t>López, O. &amp; López, G. (2017</w:t>
      </w:r>
      <w:r w:rsidRPr="00582B0C">
        <w:rPr>
          <w:rFonts w:ascii="Arial" w:hAnsi="Arial" w:cs="Arial"/>
          <w:i/>
          <w:color w:val="000000"/>
          <w:sz w:val="24"/>
          <w:szCs w:val="24"/>
        </w:rPr>
        <w:t>). Redes de periodistas para vencer el miedo: comunidades emocionales ante la violencia de Estado. El caso de México.</w:t>
      </w:r>
      <w:r w:rsidRPr="00582B0C">
        <w:rPr>
          <w:rFonts w:ascii="Arial" w:hAnsi="Arial" w:cs="Arial"/>
          <w:color w:val="000000"/>
          <w:sz w:val="24"/>
          <w:szCs w:val="24"/>
        </w:rPr>
        <w:t xml:space="preserve"> Diciembre 10, 2017, de Revistas UniAndes Sitio web: https://revistas.uniandes.edu.co/doi/full/10.7440/res62.2017.06</w:t>
      </w:r>
    </w:p>
    <w:p w14:paraId="274343FA" w14:textId="77777777" w:rsidR="000D7076" w:rsidRPr="00582B0C" w:rsidRDefault="000D7076" w:rsidP="000D7076">
      <w:pPr>
        <w:spacing w:line="360" w:lineRule="auto"/>
        <w:jc w:val="both"/>
        <w:rPr>
          <w:rFonts w:ascii="Arial" w:hAnsi="Arial" w:cs="Arial"/>
          <w:color w:val="000000"/>
          <w:sz w:val="24"/>
          <w:szCs w:val="24"/>
        </w:rPr>
      </w:pPr>
      <w:r w:rsidRPr="00582B0C">
        <w:rPr>
          <w:rFonts w:ascii="Arial" w:hAnsi="Arial" w:cs="Arial"/>
          <w:color w:val="000000"/>
          <w:sz w:val="24"/>
          <w:szCs w:val="24"/>
        </w:rPr>
        <w:t xml:space="preserve">Mendoza, V. (2016). </w:t>
      </w:r>
      <w:r w:rsidRPr="00582B0C">
        <w:rPr>
          <w:rFonts w:ascii="Arial" w:hAnsi="Arial" w:cs="Arial"/>
          <w:i/>
          <w:color w:val="000000"/>
          <w:sz w:val="24"/>
          <w:szCs w:val="24"/>
        </w:rPr>
        <w:t>Obliga DH a gobierno a recular en acusación contra Radio Calentana.</w:t>
      </w:r>
      <w:r w:rsidRPr="00582B0C">
        <w:rPr>
          <w:rFonts w:ascii="Arial" w:hAnsi="Arial" w:cs="Arial"/>
          <w:color w:val="000000"/>
          <w:sz w:val="24"/>
          <w:szCs w:val="24"/>
        </w:rPr>
        <w:t xml:space="preserve"> Tres PM, 1.</w:t>
      </w:r>
    </w:p>
    <w:p w14:paraId="5A938784" w14:textId="77777777" w:rsidR="000D7076" w:rsidRPr="00582B0C" w:rsidRDefault="000D7076" w:rsidP="000D7076">
      <w:pPr>
        <w:spacing w:line="360" w:lineRule="auto"/>
        <w:rPr>
          <w:rFonts w:ascii="Arial" w:hAnsi="Arial" w:cs="Arial"/>
          <w:color w:val="333333"/>
          <w:sz w:val="24"/>
          <w:szCs w:val="24"/>
          <w:shd w:val="clear" w:color="auto" w:fill="FFFFFF"/>
        </w:rPr>
      </w:pPr>
      <w:r w:rsidRPr="00582B0C">
        <w:rPr>
          <w:rFonts w:ascii="Arial" w:hAnsi="Arial" w:cs="Arial"/>
          <w:color w:val="000000"/>
          <w:sz w:val="24"/>
          <w:szCs w:val="24"/>
        </w:rPr>
        <w:t xml:space="preserve">Olivé, L. (2006). </w:t>
      </w:r>
      <w:r w:rsidRPr="00582B0C">
        <w:rPr>
          <w:rFonts w:ascii="Arial" w:hAnsi="Arial" w:cs="Arial"/>
          <w:i/>
          <w:color w:val="000000"/>
          <w:sz w:val="24"/>
          <w:szCs w:val="24"/>
        </w:rPr>
        <w:t>Racionalidad Epistémica</w:t>
      </w:r>
      <w:r w:rsidRPr="00582B0C">
        <w:rPr>
          <w:rFonts w:ascii="Arial" w:hAnsi="Arial" w:cs="Arial"/>
          <w:color w:val="000000"/>
          <w:sz w:val="24"/>
          <w:szCs w:val="24"/>
        </w:rPr>
        <w:t>. España: Editorial Trotta.</w:t>
      </w:r>
    </w:p>
    <w:p w14:paraId="68C2A78C" w14:textId="77777777" w:rsidR="000D7076" w:rsidRPr="00582B0C" w:rsidRDefault="000D7076" w:rsidP="000D7076">
      <w:pPr>
        <w:spacing w:line="360" w:lineRule="auto"/>
        <w:rPr>
          <w:rStyle w:val="Hipervnculo"/>
          <w:rFonts w:ascii="Arial" w:hAnsi="Arial" w:cs="Arial"/>
          <w:color w:val="333333"/>
          <w:sz w:val="24"/>
          <w:szCs w:val="24"/>
          <w:shd w:val="clear" w:color="auto" w:fill="FFFFFF"/>
        </w:rPr>
      </w:pPr>
      <w:r w:rsidRPr="00582B0C">
        <w:rPr>
          <w:rFonts w:ascii="Arial" w:hAnsi="Arial" w:cs="Arial"/>
          <w:color w:val="000000"/>
          <w:sz w:val="24"/>
          <w:szCs w:val="24"/>
        </w:rPr>
        <w:t xml:space="preserve">ONU. (1948). </w:t>
      </w:r>
      <w:r w:rsidRPr="00582B0C">
        <w:rPr>
          <w:rFonts w:ascii="Arial" w:hAnsi="Arial" w:cs="Arial"/>
          <w:i/>
          <w:color w:val="000000"/>
          <w:sz w:val="24"/>
          <w:szCs w:val="24"/>
        </w:rPr>
        <w:t>Declaración Universal de los Derechos Humanos</w:t>
      </w:r>
      <w:r w:rsidRPr="00582B0C">
        <w:rPr>
          <w:rFonts w:ascii="Arial" w:hAnsi="Arial" w:cs="Arial"/>
          <w:color w:val="000000"/>
          <w:sz w:val="24"/>
          <w:szCs w:val="24"/>
        </w:rPr>
        <w:t>. Agosto, 25, 2017, de ONU Sitio web: http://www.un.org/es/universal-declaration-human-rights/</w:t>
      </w:r>
    </w:p>
    <w:p w14:paraId="0EA28279" w14:textId="77777777" w:rsidR="000D7076" w:rsidRPr="00582B0C" w:rsidRDefault="000D7076" w:rsidP="000D7076">
      <w:pPr>
        <w:spacing w:line="360" w:lineRule="auto"/>
        <w:rPr>
          <w:rFonts w:ascii="Arial" w:hAnsi="Arial" w:cs="Arial"/>
          <w:color w:val="000000"/>
          <w:sz w:val="24"/>
          <w:szCs w:val="24"/>
        </w:rPr>
      </w:pPr>
      <w:r w:rsidRPr="00582B0C">
        <w:rPr>
          <w:rFonts w:ascii="Arial" w:hAnsi="Arial" w:cs="Arial"/>
          <w:color w:val="000000"/>
          <w:sz w:val="24"/>
          <w:szCs w:val="24"/>
        </w:rPr>
        <w:t xml:space="preserve">ONU. (2012). </w:t>
      </w:r>
      <w:r w:rsidRPr="00582B0C">
        <w:rPr>
          <w:rFonts w:ascii="Arial" w:hAnsi="Arial" w:cs="Arial"/>
          <w:i/>
          <w:color w:val="000000"/>
          <w:sz w:val="24"/>
          <w:szCs w:val="24"/>
        </w:rPr>
        <w:t>Plan de Acción de las Naciones Unidas sobre la Seguridad de los Periodistas y la Cuestión de la Impunidad</w:t>
      </w:r>
      <w:r w:rsidRPr="00582B0C">
        <w:rPr>
          <w:rFonts w:ascii="Arial" w:hAnsi="Arial" w:cs="Arial"/>
          <w:color w:val="000000"/>
          <w:sz w:val="24"/>
          <w:szCs w:val="24"/>
        </w:rPr>
        <w:t>. Octubre, 15, 2017, de ONU Sitio web: http://www.unesco.org/new/fileadmin/MULTIMEDIA/HQ/CI/CI/pdf/official_documents/UN-Plan-on-Safety-Journalists_ES_UN-Logo.pdf</w:t>
      </w:r>
    </w:p>
    <w:p w14:paraId="0B7422EB" w14:textId="77777777" w:rsidR="000D7076" w:rsidRPr="00582B0C" w:rsidRDefault="000D7076" w:rsidP="000D7076">
      <w:pPr>
        <w:spacing w:line="360" w:lineRule="auto"/>
        <w:rPr>
          <w:rFonts w:ascii="Arial" w:hAnsi="Arial" w:cs="Arial"/>
          <w:color w:val="000000"/>
          <w:sz w:val="24"/>
          <w:szCs w:val="24"/>
        </w:rPr>
      </w:pPr>
      <w:r w:rsidRPr="00582B0C">
        <w:rPr>
          <w:rFonts w:ascii="Arial" w:hAnsi="Arial" w:cs="Arial"/>
          <w:color w:val="000000"/>
          <w:sz w:val="24"/>
          <w:szCs w:val="24"/>
        </w:rPr>
        <w:t xml:space="preserve">Pereira, F. (2010). </w:t>
      </w:r>
      <w:r w:rsidRPr="00582B0C">
        <w:rPr>
          <w:rFonts w:ascii="Arial" w:hAnsi="Arial" w:cs="Arial"/>
          <w:i/>
          <w:color w:val="000000"/>
          <w:sz w:val="24"/>
          <w:szCs w:val="24"/>
        </w:rPr>
        <w:t>El mundo de los periodistas: aspectos teóricos y metodológicos</w:t>
      </w:r>
      <w:r w:rsidRPr="00582B0C">
        <w:rPr>
          <w:rFonts w:ascii="Arial" w:hAnsi="Arial" w:cs="Arial"/>
          <w:color w:val="000000"/>
          <w:sz w:val="24"/>
          <w:szCs w:val="24"/>
        </w:rPr>
        <w:t>. Comunicación y Sociedad, 13, 101-124.</w:t>
      </w:r>
    </w:p>
    <w:p w14:paraId="016C4560" w14:textId="77777777" w:rsidR="000D7076" w:rsidRPr="00582B0C" w:rsidRDefault="000D7076" w:rsidP="000D7076">
      <w:pPr>
        <w:spacing w:line="360" w:lineRule="auto"/>
        <w:rPr>
          <w:rFonts w:ascii="Arial" w:hAnsi="Arial" w:cs="Arial"/>
          <w:color w:val="333333"/>
          <w:sz w:val="24"/>
          <w:szCs w:val="24"/>
          <w:shd w:val="clear" w:color="auto" w:fill="FFFFFF"/>
        </w:rPr>
      </w:pPr>
      <w:r w:rsidRPr="00582B0C">
        <w:rPr>
          <w:rFonts w:ascii="Arial" w:hAnsi="Arial" w:cs="Arial"/>
          <w:color w:val="000000"/>
          <w:sz w:val="24"/>
          <w:szCs w:val="24"/>
        </w:rPr>
        <w:t xml:space="preserve">Quevedo, K. (2014). </w:t>
      </w:r>
      <w:r w:rsidRPr="00582B0C">
        <w:rPr>
          <w:rFonts w:ascii="Arial" w:hAnsi="Arial" w:cs="Arial"/>
          <w:i/>
          <w:color w:val="000000"/>
          <w:sz w:val="24"/>
          <w:szCs w:val="24"/>
        </w:rPr>
        <w:t>Muere en ataque el hijo de periodista fundador de radio comunitaria</w:t>
      </w:r>
      <w:r w:rsidRPr="00582B0C">
        <w:rPr>
          <w:rFonts w:ascii="Arial" w:hAnsi="Arial" w:cs="Arial"/>
          <w:color w:val="000000"/>
          <w:sz w:val="24"/>
          <w:szCs w:val="24"/>
        </w:rPr>
        <w:t>. Animal Político, 1.</w:t>
      </w:r>
    </w:p>
    <w:p w14:paraId="31AE299A" w14:textId="77777777" w:rsidR="000D7076" w:rsidRPr="00582B0C" w:rsidRDefault="000D7076" w:rsidP="000D7076">
      <w:pPr>
        <w:spacing w:line="360" w:lineRule="auto"/>
        <w:jc w:val="both"/>
        <w:rPr>
          <w:rFonts w:ascii="Arial" w:hAnsi="Arial" w:cs="Arial"/>
          <w:bCs/>
          <w:sz w:val="24"/>
          <w:szCs w:val="24"/>
          <w:lang w:val="es-ES"/>
        </w:rPr>
      </w:pPr>
      <w:r w:rsidRPr="00582B0C">
        <w:rPr>
          <w:rFonts w:ascii="Arial" w:hAnsi="Arial" w:cs="Arial"/>
          <w:color w:val="000000"/>
          <w:sz w:val="24"/>
          <w:szCs w:val="24"/>
        </w:rPr>
        <w:t xml:space="preserve">Ramirez, I., Nava, G., Osorio, M., &amp; Franco, S. (2010). </w:t>
      </w:r>
      <w:r w:rsidRPr="00582B0C">
        <w:rPr>
          <w:rFonts w:ascii="Arial" w:hAnsi="Arial" w:cs="Arial"/>
          <w:i/>
          <w:color w:val="000000"/>
          <w:sz w:val="24"/>
          <w:szCs w:val="24"/>
        </w:rPr>
        <w:t>Crimen organizado en Sierra de Nanchititla: un viaje a través de las escalas implicadas en el desarrollo turístico sustentable (DTS)</w:t>
      </w:r>
      <w:r w:rsidRPr="00582B0C">
        <w:rPr>
          <w:rFonts w:ascii="Arial" w:hAnsi="Arial" w:cs="Arial"/>
          <w:color w:val="000000"/>
          <w:sz w:val="24"/>
          <w:szCs w:val="24"/>
        </w:rPr>
        <w:t>. Revista Líder, 17, 137-157.</w:t>
      </w:r>
    </w:p>
    <w:p w14:paraId="017EB57E" w14:textId="77777777" w:rsidR="000D7076" w:rsidRPr="00582B0C" w:rsidRDefault="000D7076" w:rsidP="000D7076">
      <w:pPr>
        <w:spacing w:line="360" w:lineRule="auto"/>
        <w:rPr>
          <w:rFonts w:ascii="Arial" w:hAnsi="Arial" w:cs="Arial"/>
          <w:color w:val="333333"/>
          <w:sz w:val="24"/>
          <w:szCs w:val="24"/>
          <w:shd w:val="clear" w:color="auto" w:fill="FFFFFF"/>
        </w:rPr>
      </w:pPr>
      <w:r w:rsidRPr="00582B0C">
        <w:rPr>
          <w:rFonts w:ascii="Arial" w:hAnsi="Arial" w:cs="Arial"/>
          <w:bCs/>
          <w:sz w:val="24"/>
          <w:szCs w:val="24"/>
          <w:lang w:val="es-ES"/>
        </w:rPr>
        <w:t xml:space="preserve">Reyes, G. (1996) </w:t>
      </w:r>
      <w:r w:rsidRPr="00582B0C">
        <w:rPr>
          <w:rFonts w:ascii="Arial" w:hAnsi="Arial" w:cs="Arial"/>
          <w:bCs/>
          <w:i/>
          <w:sz w:val="24"/>
          <w:szCs w:val="24"/>
          <w:lang w:val="es-ES"/>
        </w:rPr>
        <w:t xml:space="preserve">Periodismo de Investigación. </w:t>
      </w:r>
      <w:r w:rsidRPr="00582B0C">
        <w:rPr>
          <w:rFonts w:ascii="Arial" w:hAnsi="Arial" w:cs="Arial"/>
          <w:bCs/>
          <w:sz w:val="24"/>
          <w:szCs w:val="24"/>
          <w:lang w:val="es-ES"/>
        </w:rPr>
        <w:t>México: Trillas.</w:t>
      </w:r>
    </w:p>
    <w:p w14:paraId="750558C2" w14:textId="77777777" w:rsidR="000D7076" w:rsidRPr="00582B0C" w:rsidRDefault="000D7076" w:rsidP="000D7076">
      <w:pPr>
        <w:spacing w:after="0" w:line="360" w:lineRule="auto"/>
        <w:jc w:val="both"/>
        <w:rPr>
          <w:rFonts w:ascii="Arial" w:hAnsi="Arial" w:cs="Arial"/>
          <w:bCs/>
          <w:sz w:val="24"/>
          <w:szCs w:val="24"/>
          <w:lang w:val="es-ES"/>
        </w:rPr>
      </w:pPr>
      <w:r w:rsidRPr="00582B0C">
        <w:rPr>
          <w:rFonts w:ascii="Arial" w:hAnsi="Arial" w:cs="Arial"/>
          <w:color w:val="000000"/>
          <w:sz w:val="24"/>
          <w:szCs w:val="24"/>
        </w:rPr>
        <w:t xml:space="preserve">Rodelo, F. (2009). </w:t>
      </w:r>
      <w:r w:rsidRPr="00582B0C">
        <w:rPr>
          <w:rFonts w:ascii="Arial" w:hAnsi="Arial" w:cs="Arial"/>
          <w:i/>
          <w:color w:val="000000"/>
          <w:sz w:val="24"/>
          <w:szCs w:val="24"/>
        </w:rPr>
        <w:t xml:space="preserve">Periodismo en entornos violentos: el caso de los periodistas de Culiacán, Sinaloa. </w:t>
      </w:r>
      <w:r w:rsidRPr="00582B0C">
        <w:rPr>
          <w:rFonts w:ascii="Arial" w:hAnsi="Arial" w:cs="Arial"/>
          <w:color w:val="000000"/>
          <w:sz w:val="24"/>
          <w:szCs w:val="24"/>
        </w:rPr>
        <w:t xml:space="preserve">Agosto, 23, 2017, de Scielo Sitio web: </w:t>
      </w:r>
      <w:r w:rsidRPr="00133561">
        <w:rPr>
          <w:rFonts w:ascii="Arial" w:hAnsi="Arial" w:cs="Arial"/>
          <w:sz w:val="24"/>
          <w:szCs w:val="24"/>
        </w:rPr>
        <w:t>http://scielo.unam.mx/scielo.php?pid=S0188-252X2009000200005&amp;script=sci_arttext</w:t>
      </w:r>
    </w:p>
    <w:p w14:paraId="692AF297" w14:textId="77777777" w:rsidR="000D7076" w:rsidRPr="00582B0C" w:rsidRDefault="000D7076" w:rsidP="000D7076">
      <w:pPr>
        <w:spacing w:after="0" w:line="360" w:lineRule="auto"/>
        <w:jc w:val="both"/>
        <w:rPr>
          <w:rFonts w:ascii="Arial" w:hAnsi="Arial" w:cs="Arial"/>
          <w:sz w:val="24"/>
          <w:szCs w:val="24"/>
        </w:rPr>
      </w:pPr>
      <w:r w:rsidRPr="00582B0C">
        <w:rPr>
          <w:rFonts w:ascii="Arial" w:hAnsi="Arial" w:cs="Arial"/>
          <w:color w:val="000000"/>
          <w:sz w:val="24"/>
          <w:szCs w:val="24"/>
        </w:rPr>
        <w:t xml:space="preserve">Romo, P. (2016). </w:t>
      </w:r>
      <w:r w:rsidRPr="00582B0C">
        <w:rPr>
          <w:rFonts w:ascii="Arial" w:hAnsi="Arial" w:cs="Arial"/>
          <w:i/>
          <w:color w:val="000000"/>
          <w:sz w:val="24"/>
          <w:szCs w:val="24"/>
        </w:rPr>
        <w:t>Antecedentes y Evolución del Mecanismo de Protección de Personas Defensoras y Periodista</w:t>
      </w:r>
      <w:r w:rsidRPr="00582B0C">
        <w:rPr>
          <w:rFonts w:ascii="Arial" w:hAnsi="Arial" w:cs="Arial"/>
          <w:color w:val="000000"/>
          <w:sz w:val="24"/>
          <w:szCs w:val="24"/>
        </w:rPr>
        <w:t>. Diciembre 5, 2017, de razonyraiz.com Sitio web: http://razonyraiz.com/wp-content/uploads/2016/06/CNDH-Antecedentes-del-Mecanismo-2015.pdf</w:t>
      </w:r>
    </w:p>
    <w:p w14:paraId="2FA96C0A" w14:textId="77777777" w:rsidR="000D7076" w:rsidRPr="00582B0C" w:rsidRDefault="000D7076" w:rsidP="000D7076">
      <w:pPr>
        <w:spacing w:after="0" w:line="360" w:lineRule="auto"/>
        <w:jc w:val="both"/>
        <w:rPr>
          <w:rFonts w:ascii="Arial" w:hAnsi="Arial" w:cs="Arial"/>
          <w:sz w:val="24"/>
          <w:szCs w:val="24"/>
        </w:rPr>
      </w:pPr>
      <w:r w:rsidRPr="00582B0C">
        <w:rPr>
          <w:rFonts w:ascii="Arial" w:hAnsi="Arial" w:cs="Arial"/>
          <w:color w:val="000000"/>
          <w:sz w:val="24"/>
          <w:szCs w:val="24"/>
        </w:rPr>
        <w:t xml:space="preserve">Ruiz, F. (2004). </w:t>
      </w:r>
      <w:r w:rsidRPr="00582B0C">
        <w:rPr>
          <w:rFonts w:ascii="Arial" w:hAnsi="Arial" w:cs="Arial"/>
          <w:i/>
          <w:color w:val="000000"/>
          <w:sz w:val="24"/>
          <w:szCs w:val="24"/>
        </w:rPr>
        <w:t xml:space="preserve">Las peores zonas para ejercer el periodismo en América Latina 2004. </w:t>
      </w:r>
      <w:r w:rsidRPr="00582B0C">
        <w:rPr>
          <w:rFonts w:ascii="Arial" w:hAnsi="Arial" w:cs="Arial"/>
          <w:color w:val="000000"/>
          <w:sz w:val="24"/>
          <w:szCs w:val="24"/>
        </w:rPr>
        <w:t>Argentina: Cadal-Universidad Austral.</w:t>
      </w:r>
    </w:p>
    <w:p w14:paraId="11A285AA" w14:textId="77777777" w:rsidR="000D7076" w:rsidRPr="00582B0C" w:rsidRDefault="000D7076" w:rsidP="000D7076">
      <w:pPr>
        <w:spacing w:after="0" w:line="360" w:lineRule="auto"/>
        <w:jc w:val="both"/>
        <w:rPr>
          <w:rFonts w:ascii="Arial" w:hAnsi="Arial" w:cs="Arial"/>
          <w:sz w:val="24"/>
          <w:szCs w:val="24"/>
        </w:rPr>
      </w:pPr>
      <w:r w:rsidRPr="00582B0C">
        <w:rPr>
          <w:rFonts w:ascii="Arial" w:hAnsi="Arial" w:cs="Arial"/>
          <w:sz w:val="24"/>
          <w:szCs w:val="24"/>
        </w:rPr>
        <w:t xml:space="preserve">Ruiz, V. (2014). </w:t>
      </w:r>
      <w:r w:rsidRPr="00582B0C">
        <w:rPr>
          <w:rFonts w:ascii="Arial" w:hAnsi="Arial" w:cs="Arial"/>
          <w:i/>
          <w:sz w:val="24"/>
          <w:szCs w:val="24"/>
        </w:rPr>
        <w:t>Democracia y derechos humanos en México, situación actual</w:t>
      </w:r>
      <w:r w:rsidRPr="00582B0C">
        <w:rPr>
          <w:rFonts w:ascii="Arial" w:hAnsi="Arial" w:cs="Arial"/>
          <w:sz w:val="24"/>
          <w:szCs w:val="24"/>
        </w:rPr>
        <w:t>. México: Comisión de Derechos Humanos del Estado de México (CDHEM).</w:t>
      </w:r>
    </w:p>
    <w:p w14:paraId="22EE8FEB" w14:textId="77777777" w:rsidR="000D7076" w:rsidRPr="00582B0C" w:rsidRDefault="000D7076" w:rsidP="000D7076">
      <w:pPr>
        <w:spacing w:after="0" w:line="360" w:lineRule="auto"/>
        <w:jc w:val="both"/>
        <w:rPr>
          <w:rFonts w:ascii="Arial" w:hAnsi="Arial" w:cs="Arial"/>
          <w:bCs/>
          <w:sz w:val="24"/>
          <w:szCs w:val="24"/>
          <w:lang w:val="es-ES"/>
        </w:rPr>
      </w:pPr>
      <w:r w:rsidRPr="00582B0C">
        <w:rPr>
          <w:rFonts w:ascii="Arial" w:hAnsi="Arial" w:cs="Arial"/>
          <w:color w:val="000000"/>
          <w:sz w:val="24"/>
          <w:szCs w:val="24"/>
        </w:rPr>
        <w:t xml:space="preserve">Trinidad, V., Soto, M, &amp; Martinez, O. (2004). </w:t>
      </w:r>
      <w:r w:rsidRPr="00582B0C">
        <w:rPr>
          <w:rFonts w:ascii="Arial" w:hAnsi="Arial" w:cs="Arial"/>
          <w:i/>
          <w:color w:val="000000"/>
          <w:sz w:val="24"/>
          <w:szCs w:val="24"/>
        </w:rPr>
        <w:t>Recuento de Daños a las Libertades de Expresión e Información durante el 2000</w:t>
      </w:r>
      <w:r w:rsidRPr="00582B0C">
        <w:rPr>
          <w:rFonts w:ascii="Arial" w:hAnsi="Arial" w:cs="Arial"/>
          <w:color w:val="000000"/>
          <w:sz w:val="24"/>
          <w:szCs w:val="24"/>
        </w:rPr>
        <w:t>. Fundación Manuel Buendia, 1, 1-14.</w:t>
      </w:r>
    </w:p>
    <w:p w14:paraId="3513F6F3" w14:textId="77777777" w:rsidR="000D7076" w:rsidRPr="00582B0C" w:rsidRDefault="000D7076" w:rsidP="000D7076">
      <w:pPr>
        <w:spacing w:after="0" w:line="360" w:lineRule="auto"/>
        <w:jc w:val="both"/>
        <w:rPr>
          <w:rFonts w:ascii="Arial" w:hAnsi="Arial" w:cs="Arial"/>
          <w:color w:val="000000"/>
          <w:sz w:val="24"/>
          <w:szCs w:val="24"/>
        </w:rPr>
      </w:pPr>
      <w:r w:rsidRPr="00582B0C">
        <w:rPr>
          <w:rFonts w:ascii="Arial" w:hAnsi="Arial" w:cs="Arial"/>
          <w:color w:val="000000"/>
          <w:sz w:val="24"/>
          <w:szCs w:val="24"/>
        </w:rPr>
        <w:t xml:space="preserve">UNESCO. (2013). </w:t>
      </w:r>
      <w:r w:rsidRPr="00582B0C">
        <w:rPr>
          <w:rFonts w:ascii="Arial" w:hAnsi="Arial" w:cs="Arial"/>
          <w:i/>
          <w:color w:val="000000"/>
          <w:sz w:val="24"/>
          <w:szCs w:val="24"/>
        </w:rPr>
        <w:t xml:space="preserve">Indicadores de la Seguridad de los Periodistas: Nivel Nacional. </w:t>
      </w:r>
      <w:r w:rsidRPr="00582B0C">
        <w:rPr>
          <w:rFonts w:ascii="Arial" w:hAnsi="Arial" w:cs="Arial"/>
          <w:color w:val="000000"/>
          <w:sz w:val="24"/>
          <w:szCs w:val="24"/>
        </w:rPr>
        <w:t>Francia: División de la Libertad de Expresión y el Desarrollo de los Medios de Comunicación (FEM).</w:t>
      </w:r>
    </w:p>
    <w:p w14:paraId="59F5942E" w14:textId="77777777" w:rsidR="000D7076" w:rsidRPr="00582B0C" w:rsidRDefault="000D7076" w:rsidP="000D7076">
      <w:pPr>
        <w:spacing w:after="0" w:line="360" w:lineRule="auto"/>
        <w:jc w:val="both"/>
        <w:rPr>
          <w:rFonts w:ascii="Arial" w:hAnsi="Arial" w:cs="Arial"/>
          <w:sz w:val="24"/>
          <w:szCs w:val="24"/>
        </w:rPr>
      </w:pPr>
      <w:r w:rsidRPr="00582B0C">
        <w:rPr>
          <w:rFonts w:ascii="Arial" w:hAnsi="Arial" w:cs="Arial"/>
          <w:color w:val="000000"/>
          <w:sz w:val="24"/>
          <w:szCs w:val="24"/>
        </w:rPr>
        <w:t xml:space="preserve">Urteaga, E. (2009). </w:t>
      </w:r>
      <w:r w:rsidRPr="00582B0C">
        <w:rPr>
          <w:rFonts w:ascii="Arial" w:hAnsi="Arial" w:cs="Arial"/>
          <w:i/>
          <w:color w:val="000000"/>
          <w:sz w:val="24"/>
          <w:szCs w:val="24"/>
        </w:rPr>
        <w:t>La teoría de sistemas de Niklas Luhmann</w:t>
      </w:r>
      <w:r w:rsidRPr="00582B0C">
        <w:rPr>
          <w:rFonts w:ascii="Arial" w:hAnsi="Arial" w:cs="Arial"/>
          <w:color w:val="000000"/>
          <w:sz w:val="24"/>
          <w:szCs w:val="24"/>
        </w:rPr>
        <w:t>. Revista Internacional de Filosofía, XV, pp. 301-317.</w:t>
      </w:r>
    </w:p>
    <w:p w14:paraId="3D4282A0" w14:textId="77777777" w:rsidR="000D7076" w:rsidRPr="00582B0C" w:rsidRDefault="000D7076" w:rsidP="000D7076">
      <w:pPr>
        <w:spacing w:after="0" w:line="360" w:lineRule="auto"/>
        <w:jc w:val="both"/>
        <w:rPr>
          <w:rFonts w:ascii="Arial" w:hAnsi="Arial" w:cs="Arial"/>
          <w:bCs/>
          <w:sz w:val="24"/>
          <w:szCs w:val="24"/>
          <w:lang w:val="es-ES"/>
        </w:rPr>
      </w:pPr>
      <w:r w:rsidRPr="00582B0C">
        <w:rPr>
          <w:rFonts w:ascii="Arial" w:hAnsi="Arial" w:cs="Arial"/>
          <w:sz w:val="24"/>
          <w:szCs w:val="24"/>
        </w:rPr>
        <w:t xml:space="preserve">Villanueva, E. (2008) </w:t>
      </w:r>
      <w:r w:rsidRPr="00582B0C">
        <w:rPr>
          <w:rFonts w:ascii="Arial" w:hAnsi="Arial" w:cs="Arial"/>
          <w:i/>
          <w:sz w:val="24"/>
          <w:szCs w:val="24"/>
        </w:rPr>
        <w:t>Temas Selectos de Derecho de la Información.</w:t>
      </w:r>
      <w:r w:rsidRPr="00582B0C">
        <w:rPr>
          <w:rFonts w:ascii="Arial" w:hAnsi="Arial" w:cs="Arial"/>
          <w:sz w:val="24"/>
          <w:szCs w:val="24"/>
        </w:rPr>
        <w:t xml:space="preserve"> México: Instituto de Investigaciones Jurídicas de la UNAM.</w:t>
      </w:r>
    </w:p>
    <w:p w14:paraId="3B9A0CC4" w14:textId="77777777" w:rsidR="000D7076" w:rsidRPr="00582B0C" w:rsidRDefault="000D7076" w:rsidP="000D7076">
      <w:pPr>
        <w:spacing w:after="0" w:line="360" w:lineRule="auto"/>
        <w:jc w:val="both"/>
        <w:rPr>
          <w:rFonts w:ascii="Arial" w:hAnsi="Arial" w:cs="Arial"/>
          <w:color w:val="000000"/>
          <w:sz w:val="24"/>
          <w:szCs w:val="24"/>
        </w:rPr>
      </w:pPr>
      <w:r w:rsidRPr="00582B0C">
        <w:rPr>
          <w:rFonts w:ascii="Arial" w:hAnsi="Arial" w:cs="Arial"/>
          <w:color w:val="000000"/>
          <w:sz w:val="24"/>
          <w:szCs w:val="24"/>
        </w:rPr>
        <w:t xml:space="preserve">Villoro, L. (2002). </w:t>
      </w:r>
      <w:r w:rsidRPr="00582B0C">
        <w:rPr>
          <w:rFonts w:ascii="Arial" w:hAnsi="Arial" w:cs="Arial"/>
          <w:i/>
          <w:color w:val="000000"/>
          <w:sz w:val="24"/>
          <w:szCs w:val="24"/>
        </w:rPr>
        <w:t>Creer, saber, conocer</w:t>
      </w:r>
      <w:r w:rsidRPr="00582B0C">
        <w:rPr>
          <w:rFonts w:ascii="Arial" w:hAnsi="Arial" w:cs="Arial"/>
          <w:color w:val="000000"/>
          <w:sz w:val="24"/>
          <w:szCs w:val="24"/>
        </w:rPr>
        <w:t>. México: Siglo 21.</w:t>
      </w:r>
    </w:p>
    <w:p w14:paraId="37FB408F" w14:textId="163ED50C" w:rsidR="000D7076" w:rsidRPr="004F408B" w:rsidRDefault="000D7076" w:rsidP="000D7076">
      <w:pPr>
        <w:spacing w:line="360" w:lineRule="auto"/>
        <w:jc w:val="both"/>
        <w:rPr>
          <w:rFonts w:ascii="Arial" w:hAnsi="Arial" w:cs="Arial"/>
          <w:b/>
          <w:sz w:val="24"/>
          <w:szCs w:val="24"/>
        </w:rPr>
      </w:pPr>
      <w:r w:rsidRPr="004F408B">
        <w:rPr>
          <w:rFonts w:ascii="Arial" w:hAnsi="Arial" w:cs="Arial"/>
          <w:b/>
          <w:sz w:val="24"/>
          <w:szCs w:val="24"/>
        </w:rPr>
        <w:t>Fuentes hemerográficas:</w:t>
      </w:r>
    </w:p>
    <w:p w14:paraId="3CE8762E" w14:textId="77777777" w:rsidR="000D7076" w:rsidRDefault="000D7076" w:rsidP="000D7076">
      <w:pPr>
        <w:spacing w:line="360" w:lineRule="auto"/>
        <w:jc w:val="both"/>
        <w:rPr>
          <w:rFonts w:ascii="Arial" w:hAnsi="Arial" w:cs="Arial"/>
          <w:sz w:val="24"/>
          <w:szCs w:val="24"/>
        </w:rPr>
      </w:pPr>
      <w:r w:rsidRPr="0010019E">
        <w:rPr>
          <w:rFonts w:ascii="Arial" w:hAnsi="Arial" w:cs="Arial"/>
          <w:sz w:val="24"/>
          <w:szCs w:val="24"/>
        </w:rPr>
        <w:t>www.animalpolitico.com/</w:t>
      </w:r>
    </w:p>
    <w:p w14:paraId="3D0AA072" w14:textId="77777777" w:rsidR="000D7076" w:rsidRDefault="000D7076" w:rsidP="000D7076">
      <w:pPr>
        <w:spacing w:line="360" w:lineRule="auto"/>
        <w:jc w:val="both"/>
        <w:rPr>
          <w:rFonts w:ascii="Arial" w:hAnsi="Arial" w:cs="Arial"/>
          <w:sz w:val="24"/>
          <w:szCs w:val="24"/>
        </w:rPr>
      </w:pPr>
      <w:r w:rsidRPr="0010019E">
        <w:rPr>
          <w:rFonts w:ascii="Arial" w:hAnsi="Arial" w:cs="Arial"/>
          <w:sz w:val="24"/>
          <w:szCs w:val="24"/>
        </w:rPr>
        <w:t>www.hoyestado.com/</w:t>
      </w:r>
    </w:p>
    <w:p w14:paraId="5BBA182B" w14:textId="77777777" w:rsidR="000D7076" w:rsidRDefault="000D7076" w:rsidP="000D7076">
      <w:pPr>
        <w:spacing w:line="360" w:lineRule="auto"/>
        <w:jc w:val="both"/>
        <w:rPr>
          <w:rFonts w:ascii="Arial" w:hAnsi="Arial" w:cs="Arial"/>
          <w:sz w:val="24"/>
          <w:szCs w:val="24"/>
        </w:rPr>
      </w:pPr>
      <w:r w:rsidRPr="00C14310">
        <w:rPr>
          <w:rFonts w:ascii="Arial" w:hAnsi="Arial" w:cs="Arial"/>
          <w:sz w:val="24"/>
          <w:szCs w:val="24"/>
        </w:rPr>
        <w:t>www.metricadigital.com</w:t>
      </w:r>
    </w:p>
    <w:p w14:paraId="0D3E12E6" w14:textId="77777777" w:rsidR="000D7076" w:rsidRDefault="000D7076" w:rsidP="000D7076">
      <w:pPr>
        <w:spacing w:line="360" w:lineRule="auto"/>
        <w:jc w:val="both"/>
        <w:rPr>
          <w:rFonts w:ascii="Arial" w:hAnsi="Arial" w:cs="Arial"/>
          <w:sz w:val="24"/>
          <w:szCs w:val="24"/>
        </w:rPr>
      </w:pPr>
      <w:r w:rsidRPr="00C14310">
        <w:rPr>
          <w:rFonts w:ascii="Arial" w:hAnsi="Arial" w:cs="Arial"/>
          <w:sz w:val="24"/>
          <w:szCs w:val="24"/>
        </w:rPr>
        <w:t>www.sinembargo.mx/</w:t>
      </w:r>
    </w:p>
    <w:p w14:paraId="2167BCE6" w14:textId="77777777" w:rsidR="000D7076" w:rsidRDefault="000D7076" w:rsidP="000D7076">
      <w:pPr>
        <w:spacing w:line="360" w:lineRule="auto"/>
        <w:jc w:val="both"/>
        <w:rPr>
          <w:rFonts w:ascii="Arial" w:hAnsi="Arial" w:cs="Arial"/>
          <w:sz w:val="24"/>
          <w:szCs w:val="24"/>
        </w:rPr>
      </w:pPr>
      <w:r w:rsidRPr="0010019E">
        <w:rPr>
          <w:rFonts w:ascii="Arial" w:hAnsi="Arial" w:cs="Arial"/>
          <w:sz w:val="24"/>
          <w:szCs w:val="24"/>
        </w:rPr>
        <w:t>trespm.com.mx/</w:t>
      </w:r>
    </w:p>
    <w:p w14:paraId="25C61F3F" w14:textId="3D572144" w:rsidR="00A756C6" w:rsidRPr="004F408B" w:rsidRDefault="00577594" w:rsidP="004F408B">
      <w:pPr>
        <w:spacing w:line="360" w:lineRule="auto"/>
        <w:jc w:val="both"/>
        <w:rPr>
          <w:rFonts w:ascii="Arial" w:hAnsi="Arial" w:cs="Arial"/>
          <w:sz w:val="24"/>
          <w:szCs w:val="24"/>
        </w:rPr>
      </w:pPr>
      <w:hyperlink r:id="rId23" w:history="1">
        <w:r w:rsidR="00A756C6" w:rsidRPr="00CA7710">
          <w:rPr>
            <w:rStyle w:val="Hipervnculo"/>
            <w:rFonts w:ascii="Arial" w:hAnsi="Arial" w:cs="Arial"/>
            <w:b/>
            <w:sz w:val="24"/>
            <w:szCs w:val="32"/>
          </w:rPr>
          <w:t>www.eluniversal.com.mx/nacion/politica/enterate-que-dice-la-ley-general-de-comunicacion-social</w:t>
        </w:r>
      </w:hyperlink>
    </w:p>
    <w:p w14:paraId="4DB22122" w14:textId="255B4032" w:rsidR="00A756C6" w:rsidRDefault="00577594" w:rsidP="004F408B">
      <w:pPr>
        <w:pStyle w:val="Textonotapie"/>
        <w:ind w:left="0" w:firstLine="0"/>
        <w:rPr>
          <w:rStyle w:val="Hipervnculo"/>
        </w:rPr>
      </w:pPr>
      <w:hyperlink r:id="rId24" w:history="1">
        <w:r w:rsidR="00A756C6">
          <w:rPr>
            <w:rStyle w:val="Hipervnculo"/>
          </w:rPr>
          <w:t>http://www.diputados.gob.mx/LeyesBiblio/pdf/LGCS_110518.pdf</w:t>
        </w:r>
      </w:hyperlink>
    </w:p>
    <w:p w14:paraId="3CC0DC58" w14:textId="6E45EA8C" w:rsidR="00A756C6" w:rsidRDefault="00577594" w:rsidP="00A756C6">
      <w:pPr>
        <w:pStyle w:val="Textonotapie"/>
        <w:ind w:left="0" w:firstLine="0"/>
      </w:pPr>
      <w:hyperlink r:id="rId25" w:history="1">
        <w:r w:rsidR="00A756C6" w:rsidRPr="00CA7710">
          <w:rPr>
            <w:rStyle w:val="Hipervnculo"/>
          </w:rPr>
          <w:t>https://www.animalpolitico.com/2018/04/senado-ley-chayote-publicidad-oficial/</w:t>
        </w:r>
      </w:hyperlink>
    </w:p>
    <w:p w14:paraId="4DD1F13D" w14:textId="77777777" w:rsidR="00A756C6" w:rsidRDefault="00577594" w:rsidP="00A756C6">
      <w:pPr>
        <w:rPr>
          <w:rStyle w:val="Hipervnculo"/>
        </w:rPr>
      </w:pPr>
      <w:hyperlink r:id="rId26" w:history="1">
        <w:r w:rsidR="00A756C6" w:rsidRPr="00CA7710">
          <w:rPr>
            <w:rStyle w:val="Hipervnculo"/>
          </w:rPr>
          <w:t>https://www.elfinanciero.com.mx/nacional/morena-propone-nueva-ley-de-comunicacion-y-derogar-la-ley-chayote-del-pri</w:t>
        </w:r>
      </w:hyperlink>
    </w:p>
    <w:p w14:paraId="1BD22413" w14:textId="307F2DE0" w:rsidR="00A756C6" w:rsidRDefault="00577594" w:rsidP="00A756C6">
      <w:pPr>
        <w:rPr>
          <w:rStyle w:val="Hipervnculo"/>
        </w:rPr>
      </w:pPr>
      <w:hyperlink r:id="rId27" w:history="1">
        <w:r w:rsidR="00A756C6">
          <w:rPr>
            <w:rStyle w:val="Hipervnculo"/>
          </w:rPr>
          <w:t>http://metricadigital.com/el-sur-mexiquense-periodismo-bajo-acecho</w:t>
        </w:r>
      </w:hyperlink>
    </w:p>
    <w:p w14:paraId="1392E05F" w14:textId="3F43DB46" w:rsidR="000D7076" w:rsidRPr="004F655B" w:rsidRDefault="000D7076">
      <w:pPr>
        <w:rPr>
          <w:color w:val="FF0000"/>
          <w:u w:val="single"/>
        </w:rPr>
      </w:pPr>
    </w:p>
    <w:sectPr w:rsidR="000D7076" w:rsidRPr="004F655B">
      <w:footerReference w:type="default" r:id="rId28"/>
      <w:pgSz w:w="12240" w:h="15840"/>
      <w:pgMar w:top="1440" w:right="1440" w:bottom="1440" w:left="1440" w:header="720" w:footer="708" w:gutter="0"/>
      <w:cols w:space="720"/>
      <w:docGrid w:linePitch="360" w:charSpace="-2049"/>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3" w:author="Windows User" w:date="2019-03-21T18:07:00Z" w:initials="Windows U">
    <w:p w14:paraId="2512D5DF" w14:textId="77777777" w:rsidR="00313D95" w:rsidRDefault="00313D95">
      <w:r>
        <w:annotationRef/>
      </w:r>
      <w:r>
        <w:t>Es un apartado clásico en las tesis, no es necesariamente obligatorio, es tu decisión dejarlo o eliminarlo</w:t>
      </w:r>
    </w:p>
    <w:p w14:paraId="5EA38195" w14:textId="77777777" w:rsidR="00313D95" w:rsidRDefault="00313D95"/>
  </w:comment>
  <w:comment w:id="6" w:author="Windows User" w:date="2019-03-21T18:08:00Z" w:initials="Windows U">
    <w:p w14:paraId="41AF2C76" w14:textId="77777777" w:rsidR="00313D95" w:rsidRDefault="00313D95">
      <w:r>
        <w:annotationRef/>
      </w:r>
      <w:r>
        <w:t>Lo mismo que el anterior es un apartado clásico en las tesis, no es necesariamente obligatorio, es tu decisión dejarlo o eliminarlo</w:t>
      </w:r>
    </w:p>
    <w:p w14:paraId="784983F4" w14:textId="77777777" w:rsidR="00313D95" w:rsidRDefault="00313D95"/>
  </w:comment>
  <w:comment w:id="9" w:author="Windows User" w:date="2019-03-21T18:08:00Z" w:initials="Windows U">
    <w:p w14:paraId="375826B8" w14:textId="77777777" w:rsidR="00313D95" w:rsidRDefault="00313D95">
      <w:r>
        <w:annotationRef/>
      </w:r>
      <w:r>
        <w:t>Intente crear una introducción, normalmente se obtiene de la justificación planteada en el protocolo, puedes modificarla</w:t>
      </w:r>
    </w:p>
    <w:p w14:paraId="4BD23D15" w14:textId="77777777" w:rsidR="00313D95" w:rsidRDefault="00313D95"/>
  </w:comment>
  <w:comment w:id="12" w:author="Windows User" w:date="2019-03-21T18:10:00Z" w:initials="Windows U">
    <w:p w14:paraId="5B7E191B" w14:textId="77777777" w:rsidR="00313D95" w:rsidRDefault="00313D95">
      <w:r>
        <w:annotationRef/>
      </w:r>
      <w:r>
        <w:t xml:space="preserve"> Los objetivos sirven para exponer cómo se piensa abordar la problemática o cómo se pretende demostrar la visión que se tiene con respecto al problema de la investigación</w:t>
      </w:r>
    </w:p>
    <w:p w14:paraId="0F960FC8" w14:textId="77777777" w:rsidR="00313D95" w:rsidRDefault="00313D95"/>
    <w:p w14:paraId="0AE81F83" w14:textId="77777777" w:rsidR="00313D95" w:rsidRDefault="00313D95">
      <w:r>
        <w:t>Tanto generales como específicos deben ser expresados como verbos en infinitivo, de forma cronológica y jerárquica</w:t>
      </w:r>
    </w:p>
    <w:p w14:paraId="060D8C61" w14:textId="77777777" w:rsidR="00313D95" w:rsidRDefault="00313D95"/>
    <w:p w14:paraId="50CF2A06" w14:textId="77777777" w:rsidR="00313D95" w:rsidRDefault="00313D95">
      <w:r>
        <w:t>Bajo esta tesitura, Los que tu colocaste no cumplen con dichas características, más bien parece un borrador de índice.</w:t>
      </w:r>
    </w:p>
    <w:p w14:paraId="368BF847" w14:textId="77777777" w:rsidR="00313D95" w:rsidRDefault="00313D95"/>
  </w:comment>
  <w:comment w:id="19" w:author="Windows User" w:date="2019-03-16T13:06:00Z" w:initials="Windows U">
    <w:p w14:paraId="32C09C4D" w14:textId="77777777" w:rsidR="00313D95" w:rsidRDefault="00313D95">
      <w:r>
        <w:annotationRef/>
      </w:r>
      <w:r>
        <w:t>Exactamente qué derecho?</w:t>
      </w:r>
    </w:p>
    <w:p w14:paraId="22390E04" w14:textId="77777777" w:rsidR="00313D95" w:rsidRDefault="00313D95"/>
  </w:comment>
  <w:comment w:id="20" w:author="Windows User" w:date="2019-03-16T13:07:00Z" w:initials="Windows U">
    <w:p w14:paraId="01DB7358" w14:textId="77777777" w:rsidR="00313D95" w:rsidRDefault="00313D95">
      <w:r>
        <w:annotationRef/>
      </w:r>
      <w:r>
        <w:t>Solo para aclarar</w:t>
      </w:r>
    </w:p>
    <w:p w14:paraId="5AE499CF" w14:textId="77777777" w:rsidR="00313D95" w:rsidRDefault="00313D95">
      <w:r>
        <w:t>derecho humano:  prerrogativas que todo individuo tiene</w:t>
      </w:r>
    </w:p>
    <w:p w14:paraId="0EED85CD" w14:textId="77777777" w:rsidR="00313D95" w:rsidRDefault="00313D95">
      <w:r>
        <w:t>Garantía individual: modo y/o forma de proteger la prerrogativa</w:t>
      </w:r>
    </w:p>
  </w:comment>
  <w:comment w:id="23" w:author="Windows User" w:date="2019-03-16T13:26:00Z" w:initials="Windows U">
    <w:p w14:paraId="4932CDA8" w14:textId="77777777" w:rsidR="00313D95" w:rsidRDefault="00313D95">
      <w:r>
        <w:annotationRef/>
      </w:r>
    </w:p>
    <w:p w14:paraId="3D088B1C" w14:textId="77777777" w:rsidR="00313D95" w:rsidRDefault="00313D95">
      <w:r>
        <w:t>Falta fecha en la cita de Lippman y Merz si estos fueron citados por aladro, debe ser:</w:t>
      </w:r>
    </w:p>
    <w:p w14:paraId="0BCD8C4A" w14:textId="77777777" w:rsidR="00313D95" w:rsidRDefault="00313D95"/>
    <w:p w14:paraId="678BA190" w14:textId="77777777" w:rsidR="00313D95" w:rsidRDefault="00313D95">
      <w:pPr>
        <w:rPr>
          <w:rFonts w:ascii="Arial" w:hAnsi="Arial" w:cs="Arial"/>
          <w:sz w:val="24"/>
          <w:szCs w:val="24"/>
        </w:rPr>
      </w:pPr>
      <w:r>
        <w:rPr>
          <w:rFonts w:ascii="Arial" w:hAnsi="Arial" w:cs="Arial"/>
          <w:sz w:val="24"/>
          <w:szCs w:val="24"/>
        </w:rPr>
        <w:t>Las ideas de Lippman y de Merz en Aladro (2013, p.71)</w:t>
      </w:r>
    </w:p>
  </w:comment>
  <w:comment w:id="31" w:author="Windows User" w:date="2019-03-14T22:43:00Z" w:initials="Windows U">
    <w:p w14:paraId="72C1F15E" w14:textId="77777777" w:rsidR="00313D95" w:rsidRDefault="00313D95">
      <w:r>
        <w:annotationRef/>
      </w:r>
    </w:p>
    <w:p w14:paraId="15559E1C" w14:textId="77777777" w:rsidR="00313D95" w:rsidRDefault="00313D95"/>
  </w:comment>
  <w:comment w:id="32" w:author="Windows User" w:date="2019-03-14T22:43:00Z" w:initials="Windows U">
    <w:p w14:paraId="109F4E80" w14:textId="77777777" w:rsidR="00313D95" w:rsidRDefault="00313D95">
      <w:r>
        <w:annotationRef/>
      </w:r>
    </w:p>
    <w:p w14:paraId="4A932C10" w14:textId="77777777" w:rsidR="00313D95" w:rsidRDefault="00313D95"/>
  </w:comment>
  <w:comment w:id="33" w:author="Windows User" w:date="2019-03-14T22:45:00Z" w:initials="Windows U">
    <w:p w14:paraId="0B0E380F" w14:textId="77777777" w:rsidR="00313D95" w:rsidRDefault="00313D95">
      <w:r>
        <w:annotationRef/>
      </w:r>
    </w:p>
    <w:p w14:paraId="3B894D8C" w14:textId="77777777" w:rsidR="00313D95" w:rsidRDefault="00313D95"/>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EA38195" w15:done="0"/>
  <w15:commentEx w15:paraId="784983F4" w15:done="0"/>
  <w15:commentEx w15:paraId="4BD23D15" w15:done="0"/>
  <w15:commentEx w15:paraId="368BF847" w15:done="0"/>
  <w15:commentEx w15:paraId="22390E04" w15:done="0"/>
  <w15:commentEx w15:paraId="0EED85CD" w15:done="0"/>
  <w15:commentEx w15:paraId="678BA190" w15:done="0"/>
  <w15:commentEx w15:paraId="15559E1C" w15:done="0"/>
  <w15:commentEx w15:paraId="4A932C10" w15:done="0"/>
  <w15:commentEx w15:paraId="3B894D8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5F3CE6" w14:textId="77777777" w:rsidR="00577594" w:rsidRDefault="00577594">
      <w:pPr>
        <w:spacing w:after="0" w:line="240" w:lineRule="auto"/>
      </w:pPr>
      <w:r>
        <w:separator/>
      </w:r>
    </w:p>
  </w:endnote>
  <w:endnote w:type="continuationSeparator" w:id="0">
    <w:p w14:paraId="46735F3F" w14:textId="77777777" w:rsidR="00577594" w:rsidRDefault="005775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ont274">
    <w:altName w:val="Times New Roman"/>
    <w:charset w:val="00"/>
    <w:family w:val="auto"/>
    <w:pitch w:val="variable"/>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Microsoft YaHei">
    <w:panose1 w:val="020B0503020204020204"/>
    <w:charset w:val="86"/>
    <w:family w:val="swiss"/>
    <w:pitch w:val="variable"/>
    <w:sig w:usb0="A0000287" w:usb1="28CF3C52"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C868DB" w14:textId="25F6BE85" w:rsidR="00313D95" w:rsidRDefault="00313D95">
    <w:pPr>
      <w:pStyle w:val="Piedepgina"/>
    </w:pPr>
    <w:r>
      <w:fldChar w:fldCharType="begin"/>
    </w:r>
    <w:r>
      <w:instrText xml:space="preserve"> PAGE </w:instrText>
    </w:r>
    <w:r>
      <w:fldChar w:fldCharType="separate"/>
    </w:r>
    <w:r w:rsidR="00577594">
      <w:rPr>
        <w:noProof/>
      </w:rP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2E9923" w14:textId="53F1E4D7" w:rsidR="00313D95" w:rsidRDefault="00313D95">
    <w:pPr>
      <w:pStyle w:val="Piedepgina"/>
    </w:pPr>
    <w:r>
      <w:fldChar w:fldCharType="begin"/>
    </w:r>
    <w:r>
      <w:instrText xml:space="preserve"> PAGE </w:instrText>
    </w:r>
    <w:r>
      <w:fldChar w:fldCharType="separate"/>
    </w:r>
    <w:r w:rsidR="00451AB4">
      <w:rPr>
        <w:noProof/>
      </w:rPr>
      <w:t>118</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84A1EE" w14:textId="77777777" w:rsidR="00577594" w:rsidRDefault="00577594">
      <w:pPr>
        <w:spacing w:after="0" w:line="240" w:lineRule="auto"/>
      </w:pPr>
      <w:r>
        <w:separator/>
      </w:r>
    </w:p>
  </w:footnote>
  <w:footnote w:type="continuationSeparator" w:id="0">
    <w:p w14:paraId="18D29A6B" w14:textId="77777777" w:rsidR="00577594" w:rsidRDefault="00577594">
      <w:pPr>
        <w:spacing w:after="0" w:line="240" w:lineRule="auto"/>
      </w:pPr>
      <w:r>
        <w:continuationSeparator/>
      </w:r>
    </w:p>
  </w:footnote>
  <w:footnote w:id="1">
    <w:p w14:paraId="2C83492F" w14:textId="77777777" w:rsidR="00313D95" w:rsidRDefault="00313D95">
      <w:r>
        <w:rPr>
          <w:rStyle w:val="Caracteresdenotaalpie"/>
        </w:rPr>
        <w:footnoteRef/>
      </w:r>
      <w:r>
        <w:br w:type="page"/>
      </w:r>
      <w:r>
        <w:rPr>
          <w:rStyle w:val="Refdenotaalpie1"/>
        </w:rPr>
        <w:tab/>
      </w:r>
      <w:r>
        <w:t xml:space="preserve"> De Bustos (2002) plantea que la objetividad está ligada a la verdad, pero en correspondencia con la realidad y en concordancia con juicios epistémicos. Es decir, se requiere de una plena justificación para acercarse a una objetividad epistémica.</w:t>
      </w:r>
    </w:p>
  </w:footnote>
  <w:footnote w:id="2">
    <w:p w14:paraId="3B665140" w14:textId="77777777" w:rsidR="00313D95" w:rsidRDefault="00313D95">
      <w:r>
        <w:rPr>
          <w:rStyle w:val="Caracteresdenotaalpie"/>
        </w:rPr>
        <w:footnoteRef/>
      </w:r>
      <w:r>
        <w:br w:type="page"/>
      </w:r>
      <w:r>
        <w:rPr>
          <w:rStyle w:val="Refdenotaalpie1"/>
        </w:rPr>
        <w:tab/>
      </w:r>
      <w:r>
        <w:t xml:space="preserve"> Ver Bunge (2014) especialmente en el conocimiento científico que trasciende hechos, produce nuevos y los explica.</w:t>
      </w:r>
    </w:p>
  </w:footnote>
  <w:footnote w:id="3">
    <w:p w14:paraId="62C3EE2A" w14:textId="77777777" w:rsidR="00313D95" w:rsidRDefault="00313D95">
      <w:r>
        <w:rPr>
          <w:rStyle w:val="Caracteresdenotaalpie"/>
        </w:rPr>
        <w:footnoteRef/>
      </w:r>
      <w:r>
        <w:br w:type="page"/>
      </w:r>
      <w:r>
        <w:rPr>
          <w:rStyle w:val="Refdenotaalpie1"/>
        </w:rPr>
        <w:tab/>
      </w:r>
      <w:r>
        <w:t xml:space="preserve"> Hablan de paradigmas del periodismo que se refieren a un sistema de reglas coherentes en la práctica periodística. Vendría a ser un método científico al enunciar un conjunto de procedimientos e hipótesis que se ponen a prueba (Bunge, 2014).</w:t>
      </w:r>
    </w:p>
  </w:footnote>
  <w:footnote w:id="4">
    <w:p w14:paraId="0F818390" w14:textId="77777777" w:rsidR="00313D95" w:rsidRDefault="00313D95">
      <w:r>
        <w:rPr>
          <w:rStyle w:val="Caracteresdenotaalpie"/>
        </w:rPr>
        <w:footnoteRef/>
      </w:r>
      <w:r>
        <w:br w:type="page"/>
      </w:r>
      <w:r>
        <w:rPr>
          <w:rStyle w:val="Refdenotaalpie1"/>
        </w:rPr>
        <w:tab/>
      </w:r>
      <w:r>
        <w:t xml:space="preserve"> Dialéctica entendida como la teoría y técnica de dialogar y discutir para descubrir la verdad mediante la exposición y confrontación de razonamientos y argumentaciones contrarios entre sí, de acuerdo con el Diccionario Larousse. La dialéctica desde el punto de vista de Bunge (2014) también sería un camino para hacer ciencia, pues lo que caracteriza al conocimiento científico es su verificabilidad.</w:t>
      </w:r>
    </w:p>
  </w:footnote>
  <w:footnote w:id="5">
    <w:p w14:paraId="17D7174B" w14:textId="77777777" w:rsidR="00313D95" w:rsidRDefault="00313D95">
      <w:r>
        <w:rPr>
          <w:rStyle w:val="Caracteresdenotaalpie"/>
        </w:rPr>
        <w:footnoteRef/>
      </w:r>
      <w:r>
        <w:br w:type="page"/>
      </w:r>
      <w:r>
        <w:rPr>
          <w:rStyle w:val="Refdenotaalpie1"/>
        </w:rPr>
        <w:tab/>
      </w:r>
      <w:r>
        <w:t xml:space="preserve"> La pregunta del explorador Livingstone de “¿Qué pasa en el mundo?” es considerada como una de las preguntas básicas del periodismo moderno respecto de su función histórica (Batalla, 2014). </w:t>
      </w:r>
    </w:p>
  </w:footnote>
  <w:footnote w:id="6">
    <w:p w14:paraId="30EEA07F" w14:textId="77777777" w:rsidR="00313D95" w:rsidRDefault="00313D95">
      <w:r>
        <w:rPr>
          <w:rStyle w:val="Caracteresdenotaalpie"/>
        </w:rPr>
        <w:footnoteRef/>
      </w:r>
      <w:r>
        <w:br w:type="page"/>
      </w:r>
      <w:r>
        <w:rPr>
          <w:rStyle w:val="Refdenotaalpie1"/>
        </w:rPr>
        <w:tab/>
      </w:r>
      <w:r>
        <w:t xml:space="preserve"> Sociedad del Conocimiento, de acuerdo con Olivé (2006), son los conocimientos científicos y tecnológicos relacionados con sistemas de producción económica.</w:t>
      </w:r>
    </w:p>
  </w:footnote>
  <w:footnote w:id="7">
    <w:p w14:paraId="28BF1B7B" w14:textId="0388B901" w:rsidR="00C26D6B" w:rsidRDefault="00C26D6B">
      <w:pPr>
        <w:pStyle w:val="Textonotapie"/>
      </w:pPr>
      <w:r>
        <w:rPr>
          <w:rStyle w:val="Refdenotaalpie"/>
        </w:rPr>
        <w:footnoteRef/>
      </w:r>
      <w:r>
        <w:t xml:space="preserve"> </w:t>
      </w:r>
      <w:hyperlink r:id="rId1" w:history="1">
        <w:r>
          <w:rPr>
            <w:rStyle w:val="Hipervnculo"/>
          </w:rPr>
          <w:t>http://www.diccionariojuridico.mx/definicion/dignidad-humana/</w:t>
        </w:r>
      </w:hyperlink>
    </w:p>
  </w:footnote>
  <w:footnote w:id="8">
    <w:p w14:paraId="266F7F1A" w14:textId="77777777" w:rsidR="00313D95" w:rsidRDefault="00313D95">
      <w:r>
        <w:rPr>
          <w:rStyle w:val="Caracteresdenotaalpie"/>
        </w:rPr>
        <w:footnoteRef/>
      </w:r>
      <w:r>
        <w:br w:type="page"/>
      </w:r>
      <w:r>
        <w:rPr>
          <w:rStyle w:val="Refdenotaalpie1"/>
        </w:rPr>
        <w:tab/>
      </w:r>
      <w:r>
        <w:t xml:space="preserve"> Los autores de la Escuela de Chicago formularon una teoría de la noticia y del periodismo, donde lo esencial era la línea de valores de esta profesión naciente. Recordemos que la epistemología y la ética tienen una estrecha relación, pues la teoría del conocimiento requiere de una teoría de los preceptos que regulan nuestras acciones conforme a los fines (Villoro, 2002).</w:t>
      </w:r>
    </w:p>
  </w:footnote>
  <w:footnote w:id="9">
    <w:p w14:paraId="27908D56" w14:textId="77777777" w:rsidR="00313D95" w:rsidRDefault="00313D95">
      <w:r>
        <w:rPr>
          <w:rStyle w:val="Caracteresdenotaalpie"/>
        </w:rPr>
        <w:footnoteRef/>
      </w:r>
      <w:r>
        <w:br w:type="page"/>
      </w:r>
      <w:r>
        <w:rPr>
          <w:rStyle w:val="Refdenotaalpie1"/>
        </w:rPr>
        <w:tab/>
      </w:r>
      <w:r>
        <w:t xml:space="preserve"> Democracia entendida como la forma de gobierno donde la sociedad participa de las decisiones de gobierno y puede controlar a sus autoridades, de acuerdo con el Diccionario Porrúa.</w:t>
      </w:r>
    </w:p>
  </w:footnote>
  <w:footnote w:id="10">
    <w:p w14:paraId="3FF5A1FA" w14:textId="77777777" w:rsidR="00313D95" w:rsidRDefault="00313D95">
      <w:r>
        <w:rPr>
          <w:rStyle w:val="Caracteresdenotaalpie"/>
        </w:rPr>
        <w:footnoteRef/>
      </w:r>
      <w:r>
        <w:br w:type="page"/>
      </w:r>
      <w:r>
        <w:rPr>
          <w:rStyle w:val="Refdenotaalpie1"/>
        </w:rPr>
        <w:tab/>
      </w:r>
      <w:r>
        <w:t xml:space="preserve"> Ethos-pathos-logos, de acuerdo con González-Domínguez (2015), esta trilogía permite la persuasión en la comunicación, en la elaboración de discursos. </w:t>
      </w:r>
    </w:p>
  </w:footnote>
  <w:footnote w:id="11">
    <w:p w14:paraId="203CBE24" w14:textId="77777777" w:rsidR="00313D95" w:rsidRDefault="00313D95">
      <w:r>
        <w:rPr>
          <w:rStyle w:val="Caracteresdenotaalpie"/>
        </w:rPr>
        <w:footnoteRef/>
      </w:r>
      <w:r>
        <w:br w:type="page"/>
      </w:r>
      <w:r>
        <w:rPr>
          <w:rStyle w:val="Refdenotaalpie1"/>
        </w:rPr>
        <w:tab/>
      </w:r>
      <w:r>
        <w:t xml:space="preserve"> En la trilogía argumentativa de Aristóteles se advierte que la retórica o arte de comunicar o hacer discursos busca persuadir (Domínguez, 2015).</w:t>
      </w:r>
    </w:p>
  </w:footnote>
  <w:footnote w:id="12">
    <w:p w14:paraId="0DD9959E" w14:textId="77777777" w:rsidR="00313D95" w:rsidRDefault="00313D95">
      <w:r>
        <w:rPr>
          <w:rStyle w:val="Caracteresdenotaalpie"/>
        </w:rPr>
        <w:footnoteRef/>
      </w:r>
      <w:r>
        <w:br w:type="page"/>
      </w:r>
      <w:r>
        <w:rPr>
          <w:rStyle w:val="Refdenotaalpie1"/>
        </w:rPr>
        <w:tab/>
      </w:r>
      <w:r>
        <w:t xml:space="preserve"> Fernando Savater (2014) indica que la verdad es, fundamentalmente, los conocimientos y la objetividad relevante en un campo determinado. Relevante en el sentido de lo que un ciudadano tiene derecho a exigir y puede merecer. Y no únicamente lo que despierta curiosidad.</w:t>
      </w:r>
    </w:p>
  </w:footnote>
  <w:footnote w:id="13">
    <w:p w14:paraId="0DC6A5AB" w14:textId="77777777" w:rsidR="00313D95" w:rsidRDefault="00313D95">
      <w:r>
        <w:rPr>
          <w:rStyle w:val="Caracteresdenotaalpie"/>
        </w:rPr>
        <w:footnoteRef/>
      </w:r>
      <w:r>
        <w:br w:type="page"/>
      </w:r>
      <w:r>
        <w:rPr>
          <w:rStyle w:val="Refdenotaalpie1"/>
        </w:rPr>
        <w:tab/>
      </w:r>
      <w:r>
        <w:t xml:space="preserve"> Georg Simmel (2010) refiere que toda información tendiente a eliminar los engaños de la vida social tiene un carácter marcadamente democrático. </w:t>
      </w:r>
    </w:p>
  </w:footnote>
  <w:footnote w:id="14">
    <w:p w14:paraId="3C9D6E15" w14:textId="77777777" w:rsidR="00313D95" w:rsidRDefault="00313D95">
      <w:r>
        <w:rPr>
          <w:rStyle w:val="Caracteresdenotaalpie"/>
        </w:rPr>
        <w:footnoteRef/>
      </w:r>
      <w:r>
        <w:br w:type="page"/>
      </w:r>
      <w:r>
        <w:rPr>
          <w:rStyle w:val="Refdenotaalpie1"/>
        </w:rPr>
        <w:tab/>
      </w:r>
      <w:r>
        <w:t xml:space="preserve"> En México aún es común que los gobiernos, sobre todo de las entidades federativas, influyan en la política editorial de los medios de comunicación bajo el argumento de los acuerdos publicitarios.</w:t>
      </w:r>
    </w:p>
  </w:footnote>
  <w:footnote w:id="15">
    <w:p w14:paraId="31D3A2B3" w14:textId="77777777" w:rsidR="00313D95" w:rsidRDefault="00313D95">
      <w:r>
        <w:rPr>
          <w:rStyle w:val="Caracteresdenotaalpie"/>
        </w:rPr>
        <w:footnoteRef/>
      </w:r>
      <w:r>
        <w:br w:type="page"/>
      </w:r>
      <w:r>
        <w:rPr>
          <w:rStyle w:val="Refdenotaalpie1"/>
        </w:rPr>
        <w:tab/>
      </w:r>
      <w:r>
        <w:t xml:space="preserve"> </w:t>
      </w:r>
    </w:p>
  </w:footnote>
  <w:footnote w:id="16">
    <w:p w14:paraId="17AA46E9" w14:textId="7E3E11C4" w:rsidR="00313D95" w:rsidRDefault="00313D95">
      <w:r>
        <w:rPr>
          <w:rStyle w:val="Caracteresdenotaalpie"/>
        </w:rPr>
        <w:footnoteRef/>
      </w:r>
      <w:r w:rsidR="0094330E">
        <w:t xml:space="preserve"> En este documento se  integran algunas medidas de protección a periodistas.</w:t>
      </w:r>
      <w:r>
        <w:br w:type="page"/>
      </w:r>
      <w:r>
        <w:rPr>
          <w:rStyle w:val="Refdenotaalpie1"/>
        </w:rPr>
        <w:tab/>
      </w:r>
      <w:r>
        <w:t xml:space="preserve"> </w:t>
      </w:r>
    </w:p>
  </w:footnote>
  <w:footnote w:id="17">
    <w:p w14:paraId="11FA09E2" w14:textId="77777777" w:rsidR="00313D95" w:rsidRDefault="00313D95">
      <w:r>
        <w:rPr>
          <w:rStyle w:val="Caracteresdenotaalpie"/>
        </w:rPr>
        <w:footnoteRef/>
      </w:r>
      <w:r>
        <w:br w:type="page"/>
      </w:r>
      <w:r>
        <w:rPr>
          <w:rStyle w:val="Refdenotaalpie1"/>
        </w:rPr>
        <w:tab/>
      </w:r>
      <w:r>
        <w:t xml:space="preserve"> Lozano indica que de haberse aplicado los criterios editoriales enunciados por dicho acuerdo se hubiera contribuido a mejorar la cobertura periodística sobre crimen organizado, no obstante, sus objetivos eran generales, lo cual impidió generar acciones concretas.</w:t>
      </w:r>
    </w:p>
  </w:footnote>
  <w:footnote w:id="18">
    <w:p w14:paraId="543B9E66" w14:textId="77777777" w:rsidR="00313D95" w:rsidRDefault="00313D95">
      <w:r>
        <w:rPr>
          <w:rStyle w:val="Caracteresdenotaalpie"/>
        </w:rPr>
        <w:footnoteRef/>
      </w:r>
      <w:r>
        <w:br w:type="page"/>
      </w:r>
      <w:r>
        <w:rPr>
          <w:rStyle w:val="Refdenotaalpie1"/>
        </w:rPr>
        <w:tab/>
      </w:r>
      <w:r>
        <w:t xml:space="preserve"> Ver http.//razonyraiz.com/wp-content/uploads/2016/06/CNDH-Antecedentes-del-Mecanismo-2015.pdf</w:t>
      </w:r>
    </w:p>
  </w:footnote>
  <w:footnote w:id="19">
    <w:p w14:paraId="2B193D28" w14:textId="77777777" w:rsidR="00313D95" w:rsidRDefault="00313D95">
      <w:r>
        <w:rPr>
          <w:rStyle w:val="Caracteresdenotaalpie"/>
        </w:rPr>
        <w:footnoteRef/>
      </w:r>
      <w:r>
        <w:br w:type="page"/>
      </w:r>
      <w:r>
        <w:rPr>
          <w:rStyle w:val="Refdenotaalpie1"/>
        </w:rPr>
        <w:tab/>
      </w:r>
      <w:r>
        <w:t xml:space="preserve"> </w:t>
      </w:r>
    </w:p>
  </w:footnote>
  <w:footnote w:id="20">
    <w:p w14:paraId="36930591" w14:textId="77777777" w:rsidR="00313D95" w:rsidRDefault="00313D95">
      <w:r>
        <w:rPr>
          <w:rStyle w:val="Caracteresdenotaalpie"/>
        </w:rPr>
        <w:footnoteRef/>
      </w:r>
      <w:r>
        <w:br w:type="page"/>
      </w:r>
      <w:r>
        <w:rPr>
          <w:rStyle w:val="Refdenotaalpie1"/>
        </w:rPr>
        <w:tab/>
      </w:r>
      <w:r>
        <w:t xml:space="preserve"> Ver http.//pnd.gob.mx/.</w:t>
      </w:r>
    </w:p>
  </w:footnote>
  <w:footnote w:id="21">
    <w:p w14:paraId="3738A818" w14:textId="410976C3" w:rsidR="00313D95" w:rsidRDefault="00313D95">
      <w:r>
        <w:rPr>
          <w:rStyle w:val="Caracteresdenotaalpie"/>
        </w:rPr>
        <w:footnoteRef/>
      </w:r>
      <w:r w:rsidR="00BB13A8">
        <w:t xml:space="preserve"> Foucault  refiere  la existencia de sociedades disciplinarias.</w:t>
      </w:r>
      <w:r>
        <w:br w:type="page"/>
      </w:r>
      <w:r>
        <w:rPr>
          <w:rStyle w:val="Refdenotaalpie1"/>
        </w:rPr>
        <w:tab/>
      </w:r>
      <w:r>
        <w:t xml:space="preserve"> </w:t>
      </w:r>
    </w:p>
  </w:footnote>
  <w:footnote w:id="22">
    <w:p w14:paraId="6940A979" w14:textId="77777777" w:rsidR="00313D95" w:rsidRDefault="00313D95">
      <w:r>
        <w:rPr>
          <w:rStyle w:val="Caracteresdenotaalpie"/>
        </w:rPr>
        <w:footnoteRef/>
      </w:r>
      <w:r>
        <w:br w:type="page"/>
      </w:r>
      <w:r>
        <w:rPr>
          <w:rStyle w:val="Refdenotaalpie1"/>
        </w:rPr>
        <w:tab/>
      </w:r>
      <w:r>
        <w:t xml:space="preserve"> </w:t>
      </w:r>
    </w:p>
  </w:footnote>
  <w:footnote w:id="23">
    <w:p w14:paraId="077D152C" w14:textId="77777777" w:rsidR="00313D95" w:rsidRDefault="00313D95">
      <w:r>
        <w:rPr>
          <w:rStyle w:val="Caracteresdenotaalpie"/>
        </w:rPr>
        <w:footnoteRef/>
      </w:r>
      <w:r>
        <w:br w:type="page"/>
      </w:r>
      <w:r>
        <w:rPr>
          <w:rStyle w:val="Refdenotaalpie1"/>
        </w:rPr>
        <w:tab/>
      </w:r>
      <w:r>
        <w:t xml:space="preserve"> Entropía desde el punto de vista social es el grado de desorden que tiene un sistema, de acuerdo con el Diccionario Porrúa.</w:t>
      </w:r>
    </w:p>
  </w:footnote>
  <w:footnote w:id="24">
    <w:p w14:paraId="321EC65E" w14:textId="77777777" w:rsidR="00313D95" w:rsidRDefault="00313D95">
      <w:r>
        <w:rPr>
          <w:rStyle w:val="Caracteresdenotaalpie"/>
        </w:rPr>
        <w:footnoteRef/>
      </w:r>
      <w:r>
        <w:br w:type="page"/>
      </w:r>
      <w:r>
        <w:rPr>
          <w:rStyle w:val="Refdenotaalpie1"/>
        </w:rPr>
        <w:tab/>
      </w:r>
      <w:r>
        <w:t xml:space="preserve"> Un código binario u operacional es una estructura valórica mediante la cual se puede verificar el decantamiento de lo que aprende o desecha cada subsistema (Basabe, 2005).</w:t>
      </w:r>
    </w:p>
  </w:footnote>
  <w:footnote w:id="25">
    <w:p w14:paraId="40AD3A7F" w14:textId="77777777" w:rsidR="00313D95" w:rsidRDefault="00313D95">
      <w:r>
        <w:rPr>
          <w:rStyle w:val="Caracteresdenotaalpie"/>
        </w:rPr>
        <w:footnoteRef/>
      </w:r>
      <w:r>
        <w:br w:type="page"/>
      </w:r>
      <w:r>
        <w:rPr>
          <w:rStyle w:val="Refdenotaalpie1"/>
        </w:rPr>
        <w:tab/>
      </w:r>
      <w:r>
        <w:t xml:space="preserve"> Claudio Grossman hace esta referencia de las normas que se ubican dentro del Sistema Interamericano de Protección de los Derechos Humanos.</w:t>
      </w:r>
    </w:p>
  </w:footnote>
  <w:footnote w:id="26">
    <w:p w14:paraId="20C2A95C" w14:textId="77777777" w:rsidR="00313D95" w:rsidRDefault="00313D95">
      <w:r>
        <w:rPr>
          <w:rStyle w:val="Caracteresdenotaalpie"/>
        </w:rPr>
        <w:footnoteRef/>
      </w:r>
      <w:r>
        <w:br w:type="page"/>
      </w:r>
      <w:r>
        <w:rPr>
          <w:rStyle w:val="Refdenotaalpie1"/>
        </w:rPr>
        <w:tab/>
      </w:r>
      <w:r>
        <w:t xml:space="preserve"> Dicha reforma cambió el paradigma de bien común por el de dignidad humana, con el cual se busca reconocer derechos de las minorías y la protección más amplia en materia de derechos humanos.</w:t>
      </w:r>
    </w:p>
  </w:footnote>
  <w:footnote w:id="27">
    <w:p w14:paraId="6B89A6ED" w14:textId="77777777" w:rsidR="00313D95" w:rsidRDefault="00313D95">
      <w:r>
        <w:rPr>
          <w:rStyle w:val="Caracteresdenotaalpie"/>
        </w:rPr>
        <w:footnoteRef/>
      </w:r>
      <w:r>
        <w:br w:type="page"/>
      </w:r>
      <w:r>
        <w:rPr>
          <w:rStyle w:val="Refdenotaalpie1"/>
        </w:rPr>
        <w:tab/>
      </w:r>
      <w:r>
        <w:t xml:space="preserve"> Ver </w:t>
      </w:r>
      <w:hyperlink r:id="rId2" w:history="1">
        <w:r>
          <w:rPr>
            <w:rStyle w:val="Hipervnculo"/>
          </w:rPr>
          <w:t>http. //pnd.gob.mx/</w:t>
        </w:r>
      </w:hyperlink>
      <w:r>
        <w:t xml:space="preserve">. </w:t>
      </w:r>
    </w:p>
  </w:footnote>
  <w:footnote w:id="28">
    <w:p w14:paraId="17E6263D" w14:textId="77777777" w:rsidR="00313D95" w:rsidRDefault="00313D95">
      <w:r>
        <w:rPr>
          <w:rStyle w:val="Caracteresdenotaalpie"/>
        </w:rPr>
        <w:footnoteRef/>
      </w:r>
      <w:r>
        <w:br w:type="page"/>
      </w:r>
      <w:r>
        <w:rPr>
          <w:rStyle w:val="Refdenotaalpie1"/>
        </w:rPr>
        <w:tab/>
      </w:r>
      <w:r>
        <w:t xml:space="preserve"> Corrupción entendida como la práctica que consiste en hacer abuso de poder, así como de funciones o de medios para sacar provecho económico o de otra índole, según el Diccionario Larousse</w:t>
      </w:r>
      <w:r>
        <w:rPr>
          <w:rFonts w:ascii="Arial" w:hAnsi="Arial" w:cs="Arial"/>
          <w:color w:val="006621"/>
          <w:sz w:val="21"/>
          <w:szCs w:val="21"/>
        </w:rPr>
        <w:t>.</w:t>
      </w:r>
      <w:r>
        <w:br w:type="page"/>
      </w:r>
    </w:p>
  </w:footnote>
  <w:footnote w:id="29">
    <w:p w14:paraId="216AED5D" w14:textId="77777777" w:rsidR="00313D95" w:rsidRDefault="00313D95">
      <w:pPr>
        <w:pStyle w:val="Textonotapie"/>
      </w:pPr>
      <w:r>
        <w:rPr>
          <w:rStyle w:val="Refdenotaalpie"/>
        </w:rPr>
        <w:footnoteRef/>
      </w:r>
      <w:r>
        <w:t xml:space="preserve"> Buendía y Esquivel describen estas características que se produjeron en el contexto de la supuesta libertad de expresión.</w:t>
      </w:r>
    </w:p>
  </w:footnote>
  <w:footnote w:id="30">
    <w:p w14:paraId="73E3EF80" w14:textId="4349E392" w:rsidR="00313D95" w:rsidRDefault="00313D95">
      <w:pPr>
        <w:pStyle w:val="Textonotapie"/>
      </w:pPr>
      <w:r>
        <w:rPr>
          <w:rStyle w:val="Refdenotaalpie"/>
        </w:rPr>
        <w:footnoteRef/>
      </w:r>
      <w:r>
        <w:t xml:space="preserve"> Las limitaciones consisten en aspectos económicos que enfrentan los propios periodistas para realizar su labor, lo cual provoca que se “normalicen” prácticas como la publicidad discrecional, el optar por la autocensura y el autoritarismo del poder público respecto de los contenidos elaborados por periodistas.</w:t>
      </w:r>
    </w:p>
  </w:footnote>
  <w:footnote w:id="31">
    <w:p w14:paraId="1E20DDE8" w14:textId="77777777" w:rsidR="00313D95" w:rsidRDefault="00313D95">
      <w:pPr>
        <w:pStyle w:val="Textonotapie"/>
      </w:pPr>
      <w:r>
        <w:rPr>
          <w:rStyle w:val="Refdenotaalpie"/>
        </w:rPr>
        <w:footnoteRef/>
      </w:r>
      <w:r>
        <w:t xml:space="preserve"> La Escuela de Chicago señala que una de las funciones de periodismo es evitar la llamada “fábrica de consensos”, gestada desde los distintos gobiernos.</w:t>
      </w:r>
    </w:p>
  </w:footnote>
  <w:footnote w:id="32">
    <w:p w14:paraId="0E1D34F5" w14:textId="2B4991BC" w:rsidR="00313D95" w:rsidRDefault="00313D95" w:rsidP="00694C62">
      <w:pPr>
        <w:pStyle w:val="Textonotapie"/>
        <w:ind w:left="0" w:firstLine="0"/>
      </w:pPr>
      <w:r>
        <w:rPr>
          <w:rStyle w:val="Refdenotaalpie"/>
        </w:rPr>
        <w:footnoteRef/>
      </w:r>
      <w:r>
        <w:t xml:space="preserve"> </w:t>
      </w:r>
      <w:hyperlink r:id="rId3" w:history="1">
        <w:r w:rsidRPr="00E006BE">
          <w:rPr>
            <w:rStyle w:val="Hipervnculo"/>
          </w:rPr>
          <w:t>www.eluniversal.com.mx/nacion/politica/enterate-que-dice-la-ley-general-de-comunicacion-social</w:t>
        </w:r>
      </w:hyperlink>
      <w:r>
        <w:t>. Ante la omisión, la Suprema Corte de Justicia de la Nación, derivado de inconformidades de organizaciones no gubernamentales, fijó como plazo para aprobar dicha norma el 30 de abril de 2018.</w:t>
      </w:r>
    </w:p>
  </w:footnote>
  <w:footnote w:id="33">
    <w:p w14:paraId="02998EA0" w14:textId="6BA9C095" w:rsidR="00313D95" w:rsidRDefault="00313D95">
      <w:pPr>
        <w:pStyle w:val="Textonotapie"/>
      </w:pPr>
      <w:r>
        <w:rPr>
          <w:rStyle w:val="Refdenotaalpie"/>
        </w:rPr>
        <w:footnoteRef/>
      </w:r>
      <w:r>
        <w:t xml:space="preserve"> </w:t>
      </w:r>
      <w:hyperlink r:id="rId4" w:history="1">
        <w:r>
          <w:rPr>
            <w:rStyle w:val="Hipervnculo"/>
          </w:rPr>
          <w:t>http://www.diputados.gob.mx/LeyesBiblio/pdf/LGCS_110518.pdf</w:t>
        </w:r>
      </w:hyperlink>
    </w:p>
  </w:footnote>
  <w:footnote w:id="34">
    <w:p w14:paraId="3FD1808C" w14:textId="50B1532C" w:rsidR="00313D95" w:rsidRDefault="00313D95">
      <w:pPr>
        <w:pStyle w:val="Textonotapie"/>
      </w:pPr>
      <w:r>
        <w:rPr>
          <w:rStyle w:val="Refdenotaalpie"/>
        </w:rPr>
        <w:footnoteRef/>
      </w:r>
      <w:r>
        <w:t xml:space="preserve"> </w:t>
      </w:r>
      <w:hyperlink r:id="rId5" w:history="1">
        <w:r>
          <w:rPr>
            <w:rStyle w:val="Hipervnculo"/>
          </w:rPr>
          <w:t>https://www.animalpolitico.com/2018/04/senado-ley-chayote-publicidad-oficial/</w:t>
        </w:r>
      </w:hyperlink>
    </w:p>
  </w:footnote>
  <w:footnote w:id="35">
    <w:p w14:paraId="10733A4B" w14:textId="05D210E8" w:rsidR="00313D95" w:rsidRDefault="00313D95">
      <w:pPr>
        <w:pStyle w:val="Textonotapie"/>
      </w:pPr>
      <w:r>
        <w:rPr>
          <w:rStyle w:val="Refdenotaalpie"/>
        </w:rPr>
        <w:footnoteRef/>
      </w:r>
      <w:r>
        <w:t xml:space="preserve"> </w:t>
      </w:r>
      <w:hyperlink r:id="rId6" w:history="1">
        <w:r>
          <w:rPr>
            <w:rStyle w:val="Hipervnculo"/>
          </w:rPr>
          <w:t>https://www.elfinanciero.com.mx/nacional/morena-propone-nueva-ley-de-comunicacion-y-derogar-la-ley-chayote-del-pri</w:t>
        </w:r>
      </w:hyperlink>
    </w:p>
  </w:footnote>
  <w:footnote w:id="36">
    <w:p w14:paraId="190E2A57" w14:textId="74601EF2" w:rsidR="00313D95" w:rsidRDefault="00313D95">
      <w:pPr>
        <w:pStyle w:val="Textonotapie"/>
      </w:pPr>
      <w:r>
        <w:rPr>
          <w:rStyle w:val="Refdenotaalpie"/>
        </w:rPr>
        <w:footnoteRef/>
      </w:r>
      <w:r>
        <w:t xml:space="preserve"> Hidalgo (2018) advierte que con esta censura se evita el ejercicio de un derecho que no se tiene (censura previa) y también se censura el abuso del derecho, que aunque se puede tener, causa perjuicio si se ejerce. También apunta que el inciso 2 del artículo 13 de la Convención Americana de Derechos Humanos confunde la censura de la libertad con la censura del derecho, pues insiste en que no puede existir la censura previa de la libertad humana, pero sí la censura previa, en tutela del bien común, del derecho individual. </w:t>
      </w:r>
    </w:p>
  </w:footnote>
  <w:footnote w:id="37">
    <w:p w14:paraId="789965C0" w14:textId="3C13D3A5" w:rsidR="00313D95" w:rsidRDefault="00313D95">
      <w:pPr>
        <w:pStyle w:val="Textonotapie"/>
      </w:pPr>
      <w:r>
        <w:rPr>
          <w:rStyle w:val="Refdenotaalpie"/>
        </w:rPr>
        <w:footnoteRef/>
      </w:r>
      <w:r>
        <w:t xml:space="preserve"> Distintos autores han advertido que el elemento más importante del periodismo no es la objetivad, pues sólo existiría la objetividad ontológica de las cosas, mientras que una variable de mayor claridad lo constituye la responsabilidad, entendida como el ejercicio para garantizar racionalidad, equilibrio y veracidad en la información difundida. </w:t>
      </w:r>
    </w:p>
  </w:footnote>
  <w:footnote w:id="38">
    <w:p w14:paraId="60F97A3D" w14:textId="7BB77722" w:rsidR="00313D95" w:rsidRDefault="00313D95" w:rsidP="0037649B">
      <w:pPr>
        <w:pStyle w:val="Textonotapie"/>
      </w:pPr>
      <w:r>
        <w:rPr>
          <w:rStyle w:val="Refdenotaalpie"/>
        </w:rPr>
        <w:footnoteRef/>
      </w:r>
      <w:r>
        <w:t xml:space="preserve"> Tomado de </w:t>
      </w:r>
      <w:hyperlink r:id="rId7" w:history="1">
        <w:r>
          <w:rPr>
            <w:rStyle w:val="Hipervnculo"/>
          </w:rPr>
          <w:t>http://informe.cndh.org.mx/uploads/menu/40112/InformeEspecial-PubliOficial.pdf</w:t>
        </w:r>
      </w:hyperlink>
      <w:r>
        <w:rPr>
          <w:rStyle w:val="Hipervnculo"/>
        </w:rPr>
        <w:t xml:space="preserve">, donde se hace referencia a </w:t>
      </w:r>
      <w:r>
        <w:t>Zaldívar, Arturo. Un fallo histórico: el juicio de amparo contra omisiones legislativas y la regulación de la publicidad oficial. Publicado en Revista ESTEPAIS, número 321. Enero 2018. México. pág.9.</w:t>
      </w:r>
    </w:p>
  </w:footnote>
  <w:footnote w:id="39">
    <w:p w14:paraId="792E2F73" w14:textId="77777777" w:rsidR="00313D95" w:rsidRDefault="00313D95" w:rsidP="000D7076">
      <w:pPr>
        <w:pStyle w:val="Textonotapie"/>
      </w:pPr>
      <w:r>
        <w:rPr>
          <w:rStyle w:val="Refdenotaalpie"/>
        </w:rPr>
        <w:footnoteRef/>
      </w:r>
      <w:r>
        <w:t xml:space="preserve"> El ejercicio periodístico deriva de las distintas características que pueden atribuirse al periodismo. El periodismo es la actividad del periodista y un periodista es el profesional de la información (Gomis, 1991).</w:t>
      </w:r>
    </w:p>
  </w:footnote>
  <w:footnote w:id="40">
    <w:p w14:paraId="7BDF5485" w14:textId="77777777" w:rsidR="00313D95" w:rsidRDefault="00313D95" w:rsidP="000D7076">
      <w:pPr>
        <w:pStyle w:val="Textonotapie"/>
      </w:pPr>
      <w:r>
        <w:rPr>
          <w:rStyle w:val="Refdenotaalpie"/>
        </w:rPr>
        <w:footnoteRef/>
      </w:r>
      <w:r>
        <w:t xml:space="preserve"> Ver </w:t>
      </w:r>
      <w:r w:rsidRPr="00025045">
        <w:t>http://metricadigital.com/el-sur-mexiquense-periodismo-bajo-acecho</w:t>
      </w:r>
    </w:p>
  </w:footnote>
  <w:footnote w:id="41">
    <w:p w14:paraId="41BA7B5C" w14:textId="77777777" w:rsidR="00313D95" w:rsidRDefault="00313D95" w:rsidP="000D7076">
      <w:pPr>
        <w:pStyle w:val="Textonotapie"/>
      </w:pPr>
      <w:r>
        <w:rPr>
          <w:rStyle w:val="Refdenotaalpie"/>
        </w:rPr>
        <w:footnoteRef/>
      </w:r>
      <w:r>
        <w:t xml:space="preserve"> Ver Crimen Organizado en Sierra de Nanchititla: Un viaje a través de las escalas implicadas en el desarrollo turístico sustentable (DTS).</w:t>
      </w:r>
    </w:p>
  </w:footnote>
  <w:footnote w:id="42">
    <w:p w14:paraId="35B8A877" w14:textId="711C376D" w:rsidR="00313D95" w:rsidRDefault="00313D95">
      <w:pPr>
        <w:pStyle w:val="Textonotapie"/>
      </w:pPr>
      <w:r>
        <w:rPr>
          <w:rStyle w:val="Refdenotaalpie"/>
        </w:rPr>
        <w:footnoteRef/>
      </w:r>
      <w:r>
        <w:t xml:space="preserve"> Ver </w:t>
      </w:r>
      <w:r w:rsidRPr="00025045">
        <w:t>http://metricadigital.com/el-sur-mexiquense-periodismo-bajo-acecho</w:t>
      </w:r>
      <w:r>
        <w:t>.</w:t>
      </w:r>
    </w:p>
  </w:footnote>
  <w:footnote w:id="43">
    <w:p w14:paraId="243E3456" w14:textId="77777777" w:rsidR="00313D95" w:rsidRDefault="00313D95" w:rsidP="000D7076">
      <w:pPr>
        <w:pStyle w:val="Textonotapie"/>
      </w:pPr>
      <w:r>
        <w:rPr>
          <w:rStyle w:val="Refdenotaalpie"/>
        </w:rPr>
        <w:footnoteRef/>
      </w:r>
      <w:r>
        <w:t xml:space="preserve"> Ver </w:t>
      </w:r>
      <w:r w:rsidRPr="00966B65">
        <w:t>http://www.animalpolitico.com/2014/08/muere-hijo-de-periodista-en-ataque-radio-comunitaria/</w:t>
      </w:r>
    </w:p>
  </w:footnote>
  <w:footnote w:id="44">
    <w:p w14:paraId="24140592" w14:textId="4E87D0C3" w:rsidR="00313D95" w:rsidRDefault="00313D95" w:rsidP="00D566B0">
      <w:pPr>
        <w:spacing w:line="360" w:lineRule="auto"/>
        <w:jc w:val="both"/>
        <w:rPr>
          <w:rFonts w:ascii="Arial" w:hAnsi="Arial" w:cs="Arial"/>
          <w:sz w:val="24"/>
          <w:szCs w:val="24"/>
        </w:rPr>
      </w:pPr>
      <w:r>
        <w:rPr>
          <w:rStyle w:val="Refdenotaalpie"/>
        </w:rPr>
        <w:footnoteRef/>
      </w:r>
      <w:r>
        <w:t xml:space="preserve"> Comunicado de prensa 5460/2015 emitido por la Coordinación General de Comunicación Social del gobierno del Estado de México el 4 de noviembre de 2015. </w:t>
      </w:r>
    </w:p>
    <w:p w14:paraId="016A8643" w14:textId="408A71AB" w:rsidR="00313D95" w:rsidRDefault="00313D95" w:rsidP="000D7076">
      <w:pPr>
        <w:pStyle w:val="Textonotapie"/>
      </w:pPr>
    </w:p>
  </w:footnote>
  <w:footnote w:id="45">
    <w:p w14:paraId="350821D6" w14:textId="0018DFB2" w:rsidR="00313D95" w:rsidRDefault="00313D95" w:rsidP="00FC7127">
      <w:pPr>
        <w:spacing w:line="360" w:lineRule="auto"/>
        <w:jc w:val="both"/>
        <w:rPr>
          <w:rFonts w:ascii="Arial" w:hAnsi="Arial" w:cs="Arial"/>
          <w:sz w:val="24"/>
          <w:szCs w:val="24"/>
        </w:rPr>
      </w:pPr>
      <w:r>
        <w:rPr>
          <w:rStyle w:val="Refdenotaalpie"/>
        </w:rPr>
        <w:footnoteRef/>
      </w:r>
      <w:r>
        <w:t xml:space="preserve"> Ver </w:t>
      </w:r>
      <w:r w:rsidRPr="00FC7127">
        <w:t>http://www.archivo.metricadigital.com/index.php/sociedad/item/951-debe-edomex-mas-disculpas-ahora-por-vincular-a-radio-calentana-con-ilicitos.html</w:t>
      </w:r>
      <w:r>
        <w:t xml:space="preserve"> (actualizar)</w:t>
      </w:r>
    </w:p>
    <w:p w14:paraId="1406E2F7" w14:textId="77777777" w:rsidR="00313D95" w:rsidRDefault="00313D95" w:rsidP="00FC7127">
      <w:pPr>
        <w:pStyle w:val="Textonotapie"/>
      </w:pPr>
    </w:p>
    <w:p w14:paraId="6EAD6299" w14:textId="03AE6CA7" w:rsidR="00313D95" w:rsidRDefault="00313D95" w:rsidP="000D7076">
      <w:pPr>
        <w:pStyle w:val="Textonotapie"/>
      </w:pPr>
    </w:p>
  </w:footnote>
  <w:footnote w:id="46">
    <w:p w14:paraId="36A0D875" w14:textId="29CB2B6C" w:rsidR="00194BEA" w:rsidRDefault="00194BEA">
      <w:pPr>
        <w:pStyle w:val="Textonotapie"/>
      </w:pPr>
      <w:r>
        <w:rPr>
          <w:rStyle w:val="Refdenotaalpie"/>
        </w:rPr>
        <w:footnoteRef/>
      </w:r>
      <w:r>
        <w:t xml:space="preserve"> </w:t>
      </w:r>
      <w:hyperlink r:id="rId8" w:history="1">
        <w:r>
          <w:rPr>
            <w:rStyle w:val="Hipervnculo"/>
          </w:rPr>
          <w:t>http://metricadigital.com/el-sur-mexiquense-periodismo-bajo-acecho</w:t>
        </w:r>
      </w:hyperlink>
    </w:p>
  </w:footnote>
  <w:footnote w:id="47">
    <w:p w14:paraId="1CB3FD1A" w14:textId="77777777" w:rsidR="00313D95" w:rsidRDefault="00313D95" w:rsidP="001D7B29">
      <w:r>
        <w:rPr>
          <w:rStyle w:val="Caracteresdenotaalpie"/>
        </w:rPr>
        <w:footnoteRef/>
      </w:r>
      <w:r>
        <w:br w:type="page"/>
      </w:r>
      <w:r>
        <w:rPr>
          <w:rStyle w:val="Refdenotaalpie2"/>
        </w:rPr>
        <w:tab/>
      </w:r>
      <w:r>
        <w:t xml:space="preserve"> Entrevista con el periodista Indalecio Benítez.</w:t>
      </w:r>
    </w:p>
  </w:footnote>
  <w:footnote w:id="48">
    <w:p w14:paraId="174930BC" w14:textId="0A74E403" w:rsidR="00313D95" w:rsidRDefault="00313D95" w:rsidP="001D7B29">
      <w:r>
        <w:rPr>
          <w:rStyle w:val="Caracteresdenotaalpie"/>
        </w:rPr>
        <w:footnoteRef/>
      </w:r>
      <w:r w:rsidR="009456AC">
        <w:t xml:space="preserve"> Dentro de un modelo democrático  el autoritarismo es una de las figuras  que el periodismo suele denunciar.</w:t>
      </w:r>
      <w:r>
        <w:br w:type="page"/>
      </w:r>
      <w:r>
        <w:rPr>
          <w:rStyle w:val="Refdenotaalpie2"/>
        </w:rPr>
        <w:tab/>
      </w:r>
      <w:r>
        <w:t xml:space="preserve"> </w:t>
      </w:r>
    </w:p>
  </w:footnote>
  <w:footnote w:id="49">
    <w:p w14:paraId="2B04309A" w14:textId="77777777" w:rsidR="00313D95" w:rsidRDefault="00313D95" w:rsidP="001D7B29">
      <w:r>
        <w:rPr>
          <w:rStyle w:val="Caracteresdenotaalpie"/>
        </w:rPr>
        <w:footnoteRef/>
      </w:r>
      <w:r>
        <w:br w:type="page"/>
      </w:r>
      <w:r>
        <w:rPr>
          <w:rStyle w:val="Refdenotaalpie2"/>
        </w:rPr>
        <w:tab/>
      </w:r>
      <w:r>
        <w:t xml:space="preserve"> Ver </w:t>
      </w:r>
      <w:hyperlink r:id="rId9" w:history="1">
        <w:r>
          <w:rPr>
            <w:rStyle w:val="Hipervnculo"/>
          </w:rPr>
          <w:t>https://www.sinembargo.mx/27-10-2018/3489951</w:t>
        </w:r>
      </w:hyperlink>
      <w:r>
        <w:t>.</w:t>
      </w:r>
    </w:p>
  </w:footnote>
  <w:footnote w:id="50">
    <w:p w14:paraId="7A143A35" w14:textId="77777777" w:rsidR="00313D95" w:rsidRDefault="00313D95" w:rsidP="001D7B29">
      <w:r>
        <w:rPr>
          <w:rStyle w:val="Caracteresdenotaalpie"/>
        </w:rPr>
        <w:footnoteRef/>
      </w:r>
      <w:r>
        <w:br w:type="page"/>
      </w:r>
      <w:r>
        <w:rPr>
          <w:rStyle w:val="Refdenotaalpie2"/>
        </w:rPr>
        <w:tab/>
      </w:r>
      <w:r>
        <w:t xml:space="preserve"> </w:t>
      </w:r>
      <w:hyperlink r:id="rId10" w:history="1">
        <w:r>
          <w:rPr>
            <w:rStyle w:val="Hipervnculo"/>
          </w:rPr>
          <w:t>https://www.sinembargo.mx/27-10-2018/3489951</w:t>
        </w:r>
      </w:hyperlink>
    </w:p>
  </w:footnote>
  <w:footnote w:id="51">
    <w:p w14:paraId="18DAD7CB" w14:textId="77777777" w:rsidR="00313D95" w:rsidRDefault="00313D95" w:rsidP="001D7B29">
      <w:r>
        <w:rPr>
          <w:rStyle w:val="Caracteresdenotaalpie"/>
        </w:rPr>
        <w:footnoteRef/>
      </w:r>
      <w:r>
        <w:br w:type="page"/>
      </w:r>
      <w:r>
        <w:rPr>
          <w:rStyle w:val="Refdenotaalpie2"/>
        </w:rPr>
        <w:tab/>
      </w:r>
      <w:r>
        <w:t xml:space="preserve"> Entrevista con el periodista Humberto Padgett.</w:t>
      </w:r>
    </w:p>
  </w:footnote>
  <w:footnote w:id="52">
    <w:p w14:paraId="5EF5A238" w14:textId="77777777" w:rsidR="00313D95" w:rsidRDefault="00313D95" w:rsidP="001D7B29">
      <w:r>
        <w:rPr>
          <w:rStyle w:val="Caracteresdenotaalpie"/>
        </w:rPr>
        <w:footnoteRef/>
      </w:r>
      <w:r>
        <w:br w:type="page"/>
      </w:r>
      <w:r>
        <w:rPr>
          <w:rStyle w:val="Refdenotaalpie2"/>
        </w:rPr>
        <w:tab/>
      </w:r>
      <w:r>
        <w:t xml:space="preserve"> Informe Especial sobre la Situación de la Libertad de Expresión en México, CIDH y RELE, 2018. </w:t>
      </w:r>
    </w:p>
  </w:footnote>
  <w:footnote w:id="53">
    <w:p w14:paraId="639459C6" w14:textId="77777777" w:rsidR="00313D95" w:rsidRDefault="00313D95" w:rsidP="001D7B29">
      <w:pPr>
        <w:pStyle w:val="Textonotapie"/>
      </w:pPr>
      <w:r>
        <w:rPr>
          <w:rStyle w:val="Refdenotaalpie"/>
        </w:rPr>
        <w:footnoteRef/>
      </w:r>
      <w:r>
        <w:t xml:space="preserve"> </w:t>
      </w:r>
      <w:hyperlink r:id="rId11" w:history="1">
        <w:r w:rsidRPr="00317EFB">
          <w:rPr>
            <w:rStyle w:val="Hipervnculo"/>
            <w:rFonts w:ascii="Arial" w:eastAsia="Times New Roman" w:hAnsi="Arial" w:cs="Arial"/>
            <w:color w:val="000000"/>
            <w:sz w:val="16"/>
            <w:szCs w:val="16"/>
          </w:rPr>
          <w:t>http://www.diccionariojuridico.mx/definicion/estado-de-derecho</w:t>
        </w:r>
      </w:hyperlink>
    </w:p>
  </w:footnote>
  <w:footnote w:id="54">
    <w:p w14:paraId="4D44DAEB" w14:textId="77777777" w:rsidR="00313D95" w:rsidRDefault="00313D95" w:rsidP="001D7B29">
      <w:pPr>
        <w:pStyle w:val="Textonotapie"/>
      </w:pPr>
      <w:r>
        <w:rPr>
          <w:rStyle w:val="Refdenotaalpie"/>
        </w:rPr>
        <w:footnoteRef/>
      </w:r>
      <w:r>
        <w:t xml:space="preserve"> Entrevista Indalecio Benítez.</w:t>
      </w:r>
    </w:p>
  </w:footnote>
  <w:footnote w:id="55">
    <w:p w14:paraId="658F48FA" w14:textId="77777777" w:rsidR="00313D95" w:rsidRDefault="00313D95" w:rsidP="001D7B29">
      <w:pPr>
        <w:pStyle w:val="Textonotapie"/>
      </w:pPr>
      <w:r>
        <w:rPr>
          <w:rStyle w:val="Refdenotaalpie"/>
        </w:rPr>
        <w:footnoteRef/>
      </w:r>
      <w:r>
        <w:t xml:space="preserve"> Mecanismo de protección para las personas defensoras de derechos humanos y periodistas, Secretaría de Gobernación, marzo de 2019.</w:t>
      </w:r>
    </w:p>
  </w:footnote>
  <w:footnote w:id="56">
    <w:p w14:paraId="44EF9655" w14:textId="77777777" w:rsidR="00313D95" w:rsidRDefault="00313D95" w:rsidP="001D7B29">
      <w:pPr>
        <w:pStyle w:val="Textonotapie"/>
      </w:pPr>
      <w:r>
        <w:rPr>
          <w:rStyle w:val="Refdenotaalpie"/>
        </w:rPr>
        <w:footnoteRef/>
      </w:r>
      <w:r>
        <w:t xml:space="preserve"> Mecanismo de protección para las personas defensoras de derechos humanos y periodistas, Secretaría de Gobernación, marzo de 2019.</w:t>
      </w:r>
    </w:p>
  </w:footnote>
  <w:footnote w:id="57">
    <w:p w14:paraId="092A03FA" w14:textId="70B73D70" w:rsidR="00FE0CC4" w:rsidRDefault="00FE0CC4">
      <w:pPr>
        <w:pStyle w:val="Textonotapie"/>
      </w:pPr>
      <w:r>
        <w:rPr>
          <w:rStyle w:val="Refdenotaalpie"/>
        </w:rPr>
        <w:footnoteRef/>
      </w:r>
      <w:r>
        <w:t xml:space="preserve"> De Aguinaga (2001) insiste que dentro del periodismo hay operaciones instrumentales y acciones para transformar la información en conocimiento.</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Ttulo1"/>
      <w:suff w:val="nothing"/>
      <w:lvlText w:val=""/>
      <w:lvlJc w:val="left"/>
      <w:pPr>
        <w:tabs>
          <w:tab w:val="num" w:pos="432"/>
        </w:tabs>
        <w:ind w:left="432" w:hanging="432"/>
      </w:pPr>
    </w:lvl>
    <w:lvl w:ilvl="1">
      <w:start w:val="1"/>
      <w:numFmt w:val="none"/>
      <w:pStyle w:val="Ttulo2"/>
      <w:suff w:val="nothing"/>
      <w:lvlText w:val=""/>
      <w:lvlJc w:val="left"/>
      <w:pPr>
        <w:tabs>
          <w:tab w:val="num" w:pos="576"/>
        </w:tabs>
        <w:ind w:left="576" w:hanging="576"/>
      </w:pPr>
    </w:lvl>
    <w:lvl w:ilvl="2">
      <w:start w:val="1"/>
      <w:numFmt w:val="none"/>
      <w:pStyle w:val="Ttulo3"/>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Num3"/>
    <w:lvl w:ilvl="0">
      <w:start w:val="1"/>
      <w:numFmt w:val="decimal"/>
      <w:lvlText w:val="%1."/>
      <w:lvlJc w:val="left"/>
      <w:pPr>
        <w:tabs>
          <w:tab w:val="num" w:pos="0"/>
        </w:tabs>
        <w:ind w:left="720" w:hanging="360"/>
      </w:pPr>
      <w:rPr>
        <w:b w:val="0"/>
      </w:rPr>
    </w:lvl>
    <w:lvl w:ilvl="1">
      <w:start w:val="1"/>
      <w:numFmt w:val="upperRoman"/>
      <w:lvlText w:val="%2."/>
      <w:lvlJc w:val="left"/>
      <w:pPr>
        <w:tabs>
          <w:tab w:val="num" w:pos="0"/>
        </w:tabs>
        <w:ind w:left="1800" w:hanging="720"/>
      </w:pPr>
    </w:lvl>
    <w:lvl w:ilvl="2">
      <w:start w:val="1"/>
      <w:numFmt w:val="lowerLetter"/>
      <w:lvlText w:val="%2.%3)"/>
      <w:lvlJc w:val="left"/>
      <w:pPr>
        <w:tabs>
          <w:tab w:val="num" w:pos="0"/>
        </w:tabs>
        <w:ind w:left="2340" w:hanging="360"/>
      </w:pPr>
      <w:rPr>
        <w:color w:val="00000A"/>
        <w:sz w:val="24"/>
      </w:r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15:restartNumberingAfterBreak="0">
    <w:nsid w:val="00000003"/>
    <w:multiLevelType w:val="multilevel"/>
    <w:tmpl w:val="00000003"/>
    <w:name w:val="WWNum5"/>
    <w:lvl w:ilvl="0">
      <w:start w:val="1"/>
      <w:numFmt w:val="lowerLetter"/>
      <w:lvlText w:val="%1)"/>
      <w:lvlJc w:val="left"/>
      <w:pPr>
        <w:tabs>
          <w:tab w:val="num" w:pos="0"/>
        </w:tabs>
        <w:ind w:left="1074" w:hanging="360"/>
      </w:pPr>
    </w:lvl>
    <w:lvl w:ilvl="1">
      <w:start w:val="1"/>
      <w:numFmt w:val="lowerLetter"/>
      <w:lvlText w:val="%2."/>
      <w:lvlJc w:val="left"/>
      <w:pPr>
        <w:tabs>
          <w:tab w:val="num" w:pos="0"/>
        </w:tabs>
        <w:ind w:left="1794" w:hanging="360"/>
      </w:pPr>
    </w:lvl>
    <w:lvl w:ilvl="2">
      <w:start w:val="1"/>
      <w:numFmt w:val="lowerRoman"/>
      <w:lvlText w:val="%2.%3."/>
      <w:lvlJc w:val="right"/>
      <w:pPr>
        <w:tabs>
          <w:tab w:val="num" w:pos="0"/>
        </w:tabs>
        <w:ind w:left="2514" w:hanging="180"/>
      </w:pPr>
    </w:lvl>
    <w:lvl w:ilvl="3">
      <w:start w:val="1"/>
      <w:numFmt w:val="decimal"/>
      <w:lvlText w:val="%2.%3.%4."/>
      <w:lvlJc w:val="left"/>
      <w:pPr>
        <w:tabs>
          <w:tab w:val="num" w:pos="0"/>
        </w:tabs>
        <w:ind w:left="3234" w:hanging="360"/>
      </w:pPr>
    </w:lvl>
    <w:lvl w:ilvl="4">
      <w:start w:val="1"/>
      <w:numFmt w:val="lowerLetter"/>
      <w:lvlText w:val="%2.%3.%4.%5."/>
      <w:lvlJc w:val="left"/>
      <w:pPr>
        <w:tabs>
          <w:tab w:val="num" w:pos="0"/>
        </w:tabs>
        <w:ind w:left="3954" w:hanging="360"/>
      </w:pPr>
    </w:lvl>
    <w:lvl w:ilvl="5">
      <w:start w:val="1"/>
      <w:numFmt w:val="lowerRoman"/>
      <w:lvlText w:val="%2.%3.%4.%5.%6."/>
      <w:lvlJc w:val="right"/>
      <w:pPr>
        <w:tabs>
          <w:tab w:val="num" w:pos="0"/>
        </w:tabs>
        <w:ind w:left="4674" w:hanging="180"/>
      </w:pPr>
    </w:lvl>
    <w:lvl w:ilvl="6">
      <w:start w:val="1"/>
      <w:numFmt w:val="decimal"/>
      <w:lvlText w:val="%2.%3.%4.%5.%6.%7."/>
      <w:lvlJc w:val="left"/>
      <w:pPr>
        <w:tabs>
          <w:tab w:val="num" w:pos="0"/>
        </w:tabs>
        <w:ind w:left="5394" w:hanging="360"/>
      </w:pPr>
    </w:lvl>
    <w:lvl w:ilvl="7">
      <w:start w:val="1"/>
      <w:numFmt w:val="lowerLetter"/>
      <w:lvlText w:val="%2.%3.%4.%5.%6.%7.%8."/>
      <w:lvlJc w:val="left"/>
      <w:pPr>
        <w:tabs>
          <w:tab w:val="num" w:pos="0"/>
        </w:tabs>
        <w:ind w:left="6114" w:hanging="360"/>
      </w:pPr>
    </w:lvl>
    <w:lvl w:ilvl="8">
      <w:start w:val="1"/>
      <w:numFmt w:val="lowerRoman"/>
      <w:lvlText w:val="%2.%3.%4.%5.%6.%7.%8.%9."/>
      <w:lvlJc w:val="right"/>
      <w:pPr>
        <w:tabs>
          <w:tab w:val="num" w:pos="0"/>
        </w:tabs>
        <w:ind w:left="6834" w:hanging="180"/>
      </w:pPr>
    </w:lvl>
  </w:abstractNum>
  <w:abstractNum w:abstractNumId="3" w15:restartNumberingAfterBreak="0">
    <w:nsid w:val="00000004"/>
    <w:multiLevelType w:val="multilevel"/>
    <w:tmpl w:val="00000004"/>
    <w:name w:val="WWNum6"/>
    <w:lvl w:ilvl="0">
      <w:start w:val="1"/>
      <w:numFmt w:val="decimal"/>
      <w:lvlText w:val="%1."/>
      <w:lvlJc w:val="left"/>
      <w:pPr>
        <w:tabs>
          <w:tab w:val="num" w:pos="0"/>
        </w:tabs>
        <w:ind w:left="1068" w:hanging="360"/>
      </w:pPr>
      <w:rPr>
        <w:rFonts w:cs="Arial"/>
        <w:b w:val="0"/>
        <w:bCs/>
        <w:i w:val="0"/>
        <w:iCs/>
        <w:color w:val="333333"/>
        <w:sz w:val="20"/>
        <w:szCs w:val="20"/>
        <w:lang w:val="es-ES"/>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4" w15:restartNumberingAfterBreak="0">
    <w:nsid w:val="00000005"/>
    <w:multiLevelType w:val="multilevel"/>
    <w:tmpl w:val="00000005"/>
    <w:name w:val="WWNum25"/>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06"/>
    <w:multiLevelType w:val="multilevel"/>
    <w:tmpl w:val="00000006"/>
    <w:name w:val="WWNum27"/>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6" w15:restartNumberingAfterBreak="0">
    <w:nsid w:val="00000007"/>
    <w:multiLevelType w:val="multilevel"/>
    <w:tmpl w:val="00000007"/>
    <w:name w:val="WWNum29"/>
    <w:lvl w:ilvl="0">
      <w:start w:val="2"/>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7" w15:restartNumberingAfterBreak="0">
    <w:nsid w:val="00000008"/>
    <w:multiLevelType w:val="multilevel"/>
    <w:tmpl w:val="00000008"/>
    <w:name w:val="WWNum30"/>
    <w:lvl w:ilvl="0">
      <w:start w:val="1"/>
      <w:numFmt w:val="bullet"/>
      <w:lvlText w:val=""/>
      <w:lvlJc w:val="left"/>
      <w:pPr>
        <w:tabs>
          <w:tab w:val="num" w:pos="0"/>
        </w:tabs>
        <w:ind w:left="720" w:hanging="360"/>
      </w:pPr>
      <w:rPr>
        <w:rFonts w:ascii="Symbol" w:hAnsi="Symbol"/>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8" w15:restartNumberingAfterBreak="0">
    <w:nsid w:val="00000009"/>
    <w:multiLevelType w:val="multilevel"/>
    <w:tmpl w:val="00000009"/>
    <w:name w:val="WWNum33"/>
    <w:lvl w:ilvl="0">
      <w:start w:val="1"/>
      <w:numFmt w:val="bullet"/>
      <w:lvlText w:val=""/>
      <w:lvlJc w:val="left"/>
      <w:pPr>
        <w:tabs>
          <w:tab w:val="num" w:pos="0"/>
        </w:tabs>
        <w:ind w:left="1428" w:hanging="360"/>
      </w:pPr>
      <w:rPr>
        <w:rFonts w:ascii="Symbol" w:hAnsi="Symbol"/>
      </w:rPr>
    </w:lvl>
    <w:lvl w:ilvl="1">
      <w:start w:val="1"/>
      <w:numFmt w:val="bullet"/>
      <w:lvlText w:val="o"/>
      <w:lvlJc w:val="left"/>
      <w:pPr>
        <w:tabs>
          <w:tab w:val="num" w:pos="0"/>
        </w:tabs>
        <w:ind w:left="2148" w:hanging="360"/>
      </w:pPr>
      <w:rPr>
        <w:rFonts w:ascii="Courier New" w:hAnsi="Courier New" w:cs="Courier New"/>
      </w:rPr>
    </w:lvl>
    <w:lvl w:ilvl="2">
      <w:start w:val="1"/>
      <w:numFmt w:val="bullet"/>
      <w:lvlText w:val=""/>
      <w:lvlJc w:val="left"/>
      <w:pPr>
        <w:tabs>
          <w:tab w:val="num" w:pos="0"/>
        </w:tabs>
        <w:ind w:left="2868" w:hanging="360"/>
      </w:pPr>
      <w:rPr>
        <w:rFonts w:ascii="Wingdings" w:hAnsi="Wingdings"/>
      </w:rPr>
    </w:lvl>
    <w:lvl w:ilvl="3">
      <w:start w:val="1"/>
      <w:numFmt w:val="bullet"/>
      <w:lvlText w:val=""/>
      <w:lvlJc w:val="left"/>
      <w:pPr>
        <w:tabs>
          <w:tab w:val="num" w:pos="0"/>
        </w:tabs>
        <w:ind w:left="3588" w:hanging="360"/>
      </w:pPr>
      <w:rPr>
        <w:rFonts w:ascii="Symbol" w:hAnsi="Symbol"/>
      </w:rPr>
    </w:lvl>
    <w:lvl w:ilvl="4">
      <w:start w:val="1"/>
      <w:numFmt w:val="bullet"/>
      <w:lvlText w:val="o"/>
      <w:lvlJc w:val="left"/>
      <w:pPr>
        <w:tabs>
          <w:tab w:val="num" w:pos="0"/>
        </w:tabs>
        <w:ind w:left="4308" w:hanging="360"/>
      </w:pPr>
      <w:rPr>
        <w:rFonts w:ascii="Courier New" w:hAnsi="Courier New" w:cs="Courier New"/>
      </w:rPr>
    </w:lvl>
    <w:lvl w:ilvl="5">
      <w:start w:val="1"/>
      <w:numFmt w:val="bullet"/>
      <w:lvlText w:val=""/>
      <w:lvlJc w:val="left"/>
      <w:pPr>
        <w:tabs>
          <w:tab w:val="num" w:pos="0"/>
        </w:tabs>
        <w:ind w:left="5028" w:hanging="360"/>
      </w:pPr>
      <w:rPr>
        <w:rFonts w:ascii="Wingdings" w:hAnsi="Wingdings"/>
      </w:rPr>
    </w:lvl>
    <w:lvl w:ilvl="6">
      <w:start w:val="1"/>
      <w:numFmt w:val="bullet"/>
      <w:lvlText w:val=""/>
      <w:lvlJc w:val="left"/>
      <w:pPr>
        <w:tabs>
          <w:tab w:val="num" w:pos="0"/>
        </w:tabs>
        <w:ind w:left="5748" w:hanging="360"/>
      </w:pPr>
      <w:rPr>
        <w:rFonts w:ascii="Symbol" w:hAnsi="Symbol"/>
      </w:rPr>
    </w:lvl>
    <w:lvl w:ilvl="7">
      <w:start w:val="1"/>
      <w:numFmt w:val="bullet"/>
      <w:lvlText w:val="o"/>
      <w:lvlJc w:val="left"/>
      <w:pPr>
        <w:tabs>
          <w:tab w:val="num" w:pos="0"/>
        </w:tabs>
        <w:ind w:left="6468" w:hanging="360"/>
      </w:pPr>
      <w:rPr>
        <w:rFonts w:ascii="Courier New" w:hAnsi="Courier New" w:cs="Courier New"/>
      </w:rPr>
    </w:lvl>
    <w:lvl w:ilvl="8">
      <w:start w:val="1"/>
      <w:numFmt w:val="bullet"/>
      <w:lvlText w:val=""/>
      <w:lvlJc w:val="left"/>
      <w:pPr>
        <w:tabs>
          <w:tab w:val="num" w:pos="0"/>
        </w:tabs>
        <w:ind w:left="7188" w:hanging="360"/>
      </w:pPr>
      <w:rPr>
        <w:rFonts w:ascii="Wingdings" w:hAnsi="Wingdings"/>
      </w:rPr>
    </w:lvl>
  </w:abstractNum>
  <w:abstractNum w:abstractNumId="9" w15:restartNumberingAfterBreak="0">
    <w:nsid w:val="0000000A"/>
    <w:multiLevelType w:val="multilevel"/>
    <w:tmpl w:val="0000000A"/>
    <w:name w:val="WWNum36"/>
    <w:lvl w:ilvl="0">
      <w:start w:val="1"/>
      <w:numFmt w:val="bullet"/>
      <w:lvlText w:val=""/>
      <w:lvlJc w:val="left"/>
      <w:pPr>
        <w:tabs>
          <w:tab w:val="num" w:pos="0"/>
        </w:tabs>
        <w:ind w:left="1069" w:hanging="360"/>
      </w:pPr>
      <w:rPr>
        <w:rFonts w:ascii="Symbol" w:hAnsi="Symbol"/>
        <w:color w:val="00000A"/>
      </w:rPr>
    </w:lvl>
    <w:lvl w:ilvl="1">
      <w:start w:val="1"/>
      <w:numFmt w:val="bullet"/>
      <w:lvlText w:val="o"/>
      <w:lvlJc w:val="left"/>
      <w:pPr>
        <w:tabs>
          <w:tab w:val="num" w:pos="0"/>
        </w:tabs>
        <w:ind w:left="1789" w:hanging="360"/>
      </w:pPr>
      <w:rPr>
        <w:rFonts w:ascii="Courier New" w:hAnsi="Courier New" w:cs="Courier New"/>
      </w:rPr>
    </w:lvl>
    <w:lvl w:ilvl="2">
      <w:start w:val="1"/>
      <w:numFmt w:val="bullet"/>
      <w:lvlText w:val=""/>
      <w:lvlJc w:val="left"/>
      <w:pPr>
        <w:tabs>
          <w:tab w:val="num" w:pos="0"/>
        </w:tabs>
        <w:ind w:left="2509" w:hanging="360"/>
      </w:pPr>
      <w:rPr>
        <w:rFonts w:ascii="Wingdings" w:hAnsi="Wingdings"/>
      </w:rPr>
    </w:lvl>
    <w:lvl w:ilvl="3">
      <w:start w:val="1"/>
      <w:numFmt w:val="bullet"/>
      <w:lvlText w:val=""/>
      <w:lvlJc w:val="left"/>
      <w:pPr>
        <w:tabs>
          <w:tab w:val="num" w:pos="0"/>
        </w:tabs>
        <w:ind w:left="3229" w:hanging="360"/>
      </w:pPr>
      <w:rPr>
        <w:rFonts w:ascii="Symbol" w:hAnsi="Symbol"/>
      </w:rPr>
    </w:lvl>
    <w:lvl w:ilvl="4">
      <w:start w:val="1"/>
      <w:numFmt w:val="bullet"/>
      <w:lvlText w:val="o"/>
      <w:lvlJc w:val="left"/>
      <w:pPr>
        <w:tabs>
          <w:tab w:val="num" w:pos="0"/>
        </w:tabs>
        <w:ind w:left="3949" w:hanging="360"/>
      </w:pPr>
      <w:rPr>
        <w:rFonts w:ascii="Courier New" w:hAnsi="Courier New" w:cs="Courier New"/>
      </w:rPr>
    </w:lvl>
    <w:lvl w:ilvl="5">
      <w:start w:val="1"/>
      <w:numFmt w:val="bullet"/>
      <w:lvlText w:val=""/>
      <w:lvlJc w:val="left"/>
      <w:pPr>
        <w:tabs>
          <w:tab w:val="num" w:pos="0"/>
        </w:tabs>
        <w:ind w:left="4669" w:hanging="360"/>
      </w:pPr>
      <w:rPr>
        <w:rFonts w:ascii="Wingdings" w:hAnsi="Wingdings"/>
      </w:rPr>
    </w:lvl>
    <w:lvl w:ilvl="6">
      <w:start w:val="1"/>
      <w:numFmt w:val="bullet"/>
      <w:lvlText w:val=""/>
      <w:lvlJc w:val="left"/>
      <w:pPr>
        <w:tabs>
          <w:tab w:val="num" w:pos="0"/>
        </w:tabs>
        <w:ind w:left="5389" w:hanging="360"/>
      </w:pPr>
      <w:rPr>
        <w:rFonts w:ascii="Symbol" w:hAnsi="Symbol"/>
      </w:rPr>
    </w:lvl>
    <w:lvl w:ilvl="7">
      <w:start w:val="1"/>
      <w:numFmt w:val="bullet"/>
      <w:lvlText w:val="o"/>
      <w:lvlJc w:val="left"/>
      <w:pPr>
        <w:tabs>
          <w:tab w:val="num" w:pos="0"/>
        </w:tabs>
        <w:ind w:left="6109" w:hanging="360"/>
      </w:pPr>
      <w:rPr>
        <w:rFonts w:ascii="Courier New" w:hAnsi="Courier New" w:cs="Courier New"/>
      </w:rPr>
    </w:lvl>
    <w:lvl w:ilvl="8">
      <w:start w:val="1"/>
      <w:numFmt w:val="bullet"/>
      <w:lvlText w:val=""/>
      <w:lvlJc w:val="left"/>
      <w:pPr>
        <w:tabs>
          <w:tab w:val="num" w:pos="0"/>
        </w:tabs>
        <w:ind w:left="6829" w:hanging="360"/>
      </w:pPr>
      <w:rPr>
        <w:rFonts w:ascii="Wingdings" w:hAnsi="Wingdings"/>
      </w:rPr>
    </w:lvl>
  </w:abstractNum>
  <w:abstractNum w:abstractNumId="10" w15:restartNumberingAfterBreak="0">
    <w:nsid w:val="0000000B"/>
    <w:multiLevelType w:val="multilevel"/>
    <w:tmpl w:val="0000000B"/>
    <w:name w:val="WWNum37"/>
    <w:lvl w:ilvl="0">
      <w:start w:val="1"/>
      <w:numFmt w:val="bullet"/>
      <w:lvlText w:val=""/>
      <w:lvlJc w:val="left"/>
      <w:pPr>
        <w:tabs>
          <w:tab w:val="num" w:pos="0"/>
        </w:tabs>
        <w:ind w:left="1068" w:hanging="360"/>
      </w:pPr>
      <w:rPr>
        <w:rFonts w:ascii="Symbol" w:hAnsi="Symbol"/>
        <w:b w:val="0"/>
        <w:bCs/>
        <w:i w:val="0"/>
        <w:iCs/>
        <w:color w:val="333333"/>
        <w:sz w:val="20"/>
        <w:szCs w:val="20"/>
        <w:lang w:val="es-ES"/>
      </w:r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11" w15:restartNumberingAfterBreak="0">
    <w:nsid w:val="0000000C"/>
    <w:multiLevelType w:val="multilevel"/>
    <w:tmpl w:val="0000000C"/>
    <w:name w:val="WWNum39"/>
    <w:lvl w:ilvl="0">
      <w:start w:val="1"/>
      <w:numFmt w:val="bullet"/>
      <w:lvlText w:val=""/>
      <w:lvlJc w:val="left"/>
      <w:pPr>
        <w:tabs>
          <w:tab w:val="num" w:pos="0"/>
        </w:tabs>
        <w:ind w:left="1068" w:hanging="360"/>
      </w:pPr>
      <w:rPr>
        <w:rFonts w:ascii="Symbol" w:hAnsi="Symbol"/>
        <w:b w:val="0"/>
        <w:bCs/>
        <w:i w:val="0"/>
        <w:iCs/>
        <w:color w:val="333333"/>
        <w:sz w:val="20"/>
        <w:szCs w:val="20"/>
        <w:lang w:val="es-ES"/>
      </w:rPr>
    </w:lvl>
    <w:lvl w:ilvl="1">
      <w:start w:val="1"/>
      <w:numFmt w:val="decimal"/>
      <w:lvlText w:val="%2."/>
      <w:lvlJc w:val="left"/>
      <w:pPr>
        <w:tabs>
          <w:tab w:val="num" w:pos="1080"/>
        </w:tabs>
        <w:ind w:left="1080" w:hanging="360"/>
      </w:pPr>
    </w:lvl>
    <w:lvl w:ilvl="2">
      <w:start w:val="1"/>
      <w:numFmt w:val="bullet"/>
      <w:lvlText w:val=""/>
      <w:lvlJc w:val="left"/>
      <w:pPr>
        <w:tabs>
          <w:tab w:val="num" w:pos="1440"/>
        </w:tabs>
        <w:ind w:left="1440" w:hanging="360"/>
      </w:pPr>
      <w:rPr>
        <w:rFonts w:ascii="Symbol" w:hAnsi="Symbol"/>
      </w:r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12" w15:restartNumberingAfterBreak="0">
    <w:nsid w:val="0000000D"/>
    <w:multiLevelType w:val="multilevel"/>
    <w:tmpl w:val="0000000D"/>
    <w:name w:val="WWNum40"/>
    <w:lvl w:ilvl="0">
      <w:start w:val="1"/>
      <w:numFmt w:val="upperRoman"/>
      <w:lvlText w:val="%1."/>
      <w:lvlJc w:val="left"/>
      <w:pPr>
        <w:tabs>
          <w:tab w:val="num" w:pos="0"/>
        </w:tabs>
        <w:ind w:left="1080" w:hanging="720"/>
      </w:pPr>
    </w:lvl>
    <w:lvl w:ilvl="1">
      <w:start w:val="1"/>
      <w:numFmt w:val="bullet"/>
      <w:lvlText w:val=""/>
      <w:lvlJc w:val="left"/>
      <w:pPr>
        <w:tabs>
          <w:tab w:val="num" w:pos="0"/>
        </w:tabs>
        <w:ind w:left="1440" w:hanging="360"/>
      </w:pPr>
      <w:rPr>
        <w:rFonts w:ascii="Symbol" w:hAnsi="Symbol"/>
      </w:rPr>
    </w:lvl>
    <w:lvl w:ilvl="2">
      <w:start w:val="7"/>
      <w:numFmt w:val="bullet"/>
      <w:lvlText w:val="-"/>
      <w:lvlJc w:val="left"/>
      <w:pPr>
        <w:tabs>
          <w:tab w:val="num" w:pos="0"/>
        </w:tabs>
        <w:ind w:left="2340" w:hanging="360"/>
      </w:pPr>
      <w:rPr>
        <w:rFonts w:ascii="Arial" w:hAnsi="Arial" w:cs="Arial"/>
      </w:r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3" w15:restartNumberingAfterBreak="0">
    <w:nsid w:val="0000000E"/>
    <w:multiLevelType w:val="multilevel"/>
    <w:tmpl w:val="0000000E"/>
    <w:name w:val="WWNum41"/>
    <w:lvl w:ilvl="0">
      <w:start w:val="1"/>
      <w:numFmt w:val="decimal"/>
      <w:lvlText w:val="%1."/>
      <w:lvlJc w:val="left"/>
      <w:pPr>
        <w:tabs>
          <w:tab w:val="num" w:pos="0"/>
        </w:tabs>
        <w:ind w:left="1068" w:hanging="360"/>
      </w:pPr>
      <w:rPr>
        <w:rFonts w:cs="Arial"/>
        <w:b w:val="0"/>
        <w:bCs/>
        <w:i w:val="0"/>
        <w:iCs/>
        <w:color w:val="333333"/>
        <w:sz w:val="20"/>
        <w:szCs w:val="20"/>
        <w:lang w:val="es-ES"/>
      </w:rPr>
    </w:lvl>
    <w:lvl w:ilvl="1">
      <w:start w:val="1"/>
      <w:numFmt w:val="bullet"/>
      <w:lvlText w:val=""/>
      <w:lvlJc w:val="left"/>
      <w:pPr>
        <w:tabs>
          <w:tab w:val="num" w:pos="1080"/>
        </w:tabs>
        <w:ind w:left="1080" w:hanging="360"/>
      </w:pPr>
      <w:rPr>
        <w:rFonts w:ascii="Symbol" w:hAnsi="Symbol"/>
      </w:r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14" w15:restartNumberingAfterBreak="0">
    <w:nsid w:val="0000000F"/>
    <w:multiLevelType w:val="multilevel"/>
    <w:tmpl w:val="0000000F"/>
    <w:name w:val="WWNum42"/>
    <w:lvl w:ilvl="0">
      <w:start w:val="1"/>
      <w:numFmt w:val="bullet"/>
      <w:lvlText w:val=""/>
      <w:lvlJc w:val="left"/>
      <w:pPr>
        <w:tabs>
          <w:tab w:val="num" w:pos="0"/>
        </w:tabs>
        <w:ind w:left="1080" w:hanging="720"/>
      </w:pPr>
      <w:rPr>
        <w:rFonts w:ascii="Symbol" w:hAnsi="Symbol"/>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5" w15:restartNumberingAfterBreak="0">
    <w:nsid w:val="00000010"/>
    <w:multiLevelType w:val="multilevel"/>
    <w:tmpl w:val="00000010"/>
    <w:name w:val="WWNum43"/>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1495" w:hanging="360"/>
      </w:pPr>
      <w:rPr>
        <w:rFonts w:ascii="Symbol" w:hAnsi="Symbol"/>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6" w15:restartNumberingAfterBreak="0">
    <w:nsid w:val="00000011"/>
    <w:multiLevelType w:val="multilevel"/>
    <w:tmpl w:val="00000011"/>
    <w:name w:val="WWNum44"/>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7" w15:restartNumberingAfterBreak="0">
    <w:nsid w:val="00000012"/>
    <w:multiLevelType w:val="multilevel"/>
    <w:tmpl w:val="00000012"/>
    <w:name w:val="WWNum45"/>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8" w15:restartNumberingAfterBreak="0">
    <w:nsid w:val="009A3B4F"/>
    <w:multiLevelType w:val="hybridMultilevel"/>
    <w:tmpl w:val="9FB2EBC4"/>
    <w:lvl w:ilvl="0" w:tplc="28B63D42">
      <w:start w:val="3"/>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9" w15:restartNumberingAfterBreak="0">
    <w:nsid w:val="13253316"/>
    <w:multiLevelType w:val="hybridMultilevel"/>
    <w:tmpl w:val="3A8210CC"/>
    <w:lvl w:ilvl="0" w:tplc="080A000F">
      <w:start w:val="1"/>
      <w:numFmt w:val="decimal"/>
      <w:lvlText w:val="%1."/>
      <w:lvlJc w:val="left"/>
      <w:pPr>
        <w:ind w:left="940" w:hanging="360"/>
      </w:pPr>
    </w:lvl>
    <w:lvl w:ilvl="1" w:tplc="080A0019" w:tentative="1">
      <w:start w:val="1"/>
      <w:numFmt w:val="lowerLetter"/>
      <w:lvlText w:val="%2."/>
      <w:lvlJc w:val="left"/>
      <w:pPr>
        <w:ind w:left="1660" w:hanging="360"/>
      </w:pPr>
    </w:lvl>
    <w:lvl w:ilvl="2" w:tplc="080A001B" w:tentative="1">
      <w:start w:val="1"/>
      <w:numFmt w:val="lowerRoman"/>
      <w:lvlText w:val="%3."/>
      <w:lvlJc w:val="right"/>
      <w:pPr>
        <w:ind w:left="2380" w:hanging="180"/>
      </w:pPr>
    </w:lvl>
    <w:lvl w:ilvl="3" w:tplc="080A000F" w:tentative="1">
      <w:start w:val="1"/>
      <w:numFmt w:val="decimal"/>
      <w:lvlText w:val="%4."/>
      <w:lvlJc w:val="left"/>
      <w:pPr>
        <w:ind w:left="3100" w:hanging="360"/>
      </w:pPr>
    </w:lvl>
    <w:lvl w:ilvl="4" w:tplc="080A0019" w:tentative="1">
      <w:start w:val="1"/>
      <w:numFmt w:val="lowerLetter"/>
      <w:lvlText w:val="%5."/>
      <w:lvlJc w:val="left"/>
      <w:pPr>
        <w:ind w:left="3820" w:hanging="360"/>
      </w:pPr>
    </w:lvl>
    <w:lvl w:ilvl="5" w:tplc="080A001B" w:tentative="1">
      <w:start w:val="1"/>
      <w:numFmt w:val="lowerRoman"/>
      <w:lvlText w:val="%6."/>
      <w:lvlJc w:val="right"/>
      <w:pPr>
        <w:ind w:left="4540" w:hanging="180"/>
      </w:pPr>
    </w:lvl>
    <w:lvl w:ilvl="6" w:tplc="080A000F" w:tentative="1">
      <w:start w:val="1"/>
      <w:numFmt w:val="decimal"/>
      <w:lvlText w:val="%7."/>
      <w:lvlJc w:val="left"/>
      <w:pPr>
        <w:ind w:left="5260" w:hanging="360"/>
      </w:pPr>
    </w:lvl>
    <w:lvl w:ilvl="7" w:tplc="080A0019" w:tentative="1">
      <w:start w:val="1"/>
      <w:numFmt w:val="lowerLetter"/>
      <w:lvlText w:val="%8."/>
      <w:lvlJc w:val="left"/>
      <w:pPr>
        <w:ind w:left="5980" w:hanging="360"/>
      </w:pPr>
    </w:lvl>
    <w:lvl w:ilvl="8" w:tplc="080A001B" w:tentative="1">
      <w:start w:val="1"/>
      <w:numFmt w:val="lowerRoman"/>
      <w:lvlText w:val="%9."/>
      <w:lvlJc w:val="right"/>
      <w:pPr>
        <w:ind w:left="6700" w:hanging="180"/>
      </w:pPr>
    </w:lvl>
  </w:abstractNum>
  <w:abstractNum w:abstractNumId="20" w15:restartNumberingAfterBreak="0">
    <w:nsid w:val="304574A6"/>
    <w:multiLevelType w:val="multilevel"/>
    <w:tmpl w:val="0000000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1" w15:restartNumberingAfterBreak="0">
    <w:nsid w:val="39640155"/>
    <w:multiLevelType w:val="multilevel"/>
    <w:tmpl w:val="0000000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2" w15:restartNumberingAfterBreak="0">
    <w:nsid w:val="3D036A04"/>
    <w:multiLevelType w:val="hybridMultilevel"/>
    <w:tmpl w:val="E4448F0C"/>
    <w:lvl w:ilvl="0" w:tplc="671AA9AE">
      <w:start w:val="1"/>
      <w:numFmt w:val="decimal"/>
      <w:lvlText w:val="%1"/>
      <w:lvlJc w:val="left"/>
      <w:pPr>
        <w:ind w:left="1429" w:hanging="360"/>
      </w:pPr>
      <w:rPr>
        <w:rFonts w:hint="default"/>
      </w:r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23" w15:restartNumberingAfterBreak="0">
    <w:nsid w:val="530D5F14"/>
    <w:multiLevelType w:val="hybridMultilevel"/>
    <w:tmpl w:val="B5807F58"/>
    <w:lvl w:ilvl="0" w:tplc="BC14FBB4">
      <w:start w:val="4"/>
      <w:numFmt w:val="upperRoman"/>
      <w:lvlText w:val="%1."/>
      <w:lvlJc w:val="left"/>
      <w:pPr>
        <w:ind w:left="1080" w:hanging="720"/>
      </w:pPr>
      <w:rPr>
        <w:rFonts w:ascii="Arial" w:hAnsi="Arial" w:cs="Arial" w:hint="default"/>
        <w:b/>
        <w:color w:val="00000A"/>
        <w:sz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54005566"/>
    <w:multiLevelType w:val="hybridMultilevel"/>
    <w:tmpl w:val="39586898"/>
    <w:lvl w:ilvl="0" w:tplc="F5346E20">
      <w:start w:val="1"/>
      <w:numFmt w:val="decimal"/>
      <w:lvlText w:val="%1."/>
      <w:lvlJc w:val="left"/>
      <w:pPr>
        <w:ind w:left="1069" w:hanging="360"/>
      </w:pPr>
      <w:rPr>
        <w:rFonts w:hint="default"/>
      </w:r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20"/>
  </w:num>
  <w:num w:numId="20">
    <w:abstractNumId w:val="21"/>
  </w:num>
  <w:num w:numId="21">
    <w:abstractNumId w:val="18"/>
  </w:num>
  <w:num w:numId="22">
    <w:abstractNumId w:val="19"/>
  </w:num>
  <w:num w:numId="23">
    <w:abstractNumId w:val="24"/>
  </w:num>
  <w:num w:numId="24">
    <w:abstractNumId w:val="22"/>
  </w:num>
  <w:num w:numId="2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savePreviewPicture/>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08A0"/>
    <w:rsid w:val="00013D7B"/>
    <w:rsid w:val="000214F6"/>
    <w:rsid w:val="0002159E"/>
    <w:rsid w:val="0002737A"/>
    <w:rsid w:val="00030C1B"/>
    <w:rsid w:val="00037422"/>
    <w:rsid w:val="0004194E"/>
    <w:rsid w:val="000432A4"/>
    <w:rsid w:val="00073AAD"/>
    <w:rsid w:val="0007525A"/>
    <w:rsid w:val="00076294"/>
    <w:rsid w:val="000A529D"/>
    <w:rsid w:val="000B1C59"/>
    <w:rsid w:val="000B7FF2"/>
    <w:rsid w:val="000C5284"/>
    <w:rsid w:val="000D7076"/>
    <w:rsid w:val="000E5660"/>
    <w:rsid w:val="00104325"/>
    <w:rsid w:val="00105D43"/>
    <w:rsid w:val="00115A1D"/>
    <w:rsid w:val="00117486"/>
    <w:rsid w:val="0012162F"/>
    <w:rsid w:val="0013417B"/>
    <w:rsid w:val="001478D5"/>
    <w:rsid w:val="0015213C"/>
    <w:rsid w:val="001553F1"/>
    <w:rsid w:val="0016114D"/>
    <w:rsid w:val="00163274"/>
    <w:rsid w:val="001669DC"/>
    <w:rsid w:val="00171E18"/>
    <w:rsid w:val="00175FC5"/>
    <w:rsid w:val="00183BD6"/>
    <w:rsid w:val="00187C85"/>
    <w:rsid w:val="00194BEA"/>
    <w:rsid w:val="001A1C2B"/>
    <w:rsid w:val="001B31BE"/>
    <w:rsid w:val="001D58E6"/>
    <w:rsid w:val="001D5B11"/>
    <w:rsid w:val="001D7B29"/>
    <w:rsid w:val="001E10A8"/>
    <w:rsid w:val="001F3533"/>
    <w:rsid w:val="00200C91"/>
    <w:rsid w:val="00215FB0"/>
    <w:rsid w:val="00224CC8"/>
    <w:rsid w:val="00232C5E"/>
    <w:rsid w:val="00232CBD"/>
    <w:rsid w:val="00235A88"/>
    <w:rsid w:val="0023671C"/>
    <w:rsid w:val="00255E04"/>
    <w:rsid w:val="00266267"/>
    <w:rsid w:val="00287645"/>
    <w:rsid w:val="002C2944"/>
    <w:rsid w:val="002C296E"/>
    <w:rsid w:val="002D2C95"/>
    <w:rsid w:val="002D2D36"/>
    <w:rsid w:val="002D4043"/>
    <w:rsid w:val="002D5985"/>
    <w:rsid w:val="002D6313"/>
    <w:rsid w:val="002E0A03"/>
    <w:rsid w:val="002E3B47"/>
    <w:rsid w:val="002E7AC5"/>
    <w:rsid w:val="003044C1"/>
    <w:rsid w:val="0030462B"/>
    <w:rsid w:val="00304BE1"/>
    <w:rsid w:val="00313D95"/>
    <w:rsid w:val="00331215"/>
    <w:rsid w:val="0033304A"/>
    <w:rsid w:val="00333EB2"/>
    <w:rsid w:val="0034074E"/>
    <w:rsid w:val="0035327D"/>
    <w:rsid w:val="00356F41"/>
    <w:rsid w:val="00360A2D"/>
    <w:rsid w:val="00363F61"/>
    <w:rsid w:val="00372CBC"/>
    <w:rsid w:val="0037649B"/>
    <w:rsid w:val="0038239D"/>
    <w:rsid w:val="003940F6"/>
    <w:rsid w:val="0039677F"/>
    <w:rsid w:val="003A7842"/>
    <w:rsid w:val="003C1273"/>
    <w:rsid w:val="003D7C45"/>
    <w:rsid w:val="003F10AB"/>
    <w:rsid w:val="003F54CC"/>
    <w:rsid w:val="0041236A"/>
    <w:rsid w:val="00421E1E"/>
    <w:rsid w:val="004358DB"/>
    <w:rsid w:val="00446C40"/>
    <w:rsid w:val="00450910"/>
    <w:rsid w:val="00451AB4"/>
    <w:rsid w:val="00456943"/>
    <w:rsid w:val="00471816"/>
    <w:rsid w:val="0047523C"/>
    <w:rsid w:val="004842C2"/>
    <w:rsid w:val="004C478C"/>
    <w:rsid w:val="004D3AD0"/>
    <w:rsid w:val="004E712F"/>
    <w:rsid w:val="004F0EE4"/>
    <w:rsid w:val="004F408B"/>
    <w:rsid w:val="004F655B"/>
    <w:rsid w:val="005514DE"/>
    <w:rsid w:val="00557862"/>
    <w:rsid w:val="005602E9"/>
    <w:rsid w:val="005715B2"/>
    <w:rsid w:val="0057617E"/>
    <w:rsid w:val="00577594"/>
    <w:rsid w:val="0058505C"/>
    <w:rsid w:val="0058616E"/>
    <w:rsid w:val="005A1C52"/>
    <w:rsid w:val="005A66F0"/>
    <w:rsid w:val="005A754E"/>
    <w:rsid w:val="005B05C8"/>
    <w:rsid w:val="005B4E7B"/>
    <w:rsid w:val="005D2F37"/>
    <w:rsid w:val="005D487A"/>
    <w:rsid w:val="005E2141"/>
    <w:rsid w:val="005F156B"/>
    <w:rsid w:val="005F2029"/>
    <w:rsid w:val="00600FC9"/>
    <w:rsid w:val="00615D96"/>
    <w:rsid w:val="00640834"/>
    <w:rsid w:val="00647641"/>
    <w:rsid w:val="00656512"/>
    <w:rsid w:val="006835C2"/>
    <w:rsid w:val="00687577"/>
    <w:rsid w:val="00694C62"/>
    <w:rsid w:val="00696D16"/>
    <w:rsid w:val="006A00AB"/>
    <w:rsid w:val="006A6846"/>
    <w:rsid w:val="006B084C"/>
    <w:rsid w:val="006B611F"/>
    <w:rsid w:val="006C54A9"/>
    <w:rsid w:val="006D14C6"/>
    <w:rsid w:val="006E6D03"/>
    <w:rsid w:val="00702CA6"/>
    <w:rsid w:val="00704018"/>
    <w:rsid w:val="00706458"/>
    <w:rsid w:val="0071259E"/>
    <w:rsid w:val="00717E08"/>
    <w:rsid w:val="00717E5C"/>
    <w:rsid w:val="00742E84"/>
    <w:rsid w:val="00745154"/>
    <w:rsid w:val="007456A0"/>
    <w:rsid w:val="007553C8"/>
    <w:rsid w:val="007578DA"/>
    <w:rsid w:val="00760F36"/>
    <w:rsid w:val="00761146"/>
    <w:rsid w:val="007635E8"/>
    <w:rsid w:val="00770FA2"/>
    <w:rsid w:val="00776B43"/>
    <w:rsid w:val="007808A0"/>
    <w:rsid w:val="00783F8B"/>
    <w:rsid w:val="007C3DC1"/>
    <w:rsid w:val="007C6337"/>
    <w:rsid w:val="007D050E"/>
    <w:rsid w:val="007D1680"/>
    <w:rsid w:val="007D5221"/>
    <w:rsid w:val="007E69E5"/>
    <w:rsid w:val="007E74F7"/>
    <w:rsid w:val="007F614F"/>
    <w:rsid w:val="00817ED6"/>
    <w:rsid w:val="00821AEE"/>
    <w:rsid w:val="008220B1"/>
    <w:rsid w:val="00853655"/>
    <w:rsid w:val="008538E7"/>
    <w:rsid w:val="00857713"/>
    <w:rsid w:val="00871622"/>
    <w:rsid w:val="008717B5"/>
    <w:rsid w:val="00873018"/>
    <w:rsid w:val="00876033"/>
    <w:rsid w:val="00882136"/>
    <w:rsid w:val="008B6BA7"/>
    <w:rsid w:val="008B799B"/>
    <w:rsid w:val="008C19B9"/>
    <w:rsid w:val="008C377F"/>
    <w:rsid w:val="008D28B8"/>
    <w:rsid w:val="008E529F"/>
    <w:rsid w:val="008E7716"/>
    <w:rsid w:val="009019FC"/>
    <w:rsid w:val="00907C18"/>
    <w:rsid w:val="0091069C"/>
    <w:rsid w:val="009226A2"/>
    <w:rsid w:val="00935463"/>
    <w:rsid w:val="009431E7"/>
    <w:rsid w:val="0094330E"/>
    <w:rsid w:val="0094520C"/>
    <w:rsid w:val="009456AC"/>
    <w:rsid w:val="009852D2"/>
    <w:rsid w:val="00992F38"/>
    <w:rsid w:val="009A6014"/>
    <w:rsid w:val="009F49C4"/>
    <w:rsid w:val="009F7D79"/>
    <w:rsid w:val="00A00AD4"/>
    <w:rsid w:val="00A07071"/>
    <w:rsid w:val="00A0749F"/>
    <w:rsid w:val="00A07578"/>
    <w:rsid w:val="00A20825"/>
    <w:rsid w:val="00A54222"/>
    <w:rsid w:val="00A57921"/>
    <w:rsid w:val="00A72374"/>
    <w:rsid w:val="00A72EB8"/>
    <w:rsid w:val="00A756C6"/>
    <w:rsid w:val="00A77EF2"/>
    <w:rsid w:val="00A91EA3"/>
    <w:rsid w:val="00AA1AEF"/>
    <w:rsid w:val="00AC46A3"/>
    <w:rsid w:val="00AD6743"/>
    <w:rsid w:val="00AD7274"/>
    <w:rsid w:val="00AD7CA8"/>
    <w:rsid w:val="00AF78F2"/>
    <w:rsid w:val="00B04D18"/>
    <w:rsid w:val="00B3488F"/>
    <w:rsid w:val="00B41AEA"/>
    <w:rsid w:val="00B63BAA"/>
    <w:rsid w:val="00B7114B"/>
    <w:rsid w:val="00B805E1"/>
    <w:rsid w:val="00B8137D"/>
    <w:rsid w:val="00B82563"/>
    <w:rsid w:val="00B86922"/>
    <w:rsid w:val="00B93EEE"/>
    <w:rsid w:val="00BA073F"/>
    <w:rsid w:val="00BA14F2"/>
    <w:rsid w:val="00BA539B"/>
    <w:rsid w:val="00BB13A8"/>
    <w:rsid w:val="00BB56C1"/>
    <w:rsid w:val="00BE77D8"/>
    <w:rsid w:val="00BF6636"/>
    <w:rsid w:val="00C1336B"/>
    <w:rsid w:val="00C13BFA"/>
    <w:rsid w:val="00C13FD3"/>
    <w:rsid w:val="00C177B7"/>
    <w:rsid w:val="00C26D6B"/>
    <w:rsid w:val="00C27363"/>
    <w:rsid w:val="00C33DFD"/>
    <w:rsid w:val="00C35F85"/>
    <w:rsid w:val="00C3634E"/>
    <w:rsid w:val="00C47701"/>
    <w:rsid w:val="00C60642"/>
    <w:rsid w:val="00C657DF"/>
    <w:rsid w:val="00C6634C"/>
    <w:rsid w:val="00C700B0"/>
    <w:rsid w:val="00CB3DE0"/>
    <w:rsid w:val="00CD1004"/>
    <w:rsid w:val="00CD416F"/>
    <w:rsid w:val="00CD528C"/>
    <w:rsid w:val="00CD789C"/>
    <w:rsid w:val="00CF2D18"/>
    <w:rsid w:val="00CF6A75"/>
    <w:rsid w:val="00CF6D92"/>
    <w:rsid w:val="00D04329"/>
    <w:rsid w:val="00D14F19"/>
    <w:rsid w:val="00D17B79"/>
    <w:rsid w:val="00D21763"/>
    <w:rsid w:val="00D26425"/>
    <w:rsid w:val="00D4268C"/>
    <w:rsid w:val="00D534E8"/>
    <w:rsid w:val="00D54A41"/>
    <w:rsid w:val="00D566B0"/>
    <w:rsid w:val="00D61099"/>
    <w:rsid w:val="00D81A3B"/>
    <w:rsid w:val="00D856DB"/>
    <w:rsid w:val="00D9008B"/>
    <w:rsid w:val="00DB1226"/>
    <w:rsid w:val="00DC555B"/>
    <w:rsid w:val="00DD50B5"/>
    <w:rsid w:val="00DD596A"/>
    <w:rsid w:val="00DD5D74"/>
    <w:rsid w:val="00DE18AB"/>
    <w:rsid w:val="00DE759D"/>
    <w:rsid w:val="00DF1338"/>
    <w:rsid w:val="00E030C9"/>
    <w:rsid w:val="00E046BB"/>
    <w:rsid w:val="00E20CAE"/>
    <w:rsid w:val="00E214E1"/>
    <w:rsid w:val="00E23A9E"/>
    <w:rsid w:val="00E33DA8"/>
    <w:rsid w:val="00E34CAA"/>
    <w:rsid w:val="00E40A22"/>
    <w:rsid w:val="00E62B21"/>
    <w:rsid w:val="00E76918"/>
    <w:rsid w:val="00E80F83"/>
    <w:rsid w:val="00EA6723"/>
    <w:rsid w:val="00EB310F"/>
    <w:rsid w:val="00EC3C0A"/>
    <w:rsid w:val="00EC3D2C"/>
    <w:rsid w:val="00EE0532"/>
    <w:rsid w:val="00EE1FA2"/>
    <w:rsid w:val="00EE226C"/>
    <w:rsid w:val="00EE449F"/>
    <w:rsid w:val="00F0064F"/>
    <w:rsid w:val="00F05FDA"/>
    <w:rsid w:val="00F40765"/>
    <w:rsid w:val="00F43C81"/>
    <w:rsid w:val="00F45E53"/>
    <w:rsid w:val="00F618A1"/>
    <w:rsid w:val="00F72158"/>
    <w:rsid w:val="00F97F61"/>
    <w:rsid w:val="00FA07F7"/>
    <w:rsid w:val="00FC2E0B"/>
    <w:rsid w:val="00FC7127"/>
    <w:rsid w:val="00FE0CC4"/>
    <w:rsid w:val="00FF44D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17F6EC1A"/>
  <w15:chartTrackingRefBased/>
  <w15:docId w15:val="{3060FEED-86B5-4CB8-91A6-14D96D0150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spacing w:after="160" w:line="256" w:lineRule="auto"/>
    </w:pPr>
    <w:rPr>
      <w:rFonts w:ascii="Calibri" w:eastAsia="SimSun" w:hAnsi="Calibri" w:cs="font274"/>
      <w:sz w:val="22"/>
      <w:szCs w:val="22"/>
      <w:lang w:eastAsia="ar-SA"/>
    </w:rPr>
  </w:style>
  <w:style w:type="paragraph" w:styleId="Ttulo1">
    <w:name w:val="heading 1"/>
    <w:basedOn w:val="Normal"/>
    <w:next w:val="Textoindependiente"/>
    <w:qFormat/>
    <w:pPr>
      <w:keepNext/>
      <w:keepLines/>
      <w:numPr>
        <w:numId w:val="1"/>
      </w:numPr>
      <w:spacing w:before="240" w:after="0"/>
      <w:outlineLvl w:val="0"/>
    </w:pPr>
    <w:rPr>
      <w:rFonts w:ascii="Calibri Light" w:hAnsi="Calibri Light"/>
      <w:color w:val="2E74B5"/>
      <w:sz w:val="32"/>
      <w:szCs w:val="32"/>
    </w:rPr>
  </w:style>
  <w:style w:type="paragraph" w:styleId="Ttulo2">
    <w:name w:val="heading 2"/>
    <w:basedOn w:val="Normal"/>
    <w:next w:val="Textoindependiente"/>
    <w:qFormat/>
    <w:pPr>
      <w:keepNext/>
      <w:keepLines/>
      <w:numPr>
        <w:ilvl w:val="1"/>
        <w:numId w:val="1"/>
      </w:numPr>
      <w:spacing w:before="40" w:after="0"/>
      <w:outlineLvl w:val="1"/>
    </w:pPr>
    <w:rPr>
      <w:rFonts w:ascii="Calibri Light" w:hAnsi="Calibri Light"/>
      <w:color w:val="2E74B5"/>
      <w:sz w:val="26"/>
      <w:szCs w:val="26"/>
    </w:rPr>
  </w:style>
  <w:style w:type="paragraph" w:styleId="Ttulo3">
    <w:name w:val="heading 3"/>
    <w:basedOn w:val="Normal"/>
    <w:next w:val="Textoindependiente"/>
    <w:qFormat/>
    <w:pPr>
      <w:numPr>
        <w:ilvl w:val="2"/>
        <w:numId w:val="1"/>
      </w:numPr>
      <w:spacing w:before="100" w:after="100" w:line="100" w:lineRule="atLeast"/>
      <w:outlineLvl w:val="2"/>
    </w:pPr>
    <w:rPr>
      <w:rFonts w:ascii="Times New Roman" w:eastAsia="Times New Roman" w:hAnsi="Times New Roman" w:cs="Times New Roman"/>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style>
  <w:style w:type="character" w:customStyle="1" w:styleId="Ttulo3Car">
    <w:name w:val="Título 3 Car"/>
    <w:rPr>
      <w:rFonts w:ascii="Times New Roman" w:eastAsia="Times New Roman" w:hAnsi="Times New Roman" w:cs="Times New Roman"/>
      <w:b/>
      <w:bCs/>
      <w:sz w:val="27"/>
      <w:szCs w:val="27"/>
    </w:rPr>
  </w:style>
  <w:style w:type="character" w:customStyle="1" w:styleId="TextonotapieCar">
    <w:name w:val="Texto nota pie Car"/>
    <w:uiPriority w:val="99"/>
    <w:rPr>
      <w:sz w:val="20"/>
      <w:szCs w:val="20"/>
    </w:rPr>
  </w:style>
  <w:style w:type="character" w:customStyle="1" w:styleId="Refdenotaalpie1">
    <w:name w:val="Ref. de nota al pie1"/>
    <w:rPr>
      <w:vertAlign w:val="superscript"/>
    </w:rPr>
  </w:style>
  <w:style w:type="character" w:styleId="Hipervnculo">
    <w:name w:val="Hyperlink"/>
    <w:uiPriority w:val="99"/>
    <w:rPr>
      <w:color w:val="0000FF"/>
      <w:u w:val="single"/>
    </w:rPr>
  </w:style>
  <w:style w:type="character" w:customStyle="1" w:styleId="Refdenotaalpie10">
    <w:name w:val="Ref. de nota al pie1"/>
    <w:rPr>
      <w:vertAlign w:val="superscript"/>
    </w:rPr>
  </w:style>
  <w:style w:type="character" w:customStyle="1" w:styleId="apple-converted-space">
    <w:name w:val="apple-converted-space"/>
    <w:basedOn w:val="Fuentedeprrafopredeter1"/>
  </w:style>
  <w:style w:type="character" w:customStyle="1" w:styleId="personname">
    <w:name w:val="person_name"/>
    <w:basedOn w:val="Fuentedeprrafopredeter1"/>
  </w:style>
  <w:style w:type="character" w:styleId="nfasis">
    <w:name w:val="Emphasis"/>
    <w:uiPriority w:val="20"/>
    <w:qFormat/>
    <w:rPr>
      <w:i/>
      <w:iCs/>
    </w:rPr>
  </w:style>
  <w:style w:type="character" w:customStyle="1" w:styleId="Ttulo1Car">
    <w:name w:val="Título 1 Car"/>
    <w:rPr>
      <w:rFonts w:ascii="Calibri Light" w:hAnsi="Calibri Light" w:cs="font274"/>
      <w:color w:val="2E74B5"/>
      <w:sz w:val="32"/>
      <w:szCs w:val="32"/>
    </w:rPr>
  </w:style>
  <w:style w:type="character" w:customStyle="1" w:styleId="Refdecomentario1">
    <w:name w:val="Ref. de comentario1"/>
    <w:rPr>
      <w:sz w:val="16"/>
      <w:szCs w:val="16"/>
    </w:rPr>
  </w:style>
  <w:style w:type="character" w:customStyle="1" w:styleId="TextocomentarioCar">
    <w:name w:val="Texto comentario Car"/>
    <w:rPr>
      <w:sz w:val="20"/>
      <w:szCs w:val="20"/>
    </w:rPr>
  </w:style>
  <w:style w:type="character" w:customStyle="1" w:styleId="AsuntodelcomentarioCar">
    <w:name w:val="Asunto del comentario Car"/>
    <w:rPr>
      <w:b/>
      <w:bCs/>
      <w:sz w:val="20"/>
      <w:szCs w:val="20"/>
    </w:rPr>
  </w:style>
  <w:style w:type="character" w:customStyle="1" w:styleId="TextodegloboCar">
    <w:name w:val="Texto de globo Car"/>
    <w:rPr>
      <w:rFonts w:ascii="Segoe UI" w:hAnsi="Segoe UI" w:cs="Segoe UI"/>
      <w:sz w:val="18"/>
      <w:szCs w:val="18"/>
    </w:rPr>
  </w:style>
  <w:style w:type="character" w:customStyle="1" w:styleId="EncabezadoCar">
    <w:name w:val="Encabezado Car"/>
    <w:basedOn w:val="Fuentedeprrafopredeter1"/>
  </w:style>
  <w:style w:type="character" w:customStyle="1" w:styleId="PiedepginaCar">
    <w:name w:val="Pie de página Car"/>
    <w:basedOn w:val="Fuentedeprrafopredeter1"/>
  </w:style>
  <w:style w:type="character" w:customStyle="1" w:styleId="Ttulo2Car">
    <w:name w:val="Título 2 Car"/>
    <w:rPr>
      <w:rFonts w:ascii="Calibri Light" w:hAnsi="Calibri Light" w:cs="font274"/>
      <w:color w:val="2E74B5"/>
      <w:sz w:val="26"/>
      <w:szCs w:val="26"/>
    </w:rPr>
  </w:style>
  <w:style w:type="character" w:customStyle="1" w:styleId="TextonotaalfinalCar">
    <w:name w:val="Texto nota al final Car"/>
    <w:rPr>
      <w:sz w:val="20"/>
      <w:szCs w:val="20"/>
    </w:rPr>
  </w:style>
  <w:style w:type="character" w:customStyle="1" w:styleId="Refdenotaalfinal1">
    <w:name w:val="Ref. de nota al final1"/>
    <w:rPr>
      <w:vertAlign w:val="superscript"/>
    </w:rPr>
  </w:style>
  <w:style w:type="character" w:customStyle="1" w:styleId="ListLabel1">
    <w:name w:val="ListLabel 1"/>
    <w:rPr>
      <w:rFonts w:eastAsia="Times New Roman" w:cs="Arial"/>
    </w:rPr>
  </w:style>
  <w:style w:type="character" w:customStyle="1" w:styleId="ListLabel2">
    <w:name w:val="ListLabel 2"/>
    <w:rPr>
      <w:b w:val="0"/>
    </w:rPr>
  </w:style>
  <w:style w:type="character" w:customStyle="1" w:styleId="ListLabel3">
    <w:name w:val="ListLabel 3"/>
    <w:rPr>
      <w:color w:val="00000A"/>
      <w:sz w:val="24"/>
    </w:rPr>
  </w:style>
  <w:style w:type="character" w:customStyle="1" w:styleId="ListLabel4">
    <w:name w:val="ListLabel 4"/>
    <w:rPr>
      <w:rFonts w:cs="Arial"/>
      <w:b w:val="0"/>
      <w:bCs/>
      <w:i w:val="0"/>
      <w:iCs/>
      <w:color w:val="333333"/>
      <w:sz w:val="20"/>
      <w:szCs w:val="20"/>
      <w:lang w:val="es-ES"/>
    </w:rPr>
  </w:style>
  <w:style w:type="character" w:customStyle="1" w:styleId="ListLabel5">
    <w:name w:val="ListLabel 5"/>
    <w:rPr>
      <w:rFonts w:cs="Courier New"/>
    </w:rPr>
  </w:style>
  <w:style w:type="character" w:customStyle="1" w:styleId="ListLabel6">
    <w:name w:val="ListLabel 6"/>
    <w:rPr>
      <w:rFonts w:cs="Arial"/>
      <w:color w:val="00000A"/>
    </w:rPr>
  </w:style>
  <w:style w:type="character" w:customStyle="1" w:styleId="ListLabel7">
    <w:name w:val="ListLabel 7"/>
    <w:rPr>
      <w:color w:val="00000A"/>
    </w:rPr>
  </w:style>
  <w:style w:type="character" w:customStyle="1" w:styleId="ListLabel8">
    <w:name w:val="ListLabel 8"/>
    <w:rPr>
      <w:b w:val="0"/>
      <w:bCs/>
      <w:i w:val="0"/>
      <w:iCs/>
      <w:color w:val="333333"/>
      <w:sz w:val="20"/>
      <w:szCs w:val="20"/>
      <w:lang w:val="es-ES"/>
    </w:rPr>
  </w:style>
  <w:style w:type="character" w:customStyle="1" w:styleId="Caracteresdenotaalpie">
    <w:name w:val="Caracteres de nota al pie"/>
  </w:style>
  <w:style w:type="character" w:styleId="Refdenotaalpie">
    <w:name w:val="footnote reference"/>
    <w:rPr>
      <w:vertAlign w:val="superscript"/>
    </w:rPr>
  </w:style>
  <w:style w:type="character" w:styleId="Refdenotaalfinal">
    <w:name w:val="endnote reference"/>
    <w:rPr>
      <w:vertAlign w:val="superscript"/>
    </w:rPr>
  </w:style>
  <w:style w:type="character" w:customStyle="1" w:styleId="Caracteresdenotafinal">
    <w:name w:val="Caracteres de nota final"/>
  </w:style>
  <w:style w:type="paragraph" w:customStyle="1" w:styleId="Encabezado1">
    <w:name w:val="Encabezado1"/>
    <w:basedOn w:val="Normal"/>
    <w:next w:val="Textoindependiente"/>
    <w:pPr>
      <w:keepNext/>
      <w:spacing w:before="240" w:after="120"/>
    </w:pPr>
    <w:rPr>
      <w:rFonts w:ascii="Arial" w:eastAsia="Microsoft YaHei" w:hAnsi="Arial" w:cs="Lucida Sans"/>
      <w:sz w:val="28"/>
      <w:szCs w:val="28"/>
    </w:rPr>
  </w:style>
  <w:style w:type="paragraph" w:styleId="Textoindependiente">
    <w:name w:val="Body Text"/>
    <w:basedOn w:val="Normal"/>
    <w:pPr>
      <w:spacing w:after="120"/>
    </w:pPr>
  </w:style>
  <w:style w:type="paragraph" w:styleId="Lista">
    <w:name w:val="List"/>
    <w:basedOn w:val="Textoindependiente"/>
    <w:rPr>
      <w:rFonts w:cs="Lucida Sans"/>
    </w:rPr>
  </w:style>
  <w:style w:type="paragraph" w:customStyle="1" w:styleId="Etiqueta">
    <w:name w:val="Etiqueta"/>
    <w:basedOn w:val="Normal"/>
    <w:pPr>
      <w:suppressLineNumbers/>
      <w:spacing w:before="120" w:after="120"/>
    </w:pPr>
    <w:rPr>
      <w:rFonts w:cs="Lucida Sans"/>
      <w:i/>
      <w:iCs/>
      <w:sz w:val="24"/>
      <w:szCs w:val="24"/>
    </w:rPr>
  </w:style>
  <w:style w:type="paragraph" w:customStyle="1" w:styleId="ndice">
    <w:name w:val="Índice"/>
    <w:basedOn w:val="Normal"/>
    <w:pPr>
      <w:suppressLineNumbers/>
    </w:pPr>
    <w:rPr>
      <w:rFonts w:cs="Lucida Sans"/>
    </w:rPr>
  </w:style>
  <w:style w:type="paragraph" w:customStyle="1" w:styleId="Prrafodelista1">
    <w:name w:val="Párrafo de lista1"/>
    <w:basedOn w:val="Normal"/>
    <w:pPr>
      <w:spacing w:after="200" w:line="276" w:lineRule="auto"/>
      <w:ind w:left="720"/>
    </w:pPr>
  </w:style>
  <w:style w:type="paragraph" w:customStyle="1" w:styleId="Textonotapie1">
    <w:name w:val="Texto nota pie1"/>
    <w:basedOn w:val="Normal"/>
    <w:pPr>
      <w:spacing w:after="0" w:line="100" w:lineRule="atLeast"/>
    </w:pPr>
    <w:rPr>
      <w:sz w:val="20"/>
      <w:szCs w:val="20"/>
    </w:rPr>
  </w:style>
  <w:style w:type="paragraph" w:customStyle="1" w:styleId="Prrafodelista10">
    <w:name w:val="Párrafo de lista1"/>
    <w:basedOn w:val="Normal"/>
    <w:pPr>
      <w:spacing w:line="252" w:lineRule="auto"/>
      <w:ind w:left="720"/>
    </w:pPr>
    <w:rPr>
      <w:rFonts w:cs="Tahoma"/>
    </w:rPr>
  </w:style>
  <w:style w:type="paragraph" w:customStyle="1" w:styleId="Textonotapie10">
    <w:name w:val="Texto nota pie1"/>
    <w:basedOn w:val="Normal"/>
    <w:pPr>
      <w:suppressLineNumbers/>
      <w:spacing w:after="0" w:line="100" w:lineRule="atLeast"/>
      <w:ind w:left="283" w:hanging="283"/>
    </w:pPr>
    <w:rPr>
      <w:rFonts w:cs="Tahoma"/>
      <w:sz w:val="20"/>
      <w:szCs w:val="20"/>
    </w:rPr>
  </w:style>
  <w:style w:type="paragraph" w:customStyle="1" w:styleId="Encabezadodelndice">
    <w:name w:val="Encabezado del índice"/>
    <w:basedOn w:val="Ttulo1"/>
    <w:pPr>
      <w:numPr>
        <w:numId w:val="0"/>
      </w:numPr>
      <w:suppressLineNumbers/>
    </w:pPr>
    <w:rPr>
      <w:b/>
      <w:bCs/>
      <w:lang w:val="en-US"/>
    </w:rPr>
  </w:style>
  <w:style w:type="paragraph" w:styleId="TDC3">
    <w:name w:val="toc 3"/>
    <w:basedOn w:val="Normal"/>
    <w:pPr>
      <w:tabs>
        <w:tab w:val="right" w:leader="dot" w:pos="9406"/>
      </w:tabs>
      <w:spacing w:after="100"/>
      <w:ind w:left="440"/>
    </w:pPr>
  </w:style>
  <w:style w:type="paragraph" w:styleId="TDC2">
    <w:name w:val="toc 2"/>
    <w:basedOn w:val="Normal"/>
    <w:uiPriority w:val="39"/>
    <w:pPr>
      <w:tabs>
        <w:tab w:val="right" w:leader="dot" w:pos="9689"/>
      </w:tabs>
      <w:spacing w:after="100"/>
      <w:ind w:left="220"/>
    </w:pPr>
    <w:rPr>
      <w:rFonts w:cs="Times New Roman"/>
      <w:lang w:val="en-US"/>
    </w:rPr>
  </w:style>
  <w:style w:type="paragraph" w:styleId="TDC1">
    <w:name w:val="toc 1"/>
    <w:basedOn w:val="Normal"/>
    <w:uiPriority w:val="39"/>
    <w:pPr>
      <w:tabs>
        <w:tab w:val="right" w:leader="dot" w:pos="9972"/>
      </w:tabs>
      <w:spacing w:after="100"/>
    </w:pPr>
    <w:rPr>
      <w:rFonts w:cs="Times New Roman"/>
      <w:lang w:val="en-US"/>
    </w:rPr>
  </w:style>
  <w:style w:type="paragraph" w:customStyle="1" w:styleId="Bibliografa1">
    <w:name w:val="Bibliografía1"/>
    <w:basedOn w:val="Normal"/>
  </w:style>
  <w:style w:type="paragraph" w:customStyle="1" w:styleId="Textocomentario1">
    <w:name w:val="Texto comentario1"/>
    <w:basedOn w:val="Normal"/>
    <w:pPr>
      <w:spacing w:line="100" w:lineRule="atLeast"/>
    </w:pPr>
    <w:rPr>
      <w:sz w:val="20"/>
      <w:szCs w:val="20"/>
    </w:rPr>
  </w:style>
  <w:style w:type="paragraph" w:customStyle="1" w:styleId="Asuntodelcomentario1">
    <w:name w:val="Asunto del comentario1"/>
    <w:basedOn w:val="Textocomentario1"/>
    <w:rPr>
      <w:b/>
      <w:bCs/>
    </w:rPr>
  </w:style>
  <w:style w:type="paragraph" w:customStyle="1" w:styleId="Textodeglobo1">
    <w:name w:val="Texto de globo1"/>
    <w:basedOn w:val="Normal"/>
    <w:pPr>
      <w:spacing w:after="0" w:line="100" w:lineRule="atLeast"/>
    </w:pPr>
    <w:rPr>
      <w:rFonts w:ascii="Segoe UI" w:hAnsi="Segoe UI" w:cs="Segoe UI"/>
      <w:sz w:val="18"/>
      <w:szCs w:val="18"/>
    </w:rPr>
  </w:style>
  <w:style w:type="paragraph" w:styleId="Encabezado">
    <w:name w:val="header"/>
    <w:basedOn w:val="Normal"/>
    <w:pPr>
      <w:suppressLineNumbers/>
      <w:tabs>
        <w:tab w:val="center" w:pos="4680"/>
        <w:tab w:val="right" w:pos="9360"/>
      </w:tabs>
      <w:spacing w:after="0" w:line="100" w:lineRule="atLeast"/>
    </w:pPr>
  </w:style>
  <w:style w:type="paragraph" w:styleId="Piedepgina">
    <w:name w:val="footer"/>
    <w:basedOn w:val="Normal"/>
    <w:pPr>
      <w:suppressLineNumbers/>
      <w:tabs>
        <w:tab w:val="center" w:pos="4680"/>
        <w:tab w:val="right" w:pos="9360"/>
      </w:tabs>
      <w:spacing w:after="0" w:line="100" w:lineRule="atLeast"/>
    </w:pPr>
  </w:style>
  <w:style w:type="paragraph" w:customStyle="1" w:styleId="Textonotaalfinal1">
    <w:name w:val="Texto nota al final1"/>
    <w:basedOn w:val="Normal"/>
    <w:pPr>
      <w:spacing w:after="0" w:line="100" w:lineRule="atLeast"/>
    </w:pPr>
    <w:rPr>
      <w:sz w:val="20"/>
      <w:szCs w:val="20"/>
    </w:rPr>
  </w:style>
  <w:style w:type="paragraph" w:styleId="Textonotapie">
    <w:name w:val="footnote text"/>
    <w:basedOn w:val="Normal"/>
    <w:pPr>
      <w:suppressLineNumbers/>
      <w:ind w:left="283" w:hanging="283"/>
    </w:pPr>
    <w:rPr>
      <w:sz w:val="20"/>
      <w:szCs w:val="20"/>
    </w:rPr>
  </w:style>
  <w:style w:type="paragraph" w:styleId="Textocomentario">
    <w:name w:val="annotation text"/>
    <w:basedOn w:val="Normal"/>
    <w:link w:val="TextocomentarioCar1"/>
    <w:uiPriority w:val="99"/>
    <w:semiHidden/>
    <w:unhideWhenUsed/>
    <w:pPr>
      <w:spacing w:line="240" w:lineRule="auto"/>
    </w:pPr>
    <w:rPr>
      <w:sz w:val="20"/>
      <w:szCs w:val="20"/>
    </w:rPr>
  </w:style>
  <w:style w:type="character" w:customStyle="1" w:styleId="TextocomentarioCar1">
    <w:name w:val="Texto comentario Car1"/>
    <w:basedOn w:val="Fuentedeprrafopredeter"/>
    <w:link w:val="Textocomentario"/>
    <w:uiPriority w:val="99"/>
    <w:semiHidden/>
    <w:rPr>
      <w:rFonts w:ascii="Calibri" w:eastAsia="SimSun" w:hAnsi="Calibri" w:cs="font274"/>
      <w:lang w:eastAsia="ar-SA"/>
    </w:rPr>
  </w:style>
  <w:style w:type="character" w:styleId="Refdecomentario">
    <w:name w:val="annotation reference"/>
    <w:basedOn w:val="Fuentedeprrafopredeter"/>
    <w:uiPriority w:val="99"/>
    <w:semiHidden/>
    <w:unhideWhenUsed/>
    <w:rPr>
      <w:sz w:val="16"/>
      <w:szCs w:val="16"/>
    </w:rPr>
  </w:style>
  <w:style w:type="paragraph" w:styleId="Prrafodelista">
    <w:name w:val="List Paragraph"/>
    <w:basedOn w:val="Normal"/>
    <w:uiPriority w:val="34"/>
    <w:qFormat/>
    <w:rsid w:val="00C33DFD"/>
    <w:pPr>
      <w:ind w:left="720"/>
      <w:contextualSpacing/>
    </w:pPr>
  </w:style>
  <w:style w:type="character" w:styleId="Textoennegrita">
    <w:name w:val="Strong"/>
    <w:basedOn w:val="Fuentedeprrafopredeter"/>
    <w:uiPriority w:val="22"/>
    <w:qFormat/>
    <w:rsid w:val="00873018"/>
    <w:rPr>
      <w:b/>
      <w:bCs/>
    </w:rPr>
  </w:style>
  <w:style w:type="paragraph" w:styleId="NormalWeb">
    <w:name w:val="Normal (Web)"/>
    <w:basedOn w:val="Normal"/>
    <w:uiPriority w:val="99"/>
    <w:semiHidden/>
    <w:unhideWhenUsed/>
    <w:rsid w:val="0004194E"/>
    <w:pPr>
      <w:suppressAutoHyphens w:val="0"/>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Textodeglobo">
    <w:name w:val="Balloon Text"/>
    <w:basedOn w:val="Normal"/>
    <w:link w:val="TextodegloboCar1"/>
    <w:uiPriority w:val="99"/>
    <w:semiHidden/>
    <w:unhideWhenUsed/>
    <w:rsid w:val="007D050E"/>
    <w:pPr>
      <w:spacing w:after="0" w:line="240" w:lineRule="auto"/>
    </w:pPr>
    <w:rPr>
      <w:rFonts w:ascii="Segoe UI" w:hAnsi="Segoe UI" w:cs="Segoe UI"/>
      <w:sz w:val="18"/>
      <w:szCs w:val="18"/>
    </w:rPr>
  </w:style>
  <w:style w:type="character" w:customStyle="1" w:styleId="TextodegloboCar1">
    <w:name w:val="Texto de globo Car1"/>
    <w:basedOn w:val="Fuentedeprrafopredeter"/>
    <w:link w:val="Textodeglobo"/>
    <w:uiPriority w:val="99"/>
    <w:semiHidden/>
    <w:rsid w:val="007D050E"/>
    <w:rPr>
      <w:rFonts w:ascii="Segoe UI" w:eastAsia="SimSun" w:hAnsi="Segoe UI" w:cs="Segoe UI"/>
      <w:sz w:val="18"/>
      <w:szCs w:val="18"/>
      <w:lang w:eastAsia="ar-SA"/>
    </w:rPr>
  </w:style>
  <w:style w:type="character" w:customStyle="1" w:styleId="Refdenotaalpie2">
    <w:name w:val="Ref. de nota al pie2"/>
    <w:rsid w:val="001D7B29"/>
    <w:rPr>
      <w:vertAlign w:val="superscript"/>
    </w:rPr>
  </w:style>
  <w:style w:type="paragraph" w:customStyle="1" w:styleId="Textonotapie2">
    <w:name w:val="Texto nota pie2"/>
    <w:basedOn w:val="Normal"/>
    <w:rsid w:val="001D7B29"/>
    <w:pPr>
      <w:suppressLineNumbers/>
      <w:spacing w:line="254" w:lineRule="auto"/>
      <w:ind w:left="283" w:hanging="283"/>
    </w:pPr>
    <w:rPr>
      <w:sz w:val="20"/>
      <w:szCs w:val="20"/>
    </w:rPr>
  </w:style>
  <w:style w:type="character" w:styleId="Hipervnculovisitado">
    <w:name w:val="FollowedHyperlink"/>
    <w:basedOn w:val="Fuentedeprrafopredeter"/>
    <w:uiPriority w:val="99"/>
    <w:semiHidden/>
    <w:unhideWhenUsed/>
    <w:rsid w:val="001D7B29"/>
    <w:rPr>
      <w:color w:val="954F72" w:themeColor="followedHyperlink"/>
      <w:u w:val="single"/>
    </w:rPr>
  </w:style>
  <w:style w:type="table" w:styleId="Tablaconcuadrcula">
    <w:name w:val="Table Grid"/>
    <w:basedOn w:val="Tablanormal"/>
    <w:uiPriority w:val="39"/>
    <w:rsid w:val="00E33DA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0280371">
      <w:bodyDiv w:val="1"/>
      <w:marLeft w:val="0"/>
      <w:marRight w:val="0"/>
      <w:marTop w:val="0"/>
      <w:marBottom w:val="0"/>
      <w:divBdr>
        <w:top w:val="none" w:sz="0" w:space="0" w:color="auto"/>
        <w:left w:val="none" w:sz="0" w:space="0" w:color="auto"/>
        <w:bottom w:val="none" w:sz="0" w:space="0" w:color="auto"/>
        <w:right w:val="none" w:sz="0" w:space="0" w:color="auto"/>
      </w:divBdr>
    </w:div>
    <w:div w:id="211020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razonyraiz.com/wp-content/uploads/2016/06/CNDH-Antecedentes-del-Mecanismo-2015.pdf" TargetMode="External"/><Relationship Id="rId18" Type="http://schemas.openxmlformats.org/officeDocument/2006/relationships/hyperlink" Target="http://l.facebook.com/l.php?u=http%3A%2F%2Fwww.hchr.org.mx%2Fimages%2Fdoc_pub%2F8diagnosticocompleto.pdf&amp;h=7AQGwiHy9" TargetMode="External"/><Relationship Id="rId26" Type="http://schemas.openxmlformats.org/officeDocument/2006/relationships/hyperlink" Target="https://www.elfinanciero.com.mx/nacional/morena-propone-nueva-ley-de-comunicacion-y-derogar-la-ley-chayote-del-pri" TargetMode="External"/><Relationship Id="rId3" Type="http://schemas.openxmlformats.org/officeDocument/2006/relationships/styles" Target="styles.xml"/><Relationship Id="rId21" Type="http://schemas.openxmlformats.org/officeDocument/2006/relationships/hyperlink" Target="https://revistas-colaboracion.juridicas.unam.mx/index.php/decoin/article/view/33186/30150" TargetMode="External"/><Relationship Id="rId7" Type="http://schemas.openxmlformats.org/officeDocument/2006/relationships/endnotes" Target="endnotes.xml"/><Relationship Id="rId12" Type="http://schemas.openxmlformats.org/officeDocument/2006/relationships/hyperlink" Target="http://biblioteca.diputados.gob.mx/janium/bv/ce/lxiii/lib_exp_permex.pdf" TargetMode="External"/><Relationship Id="rId17" Type="http://schemas.openxmlformats.org/officeDocument/2006/relationships/hyperlink" Target="http://informe.cndh.org.mx/uploads/menu/40112/InformeEspecial-PubliOficial.pdf" TargetMode="External"/><Relationship Id="rId25" Type="http://schemas.openxmlformats.org/officeDocument/2006/relationships/hyperlink" Target="https://www.animalpolitico.com/2018/04/senado-ley-chayote-publicidad-oficial/" TargetMode="External"/><Relationship Id="rId2" Type="http://schemas.openxmlformats.org/officeDocument/2006/relationships/numbering" Target="numbering.xml"/><Relationship Id="rId16" Type="http://schemas.openxmlformats.org/officeDocument/2006/relationships/hyperlink" Target="https://idus.us.es/xmlui/bitstream/handle/11441/42941/Pages%20from%20Actas-Congreso-SEP-2014-small-2.pdf?sequence=1&amp;isAllowed=y" TargetMode="External"/><Relationship Id="rId20" Type="http://schemas.openxmlformats.org/officeDocument/2006/relationships/hyperlink" Target="http://scielo.unam.mx/scielo.php?pid=S0188-252X2009000200005&amp;script=sci_arttext"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rticle19.org/pages/es/resource-language.html" TargetMode="External"/><Relationship Id="rId24" Type="http://schemas.openxmlformats.org/officeDocument/2006/relationships/hyperlink" Target="http://www.diputados.gob.mx/LeyesBiblio/pdf/LGCS_110518.pdf" TargetMode="External"/><Relationship Id="rId5" Type="http://schemas.openxmlformats.org/officeDocument/2006/relationships/webSettings" Target="webSettings.xml"/><Relationship Id="rId15" Type="http://schemas.openxmlformats.org/officeDocument/2006/relationships/hyperlink" Target="http://www.scielo.org.mx/scielo.php?script=sci_arttext&amp;pid=S0187-57952010000300014" TargetMode="External"/><Relationship Id="rId23" Type="http://schemas.openxmlformats.org/officeDocument/2006/relationships/hyperlink" Target="http://www.eluniversal.com.mx/nacion/politica/enterate-que-dice-la-ley-general-de-comunicacion-social" TargetMode="External"/><Relationship Id="rId28" Type="http://schemas.openxmlformats.org/officeDocument/2006/relationships/footer" Target="footer2.xml"/><Relationship Id="rId10" Type="http://schemas.openxmlformats.org/officeDocument/2006/relationships/footer" Target="footer1.xml"/><Relationship Id="rId19" Type="http://schemas.openxmlformats.org/officeDocument/2006/relationships/hyperlink" Target="http://www.oas.org/es/cidh/expresion/showarticle.asp?artID=1100&amp;lID=2"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s://freedomhouse.org/sites/default/files/Protecci&#243;n%20a%20periodistas%20en%20el%20&#225;mbito%20local%20en%20M&#233;xico%20-%20SCM%20(Enero%202014).pdf" TargetMode="External"/><Relationship Id="rId22" Type="http://schemas.openxmlformats.org/officeDocument/2006/relationships/hyperlink" Target="http://www.unesco.org/new/es/media-services/single-view-tv-release/news/main_organizations_for_the_defence_of_journalists/" TargetMode="External"/><Relationship Id="rId27" Type="http://schemas.openxmlformats.org/officeDocument/2006/relationships/hyperlink" Target="http://metricadigital.com/el-sur-mexiquense-periodismo-bajo-acecho" TargetMode="Externa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metricadigital.com/el-sur-mexiquense-periodismo-bajo-acecho" TargetMode="External"/><Relationship Id="rId3" Type="http://schemas.openxmlformats.org/officeDocument/2006/relationships/hyperlink" Target="http://www.eluniversal.com.mx/nacion/politica/enterate-que-dice-la-ley-general-de-comunicacion-social" TargetMode="External"/><Relationship Id="rId7" Type="http://schemas.openxmlformats.org/officeDocument/2006/relationships/hyperlink" Target="http://informe.cndh.org.mx/uploads/menu/40112/InformeEspecial-PubliOficial.pdf" TargetMode="External"/><Relationship Id="rId2" Type="http://schemas.openxmlformats.org/officeDocument/2006/relationships/hyperlink" Target="http://pnd.gob.mx/" TargetMode="External"/><Relationship Id="rId1" Type="http://schemas.openxmlformats.org/officeDocument/2006/relationships/hyperlink" Target="http://www.diccionariojuridico.mx/definicion/dignidad-humana/" TargetMode="External"/><Relationship Id="rId6" Type="http://schemas.openxmlformats.org/officeDocument/2006/relationships/hyperlink" Target="https://www.elfinanciero.com.mx/nacional/morena-propone-nueva-ley-de-comunicacion-y-derogar-la-ley-chayote-del-pri" TargetMode="External"/><Relationship Id="rId11" Type="http://schemas.openxmlformats.org/officeDocument/2006/relationships/hyperlink" Target="http://www.diccionariojuridico.mx/definicion/estado-de-derecho" TargetMode="External"/><Relationship Id="rId5" Type="http://schemas.openxmlformats.org/officeDocument/2006/relationships/hyperlink" Target="https://www.animalpolitico.com/2018/04/senado-ley-chayote-publicidad-oficial/" TargetMode="External"/><Relationship Id="rId10" Type="http://schemas.openxmlformats.org/officeDocument/2006/relationships/hyperlink" Target="https://www.sinembargo.mx/27-10-2018/3489951" TargetMode="External"/><Relationship Id="rId4" Type="http://schemas.openxmlformats.org/officeDocument/2006/relationships/hyperlink" Target="http://www.diputados.gob.mx/LeyesBiblio/pdf/LGCS_110518.pdf" TargetMode="External"/><Relationship Id="rId9" Type="http://schemas.openxmlformats.org/officeDocument/2006/relationships/hyperlink" Target="https://www.sinembargo.mx/27-10-2018/3489951"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0249EA-08E5-4D07-BF93-C41BBCF940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118</Pages>
  <Words>32042</Words>
  <Characters>176234</Characters>
  <Application>Microsoft Office Word</Application>
  <DocSecurity>0</DocSecurity>
  <Lines>1468</Lines>
  <Paragraphs>415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207861</CharactersWithSpaces>
  <SharedDoc>false</SharedDoc>
  <HLinks>
    <vt:vector size="216" baseType="variant">
      <vt:variant>
        <vt:i4>6160466</vt:i4>
      </vt:variant>
      <vt:variant>
        <vt:i4>105</vt:i4>
      </vt:variant>
      <vt:variant>
        <vt:i4>0</vt:i4>
      </vt:variant>
      <vt:variant>
        <vt:i4>5</vt:i4>
      </vt:variant>
      <vt:variant>
        <vt:lpwstr>http://www.unesco.org/new/es/media-services/single-view-tv-release/news/main_organizations_for_the_defence_of_journalists/</vt:lpwstr>
      </vt:variant>
      <vt:variant>
        <vt:lpwstr/>
      </vt:variant>
      <vt:variant>
        <vt:i4>5505046</vt:i4>
      </vt:variant>
      <vt:variant>
        <vt:i4>102</vt:i4>
      </vt:variant>
      <vt:variant>
        <vt:i4>0</vt:i4>
      </vt:variant>
      <vt:variant>
        <vt:i4>5</vt:i4>
      </vt:variant>
      <vt:variant>
        <vt:lpwstr>https://revistas-colaboracion.juridicas.unam.mx/index.php/decoin/article/view/33186/30150</vt:lpwstr>
      </vt:variant>
      <vt:variant>
        <vt:lpwstr/>
      </vt:variant>
      <vt:variant>
        <vt:i4>786472</vt:i4>
      </vt:variant>
      <vt:variant>
        <vt:i4>99</vt:i4>
      </vt:variant>
      <vt:variant>
        <vt:i4>0</vt:i4>
      </vt:variant>
      <vt:variant>
        <vt:i4>5</vt:i4>
      </vt:variant>
      <vt:variant>
        <vt:lpwstr>http://scielo.unam.mx/scielo.php?pid=S0188-252X2009000200005&amp;script=sci_arttext</vt:lpwstr>
      </vt:variant>
      <vt:variant>
        <vt:lpwstr/>
      </vt:variant>
      <vt:variant>
        <vt:i4>2031621</vt:i4>
      </vt:variant>
      <vt:variant>
        <vt:i4>96</vt:i4>
      </vt:variant>
      <vt:variant>
        <vt:i4>0</vt:i4>
      </vt:variant>
      <vt:variant>
        <vt:i4>5</vt:i4>
      </vt:variant>
      <vt:variant>
        <vt:lpwstr>http://www.oas.org/es/cidh/expresion/showarticle.asp?artID=1100&amp;lID=2</vt:lpwstr>
      </vt:variant>
      <vt:variant>
        <vt:lpwstr/>
      </vt:variant>
      <vt:variant>
        <vt:i4>2490372</vt:i4>
      </vt:variant>
      <vt:variant>
        <vt:i4>93</vt:i4>
      </vt:variant>
      <vt:variant>
        <vt:i4>0</vt:i4>
      </vt:variant>
      <vt:variant>
        <vt:i4>5</vt:i4>
      </vt:variant>
      <vt:variant>
        <vt:lpwstr>http://l.facebook.com/l.php?u=http%3A%2F%2Fwww.hchr.org.mx%2Fimages%2Fdoc_pub%2F8diagnosticocompleto.pdf&amp;h=7AQGwiHy9</vt:lpwstr>
      </vt:variant>
      <vt:variant>
        <vt:lpwstr/>
      </vt:variant>
      <vt:variant>
        <vt:i4>2424956</vt:i4>
      </vt:variant>
      <vt:variant>
        <vt:i4>90</vt:i4>
      </vt:variant>
      <vt:variant>
        <vt:i4>0</vt:i4>
      </vt:variant>
      <vt:variant>
        <vt:i4>5</vt:i4>
      </vt:variant>
      <vt:variant>
        <vt:lpwstr>https://idus.us.es/xmlui/bitstream/handle/11441/42941/Pages%20from%20Actas-Congreso-SEP-2014-small-2.pdf?sequence=1&amp;isAllowed=y</vt:lpwstr>
      </vt:variant>
      <vt:variant>
        <vt:lpwstr/>
      </vt:variant>
      <vt:variant>
        <vt:i4>6422595</vt:i4>
      </vt:variant>
      <vt:variant>
        <vt:i4>87</vt:i4>
      </vt:variant>
      <vt:variant>
        <vt:i4>0</vt:i4>
      </vt:variant>
      <vt:variant>
        <vt:i4>5</vt:i4>
      </vt:variant>
      <vt:variant>
        <vt:lpwstr>http://www.scielo.org.mx/scielo.php?script=sci_arttext&amp;pid=S0187-57952010000300014</vt:lpwstr>
      </vt:variant>
      <vt:variant>
        <vt:lpwstr/>
      </vt:variant>
      <vt:variant>
        <vt:i4>4194523</vt:i4>
      </vt:variant>
      <vt:variant>
        <vt:i4>84</vt:i4>
      </vt:variant>
      <vt:variant>
        <vt:i4>0</vt:i4>
      </vt:variant>
      <vt:variant>
        <vt:i4>5</vt:i4>
      </vt:variant>
      <vt:variant>
        <vt:lpwstr>https://freedomhouse.org/sites/default/files/Protección%20a%20periodistas%20en%20el%20ámbito%20local%20en%20México%20-%20SCM%20%28Enero%202014%29.pdf</vt:lpwstr>
      </vt:variant>
      <vt:variant>
        <vt:lpwstr/>
      </vt:variant>
      <vt:variant>
        <vt:i4>6160388</vt:i4>
      </vt:variant>
      <vt:variant>
        <vt:i4>81</vt:i4>
      </vt:variant>
      <vt:variant>
        <vt:i4>0</vt:i4>
      </vt:variant>
      <vt:variant>
        <vt:i4>5</vt:i4>
      </vt:variant>
      <vt:variant>
        <vt:lpwstr>http://razonyraiz.com/wp-content/uploads/2016/06/CNDH-Antecedentes-del-Mecanismo-2015.pdf</vt:lpwstr>
      </vt:variant>
      <vt:variant>
        <vt:lpwstr/>
      </vt:variant>
      <vt:variant>
        <vt:i4>1572891</vt:i4>
      </vt:variant>
      <vt:variant>
        <vt:i4>78</vt:i4>
      </vt:variant>
      <vt:variant>
        <vt:i4>0</vt:i4>
      </vt:variant>
      <vt:variant>
        <vt:i4>5</vt:i4>
      </vt:variant>
      <vt:variant>
        <vt:lpwstr>https://www.article19.org/pages/es/resource-language.html</vt:lpwstr>
      </vt:variant>
      <vt:variant>
        <vt:lpwstr/>
      </vt:variant>
      <vt:variant>
        <vt:i4>2359300</vt:i4>
      </vt:variant>
      <vt:variant>
        <vt:i4>75</vt:i4>
      </vt:variant>
      <vt:variant>
        <vt:i4>0</vt:i4>
      </vt:variant>
      <vt:variant>
        <vt:i4>5</vt:i4>
      </vt:variant>
      <vt:variant>
        <vt:lpwstr/>
      </vt:variant>
      <vt:variant>
        <vt:lpwstr>_Toc4083803</vt:lpwstr>
      </vt:variant>
      <vt:variant>
        <vt:i4>5373993</vt:i4>
      </vt:variant>
      <vt:variant>
        <vt:i4>71</vt:i4>
      </vt:variant>
      <vt:variant>
        <vt:i4>0</vt:i4>
      </vt:variant>
      <vt:variant>
        <vt:i4>5</vt:i4>
      </vt:variant>
      <vt:variant>
        <vt:lpwstr/>
      </vt:variant>
      <vt:variant>
        <vt:lpwstr>__RefHeading__2243_1000385367</vt:lpwstr>
      </vt:variant>
      <vt:variant>
        <vt:i4>5242921</vt:i4>
      </vt:variant>
      <vt:variant>
        <vt:i4>68</vt:i4>
      </vt:variant>
      <vt:variant>
        <vt:i4>0</vt:i4>
      </vt:variant>
      <vt:variant>
        <vt:i4>5</vt:i4>
      </vt:variant>
      <vt:variant>
        <vt:lpwstr/>
      </vt:variant>
      <vt:variant>
        <vt:lpwstr>__RefHeading__2241_1000385367</vt:lpwstr>
      </vt:variant>
      <vt:variant>
        <vt:i4>5767214</vt:i4>
      </vt:variant>
      <vt:variant>
        <vt:i4>65</vt:i4>
      </vt:variant>
      <vt:variant>
        <vt:i4>0</vt:i4>
      </vt:variant>
      <vt:variant>
        <vt:i4>5</vt:i4>
      </vt:variant>
      <vt:variant>
        <vt:lpwstr/>
      </vt:variant>
      <vt:variant>
        <vt:lpwstr>__RefHeading__2239_1000385367</vt:lpwstr>
      </vt:variant>
      <vt:variant>
        <vt:i4>5636142</vt:i4>
      </vt:variant>
      <vt:variant>
        <vt:i4>62</vt:i4>
      </vt:variant>
      <vt:variant>
        <vt:i4>0</vt:i4>
      </vt:variant>
      <vt:variant>
        <vt:i4>5</vt:i4>
      </vt:variant>
      <vt:variant>
        <vt:lpwstr/>
      </vt:variant>
      <vt:variant>
        <vt:lpwstr>__RefHeading__2237_1000385367</vt:lpwstr>
      </vt:variant>
      <vt:variant>
        <vt:i4>5505070</vt:i4>
      </vt:variant>
      <vt:variant>
        <vt:i4>59</vt:i4>
      </vt:variant>
      <vt:variant>
        <vt:i4>0</vt:i4>
      </vt:variant>
      <vt:variant>
        <vt:i4>5</vt:i4>
      </vt:variant>
      <vt:variant>
        <vt:lpwstr/>
      </vt:variant>
      <vt:variant>
        <vt:lpwstr>__RefHeading__2235_1000385367</vt:lpwstr>
      </vt:variant>
      <vt:variant>
        <vt:i4>5373998</vt:i4>
      </vt:variant>
      <vt:variant>
        <vt:i4>56</vt:i4>
      </vt:variant>
      <vt:variant>
        <vt:i4>0</vt:i4>
      </vt:variant>
      <vt:variant>
        <vt:i4>5</vt:i4>
      </vt:variant>
      <vt:variant>
        <vt:lpwstr/>
      </vt:variant>
      <vt:variant>
        <vt:lpwstr>__RefHeading__2233_1000385367</vt:lpwstr>
      </vt:variant>
      <vt:variant>
        <vt:i4>5242926</vt:i4>
      </vt:variant>
      <vt:variant>
        <vt:i4>53</vt:i4>
      </vt:variant>
      <vt:variant>
        <vt:i4>0</vt:i4>
      </vt:variant>
      <vt:variant>
        <vt:i4>5</vt:i4>
      </vt:variant>
      <vt:variant>
        <vt:lpwstr/>
      </vt:variant>
      <vt:variant>
        <vt:lpwstr>__RefHeading__2231_1000385367</vt:lpwstr>
      </vt:variant>
      <vt:variant>
        <vt:i4>5767215</vt:i4>
      </vt:variant>
      <vt:variant>
        <vt:i4>50</vt:i4>
      </vt:variant>
      <vt:variant>
        <vt:i4>0</vt:i4>
      </vt:variant>
      <vt:variant>
        <vt:i4>5</vt:i4>
      </vt:variant>
      <vt:variant>
        <vt:lpwstr/>
      </vt:variant>
      <vt:variant>
        <vt:lpwstr>__RefHeading__2229_1000385367</vt:lpwstr>
      </vt:variant>
      <vt:variant>
        <vt:i4>5636143</vt:i4>
      </vt:variant>
      <vt:variant>
        <vt:i4>47</vt:i4>
      </vt:variant>
      <vt:variant>
        <vt:i4>0</vt:i4>
      </vt:variant>
      <vt:variant>
        <vt:i4>5</vt:i4>
      </vt:variant>
      <vt:variant>
        <vt:lpwstr/>
      </vt:variant>
      <vt:variant>
        <vt:lpwstr>__RefHeading__2227_1000385367</vt:lpwstr>
      </vt:variant>
      <vt:variant>
        <vt:i4>5505071</vt:i4>
      </vt:variant>
      <vt:variant>
        <vt:i4>44</vt:i4>
      </vt:variant>
      <vt:variant>
        <vt:i4>0</vt:i4>
      </vt:variant>
      <vt:variant>
        <vt:i4>5</vt:i4>
      </vt:variant>
      <vt:variant>
        <vt:lpwstr/>
      </vt:variant>
      <vt:variant>
        <vt:lpwstr>__RefHeading__2225_1000385367</vt:lpwstr>
      </vt:variant>
      <vt:variant>
        <vt:i4>5373999</vt:i4>
      </vt:variant>
      <vt:variant>
        <vt:i4>41</vt:i4>
      </vt:variant>
      <vt:variant>
        <vt:i4>0</vt:i4>
      </vt:variant>
      <vt:variant>
        <vt:i4>5</vt:i4>
      </vt:variant>
      <vt:variant>
        <vt:lpwstr/>
      </vt:variant>
      <vt:variant>
        <vt:lpwstr>__RefHeading__2223_1000385367</vt:lpwstr>
      </vt:variant>
      <vt:variant>
        <vt:i4>5242927</vt:i4>
      </vt:variant>
      <vt:variant>
        <vt:i4>38</vt:i4>
      </vt:variant>
      <vt:variant>
        <vt:i4>0</vt:i4>
      </vt:variant>
      <vt:variant>
        <vt:i4>5</vt:i4>
      </vt:variant>
      <vt:variant>
        <vt:lpwstr/>
      </vt:variant>
      <vt:variant>
        <vt:lpwstr>__RefHeading__2221_1000385367</vt:lpwstr>
      </vt:variant>
      <vt:variant>
        <vt:i4>5767212</vt:i4>
      </vt:variant>
      <vt:variant>
        <vt:i4>35</vt:i4>
      </vt:variant>
      <vt:variant>
        <vt:i4>0</vt:i4>
      </vt:variant>
      <vt:variant>
        <vt:i4>5</vt:i4>
      </vt:variant>
      <vt:variant>
        <vt:lpwstr/>
      </vt:variant>
      <vt:variant>
        <vt:lpwstr>__RefHeading__2219_1000385367</vt:lpwstr>
      </vt:variant>
      <vt:variant>
        <vt:i4>5636140</vt:i4>
      </vt:variant>
      <vt:variant>
        <vt:i4>32</vt:i4>
      </vt:variant>
      <vt:variant>
        <vt:i4>0</vt:i4>
      </vt:variant>
      <vt:variant>
        <vt:i4>5</vt:i4>
      </vt:variant>
      <vt:variant>
        <vt:lpwstr/>
      </vt:variant>
      <vt:variant>
        <vt:lpwstr>__RefHeading__2217_1000385367</vt:lpwstr>
      </vt:variant>
      <vt:variant>
        <vt:i4>5505068</vt:i4>
      </vt:variant>
      <vt:variant>
        <vt:i4>29</vt:i4>
      </vt:variant>
      <vt:variant>
        <vt:i4>0</vt:i4>
      </vt:variant>
      <vt:variant>
        <vt:i4>5</vt:i4>
      </vt:variant>
      <vt:variant>
        <vt:lpwstr/>
      </vt:variant>
      <vt:variant>
        <vt:lpwstr>__RefHeading__2215_1000385367</vt:lpwstr>
      </vt:variant>
      <vt:variant>
        <vt:i4>5373996</vt:i4>
      </vt:variant>
      <vt:variant>
        <vt:i4>26</vt:i4>
      </vt:variant>
      <vt:variant>
        <vt:i4>0</vt:i4>
      </vt:variant>
      <vt:variant>
        <vt:i4>5</vt:i4>
      </vt:variant>
      <vt:variant>
        <vt:lpwstr/>
      </vt:variant>
      <vt:variant>
        <vt:lpwstr>__RefHeading__2213_1000385367</vt:lpwstr>
      </vt:variant>
      <vt:variant>
        <vt:i4>5242924</vt:i4>
      </vt:variant>
      <vt:variant>
        <vt:i4>23</vt:i4>
      </vt:variant>
      <vt:variant>
        <vt:i4>0</vt:i4>
      </vt:variant>
      <vt:variant>
        <vt:i4>5</vt:i4>
      </vt:variant>
      <vt:variant>
        <vt:lpwstr/>
      </vt:variant>
      <vt:variant>
        <vt:lpwstr>__RefHeading__2211_1000385367</vt:lpwstr>
      </vt:variant>
      <vt:variant>
        <vt:i4>5767213</vt:i4>
      </vt:variant>
      <vt:variant>
        <vt:i4>20</vt:i4>
      </vt:variant>
      <vt:variant>
        <vt:i4>0</vt:i4>
      </vt:variant>
      <vt:variant>
        <vt:i4>5</vt:i4>
      </vt:variant>
      <vt:variant>
        <vt:lpwstr/>
      </vt:variant>
      <vt:variant>
        <vt:lpwstr>__RefHeading__2209_1000385367</vt:lpwstr>
      </vt:variant>
      <vt:variant>
        <vt:i4>5636141</vt:i4>
      </vt:variant>
      <vt:variant>
        <vt:i4>17</vt:i4>
      </vt:variant>
      <vt:variant>
        <vt:i4>0</vt:i4>
      </vt:variant>
      <vt:variant>
        <vt:i4>5</vt:i4>
      </vt:variant>
      <vt:variant>
        <vt:lpwstr/>
      </vt:variant>
      <vt:variant>
        <vt:lpwstr>__RefHeading__2207_1000385367</vt:lpwstr>
      </vt:variant>
      <vt:variant>
        <vt:i4>5505069</vt:i4>
      </vt:variant>
      <vt:variant>
        <vt:i4>14</vt:i4>
      </vt:variant>
      <vt:variant>
        <vt:i4>0</vt:i4>
      </vt:variant>
      <vt:variant>
        <vt:i4>5</vt:i4>
      </vt:variant>
      <vt:variant>
        <vt:lpwstr/>
      </vt:variant>
      <vt:variant>
        <vt:lpwstr>__RefHeading__2205_1000385367</vt:lpwstr>
      </vt:variant>
      <vt:variant>
        <vt:i4>5373997</vt:i4>
      </vt:variant>
      <vt:variant>
        <vt:i4>11</vt:i4>
      </vt:variant>
      <vt:variant>
        <vt:i4>0</vt:i4>
      </vt:variant>
      <vt:variant>
        <vt:i4>5</vt:i4>
      </vt:variant>
      <vt:variant>
        <vt:lpwstr/>
      </vt:variant>
      <vt:variant>
        <vt:lpwstr>__RefHeading__2203_1000385367</vt:lpwstr>
      </vt:variant>
      <vt:variant>
        <vt:i4>5242925</vt:i4>
      </vt:variant>
      <vt:variant>
        <vt:i4>8</vt:i4>
      </vt:variant>
      <vt:variant>
        <vt:i4>0</vt:i4>
      </vt:variant>
      <vt:variant>
        <vt:i4>5</vt:i4>
      </vt:variant>
      <vt:variant>
        <vt:lpwstr/>
      </vt:variant>
      <vt:variant>
        <vt:lpwstr>__RefHeading__2201_1000385367</vt:lpwstr>
      </vt:variant>
      <vt:variant>
        <vt:i4>5963812</vt:i4>
      </vt:variant>
      <vt:variant>
        <vt:i4>5</vt:i4>
      </vt:variant>
      <vt:variant>
        <vt:i4>0</vt:i4>
      </vt:variant>
      <vt:variant>
        <vt:i4>5</vt:i4>
      </vt:variant>
      <vt:variant>
        <vt:lpwstr/>
      </vt:variant>
      <vt:variant>
        <vt:lpwstr>__RefHeading__2199_1000385367</vt:lpwstr>
      </vt:variant>
      <vt:variant>
        <vt:i4>5570596</vt:i4>
      </vt:variant>
      <vt:variant>
        <vt:i4>2</vt:i4>
      </vt:variant>
      <vt:variant>
        <vt:i4>0</vt:i4>
      </vt:variant>
      <vt:variant>
        <vt:i4>5</vt:i4>
      </vt:variant>
      <vt:variant>
        <vt:lpwstr/>
      </vt:variant>
      <vt:variant>
        <vt:lpwstr>__RefHeading__2197_1000385367</vt:lpwstr>
      </vt:variant>
      <vt:variant>
        <vt:i4>7864432</vt:i4>
      </vt:variant>
      <vt:variant>
        <vt:i4>0</vt:i4>
      </vt:variant>
      <vt:variant>
        <vt:i4>0</vt:i4>
      </vt:variant>
      <vt:variant>
        <vt:i4>5</vt:i4>
      </vt:variant>
      <vt:variant>
        <vt:lpwstr>http://pnd.gob.mx/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cp:lastModifiedBy>Itzel Arriaga Hurtado</cp:lastModifiedBy>
  <cp:revision>2</cp:revision>
  <cp:lastPrinted>1900-01-01T06:00:00Z</cp:lastPrinted>
  <dcterms:created xsi:type="dcterms:W3CDTF">2020-02-29T01:07:00Z</dcterms:created>
  <dcterms:modified xsi:type="dcterms:W3CDTF">2020-02-29T01:07:00Z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