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4001" w:rsidRPr="00B6655A" w:rsidRDefault="00C04001" w:rsidP="00C04001">
      <w:pPr>
        <w:jc w:val="center"/>
        <w:rPr>
          <w:rFonts w:ascii="Andalus" w:eastAsia="Calibri" w:hAnsi="Andalus" w:cs="Andalus"/>
          <w:sz w:val="48"/>
          <w:szCs w:val="36"/>
        </w:rPr>
      </w:pPr>
      <w:r w:rsidRPr="00B6655A">
        <w:rPr>
          <w:rFonts w:ascii="Andalus" w:eastAsia="Calibri" w:hAnsi="Andalus" w:cs="Andalus"/>
          <w:sz w:val="48"/>
          <w:szCs w:val="36"/>
        </w:rPr>
        <w:t>Universidad Autónoma del estado de México</w:t>
      </w:r>
    </w:p>
    <w:p w:rsidR="00C04001" w:rsidRPr="00B6655A" w:rsidRDefault="00C04001" w:rsidP="00C04001">
      <w:pPr>
        <w:jc w:val="center"/>
        <w:rPr>
          <w:rFonts w:ascii="Andalus" w:eastAsia="Calibri" w:hAnsi="Andalus" w:cs="Andalus"/>
          <w:sz w:val="48"/>
          <w:szCs w:val="36"/>
        </w:rPr>
      </w:pPr>
    </w:p>
    <w:p w:rsidR="00C04001" w:rsidRPr="00F92B2A" w:rsidRDefault="00C04001" w:rsidP="00C04001">
      <w:pPr>
        <w:jc w:val="center"/>
        <w:rPr>
          <w:rFonts w:ascii="Andalus" w:eastAsia="Calibri" w:hAnsi="Andalus" w:cs="Andalus"/>
          <w:sz w:val="36"/>
          <w:szCs w:val="36"/>
        </w:rPr>
      </w:pPr>
    </w:p>
    <w:p w:rsidR="00C04001" w:rsidRPr="00B6655A" w:rsidRDefault="00C04001" w:rsidP="00C04001">
      <w:pPr>
        <w:jc w:val="center"/>
        <w:rPr>
          <w:rFonts w:ascii="Andalus" w:eastAsia="Calibri" w:hAnsi="Andalus" w:cs="Andalus"/>
          <w:sz w:val="44"/>
          <w:szCs w:val="36"/>
        </w:rPr>
      </w:pPr>
      <w:r w:rsidRPr="00B6655A">
        <w:rPr>
          <w:rFonts w:ascii="Andalus" w:eastAsia="Calibri" w:hAnsi="Andalus" w:cs="Andalus"/>
          <w:sz w:val="44"/>
          <w:szCs w:val="36"/>
        </w:rPr>
        <w:t xml:space="preserve">Plantel “Ignacio Ramírez Calzada” </w:t>
      </w:r>
    </w:p>
    <w:p w:rsidR="00C04001" w:rsidRPr="00F92B2A" w:rsidRDefault="00C04001" w:rsidP="00C04001">
      <w:pPr>
        <w:jc w:val="center"/>
        <w:rPr>
          <w:rFonts w:ascii="Andalus" w:eastAsia="Calibri" w:hAnsi="Andalus" w:cs="Andalus"/>
          <w:sz w:val="36"/>
          <w:szCs w:val="36"/>
        </w:rPr>
      </w:pPr>
    </w:p>
    <w:p w:rsidR="00C04001" w:rsidRPr="00B6655A" w:rsidRDefault="008B4A95" w:rsidP="00C04001">
      <w:pPr>
        <w:jc w:val="center"/>
        <w:rPr>
          <w:rFonts w:ascii="Andalus" w:eastAsia="Calibri" w:hAnsi="Andalus" w:cs="Andalus"/>
          <w:sz w:val="44"/>
          <w:szCs w:val="36"/>
        </w:rPr>
      </w:pPr>
      <w:r>
        <w:rPr>
          <w:rFonts w:ascii="Andalus" w:eastAsia="Calibri" w:hAnsi="Andalus" w:cs="Andalus"/>
          <w:sz w:val="44"/>
          <w:szCs w:val="36"/>
        </w:rPr>
        <w:t>Guion</w:t>
      </w:r>
      <w:bookmarkStart w:id="0" w:name="_GoBack"/>
      <w:bookmarkEnd w:id="0"/>
      <w:r>
        <w:rPr>
          <w:rFonts w:ascii="Andalus" w:eastAsia="Calibri" w:hAnsi="Andalus" w:cs="Andalus"/>
          <w:sz w:val="44"/>
          <w:szCs w:val="36"/>
        </w:rPr>
        <w:t xml:space="preserve"> </w:t>
      </w:r>
      <w:r w:rsidR="00C04001" w:rsidRPr="00B6655A">
        <w:rPr>
          <w:rFonts w:ascii="Andalus" w:eastAsia="Calibri" w:hAnsi="Andalus" w:cs="Andalus"/>
          <w:sz w:val="44"/>
          <w:szCs w:val="36"/>
        </w:rPr>
        <w:t xml:space="preserve"> </w:t>
      </w:r>
    </w:p>
    <w:p w:rsidR="00C04001" w:rsidRPr="00F92B2A" w:rsidRDefault="00C04001" w:rsidP="00C04001">
      <w:pPr>
        <w:jc w:val="center"/>
        <w:rPr>
          <w:rFonts w:ascii="Andalus" w:eastAsia="Calibri" w:hAnsi="Andalus" w:cs="Andalus"/>
          <w:sz w:val="36"/>
          <w:szCs w:val="36"/>
        </w:rPr>
      </w:pPr>
    </w:p>
    <w:p w:rsidR="00C04001" w:rsidRPr="00B6655A" w:rsidRDefault="00C04001" w:rsidP="00C04001">
      <w:pPr>
        <w:jc w:val="center"/>
        <w:rPr>
          <w:rFonts w:ascii="Andalus" w:eastAsia="Calibri" w:hAnsi="Andalus" w:cs="Andalus"/>
          <w:sz w:val="44"/>
          <w:szCs w:val="36"/>
        </w:rPr>
      </w:pPr>
      <w:r w:rsidRPr="00B6655A">
        <w:rPr>
          <w:rFonts w:ascii="Andalus" w:eastAsia="Calibri" w:hAnsi="Andalus" w:cs="Andalus"/>
          <w:sz w:val="44"/>
          <w:szCs w:val="36"/>
        </w:rPr>
        <w:t xml:space="preserve">Presentación </w:t>
      </w:r>
      <w:proofErr w:type="spellStart"/>
      <w:r w:rsidRPr="00B6655A">
        <w:rPr>
          <w:rFonts w:ascii="Andalus" w:eastAsia="Calibri" w:hAnsi="Andalus" w:cs="Andalus"/>
          <w:sz w:val="44"/>
          <w:szCs w:val="36"/>
        </w:rPr>
        <w:t>power</w:t>
      </w:r>
      <w:proofErr w:type="spellEnd"/>
      <w:r w:rsidRPr="00B6655A">
        <w:rPr>
          <w:rFonts w:ascii="Andalus" w:eastAsia="Calibri" w:hAnsi="Andalus" w:cs="Andalus"/>
          <w:sz w:val="44"/>
          <w:szCs w:val="36"/>
        </w:rPr>
        <w:t xml:space="preserve"> </w:t>
      </w:r>
      <w:proofErr w:type="spellStart"/>
      <w:r w:rsidRPr="00B6655A">
        <w:rPr>
          <w:rFonts w:ascii="Andalus" w:eastAsia="Calibri" w:hAnsi="Andalus" w:cs="Andalus"/>
          <w:sz w:val="44"/>
          <w:szCs w:val="36"/>
        </w:rPr>
        <w:t>point</w:t>
      </w:r>
      <w:proofErr w:type="spellEnd"/>
    </w:p>
    <w:p w:rsidR="00C04001" w:rsidRPr="00F92B2A" w:rsidRDefault="00C04001" w:rsidP="00C04001">
      <w:pPr>
        <w:jc w:val="center"/>
        <w:rPr>
          <w:rFonts w:ascii="Andalus" w:eastAsia="Calibri" w:hAnsi="Andalus" w:cs="Andalus"/>
          <w:sz w:val="36"/>
          <w:szCs w:val="36"/>
        </w:rPr>
      </w:pPr>
    </w:p>
    <w:p w:rsidR="00C04001" w:rsidRPr="00B6655A" w:rsidRDefault="00C04001" w:rsidP="00C04001">
      <w:pPr>
        <w:jc w:val="center"/>
        <w:rPr>
          <w:rFonts w:ascii="Arial" w:eastAsia="Calibri" w:hAnsi="Arial" w:cs="Arial"/>
          <w:sz w:val="36"/>
          <w:szCs w:val="36"/>
        </w:rPr>
      </w:pPr>
      <w:r w:rsidRPr="00B6655A">
        <w:rPr>
          <w:rFonts w:ascii="Arial" w:eastAsia="Calibri" w:hAnsi="Arial" w:cs="Arial"/>
          <w:sz w:val="36"/>
          <w:szCs w:val="36"/>
        </w:rPr>
        <w:t>Materia:</w:t>
      </w:r>
    </w:p>
    <w:p w:rsidR="00C04001" w:rsidRPr="00B6655A" w:rsidRDefault="00C04001" w:rsidP="00C04001">
      <w:pPr>
        <w:jc w:val="center"/>
        <w:rPr>
          <w:rFonts w:ascii="Arial" w:eastAsia="Calibri" w:hAnsi="Arial" w:cs="Arial"/>
          <w:sz w:val="36"/>
          <w:szCs w:val="36"/>
        </w:rPr>
      </w:pPr>
    </w:p>
    <w:p w:rsidR="00C04001" w:rsidRPr="00B6655A" w:rsidRDefault="00C04001" w:rsidP="00C04001">
      <w:pPr>
        <w:jc w:val="center"/>
        <w:rPr>
          <w:rFonts w:ascii="Arial" w:eastAsia="Calibri" w:hAnsi="Arial" w:cs="Arial"/>
          <w:sz w:val="36"/>
          <w:szCs w:val="36"/>
        </w:rPr>
      </w:pPr>
      <w:r w:rsidRPr="00B6655A">
        <w:rPr>
          <w:rFonts w:ascii="Arial" w:eastAsia="Calibri" w:hAnsi="Arial" w:cs="Arial"/>
          <w:sz w:val="36"/>
          <w:szCs w:val="36"/>
        </w:rPr>
        <w:t>Apreciación y Expresión del Arte I</w:t>
      </w:r>
    </w:p>
    <w:p w:rsidR="00C04001" w:rsidRPr="00F92B2A" w:rsidRDefault="00C04001" w:rsidP="00C04001">
      <w:pPr>
        <w:jc w:val="center"/>
        <w:rPr>
          <w:rFonts w:ascii="Andalus" w:eastAsia="Calibri" w:hAnsi="Andalus" w:cs="Andalus"/>
          <w:sz w:val="36"/>
          <w:szCs w:val="36"/>
        </w:rPr>
      </w:pPr>
    </w:p>
    <w:p w:rsidR="00C04001" w:rsidRPr="00F92B2A" w:rsidRDefault="00C04001" w:rsidP="00C04001">
      <w:pPr>
        <w:ind w:left="3540"/>
        <w:jc w:val="center"/>
        <w:rPr>
          <w:rFonts w:ascii="Andalus" w:eastAsia="Calibri" w:hAnsi="Andalus" w:cs="Andalus"/>
          <w:sz w:val="24"/>
          <w:szCs w:val="24"/>
        </w:rPr>
      </w:pPr>
      <w:r w:rsidRPr="00F92B2A">
        <w:rPr>
          <w:rFonts w:ascii="Andalus" w:eastAsia="Calibri" w:hAnsi="Andalus" w:cs="Andalus"/>
          <w:sz w:val="36"/>
          <w:szCs w:val="36"/>
        </w:rPr>
        <w:t>Víctor Manuel Pineda Velázquez</w:t>
      </w:r>
    </w:p>
    <w:p w:rsidR="00C04001" w:rsidRPr="004B1E51" w:rsidRDefault="00C04001" w:rsidP="00C04001">
      <w:pPr>
        <w:jc w:val="right"/>
        <w:rPr>
          <w:rFonts w:ascii="Arial" w:eastAsia="Calibri" w:hAnsi="Arial" w:cs="Arial"/>
          <w:sz w:val="24"/>
          <w:szCs w:val="24"/>
        </w:rPr>
      </w:pPr>
    </w:p>
    <w:p w:rsidR="00C04001" w:rsidRPr="004B1E51" w:rsidRDefault="00C04001" w:rsidP="00C04001">
      <w:pPr>
        <w:jc w:val="right"/>
        <w:rPr>
          <w:rFonts w:ascii="Arial" w:eastAsia="Calibri" w:hAnsi="Arial" w:cs="Arial"/>
          <w:sz w:val="24"/>
          <w:szCs w:val="24"/>
        </w:rPr>
      </w:pPr>
    </w:p>
    <w:p w:rsidR="00C04001" w:rsidRPr="004B1E51" w:rsidRDefault="00C04001" w:rsidP="00C04001">
      <w:pPr>
        <w:jc w:val="right"/>
        <w:rPr>
          <w:rFonts w:ascii="Arial" w:eastAsia="Calibri" w:hAnsi="Arial" w:cs="Arial"/>
          <w:sz w:val="24"/>
          <w:szCs w:val="24"/>
        </w:rPr>
      </w:pPr>
    </w:p>
    <w:p w:rsidR="00C04001" w:rsidRDefault="00C04001" w:rsidP="00C04001">
      <w:pPr>
        <w:jc w:val="right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2</w:t>
      </w:r>
      <w:r w:rsidR="00B3015B">
        <w:rPr>
          <w:rFonts w:ascii="Arial" w:eastAsia="Calibri" w:hAnsi="Arial" w:cs="Arial"/>
          <w:sz w:val="24"/>
          <w:szCs w:val="24"/>
        </w:rPr>
        <w:t>5</w:t>
      </w:r>
      <w:r>
        <w:rPr>
          <w:rFonts w:ascii="Arial" w:eastAsia="Calibri" w:hAnsi="Arial" w:cs="Arial"/>
          <w:sz w:val="24"/>
          <w:szCs w:val="24"/>
        </w:rPr>
        <w:t xml:space="preserve"> de </w:t>
      </w:r>
      <w:r w:rsidR="00D51C45">
        <w:rPr>
          <w:rFonts w:ascii="Arial" w:eastAsia="Calibri" w:hAnsi="Arial" w:cs="Arial"/>
          <w:sz w:val="24"/>
          <w:szCs w:val="24"/>
        </w:rPr>
        <w:t xml:space="preserve">septiembre </w:t>
      </w:r>
      <w:r>
        <w:rPr>
          <w:rFonts w:ascii="Arial" w:eastAsia="Calibri" w:hAnsi="Arial" w:cs="Arial"/>
          <w:sz w:val="24"/>
          <w:szCs w:val="24"/>
        </w:rPr>
        <w:t xml:space="preserve"> 201</w:t>
      </w:r>
      <w:r w:rsidR="00B3015B">
        <w:rPr>
          <w:rFonts w:ascii="Arial" w:eastAsia="Calibri" w:hAnsi="Arial" w:cs="Arial"/>
          <w:sz w:val="24"/>
          <w:szCs w:val="24"/>
        </w:rPr>
        <w:t>9</w:t>
      </w:r>
    </w:p>
    <w:p w:rsidR="00C04001" w:rsidRDefault="00C04001" w:rsidP="00C04001">
      <w:pPr>
        <w:jc w:val="right"/>
        <w:rPr>
          <w:rFonts w:ascii="Arial" w:eastAsia="Calibri" w:hAnsi="Arial" w:cs="Arial"/>
          <w:sz w:val="24"/>
          <w:szCs w:val="24"/>
        </w:rPr>
      </w:pPr>
    </w:p>
    <w:p w:rsidR="00C04001" w:rsidRDefault="00C04001" w:rsidP="00C04001">
      <w:pPr>
        <w:jc w:val="right"/>
        <w:rPr>
          <w:rFonts w:ascii="Arial" w:eastAsia="Calibri" w:hAnsi="Arial" w:cs="Arial"/>
          <w:sz w:val="24"/>
          <w:szCs w:val="24"/>
        </w:rPr>
      </w:pPr>
    </w:p>
    <w:p w:rsidR="00C04001" w:rsidRDefault="00C04001" w:rsidP="00C04001">
      <w:pPr>
        <w:spacing w:line="360" w:lineRule="auto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Tema:</w:t>
      </w:r>
    </w:p>
    <w:p w:rsidR="00C04001" w:rsidRDefault="00B3015B" w:rsidP="00C04001">
      <w:pPr>
        <w:spacing w:line="360" w:lineRule="auto"/>
        <w:rPr>
          <w:rFonts w:ascii="Arial" w:eastAsia="Calibri" w:hAnsi="Arial" w:cs="Arial"/>
          <w:b/>
          <w:sz w:val="24"/>
          <w:szCs w:val="24"/>
        </w:rPr>
      </w:pPr>
      <w:r>
        <w:rPr>
          <w:rFonts w:ascii="Arial" w:eastAsia="Calibri" w:hAnsi="Arial" w:cs="Arial"/>
          <w:b/>
          <w:sz w:val="24"/>
          <w:szCs w:val="24"/>
        </w:rPr>
        <w:t>Generalidades del Arte</w:t>
      </w:r>
    </w:p>
    <w:p w:rsidR="00C04001" w:rsidRPr="00F92B2A" w:rsidRDefault="00C04001" w:rsidP="00C04001">
      <w:pPr>
        <w:spacing w:line="360" w:lineRule="auto"/>
        <w:rPr>
          <w:rFonts w:ascii="Arial" w:eastAsia="Calibri" w:hAnsi="Arial" w:cs="Arial"/>
          <w:b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Subtema:</w:t>
      </w:r>
    </w:p>
    <w:p w:rsidR="00C04001" w:rsidRPr="00674077" w:rsidRDefault="00B3015B" w:rsidP="00C04001">
      <w:pPr>
        <w:spacing w:line="360" w:lineRule="auto"/>
        <w:rPr>
          <w:rFonts w:ascii="Arial" w:eastAsia="Calibri" w:hAnsi="Arial" w:cs="Arial"/>
          <w:b/>
          <w:sz w:val="24"/>
          <w:szCs w:val="24"/>
        </w:rPr>
      </w:pPr>
      <w:r>
        <w:rPr>
          <w:rFonts w:ascii="Arial" w:eastAsia="Calibri" w:hAnsi="Arial" w:cs="Arial"/>
          <w:b/>
          <w:sz w:val="24"/>
          <w:szCs w:val="24"/>
        </w:rPr>
        <w:t xml:space="preserve">1.3 Funciones del Arte </w:t>
      </w:r>
    </w:p>
    <w:p w:rsidR="00C04001" w:rsidRPr="004B1E51" w:rsidRDefault="00C04001" w:rsidP="00C04001">
      <w:pPr>
        <w:spacing w:line="360" w:lineRule="auto"/>
        <w:jc w:val="center"/>
        <w:rPr>
          <w:rFonts w:ascii="Arial" w:eastAsia="Calibri" w:hAnsi="Arial" w:cs="Arial"/>
          <w:sz w:val="24"/>
          <w:szCs w:val="24"/>
          <w:u w:val="single"/>
        </w:rPr>
      </w:pPr>
    </w:p>
    <w:p w:rsidR="00C04001" w:rsidRDefault="00C04001" w:rsidP="00C04001">
      <w:pPr>
        <w:spacing w:after="0" w:line="36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  <w:r>
        <w:rPr>
          <w:rFonts w:ascii="Arial" w:eastAsia="Calibri" w:hAnsi="Arial" w:cs="Arial"/>
          <w:color w:val="000000"/>
          <w:sz w:val="24"/>
          <w:szCs w:val="24"/>
        </w:rPr>
        <w:t xml:space="preserve">En el año 2015,  </w:t>
      </w:r>
      <w:r w:rsidRPr="00981B0D">
        <w:rPr>
          <w:rFonts w:ascii="Arial" w:eastAsia="Calibri" w:hAnsi="Arial" w:cs="Arial"/>
          <w:color w:val="000000"/>
          <w:sz w:val="24"/>
          <w:szCs w:val="24"/>
        </w:rPr>
        <w:t>la Universidad Autónoma del Estado de México</w:t>
      </w:r>
      <w:r>
        <w:rPr>
          <w:rFonts w:ascii="Arial" w:eastAsia="Calibri" w:hAnsi="Arial" w:cs="Arial"/>
          <w:color w:val="000000"/>
          <w:sz w:val="24"/>
          <w:szCs w:val="24"/>
        </w:rPr>
        <w:t xml:space="preserve"> implemento en los</w:t>
      </w:r>
      <w:r w:rsidRPr="00981B0D">
        <w:rPr>
          <w:rFonts w:ascii="Arial" w:eastAsia="Calibri" w:hAnsi="Arial" w:cs="Arial"/>
          <w:color w:val="000000"/>
          <w:sz w:val="24"/>
          <w:szCs w:val="24"/>
        </w:rPr>
        <w:t xml:space="preserve"> Plantel</w:t>
      </w:r>
      <w:r>
        <w:rPr>
          <w:rFonts w:ascii="Arial" w:eastAsia="Calibri" w:hAnsi="Arial" w:cs="Arial"/>
          <w:color w:val="000000"/>
          <w:sz w:val="24"/>
          <w:szCs w:val="24"/>
        </w:rPr>
        <w:t>es</w:t>
      </w:r>
      <w:r w:rsidRPr="00981B0D">
        <w:rPr>
          <w:rFonts w:ascii="Arial" w:eastAsia="Calibri" w:hAnsi="Arial" w:cs="Arial"/>
          <w:color w:val="000000"/>
          <w:sz w:val="24"/>
          <w:szCs w:val="24"/>
        </w:rPr>
        <w:t xml:space="preserve"> de la Escuela Preparatoria</w:t>
      </w:r>
      <w:r>
        <w:rPr>
          <w:rFonts w:ascii="Arial" w:eastAsia="Calibri" w:hAnsi="Arial" w:cs="Arial"/>
          <w:color w:val="000000"/>
          <w:sz w:val="24"/>
          <w:szCs w:val="24"/>
        </w:rPr>
        <w:t>,  el Currículo de Bachillerato Universitario 2015 (CBU 2015), ubicando la asignatura de Apreciación y Expresión del Arte</w:t>
      </w:r>
      <w:r w:rsidR="00B3015B">
        <w:rPr>
          <w:rFonts w:ascii="Arial" w:eastAsia="Calibri" w:hAnsi="Arial" w:cs="Arial"/>
          <w:color w:val="000000"/>
          <w:sz w:val="24"/>
          <w:szCs w:val="24"/>
        </w:rPr>
        <w:t xml:space="preserve"> I</w:t>
      </w:r>
      <w:r w:rsidRPr="007C1D44">
        <w:rPr>
          <w:rFonts w:ascii="Arial" w:eastAsia="Calibri" w:hAnsi="Arial" w:cs="Arial"/>
          <w:color w:val="000000"/>
          <w:sz w:val="24"/>
          <w:szCs w:val="24"/>
        </w:rPr>
        <w:t xml:space="preserve"> </w:t>
      </w:r>
      <w:r>
        <w:rPr>
          <w:rFonts w:ascii="Arial" w:eastAsia="Calibri" w:hAnsi="Arial" w:cs="Arial"/>
          <w:color w:val="000000"/>
          <w:sz w:val="24"/>
          <w:szCs w:val="24"/>
        </w:rPr>
        <w:t>en</w:t>
      </w:r>
      <w:r w:rsidRPr="00981B0D">
        <w:rPr>
          <w:rFonts w:ascii="Arial" w:eastAsia="Calibri" w:hAnsi="Arial" w:cs="Arial"/>
          <w:color w:val="000000"/>
          <w:sz w:val="24"/>
          <w:szCs w:val="24"/>
        </w:rPr>
        <w:t xml:space="preserve"> </w:t>
      </w:r>
      <w:r>
        <w:rPr>
          <w:rFonts w:ascii="Arial" w:eastAsia="Calibri" w:hAnsi="Arial" w:cs="Arial"/>
          <w:color w:val="000000"/>
          <w:sz w:val="24"/>
          <w:szCs w:val="24"/>
        </w:rPr>
        <w:t>Quinto</w:t>
      </w:r>
      <w:r w:rsidRPr="00981B0D">
        <w:rPr>
          <w:rFonts w:ascii="Arial" w:eastAsia="Calibri" w:hAnsi="Arial" w:cs="Arial"/>
          <w:color w:val="000000"/>
          <w:sz w:val="24"/>
          <w:szCs w:val="24"/>
        </w:rPr>
        <w:t xml:space="preserve"> </w:t>
      </w:r>
      <w:r>
        <w:rPr>
          <w:rFonts w:ascii="Arial" w:eastAsia="Calibri" w:hAnsi="Arial" w:cs="Arial"/>
          <w:color w:val="000000"/>
          <w:sz w:val="24"/>
          <w:szCs w:val="24"/>
        </w:rPr>
        <w:t>semestre</w:t>
      </w:r>
    </w:p>
    <w:p w:rsidR="00C04001" w:rsidRDefault="00C04001" w:rsidP="00C04001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  <w:r>
        <w:rPr>
          <w:rFonts w:ascii="Arial" w:eastAsia="Calibri" w:hAnsi="Arial" w:cs="Arial"/>
          <w:color w:val="000000"/>
          <w:sz w:val="24"/>
          <w:szCs w:val="24"/>
        </w:rPr>
        <w:t>El programa de esta materia tiene como propósito general: Desarrolla la comprensión del lenguaje de las manifestaciones artísticas de carácter plástico, mediante el conocimiento de sus fundamentos teórico-prácticos y de experiencias vivenciales para apreciar las expresiones artísticas en su entorno.</w:t>
      </w:r>
    </w:p>
    <w:p w:rsidR="00AB6F6F" w:rsidRPr="004932FF" w:rsidRDefault="004932FF" w:rsidP="00ED745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 </w:t>
      </w:r>
      <w:r w:rsidR="00AB6F6F">
        <w:rPr>
          <w:rFonts w:ascii="Arial" w:hAnsi="Arial" w:cs="Arial"/>
          <w:sz w:val="24"/>
          <w:szCs w:val="24"/>
        </w:rPr>
        <w:t xml:space="preserve">esta presentación se </w:t>
      </w:r>
      <w:r w:rsidR="00B3015B">
        <w:rPr>
          <w:rFonts w:ascii="Arial" w:hAnsi="Arial" w:cs="Arial"/>
          <w:sz w:val="24"/>
          <w:szCs w:val="24"/>
        </w:rPr>
        <w:t xml:space="preserve">desarrolla </w:t>
      </w:r>
      <w:r w:rsidR="00AB6F6F">
        <w:rPr>
          <w:rFonts w:ascii="Arial" w:hAnsi="Arial" w:cs="Arial"/>
          <w:sz w:val="24"/>
          <w:szCs w:val="24"/>
        </w:rPr>
        <w:t xml:space="preserve">el subtema </w:t>
      </w:r>
      <w:r w:rsidR="00B3015B">
        <w:rPr>
          <w:rFonts w:ascii="Arial" w:hAnsi="Arial" w:cs="Arial"/>
          <w:sz w:val="24"/>
          <w:szCs w:val="24"/>
        </w:rPr>
        <w:t>1.3</w:t>
      </w:r>
      <w:r w:rsidR="00AB6F6F">
        <w:rPr>
          <w:rFonts w:ascii="Arial" w:hAnsi="Arial" w:cs="Arial"/>
          <w:sz w:val="24"/>
          <w:szCs w:val="24"/>
        </w:rPr>
        <w:t xml:space="preserve"> </w:t>
      </w:r>
      <w:r w:rsidR="00B3015B">
        <w:rPr>
          <w:rFonts w:ascii="Arial" w:hAnsi="Arial" w:cs="Arial"/>
          <w:sz w:val="24"/>
          <w:szCs w:val="24"/>
        </w:rPr>
        <w:t>Funciones del Arte del módulo I</w:t>
      </w:r>
      <w:r>
        <w:rPr>
          <w:rFonts w:ascii="Arial" w:hAnsi="Arial" w:cs="Arial"/>
          <w:sz w:val="24"/>
          <w:szCs w:val="24"/>
        </w:rPr>
        <w:t>,</w:t>
      </w:r>
      <w:r w:rsidRPr="004932FF">
        <w:rPr>
          <w:rFonts w:ascii="Arial" w:hAnsi="Arial" w:cs="Arial"/>
          <w:sz w:val="24"/>
          <w:szCs w:val="24"/>
        </w:rPr>
        <w:t xml:space="preserve"> el cual tiene como propósito: </w:t>
      </w:r>
      <w:r w:rsidR="00B3015B">
        <w:rPr>
          <w:rFonts w:ascii="Arial" w:hAnsi="Arial" w:cs="Arial"/>
          <w:sz w:val="24"/>
          <w:szCs w:val="24"/>
        </w:rPr>
        <w:t xml:space="preserve">Comprende los elementos relacionados al concepto de arte, reconociéndolo como elemento vital para el respeto y desarrollo de las sociedades. </w:t>
      </w:r>
    </w:p>
    <w:p w:rsidR="00ED7455" w:rsidRPr="00ED7455" w:rsidRDefault="007C3642" w:rsidP="007C3642">
      <w:pPr>
        <w:pStyle w:val="NormalWeb"/>
        <w:spacing w:before="0" w:beforeAutospacing="0" w:after="0" w:afterAutospacing="0" w:line="360" w:lineRule="auto"/>
        <w:jc w:val="both"/>
        <w:rPr>
          <w:rFonts w:ascii="Arial" w:eastAsia="+mn-ea" w:hAnsi="Arial" w:cs="Arial"/>
          <w:color w:val="000000"/>
          <w:kern w:val="24"/>
        </w:rPr>
      </w:pPr>
      <w:r>
        <w:rPr>
          <w:rFonts w:ascii="Arial" w:eastAsia="Calibri" w:hAnsi="Arial" w:cs="Arial"/>
          <w:color w:val="000000"/>
        </w:rPr>
        <w:t xml:space="preserve">Se establecen </w:t>
      </w:r>
      <w:r w:rsidR="00ED7455">
        <w:rPr>
          <w:rFonts w:ascii="Arial" w:eastAsia="Calibri" w:hAnsi="Arial" w:cs="Arial"/>
          <w:color w:val="000000"/>
        </w:rPr>
        <w:t xml:space="preserve"> como </w:t>
      </w:r>
      <w:r w:rsidR="00ED7455" w:rsidRPr="00981B0D">
        <w:rPr>
          <w:rFonts w:ascii="Arial" w:eastAsia="+mn-ea" w:hAnsi="Arial" w:cs="Arial"/>
          <w:color w:val="000000"/>
          <w:kern w:val="24"/>
        </w:rPr>
        <w:t>dominios de aprendizaje del tema</w:t>
      </w:r>
      <w:r>
        <w:rPr>
          <w:rFonts w:ascii="Arial" w:eastAsia="+mn-ea" w:hAnsi="Arial" w:cs="Arial"/>
          <w:color w:val="000000"/>
          <w:kern w:val="24"/>
        </w:rPr>
        <w:t xml:space="preserve"> los siguientes</w:t>
      </w:r>
      <w:r w:rsidR="00ED7455" w:rsidRPr="00981B0D">
        <w:rPr>
          <w:rFonts w:ascii="Arial" w:eastAsia="+mn-ea" w:hAnsi="Arial" w:cs="Arial"/>
          <w:color w:val="000000"/>
          <w:kern w:val="24"/>
        </w:rPr>
        <w:t>:</w:t>
      </w:r>
    </w:p>
    <w:p w:rsidR="00B0157A" w:rsidRDefault="00ED7455" w:rsidP="007C364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7C3642">
        <w:rPr>
          <w:rFonts w:ascii="Arial" w:eastAsiaTheme="minorEastAsia" w:hAnsi="Arial" w:cs="Arial"/>
          <w:b/>
          <w:kern w:val="24"/>
          <w:sz w:val="24"/>
          <w:szCs w:val="24"/>
        </w:rPr>
        <w:t>Conceptual</w:t>
      </w:r>
      <w:r w:rsidR="00B0157A">
        <w:rPr>
          <w:rFonts w:ascii="Arial" w:eastAsiaTheme="minorEastAsia" w:hAnsi="Arial" w:cs="Arial"/>
          <w:b/>
          <w:kern w:val="24"/>
          <w:sz w:val="24"/>
          <w:szCs w:val="24"/>
        </w:rPr>
        <w:t>:</w:t>
      </w:r>
      <w:r w:rsidRPr="007C3642">
        <w:rPr>
          <w:rFonts w:ascii="Arial" w:hAnsi="Arial" w:cs="Arial"/>
          <w:b/>
          <w:sz w:val="24"/>
          <w:szCs w:val="24"/>
        </w:rPr>
        <w:t xml:space="preserve"> </w:t>
      </w:r>
      <w:r w:rsidR="00B0157A">
        <w:rPr>
          <w:rFonts w:ascii="Arial" w:hAnsi="Arial" w:cs="Arial"/>
          <w:sz w:val="24"/>
          <w:szCs w:val="24"/>
        </w:rPr>
        <w:t>Distingue las funciones del arte.</w:t>
      </w:r>
    </w:p>
    <w:p w:rsidR="004932FF" w:rsidRPr="00ED7455" w:rsidRDefault="00ED7455" w:rsidP="007C364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7C3642">
        <w:rPr>
          <w:rFonts w:ascii="Arial" w:hAnsi="Arial" w:cs="Arial"/>
          <w:b/>
          <w:sz w:val="24"/>
          <w:szCs w:val="24"/>
        </w:rPr>
        <w:t>Procedimental</w:t>
      </w:r>
      <w:r w:rsidR="00B0157A">
        <w:rPr>
          <w:rFonts w:ascii="Arial" w:hAnsi="Arial" w:cs="Arial"/>
          <w:b/>
          <w:sz w:val="24"/>
          <w:szCs w:val="24"/>
        </w:rPr>
        <w:t xml:space="preserve">: </w:t>
      </w:r>
      <w:r w:rsidR="00B0157A">
        <w:rPr>
          <w:rFonts w:ascii="Arial" w:hAnsi="Arial" w:cs="Arial"/>
          <w:sz w:val="24"/>
          <w:szCs w:val="24"/>
        </w:rPr>
        <w:t>Analiza las funciones del arte desde sus orígenes y hasta nuestros días.</w:t>
      </w:r>
    </w:p>
    <w:p w:rsidR="00B0157A" w:rsidRDefault="00B0157A" w:rsidP="00CB305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Actitudinal: </w:t>
      </w:r>
      <w:r>
        <w:rPr>
          <w:rFonts w:ascii="Arial" w:hAnsi="Arial" w:cs="Arial"/>
          <w:sz w:val="24"/>
          <w:szCs w:val="24"/>
        </w:rPr>
        <w:t xml:space="preserve">Evalúa las diferentes funciones del arte. </w:t>
      </w:r>
    </w:p>
    <w:p w:rsidR="00AB6F6F" w:rsidRDefault="006822DF" w:rsidP="00CB305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desarrollo de e</w:t>
      </w:r>
      <w:r w:rsidR="007C3642" w:rsidRPr="00CB305C">
        <w:rPr>
          <w:rFonts w:ascii="Arial" w:hAnsi="Arial" w:cs="Arial"/>
          <w:sz w:val="24"/>
          <w:szCs w:val="24"/>
        </w:rPr>
        <w:t xml:space="preserve">ste subtema contribuye a la formación del perfil de egreso, </w:t>
      </w:r>
      <w:r w:rsidR="00CB305C" w:rsidRPr="00CB305C">
        <w:rPr>
          <w:rFonts w:ascii="Arial" w:hAnsi="Arial" w:cs="Arial"/>
          <w:sz w:val="24"/>
          <w:szCs w:val="24"/>
        </w:rPr>
        <w:t xml:space="preserve">porque el alumno </w:t>
      </w:r>
      <w:r w:rsidR="007C3642" w:rsidRPr="00CB305C">
        <w:rPr>
          <w:rFonts w:ascii="Arial" w:hAnsi="Arial" w:cs="Arial"/>
          <w:sz w:val="24"/>
          <w:szCs w:val="24"/>
        </w:rPr>
        <w:t xml:space="preserve">desarrolla </w:t>
      </w:r>
      <w:r w:rsidR="00B0157A" w:rsidRPr="00CB305C">
        <w:rPr>
          <w:rFonts w:ascii="Arial" w:hAnsi="Arial" w:cs="Arial"/>
          <w:sz w:val="24"/>
          <w:szCs w:val="24"/>
        </w:rPr>
        <w:t>las competencias genéricas</w:t>
      </w:r>
      <w:r w:rsidR="00B0157A">
        <w:rPr>
          <w:rFonts w:ascii="Arial" w:hAnsi="Arial" w:cs="Arial"/>
          <w:sz w:val="24"/>
          <w:szCs w:val="24"/>
        </w:rPr>
        <w:t>:</w:t>
      </w:r>
      <w:r w:rsidR="00CB305C" w:rsidRPr="00CB305C">
        <w:rPr>
          <w:rFonts w:ascii="Arial" w:hAnsi="Arial" w:cs="Arial"/>
          <w:sz w:val="24"/>
          <w:szCs w:val="24"/>
        </w:rPr>
        <w:t xml:space="preserve"> </w:t>
      </w:r>
      <w:r w:rsidR="00B0157A">
        <w:rPr>
          <w:rFonts w:ascii="Arial" w:hAnsi="Arial" w:cs="Arial"/>
          <w:b/>
          <w:bCs/>
          <w:sz w:val="24"/>
          <w:szCs w:val="24"/>
        </w:rPr>
        <w:t>2, 2.2, 5, 5.6</w:t>
      </w:r>
      <w:r w:rsidR="00993856">
        <w:rPr>
          <w:rFonts w:ascii="Arial" w:hAnsi="Arial" w:cs="Arial"/>
          <w:b/>
          <w:bCs/>
          <w:sz w:val="24"/>
          <w:szCs w:val="24"/>
        </w:rPr>
        <w:t>, 8.1</w:t>
      </w:r>
      <w:r w:rsidR="00B0157A">
        <w:rPr>
          <w:rFonts w:ascii="Arial" w:hAnsi="Arial" w:cs="Arial"/>
          <w:b/>
          <w:bCs/>
          <w:sz w:val="24"/>
          <w:szCs w:val="24"/>
        </w:rPr>
        <w:t>.</w:t>
      </w:r>
      <w:r w:rsidR="00CB305C">
        <w:rPr>
          <w:rFonts w:ascii="Arial" w:hAnsi="Arial" w:cs="Arial"/>
          <w:b/>
          <w:bCs/>
          <w:sz w:val="24"/>
          <w:szCs w:val="24"/>
        </w:rPr>
        <w:t xml:space="preserve"> </w:t>
      </w:r>
      <w:r w:rsidR="000A687B">
        <w:rPr>
          <w:rFonts w:ascii="Arial" w:hAnsi="Arial" w:cs="Arial"/>
          <w:bCs/>
          <w:sz w:val="24"/>
          <w:szCs w:val="24"/>
        </w:rPr>
        <w:t>Así</w:t>
      </w:r>
      <w:r w:rsidR="00CB305C">
        <w:rPr>
          <w:rFonts w:ascii="Arial" w:hAnsi="Arial" w:cs="Arial"/>
          <w:bCs/>
          <w:sz w:val="24"/>
          <w:szCs w:val="24"/>
        </w:rPr>
        <w:t xml:space="preserve"> como las competencias disciplinares básicas</w:t>
      </w:r>
      <w:r w:rsidR="00B0157A">
        <w:rPr>
          <w:rFonts w:ascii="Arial" w:hAnsi="Arial" w:cs="Arial"/>
          <w:bCs/>
          <w:sz w:val="24"/>
          <w:szCs w:val="24"/>
        </w:rPr>
        <w:t>:</w:t>
      </w:r>
      <w:r w:rsidR="00CB305C">
        <w:rPr>
          <w:rFonts w:ascii="Arial" w:hAnsi="Arial" w:cs="Arial"/>
          <w:bCs/>
          <w:sz w:val="24"/>
          <w:szCs w:val="24"/>
        </w:rPr>
        <w:t xml:space="preserve"> </w:t>
      </w:r>
      <w:r w:rsidR="00B0157A">
        <w:rPr>
          <w:rFonts w:ascii="Arial" w:hAnsi="Arial" w:cs="Arial"/>
          <w:b/>
          <w:bCs/>
          <w:sz w:val="24"/>
          <w:szCs w:val="24"/>
        </w:rPr>
        <w:t>10, 11, 4.</w:t>
      </w:r>
    </w:p>
    <w:p w:rsidR="0071671F" w:rsidRPr="0071671F" w:rsidRDefault="0071671F" w:rsidP="00CB305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Esta presentación se diseñó para identificar claramente la</w:t>
      </w:r>
      <w:r w:rsidR="00F43E4B">
        <w:rPr>
          <w:rFonts w:ascii="Arial" w:hAnsi="Arial" w:cs="Arial"/>
          <w:bCs/>
          <w:sz w:val="24"/>
          <w:szCs w:val="24"/>
        </w:rPr>
        <w:t>s</w:t>
      </w:r>
      <w:r w:rsidR="00B0157A">
        <w:rPr>
          <w:rFonts w:ascii="Arial" w:hAnsi="Arial" w:cs="Arial"/>
          <w:bCs/>
          <w:sz w:val="24"/>
          <w:szCs w:val="24"/>
        </w:rPr>
        <w:t xml:space="preserve"> distintas funciones del arte, desde sus orígenes hasta nuestros tiempos, </w:t>
      </w:r>
      <w:r>
        <w:rPr>
          <w:rFonts w:ascii="Arial" w:hAnsi="Arial" w:cs="Arial"/>
          <w:bCs/>
          <w:sz w:val="24"/>
          <w:szCs w:val="24"/>
        </w:rPr>
        <w:t>con ayuda de las definiciones correspondientes y de imágenes ilustrativas.</w:t>
      </w:r>
    </w:p>
    <w:sectPr w:rsidR="0071671F" w:rsidRPr="0071671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001"/>
    <w:rsid w:val="000A687B"/>
    <w:rsid w:val="000D51C2"/>
    <w:rsid w:val="001F4877"/>
    <w:rsid w:val="00333C90"/>
    <w:rsid w:val="00486281"/>
    <w:rsid w:val="004932FF"/>
    <w:rsid w:val="006822DF"/>
    <w:rsid w:val="0071671F"/>
    <w:rsid w:val="007C3642"/>
    <w:rsid w:val="008B4A95"/>
    <w:rsid w:val="00993856"/>
    <w:rsid w:val="00AB6F6F"/>
    <w:rsid w:val="00B0157A"/>
    <w:rsid w:val="00B3015B"/>
    <w:rsid w:val="00C04001"/>
    <w:rsid w:val="00CB305C"/>
    <w:rsid w:val="00D51C45"/>
    <w:rsid w:val="00D813B6"/>
    <w:rsid w:val="00ED7455"/>
    <w:rsid w:val="00F43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284A25A-6926-4D90-BFFA-0BB7AD40F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400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040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273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5</cp:revision>
  <dcterms:created xsi:type="dcterms:W3CDTF">2019-09-25T16:53:00Z</dcterms:created>
  <dcterms:modified xsi:type="dcterms:W3CDTF">2019-09-25T19:17:00Z</dcterms:modified>
</cp:coreProperties>
</file>