
<file path=[Content_Types].xml><?xml version="1.0" encoding="utf-8"?>
<Types xmlns="http://schemas.openxmlformats.org/package/2006/content-types">
  <Default Extension="tmp" ContentType="image/png"/>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3CEE7C" w14:textId="223723C9" w:rsidR="003C3468" w:rsidRDefault="009D696A" w:rsidP="00B9242D">
      <w:pPr>
        <w:autoSpaceDE w:val="0"/>
        <w:autoSpaceDN w:val="0"/>
        <w:adjustRightInd w:val="0"/>
        <w:spacing w:line="480" w:lineRule="auto"/>
        <w:rPr>
          <w:bCs/>
        </w:rPr>
      </w:pPr>
      <w:r>
        <w:rPr>
          <w:bCs/>
          <w:noProof/>
          <w:lang w:eastAsia="es-MX"/>
        </w:rPr>
        <w:drawing>
          <wp:anchor distT="0" distB="0" distL="114300" distR="114300" simplePos="0" relativeHeight="251664384" behindDoc="0" locked="0" layoutInCell="1" allowOverlap="1" wp14:anchorId="5CDBFF09" wp14:editId="40B9E3F5">
            <wp:simplePos x="0" y="0"/>
            <wp:positionH relativeFrom="margin">
              <wp:posOffset>4288155</wp:posOffset>
            </wp:positionH>
            <wp:positionV relativeFrom="margin">
              <wp:posOffset>-95250</wp:posOffset>
            </wp:positionV>
            <wp:extent cx="2000250" cy="1028700"/>
            <wp:effectExtent l="0" t="0" r="0" b="0"/>
            <wp:wrapSquare wrapText="bothSides"/>
            <wp:docPr id="13" name="Imagen 13"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Logotipo, nombre de la empresa&#10;&#10;Descripción generada automáticamente"/>
                    <pic:cNvPicPr/>
                  </pic:nvPicPr>
                  <pic:blipFill>
                    <a:blip r:embed="rId8">
                      <a:extLst>
                        <a:ext uri="{28A0092B-C50C-407E-A947-70E740481C1C}">
                          <a14:useLocalDpi xmlns:a14="http://schemas.microsoft.com/office/drawing/2010/main" val="0"/>
                        </a:ext>
                      </a:extLst>
                    </a:blip>
                    <a:stretch>
                      <a:fillRect/>
                    </a:stretch>
                  </pic:blipFill>
                  <pic:spPr>
                    <a:xfrm>
                      <a:off x="0" y="0"/>
                      <a:ext cx="2000250" cy="1028700"/>
                    </a:xfrm>
                    <a:prstGeom prst="rect">
                      <a:avLst/>
                    </a:prstGeom>
                  </pic:spPr>
                </pic:pic>
              </a:graphicData>
            </a:graphic>
          </wp:anchor>
        </w:drawing>
      </w:r>
      <w:r>
        <w:rPr>
          <w:noProof/>
          <w:lang w:eastAsia="es-MX"/>
        </w:rPr>
        <w:drawing>
          <wp:anchor distT="0" distB="0" distL="114300" distR="114300" simplePos="0" relativeHeight="251665408" behindDoc="0" locked="0" layoutInCell="1" allowOverlap="1" wp14:anchorId="36D4ED38" wp14:editId="00EC735C">
            <wp:simplePos x="0" y="0"/>
            <wp:positionH relativeFrom="margin">
              <wp:align>left</wp:align>
            </wp:positionH>
            <wp:positionV relativeFrom="margin">
              <wp:align>top</wp:align>
            </wp:positionV>
            <wp:extent cx="1052830" cy="809625"/>
            <wp:effectExtent l="0" t="0" r="0" b="9525"/>
            <wp:wrapSquare wrapText="bothSides"/>
            <wp:docPr id="6" name="Imagen 6" descr="Resultado de imagen para escudo de la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escudo de la uaemex"/>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52830" cy="8096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Metropolis Light" w:hAnsi="Metropolis Light"/>
          <w:noProof/>
          <w:lang w:eastAsia="es-MX"/>
        </w:rPr>
        <mc:AlternateContent>
          <mc:Choice Requires="wps">
            <w:drawing>
              <wp:anchor distT="0" distB="0" distL="114300" distR="114300" simplePos="0" relativeHeight="251663360" behindDoc="0" locked="0" layoutInCell="1" allowOverlap="1" wp14:anchorId="590B1617" wp14:editId="27B7D934">
                <wp:simplePos x="0" y="0"/>
                <wp:positionH relativeFrom="column">
                  <wp:posOffset>1085850</wp:posOffset>
                </wp:positionH>
                <wp:positionV relativeFrom="paragraph">
                  <wp:posOffset>0</wp:posOffset>
                </wp:positionV>
                <wp:extent cx="3180726" cy="678180"/>
                <wp:effectExtent l="0" t="0" r="0" b="0"/>
                <wp:wrapNone/>
                <wp:docPr id="10" name="Rectángulo 10"/>
                <wp:cNvGraphicFramePr/>
                <a:graphic xmlns:a="http://schemas.openxmlformats.org/drawingml/2006/main">
                  <a:graphicData uri="http://schemas.microsoft.com/office/word/2010/wordprocessingShape">
                    <wps:wsp>
                      <wps:cNvSpPr/>
                      <wps:spPr>
                        <a:xfrm>
                          <a:off x="0" y="0"/>
                          <a:ext cx="3180726" cy="6781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339E26F" w14:textId="511127C5" w:rsidR="009D696A" w:rsidRPr="00757812" w:rsidRDefault="009D696A" w:rsidP="009D696A">
                            <w:pPr>
                              <w:jc w:val="center"/>
                              <w:rPr>
                                <w:rFonts w:ascii="Metropolis Black" w:hAnsi="Metropolis Black"/>
                                <w:b/>
                                <w:color w:val="000000" w:themeColor="text1"/>
                                <w:sz w:val="28"/>
                                <w:lang w:val="es-ES"/>
                              </w:rPr>
                            </w:pPr>
                            <w:r w:rsidRPr="00757812">
                              <w:rPr>
                                <w:rFonts w:ascii="Metropolis Black" w:hAnsi="Metropolis Black"/>
                                <w:b/>
                                <w:color w:val="000000" w:themeColor="text1"/>
                                <w:sz w:val="28"/>
                                <w:lang w:val="es-ES"/>
                              </w:rPr>
                              <w:t>Universidad Autónoma del Estado de México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0B1617" id="Rectángulo 10" o:spid="_x0000_s1026" style="position:absolute;left:0;text-align:left;margin-left:85.5pt;margin-top:0;width:250.45pt;height:53.4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" filled="f" stroked="f" strokeweight="1pt">
                <v:textbox>
                  <w:txbxContent>
                    <w:p w14:paraId="7339E26F" w14:textId="511127C5" w:rsidR="009D696A" w:rsidRPr="00757812" w:rsidRDefault="009D696A" w:rsidP="009D696A">
                      <w:pPr>
                        <w:jc w:val="center"/>
                        <w:rPr>
                          <w:rFonts w:ascii="Metropolis Black" w:hAnsi="Metropolis Black"/>
                          <w:b/>
                          <w:color w:val="000000" w:themeColor="text1"/>
                          <w:sz w:val="28"/>
                          <w:lang w:val="es-ES"/>
                        </w:rPr>
                      </w:pPr>
                      <w:r w:rsidRPr="00757812">
                        <w:rPr>
                          <w:rFonts w:ascii="Metropolis Black" w:hAnsi="Metropolis Black"/>
                          <w:b/>
                          <w:color w:val="000000" w:themeColor="text1"/>
                          <w:sz w:val="28"/>
                          <w:lang w:val="es-ES"/>
                        </w:rPr>
                        <w:t>Universidad Autónoma del Estado de México</w:t>
                      </w:r>
                    </w:p>
                  </w:txbxContent>
                </v:textbox>
              </v:rect>
            </w:pict>
          </mc:Fallback>
        </mc:AlternateContent>
      </w:r>
    </w:p>
    <w:p w14:paraId="5EBF1F75" w14:textId="6526C5C9" w:rsidR="002E60FD" w:rsidRDefault="002E60FD" w:rsidP="003C3468">
      <w:pPr>
        <w:autoSpaceDE w:val="0"/>
        <w:autoSpaceDN w:val="0"/>
        <w:adjustRightInd w:val="0"/>
        <w:spacing w:after="0" w:line="480" w:lineRule="auto"/>
        <w:rPr>
          <w:bCs/>
        </w:rPr>
      </w:pPr>
    </w:p>
    <w:p w14:paraId="62FD2E8A" w14:textId="77777777" w:rsidR="00C81AED" w:rsidRPr="008C3C07" w:rsidRDefault="00C81AED" w:rsidP="00C81AED">
      <w:pPr>
        <w:tabs>
          <w:tab w:val="right" w:pos="8838"/>
        </w:tabs>
        <w:jc w:val="center"/>
        <w:rPr>
          <w:rFonts w:ascii="Metropolis Black" w:hAnsi="Metropolis Black"/>
          <w:b/>
          <w:sz w:val="28"/>
        </w:rPr>
      </w:pPr>
      <w:r w:rsidRPr="00B747C1">
        <w:rPr>
          <w:rFonts w:ascii="Metropolis Black" w:hAnsi="Metropolis Black"/>
          <w:b/>
          <w:sz w:val="28"/>
        </w:rPr>
        <w:t>DOCTORADO EN SUSTENTABILIDAD PARA EL DESARROLLO</w:t>
      </w:r>
    </w:p>
    <w:p w14:paraId="25EF4A43" w14:textId="77777777" w:rsidR="00C81AED" w:rsidRDefault="00C81AED" w:rsidP="00C81AED">
      <w:pPr>
        <w:tabs>
          <w:tab w:val="right" w:pos="8838"/>
        </w:tabs>
        <w:rPr>
          <w:rFonts w:ascii="Metropolis Black" w:hAnsi="Metropolis Black"/>
          <w:b/>
        </w:rPr>
      </w:pPr>
    </w:p>
    <w:p w14:paraId="6800B5EB" w14:textId="77777777" w:rsidR="00C81AED" w:rsidRPr="008C3C07" w:rsidRDefault="00C81AED" w:rsidP="00C81AED">
      <w:pPr>
        <w:tabs>
          <w:tab w:val="right" w:pos="8838"/>
        </w:tabs>
        <w:jc w:val="center"/>
        <w:rPr>
          <w:rFonts w:ascii="Metropolis Black" w:hAnsi="Metropolis Black"/>
          <w:b/>
        </w:rPr>
      </w:pPr>
      <w:r w:rsidRPr="00CA74BB">
        <w:rPr>
          <w:rFonts w:ascii="Metropolis Black" w:hAnsi="Metropolis Black"/>
          <w:b/>
        </w:rPr>
        <w:t>EMPLEO DE LA HERBOLARIA REGIONAL, UNA ALTERNATIVA SUSTENTABLE EN LA PRODUCCIÓN CUNÍCOLA</w:t>
      </w:r>
    </w:p>
    <w:p w14:paraId="7E4FE071" w14:textId="253C236F" w:rsidR="00C81AED" w:rsidRPr="008C3C07" w:rsidRDefault="00C81AED" w:rsidP="00C81AED">
      <w:pPr>
        <w:tabs>
          <w:tab w:val="right" w:pos="8838"/>
        </w:tabs>
        <w:jc w:val="center"/>
        <w:rPr>
          <w:rFonts w:ascii="Metropolis Black" w:hAnsi="Metropolis Black"/>
          <w:b/>
          <w:sz w:val="28"/>
        </w:rPr>
      </w:pPr>
      <w:r w:rsidRPr="00B747C1">
        <w:rPr>
          <w:rFonts w:ascii="Metropolis Black" w:hAnsi="Metropolis Black"/>
          <w:b/>
          <w:sz w:val="28"/>
        </w:rPr>
        <w:t>T E S I S</w:t>
      </w:r>
    </w:p>
    <w:p w14:paraId="59625AB7" w14:textId="77777777" w:rsidR="00C81AED" w:rsidRPr="008041F6" w:rsidRDefault="00C81AED" w:rsidP="00C81AED">
      <w:pPr>
        <w:tabs>
          <w:tab w:val="right" w:pos="8838"/>
        </w:tabs>
        <w:spacing w:line="240" w:lineRule="auto"/>
        <w:jc w:val="center"/>
        <w:rPr>
          <w:rFonts w:ascii="Metropolis Black" w:hAnsi="Metropolis Black"/>
        </w:rPr>
      </w:pPr>
      <w:r w:rsidRPr="008041F6">
        <w:rPr>
          <w:rFonts w:ascii="Metropolis Black" w:hAnsi="Metropolis Black"/>
        </w:rPr>
        <w:t>QUE PARA OBTENER EL GRADO DE</w:t>
      </w:r>
    </w:p>
    <w:p w14:paraId="2D3F0E80" w14:textId="17E55DAD" w:rsidR="00C81AED" w:rsidRPr="008C3C07" w:rsidRDefault="00C81AED" w:rsidP="00C81AED">
      <w:pPr>
        <w:tabs>
          <w:tab w:val="right" w:pos="8838"/>
        </w:tabs>
        <w:spacing w:line="240" w:lineRule="auto"/>
        <w:jc w:val="center"/>
        <w:rPr>
          <w:rFonts w:ascii="Metropolis Black" w:hAnsi="Metropolis Black"/>
          <w:b/>
          <w:sz w:val="28"/>
        </w:rPr>
      </w:pPr>
      <w:r w:rsidRPr="00B747C1">
        <w:rPr>
          <w:rFonts w:ascii="Metropolis Black" w:hAnsi="Metropolis Black"/>
          <w:b/>
          <w:sz w:val="28"/>
        </w:rPr>
        <w:t>DOCTOR EN SUSTENTABILIDAD PARA EL DESARROLLO</w:t>
      </w:r>
    </w:p>
    <w:p w14:paraId="671C0D2E" w14:textId="77777777" w:rsidR="00C81AED" w:rsidRDefault="00C81AED" w:rsidP="00C81AED">
      <w:pPr>
        <w:tabs>
          <w:tab w:val="right" w:pos="8838"/>
        </w:tabs>
        <w:jc w:val="center"/>
        <w:rPr>
          <w:rFonts w:ascii="Metropolis Black" w:hAnsi="Metropolis Black"/>
        </w:rPr>
      </w:pPr>
    </w:p>
    <w:p w14:paraId="3A327EE5" w14:textId="77777777" w:rsidR="00C81AED" w:rsidRPr="00757812" w:rsidRDefault="00C81AED" w:rsidP="00C81AED">
      <w:pPr>
        <w:tabs>
          <w:tab w:val="right" w:pos="8838"/>
        </w:tabs>
        <w:spacing w:line="240" w:lineRule="auto"/>
        <w:jc w:val="center"/>
        <w:rPr>
          <w:rFonts w:ascii="Metropolis Black" w:hAnsi="Metropolis Black"/>
        </w:rPr>
      </w:pPr>
      <w:r>
        <w:rPr>
          <w:rFonts w:ascii="Metropolis Black" w:hAnsi="Metropolis Black"/>
        </w:rPr>
        <w:t>PRESENTA</w:t>
      </w:r>
    </w:p>
    <w:p w14:paraId="3E3AE139" w14:textId="7D4F1C88" w:rsidR="00C81AED" w:rsidRPr="008C3C07" w:rsidRDefault="00C81AED" w:rsidP="00C81AED">
      <w:pPr>
        <w:tabs>
          <w:tab w:val="right" w:pos="8838"/>
        </w:tabs>
        <w:spacing w:line="240" w:lineRule="auto"/>
        <w:jc w:val="center"/>
        <w:rPr>
          <w:rFonts w:ascii="Metropolis Black" w:hAnsi="Metropolis Black"/>
          <w:b/>
        </w:rPr>
      </w:pPr>
      <w:r>
        <w:rPr>
          <w:rFonts w:ascii="Metropolis Black" w:hAnsi="Metropolis Black"/>
          <w:b/>
        </w:rPr>
        <w:t>M. en S. S</w:t>
      </w:r>
      <w:r w:rsidR="003B666C">
        <w:rPr>
          <w:rFonts w:ascii="Metropolis Black" w:hAnsi="Metropolis Black"/>
          <w:b/>
        </w:rPr>
        <w:t>.</w:t>
      </w:r>
      <w:r>
        <w:rPr>
          <w:rFonts w:ascii="Metropolis Black" w:hAnsi="Metropolis Black"/>
          <w:b/>
        </w:rPr>
        <w:t xml:space="preserve"> Georgina Gutiérrez García</w:t>
      </w:r>
    </w:p>
    <w:p w14:paraId="73DF0CDD" w14:textId="77777777" w:rsidR="00C81AED" w:rsidRDefault="00C81AED" w:rsidP="00C81AED">
      <w:pPr>
        <w:tabs>
          <w:tab w:val="right" w:pos="8838"/>
        </w:tabs>
        <w:spacing w:line="240" w:lineRule="auto"/>
        <w:jc w:val="center"/>
        <w:rPr>
          <w:rFonts w:ascii="Metropolis Black" w:hAnsi="Metropolis Black"/>
        </w:rPr>
      </w:pPr>
    </w:p>
    <w:p w14:paraId="4EFD6D39" w14:textId="77777777" w:rsidR="00C81AED" w:rsidRDefault="00C81AED" w:rsidP="00C81AED">
      <w:pPr>
        <w:tabs>
          <w:tab w:val="right" w:pos="8838"/>
        </w:tabs>
        <w:spacing w:line="240" w:lineRule="auto"/>
        <w:jc w:val="center"/>
        <w:rPr>
          <w:rFonts w:ascii="Metropolis Black" w:hAnsi="Metropolis Black"/>
        </w:rPr>
      </w:pPr>
      <w:r>
        <w:rPr>
          <w:rFonts w:ascii="Metropolis Black" w:hAnsi="Metropolis Black"/>
        </w:rPr>
        <w:t>COMITÉ DE TUTORES</w:t>
      </w:r>
    </w:p>
    <w:p w14:paraId="6B54161F" w14:textId="77777777" w:rsidR="00C81AED" w:rsidRDefault="00C81AED" w:rsidP="00C81AED">
      <w:pPr>
        <w:tabs>
          <w:tab w:val="right" w:pos="8838"/>
        </w:tabs>
        <w:spacing w:line="240" w:lineRule="auto"/>
        <w:jc w:val="center"/>
        <w:rPr>
          <w:rFonts w:ascii="Metropolis Black" w:hAnsi="Metropolis Black"/>
          <w:b/>
        </w:rPr>
      </w:pPr>
      <w:r>
        <w:rPr>
          <w:rFonts w:ascii="Metropolis Black" w:hAnsi="Metropolis Black"/>
          <w:b/>
        </w:rPr>
        <w:t>Director:</w:t>
      </w:r>
      <w:r w:rsidRPr="00B747C1">
        <w:rPr>
          <w:rFonts w:ascii="Metropolis Black" w:hAnsi="Metropolis Black"/>
          <w:b/>
        </w:rPr>
        <w:t xml:space="preserve"> Dr</w:t>
      </w:r>
      <w:r>
        <w:rPr>
          <w:rFonts w:ascii="Metropolis Black" w:hAnsi="Metropolis Black"/>
          <w:b/>
        </w:rPr>
        <w:t xml:space="preserve">a. Ofelia Márquez Molina </w:t>
      </w:r>
    </w:p>
    <w:p w14:paraId="13E18B1E" w14:textId="77777777" w:rsidR="00C81AED" w:rsidRDefault="00C81AED" w:rsidP="00C81AED">
      <w:pPr>
        <w:tabs>
          <w:tab w:val="right" w:pos="8838"/>
        </w:tabs>
        <w:spacing w:line="240" w:lineRule="auto"/>
        <w:jc w:val="center"/>
        <w:rPr>
          <w:rFonts w:ascii="Metropolis Black" w:hAnsi="Metropolis Black"/>
          <w:b/>
        </w:rPr>
      </w:pPr>
      <w:r>
        <w:rPr>
          <w:rFonts w:ascii="Metropolis Black" w:hAnsi="Metropolis Black"/>
          <w:b/>
        </w:rPr>
        <w:t>Codirector: Dr. Enrique Espinosa Ayala</w:t>
      </w:r>
    </w:p>
    <w:p w14:paraId="51171195" w14:textId="7E19BEB3" w:rsidR="00C81AED" w:rsidRPr="00B9242D" w:rsidRDefault="00C81AED" w:rsidP="00B9242D">
      <w:pPr>
        <w:tabs>
          <w:tab w:val="right" w:pos="8838"/>
        </w:tabs>
        <w:spacing w:line="240" w:lineRule="auto"/>
        <w:jc w:val="center"/>
        <w:rPr>
          <w:rFonts w:ascii="Metropolis Black" w:hAnsi="Metropolis Black"/>
          <w:b/>
        </w:rPr>
      </w:pPr>
      <w:r>
        <w:rPr>
          <w:rFonts w:ascii="Metropolis Black" w:hAnsi="Metropolis Black"/>
          <w:b/>
        </w:rPr>
        <w:t>Tutor: Dr. Thelma Beatriz Pavón Silva</w:t>
      </w:r>
    </w:p>
    <w:p w14:paraId="7D0A66CE" w14:textId="77777777" w:rsidR="00C81AED" w:rsidRDefault="00C81AED" w:rsidP="00C81AED">
      <w:pPr>
        <w:tabs>
          <w:tab w:val="right" w:pos="8838"/>
        </w:tabs>
        <w:jc w:val="center"/>
        <w:rPr>
          <w:rFonts w:ascii="Metropolis Black" w:hAnsi="Metropolis Black"/>
        </w:rPr>
      </w:pPr>
    </w:p>
    <w:p w14:paraId="1AA0FED4" w14:textId="3720FC63" w:rsidR="00437D1F" w:rsidRDefault="00C81AED" w:rsidP="00C81AED">
      <w:pPr>
        <w:tabs>
          <w:tab w:val="right" w:pos="8838"/>
        </w:tabs>
        <w:jc w:val="right"/>
        <w:rPr>
          <w:rFonts w:ascii="Metropolis Black" w:hAnsi="Metropolis Black"/>
        </w:rPr>
        <w:sectPr w:rsidR="00437D1F" w:rsidSect="00B9242D">
          <w:footerReference w:type="default" r:id="rId10"/>
          <w:pgSz w:w="12240" w:h="15840"/>
          <w:pgMar w:top="1701" w:right="1701" w:bottom="1418" w:left="1418" w:header="709" w:footer="709" w:gutter="0"/>
          <w:pgNumType w:start="1"/>
          <w:cols w:space="708"/>
          <w:docGrid w:linePitch="360"/>
        </w:sectPr>
      </w:pPr>
      <w:r>
        <w:rPr>
          <w:rFonts w:ascii="Metropolis Black" w:hAnsi="Metropolis Black"/>
        </w:rPr>
        <w:t>Toluca, Méxic</w:t>
      </w:r>
      <w:r w:rsidR="005A6716">
        <w:rPr>
          <w:rFonts w:ascii="Metropolis Black" w:hAnsi="Metropolis Black"/>
        </w:rPr>
        <w:t>o</w:t>
      </w:r>
    </w:p>
    <w:p w14:paraId="409ED860" w14:textId="114419DA" w:rsidR="001A1A6A" w:rsidRPr="001A1A6A" w:rsidRDefault="001A1A6A" w:rsidP="001A1A6A">
      <w:pPr>
        <w:autoSpaceDE w:val="0"/>
        <w:autoSpaceDN w:val="0"/>
        <w:adjustRightInd w:val="0"/>
        <w:spacing w:after="0" w:line="480" w:lineRule="auto"/>
        <w:rPr>
          <w:bCs/>
        </w:rPr>
      </w:pPr>
      <w:bookmarkStart w:id="0" w:name="_GoBack"/>
      <w:bookmarkEnd w:id="0"/>
      <w:r w:rsidRPr="001A1A6A">
        <w:rPr>
          <w:bCs/>
        </w:rPr>
        <w:lastRenderedPageBreak/>
        <w:t xml:space="preserve">La presente investigación se realizó con el apoyo </w:t>
      </w:r>
      <w:r w:rsidR="001B6395">
        <w:rPr>
          <w:bCs/>
        </w:rPr>
        <w:t>696245</w:t>
      </w:r>
      <w:r w:rsidRPr="001A1A6A">
        <w:rPr>
          <w:bCs/>
        </w:rPr>
        <w:t xml:space="preserve"> del CONACyT, cuenta con el número de registro DOCSPD-0</w:t>
      </w:r>
      <w:r>
        <w:rPr>
          <w:bCs/>
        </w:rPr>
        <w:t>218</w:t>
      </w:r>
      <w:r w:rsidRPr="001A1A6A">
        <w:rPr>
          <w:bCs/>
        </w:rPr>
        <w:t xml:space="preserve"> ante la Secretaría de Investigación y Estudios Avanzados de la Universidad Autónoma del Estado de México. Pertenece al programa de Doctorado en Sustentabilidad para el Desarrollo. Dirigida por los Doctores</w:t>
      </w:r>
      <w:r>
        <w:rPr>
          <w:bCs/>
        </w:rPr>
        <w:t xml:space="preserve"> Ofelia Márquez Molina, Enrique Espinosa Ayala y Thelma Beatriz Pavón Silva</w:t>
      </w:r>
      <w:r w:rsidRPr="001A1A6A">
        <w:rPr>
          <w:bCs/>
        </w:rPr>
        <w:t>.</w:t>
      </w:r>
    </w:p>
    <w:p w14:paraId="745A9560" w14:textId="48D1FC75" w:rsidR="00437D1F" w:rsidRDefault="001A1A6A" w:rsidP="005473DF">
      <w:pPr>
        <w:autoSpaceDE w:val="0"/>
        <w:autoSpaceDN w:val="0"/>
        <w:adjustRightInd w:val="0"/>
        <w:spacing w:after="0" w:line="480" w:lineRule="auto"/>
        <w:rPr>
          <w:lang w:val="es-419"/>
        </w:rPr>
      </w:pPr>
      <w:r w:rsidRPr="001A1A6A">
        <w:rPr>
          <w:bCs/>
        </w:rPr>
        <w:t>Esta pesquisa se enmarca en la línea de generación y aplicación del conocimiento: Lo socioterritorial y ambiental en la construcción de la sustentabilidad para el desarrollo. Estudia el paradigma de la sustentabilidad a partir de</w:t>
      </w:r>
      <w:r w:rsidR="005473DF">
        <w:rPr>
          <w:bCs/>
        </w:rPr>
        <w:t xml:space="preserve"> la e</w:t>
      </w:r>
      <w:r w:rsidR="005473DF" w:rsidRPr="00880AF4">
        <w:t>valua</w:t>
      </w:r>
      <w:r w:rsidR="005473DF">
        <w:t>ción de</w:t>
      </w:r>
      <w:r w:rsidR="005473DF" w:rsidRPr="00880AF4">
        <w:t xml:space="preserve"> la interacción de las dimensiones agroecológica, socio-territorial y económica de las unidades productivas cunícolas de traspatio al emplear la herbolaria</w:t>
      </w:r>
      <w:r w:rsidR="005473DF" w:rsidRPr="00880AF4">
        <w:rPr>
          <w:lang w:val="es-419"/>
        </w:rPr>
        <w:t>.</w:t>
      </w:r>
      <w:r w:rsidR="00437D1F">
        <w:rPr>
          <w:lang w:val="es-419"/>
        </w:rPr>
        <w:br w:type="page"/>
      </w:r>
    </w:p>
    <w:p w14:paraId="3711A088" w14:textId="4E3D9ED2" w:rsidR="002E60FD" w:rsidRDefault="00D50916" w:rsidP="003C3468">
      <w:pPr>
        <w:autoSpaceDE w:val="0"/>
        <w:autoSpaceDN w:val="0"/>
        <w:adjustRightInd w:val="0"/>
        <w:spacing w:after="0" w:line="480" w:lineRule="auto"/>
        <w:rPr>
          <w:bCs/>
        </w:rPr>
      </w:pPr>
      <w:r>
        <w:rPr>
          <w:bCs/>
        </w:rPr>
        <w:lastRenderedPageBreak/>
        <w:t>Í</w:t>
      </w:r>
      <w:r w:rsidR="002E60FD">
        <w:rPr>
          <w:bCs/>
        </w:rPr>
        <w:t>NDICE</w:t>
      </w:r>
    </w:p>
    <w:tbl>
      <w:tblPr>
        <w:tblStyle w:val="Tablaconcuadrcula"/>
        <w:tblW w:w="90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
        <w:gridCol w:w="9"/>
        <w:gridCol w:w="17"/>
        <w:gridCol w:w="7907"/>
        <w:gridCol w:w="695"/>
      </w:tblGrid>
      <w:tr w:rsidR="002E60FD" w:rsidRPr="00D60A64" w14:paraId="327A15C2" w14:textId="77777777" w:rsidTr="00BF446B">
        <w:trPr>
          <w:trHeight w:val="397"/>
        </w:trPr>
        <w:tc>
          <w:tcPr>
            <w:tcW w:w="8359" w:type="dxa"/>
            <w:gridSpan w:val="4"/>
            <w:vAlign w:val="center"/>
          </w:tcPr>
          <w:p w14:paraId="70704D09" w14:textId="4C33811A" w:rsidR="002E60FD" w:rsidRPr="00D60A64" w:rsidRDefault="002E60FD" w:rsidP="00437D1F">
            <w:pPr>
              <w:tabs>
                <w:tab w:val="left" w:pos="2656"/>
              </w:tabs>
              <w:spacing w:line="360" w:lineRule="auto"/>
              <w:jc w:val="left"/>
              <w:rPr>
                <w:sz w:val="22"/>
                <w:szCs w:val="20"/>
              </w:rPr>
            </w:pPr>
            <w:r w:rsidRPr="00D60A64">
              <w:rPr>
                <w:sz w:val="22"/>
                <w:szCs w:val="20"/>
              </w:rPr>
              <w:t>I. RESUMEN DE LA TESIS………………………………………..………………</w:t>
            </w:r>
            <w:r w:rsidR="00811920">
              <w:rPr>
                <w:sz w:val="22"/>
                <w:szCs w:val="20"/>
              </w:rPr>
              <w:t>……….</w:t>
            </w:r>
          </w:p>
        </w:tc>
        <w:tc>
          <w:tcPr>
            <w:tcW w:w="695" w:type="dxa"/>
          </w:tcPr>
          <w:p w14:paraId="1F48448A" w14:textId="77777777" w:rsidR="002E60FD" w:rsidRPr="00D60A64" w:rsidRDefault="002E60FD" w:rsidP="00811920">
            <w:pPr>
              <w:tabs>
                <w:tab w:val="left" w:pos="2656"/>
              </w:tabs>
              <w:spacing w:line="360" w:lineRule="auto"/>
              <w:jc w:val="right"/>
              <w:rPr>
                <w:sz w:val="22"/>
                <w:szCs w:val="20"/>
              </w:rPr>
            </w:pPr>
            <w:r w:rsidRPr="00D60A64">
              <w:rPr>
                <w:sz w:val="22"/>
                <w:szCs w:val="20"/>
              </w:rPr>
              <w:t>1</w:t>
            </w:r>
          </w:p>
        </w:tc>
      </w:tr>
      <w:tr w:rsidR="002E60FD" w:rsidRPr="00D60A64" w14:paraId="599E280D" w14:textId="77777777" w:rsidTr="00BF446B">
        <w:trPr>
          <w:trHeight w:val="397"/>
        </w:trPr>
        <w:tc>
          <w:tcPr>
            <w:tcW w:w="8359" w:type="dxa"/>
            <w:gridSpan w:val="4"/>
            <w:vAlign w:val="center"/>
          </w:tcPr>
          <w:p w14:paraId="10A19317" w14:textId="67319CBC" w:rsidR="002E60FD" w:rsidRPr="00D60A64" w:rsidRDefault="002E60FD" w:rsidP="00437D1F">
            <w:pPr>
              <w:tabs>
                <w:tab w:val="left" w:pos="2656"/>
              </w:tabs>
              <w:spacing w:line="360" w:lineRule="auto"/>
              <w:jc w:val="left"/>
              <w:rPr>
                <w:sz w:val="22"/>
                <w:szCs w:val="20"/>
              </w:rPr>
            </w:pPr>
            <w:r w:rsidRPr="00D60A64">
              <w:rPr>
                <w:sz w:val="22"/>
                <w:szCs w:val="20"/>
              </w:rPr>
              <w:t>II. INTRODUCCIÓN………</w:t>
            </w:r>
            <w:r w:rsidR="00811920">
              <w:rPr>
                <w:sz w:val="22"/>
                <w:szCs w:val="20"/>
              </w:rPr>
              <w:t>…………………………………………………………………</w:t>
            </w:r>
          </w:p>
        </w:tc>
        <w:tc>
          <w:tcPr>
            <w:tcW w:w="695" w:type="dxa"/>
          </w:tcPr>
          <w:p w14:paraId="21948424" w14:textId="3380FE5E" w:rsidR="002E60FD" w:rsidRPr="00D60A64" w:rsidRDefault="0002425F" w:rsidP="00811920">
            <w:pPr>
              <w:tabs>
                <w:tab w:val="left" w:pos="2656"/>
              </w:tabs>
              <w:spacing w:line="360" w:lineRule="auto"/>
              <w:jc w:val="right"/>
              <w:rPr>
                <w:sz w:val="22"/>
                <w:szCs w:val="20"/>
              </w:rPr>
            </w:pPr>
            <w:r>
              <w:rPr>
                <w:sz w:val="22"/>
                <w:szCs w:val="20"/>
              </w:rPr>
              <w:t>7</w:t>
            </w:r>
          </w:p>
        </w:tc>
      </w:tr>
      <w:tr w:rsidR="002E60FD" w:rsidRPr="00D60A64" w14:paraId="4B8364CA" w14:textId="77777777" w:rsidTr="00BF446B">
        <w:trPr>
          <w:trHeight w:val="397"/>
        </w:trPr>
        <w:tc>
          <w:tcPr>
            <w:tcW w:w="8359" w:type="dxa"/>
            <w:gridSpan w:val="4"/>
            <w:vAlign w:val="center"/>
          </w:tcPr>
          <w:p w14:paraId="237365CC" w14:textId="5EDB1811" w:rsidR="002E60FD" w:rsidRPr="00D60A64" w:rsidRDefault="002E60FD" w:rsidP="00437D1F">
            <w:pPr>
              <w:spacing w:line="360" w:lineRule="auto"/>
              <w:rPr>
                <w:sz w:val="22"/>
                <w:szCs w:val="20"/>
              </w:rPr>
            </w:pPr>
            <w:r w:rsidRPr="00D60A64">
              <w:rPr>
                <w:sz w:val="22"/>
                <w:szCs w:val="20"/>
              </w:rPr>
              <w:t>III. REVISIÓN DE BIBLIOGRAFÍ</w:t>
            </w:r>
            <w:r w:rsidR="00737D4F">
              <w:rPr>
                <w:sz w:val="22"/>
                <w:szCs w:val="20"/>
              </w:rPr>
              <w:t>A</w:t>
            </w:r>
            <w:r w:rsidR="00811920">
              <w:rPr>
                <w:sz w:val="22"/>
                <w:szCs w:val="20"/>
              </w:rPr>
              <w:t>…………………………………………………………</w:t>
            </w:r>
          </w:p>
        </w:tc>
        <w:tc>
          <w:tcPr>
            <w:tcW w:w="695" w:type="dxa"/>
          </w:tcPr>
          <w:p w14:paraId="1D150C3E" w14:textId="1D0D1895" w:rsidR="002E60FD" w:rsidRPr="00D60A64" w:rsidRDefault="00503304" w:rsidP="00811920">
            <w:pPr>
              <w:spacing w:line="360" w:lineRule="auto"/>
              <w:jc w:val="right"/>
              <w:rPr>
                <w:sz w:val="22"/>
                <w:szCs w:val="20"/>
              </w:rPr>
            </w:pPr>
            <w:r>
              <w:rPr>
                <w:sz w:val="22"/>
                <w:szCs w:val="20"/>
              </w:rPr>
              <w:t>1</w:t>
            </w:r>
            <w:r w:rsidR="0002425F">
              <w:rPr>
                <w:sz w:val="22"/>
                <w:szCs w:val="20"/>
              </w:rPr>
              <w:t>0</w:t>
            </w:r>
          </w:p>
        </w:tc>
      </w:tr>
      <w:tr w:rsidR="0035555E" w:rsidRPr="00D60A64" w14:paraId="1E8004F8" w14:textId="77777777" w:rsidTr="00BF446B">
        <w:trPr>
          <w:trHeight w:val="397"/>
        </w:trPr>
        <w:tc>
          <w:tcPr>
            <w:tcW w:w="452" w:type="dxa"/>
            <w:gridSpan w:val="3"/>
            <w:vAlign w:val="center"/>
          </w:tcPr>
          <w:p w14:paraId="32EF4FFD" w14:textId="77777777" w:rsidR="0035555E" w:rsidRPr="00D60A64" w:rsidRDefault="0035555E" w:rsidP="00437D1F">
            <w:pPr>
              <w:spacing w:line="360" w:lineRule="auto"/>
              <w:jc w:val="left"/>
              <w:rPr>
                <w:sz w:val="22"/>
                <w:szCs w:val="20"/>
              </w:rPr>
            </w:pPr>
          </w:p>
        </w:tc>
        <w:tc>
          <w:tcPr>
            <w:tcW w:w="7907" w:type="dxa"/>
            <w:vAlign w:val="center"/>
          </w:tcPr>
          <w:p w14:paraId="21DC7733" w14:textId="1F44D549" w:rsidR="0035555E" w:rsidRPr="00D60A64" w:rsidRDefault="0035555E" w:rsidP="00437D1F">
            <w:pPr>
              <w:spacing w:line="360" w:lineRule="auto"/>
              <w:jc w:val="left"/>
              <w:rPr>
                <w:sz w:val="22"/>
                <w:szCs w:val="20"/>
              </w:rPr>
            </w:pPr>
            <w:r>
              <w:rPr>
                <w:sz w:val="22"/>
                <w:szCs w:val="20"/>
              </w:rPr>
              <w:t>3.1 Herbolaria</w:t>
            </w:r>
            <w:r w:rsidR="00811920">
              <w:rPr>
                <w:sz w:val="22"/>
                <w:szCs w:val="20"/>
              </w:rPr>
              <w:t>…………………………………………………………………………..</w:t>
            </w:r>
          </w:p>
        </w:tc>
        <w:tc>
          <w:tcPr>
            <w:tcW w:w="695" w:type="dxa"/>
          </w:tcPr>
          <w:p w14:paraId="21D5B4A6" w14:textId="0FAD4388" w:rsidR="0035555E" w:rsidRPr="00D60A64" w:rsidRDefault="00503304" w:rsidP="00811920">
            <w:pPr>
              <w:spacing w:line="360" w:lineRule="auto"/>
              <w:jc w:val="right"/>
              <w:rPr>
                <w:sz w:val="22"/>
                <w:szCs w:val="20"/>
              </w:rPr>
            </w:pPr>
            <w:r>
              <w:rPr>
                <w:sz w:val="22"/>
                <w:szCs w:val="20"/>
              </w:rPr>
              <w:t>1</w:t>
            </w:r>
            <w:r w:rsidR="0002425F">
              <w:rPr>
                <w:sz w:val="22"/>
                <w:szCs w:val="20"/>
              </w:rPr>
              <w:t>0</w:t>
            </w:r>
          </w:p>
        </w:tc>
      </w:tr>
      <w:tr w:rsidR="002E60FD" w:rsidRPr="00D60A64" w14:paraId="1A3FEDD6" w14:textId="77777777" w:rsidTr="00BF446B">
        <w:trPr>
          <w:trHeight w:val="397"/>
        </w:trPr>
        <w:tc>
          <w:tcPr>
            <w:tcW w:w="452" w:type="dxa"/>
            <w:gridSpan w:val="3"/>
            <w:vAlign w:val="center"/>
          </w:tcPr>
          <w:p w14:paraId="0ABE710D" w14:textId="77777777" w:rsidR="002E60FD" w:rsidRPr="00D60A64" w:rsidRDefault="002E60FD" w:rsidP="00437D1F">
            <w:pPr>
              <w:spacing w:line="360" w:lineRule="auto"/>
              <w:jc w:val="left"/>
              <w:rPr>
                <w:sz w:val="22"/>
                <w:szCs w:val="20"/>
              </w:rPr>
            </w:pPr>
          </w:p>
        </w:tc>
        <w:tc>
          <w:tcPr>
            <w:tcW w:w="7907" w:type="dxa"/>
            <w:vAlign w:val="center"/>
          </w:tcPr>
          <w:p w14:paraId="4703C721" w14:textId="0EED9B9D" w:rsidR="002E60FD" w:rsidRPr="00D60A64" w:rsidRDefault="002E60FD" w:rsidP="00437D1F">
            <w:pPr>
              <w:spacing w:line="360" w:lineRule="auto"/>
              <w:jc w:val="left"/>
              <w:rPr>
                <w:sz w:val="22"/>
                <w:szCs w:val="20"/>
              </w:rPr>
            </w:pPr>
            <w:r w:rsidRPr="00D60A64">
              <w:rPr>
                <w:sz w:val="22"/>
                <w:szCs w:val="20"/>
              </w:rPr>
              <w:t>3.</w:t>
            </w:r>
            <w:r w:rsidR="004410D7">
              <w:rPr>
                <w:sz w:val="22"/>
                <w:szCs w:val="20"/>
              </w:rPr>
              <w:t>2</w:t>
            </w:r>
            <w:r w:rsidRPr="00D60A64">
              <w:rPr>
                <w:sz w:val="22"/>
                <w:szCs w:val="20"/>
              </w:rPr>
              <w:t xml:space="preserve"> Sustentabilidad……………………………………………..……………</w:t>
            </w:r>
            <w:r w:rsidR="00811920">
              <w:rPr>
                <w:sz w:val="22"/>
                <w:szCs w:val="20"/>
              </w:rPr>
              <w:t>………...</w:t>
            </w:r>
          </w:p>
        </w:tc>
        <w:tc>
          <w:tcPr>
            <w:tcW w:w="695" w:type="dxa"/>
          </w:tcPr>
          <w:p w14:paraId="76FB1ACC" w14:textId="31B7B049" w:rsidR="002E60FD" w:rsidRPr="00D60A64" w:rsidRDefault="000120F1" w:rsidP="00811920">
            <w:pPr>
              <w:spacing w:line="360" w:lineRule="auto"/>
              <w:jc w:val="right"/>
              <w:rPr>
                <w:sz w:val="22"/>
                <w:szCs w:val="20"/>
              </w:rPr>
            </w:pPr>
            <w:r>
              <w:rPr>
                <w:sz w:val="22"/>
                <w:szCs w:val="20"/>
              </w:rPr>
              <w:t>2</w:t>
            </w:r>
            <w:r w:rsidR="0002425F">
              <w:rPr>
                <w:sz w:val="22"/>
                <w:szCs w:val="20"/>
              </w:rPr>
              <w:t>2</w:t>
            </w:r>
          </w:p>
        </w:tc>
      </w:tr>
      <w:tr w:rsidR="002E60FD" w:rsidRPr="00D60A64" w14:paraId="4123F184" w14:textId="77777777" w:rsidTr="00BF446B">
        <w:trPr>
          <w:trHeight w:val="397"/>
        </w:trPr>
        <w:tc>
          <w:tcPr>
            <w:tcW w:w="452" w:type="dxa"/>
            <w:gridSpan w:val="3"/>
            <w:vAlign w:val="center"/>
          </w:tcPr>
          <w:p w14:paraId="2193E99C" w14:textId="77777777" w:rsidR="002E60FD" w:rsidRPr="00D60A64" w:rsidRDefault="002E60FD" w:rsidP="00437D1F">
            <w:pPr>
              <w:spacing w:line="360" w:lineRule="auto"/>
              <w:jc w:val="left"/>
              <w:rPr>
                <w:sz w:val="22"/>
                <w:szCs w:val="20"/>
              </w:rPr>
            </w:pPr>
          </w:p>
        </w:tc>
        <w:tc>
          <w:tcPr>
            <w:tcW w:w="7907" w:type="dxa"/>
            <w:vAlign w:val="center"/>
          </w:tcPr>
          <w:p w14:paraId="4275C85C" w14:textId="35990F66" w:rsidR="002E60FD" w:rsidRPr="00D60A64" w:rsidRDefault="002E60FD" w:rsidP="00437D1F">
            <w:pPr>
              <w:spacing w:line="360" w:lineRule="auto"/>
              <w:jc w:val="left"/>
              <w:rPr>
                <w:sz w:val="22"/>
                <w:szCs w:val="20"/>
              </w:rPr>
            </w:pPr>
            <w:r w:rsidRPr="00D60A64">
              <w:rPr>
                <w:sz w:val="22"/>
                <w:szCs w:val="20"/>
              </w:rPr>
              <w:t>3.</w:t>
            </w:r>
            <w:r w:rsidR="004410D7">
              <w:rPr>
                <w:sz w:val="22"/>
                <w:szCs w:val="20"/>
              </w:rPr>
              <w:t>3</w:t>
            </w:r>
            <w:r w:rsidRPr="00D60A64">
              <w:rPr>
                <w:sz w:val="22"/>
                <w:szCs w:val="20"/>
              </w:rPr>
              <w:t xml:space="preserve"> C</w:t>
            </w:r>
            <w:r w:rsidR="0035555E">
              <w:rPr>
                <w:sz w:val="22"/>
                <w:szCs w:val="20"/>
              </w:rPr>
              <w:t>unicultura</w:t>
            </w:r>
            <w:r w:rsidRPr="00D60A64">
              <w:rPr>
                <w:sz w:val="22"/>
                <w:szCs w:val="20"/>
              </w:rPr>
              <w:t>………………………………………………………………………</w:t>
            </w:r>
            <w:r w:rsidR="00811920">
              <w:rPr>
                <w:sz w:val="22"/>
                <w:szCs w:val="20"/>
              </w:rPr>
              <w:t>…</w:t>
            </w:r>
          </w:p>
        </w:tc>
        <w:tc>
          <w:tcPr>
            <w:tcW w:w="695" w:type="dxa"/>
          </w:tcPr>
          <w:p w14:paraId="3B943E39" w14:textId="3C52DC42" w:rsidR="002E60FD" w:rsidRPr="00D60A64" w:rsidRDefault="00A82984" w:rsidP="00811920">
            <w:pPr>
              <w:spacing w:line="360" w:lineRule="auto"/>
              <w:jc w:val="right"/>
              <w:rPr>
                <w:sz w:val="22"/>
                <w:szCs w:val="20"/>
              </w:rPr>
            </w:pPr>
            <w:r>
              <w:rPr>
                <w:sz w:val="22"/>
                <w:szCs w:val="20"/>
              </w:rPr>
              <w:t>3</w:t>
            </w:r>
            <w:r w:rsidR="003B2DB1">
              <w:rPr>
                <w:sz w:val="22"/>
                <w:szCs w:val="20"/>
              </w:rPr>
              <w:t>4</w:t>
            </w:r>
          </w:p>
        </w:tc>
      </w:tr>
      <w:tr w:rsidR="001335A5" w:rsidRPr="00D60A64" w14:paraId="3514D782" w14:textId="77777777" w:rsidTr="00BF446B">
        <w:trPr>
          <w:trHeight w:val="397"/>
        </w:trPr>
        <w:tc>
          <w:tcPr>
            <w:tcW w:w="452" w:type="dxa"/>
            <w:gridSpan w:val="3"/>
            <w:vAlign w:val="center"/>
          </w:tcPr>
          <w:p w14:paraId="13AE8A38" w14:textId="77777777" w:rsidR="001335A5" w:rsidRPr="00D60A64" w:rsidRDefault="001335A5" w:rsidP="00437D1F">
            <w:pPr>
              <w:spacing w:line="360" w:lineRule="auto"/>
              <w:jc w:val="left"/>
              <w:rPr>
                <w:sz w:val="22"/>
                <w:szCs w:val="20"/>
              </w:rPr>
            </w:pPr>
          </w:p>
        </w:tc>
        <w:tc>
          <w:tcPr>
            <w:tcW w:w="7907" w:type="dxa"/>
            <w:vAlign w:val="center"/>
          </w:tcPr>
          <w:p w14:paraId="29F93D6B" w14:textId="3100B5AD" w:rsidR="001335A5" w:rsidRPr="00D60A64" w:rsidRDefault="001335A5" w:rsidP="00437D1F">
            <w:pPr>
              <w:spacing w:line="360" w:lineRule="auto"/>
              <w:jc w:val="left"/>
              <w:rPr>
                <w:sz w:val="22"/>
                <w:szCs w:val="20"/>
              </w:rPr>
            </w:pPr>
            <w:r>
              <w:rPr>
                <w:sz w:val="22"/>
                <w:szCs w:val="20"/>
              </w:rPr>
              <w:t>3.4 Unidades Productivas Cunícolas de Traspatio</w:t>
            </w:r>
            <w:r w:rsidR="00811920">
              <w:rPr>
                <w:sz w:val="22"/>
                <w:szCs w:val="20"/>
              </w:rPr>
              <w:t>…………………………………</w:t>
            </w:r>
          </w:p>
        </w:tc>
        <w:tc>
          <w:tcPr>
            <w:tcW w:w="695" w:type="dxa"/>
          </w:tcPr>
          <w:p w14:paraId="59B5F8C1" w14:textId="236C776B" w:rsidR="001335A5" w:rsidRDefault="00E61582" w:rsidP="00811920">
            <w:pPr>
              <w:spacing w:line="360" w:lineRule="auto"/>
              <w:jc w:val="right"/>
              <w:rPr>
                <w:sz w:val="22"/>
                <w:szCs w:val="20"/>
              </w:rPr>
            </w:pPr>
            <w:r>
              <w:rPr>
                <w:sz w:val="22"/>
                <w:szCs w:val="20"/>
              </w:rPr>
              <w:t>4</w:t>
            </w:r>
            <w:r w:rsidR="003B2DB1">
              <w:rPr>
                <w:sz w:val="22"/>
                <w:szCs w:val="20"/>
              </w:rPr>
              <w:t>2</w:t>
            </w:r>
          </w:p>
        </w:tc>
      </w:tr>
      <w:tr w:rsidR="00903B4D" w:rsidRPr="00D60A64" w14:paraId="21F03BAE" w14:textId="77777777" w:rsidTr="00BF446B">
        <w:trPr>
          <w:trHeight w:val="397"/>
        </w:trPr>
        <w:tc>
          <w:tcPr>
            <w:tcW w:w="452" w:type="dxa"/>
            <w:gridSpan w:val="3"/>
            <w:vAlign w:val="center"/>
          </w:tcPr>
          <w:p w14:paraId="1AA5A37C" w14:textId="77777777" w:rsidR="00903B4D" w:rsidRPr="00D60A64" w:rsidRDefault="00903B4D" w:rsidP="00437D1F">
            <w:pPr>
              <w:spacing w:line="360" w:lineRule="auto"/>
              <w:jc w:val="left"/>
              <w:rPr>
                <w:sz w:val="22"/>
                <w:szCs w:val="20"/>
              </w:rPr>
            </w:pPr>
          </w:p>
        </w:tc>
        <w:tc>
          <w:tcPr>
            <w:tcW w:w="7907" w:type="dxa"/>
            <w:vAlign w:val="center"/>
          </w:tcPr>
          <w:p w14:paraId="5F7D7C60" w14:textId="1728A541" w:rsidR="00903B4D" w:rsidRPr="00D60A64" w:rsidRDefault="00903B4D" w:rsidP="00437D1F">
            <w:pPr>
              <w:spacing w:line="360" w:lineRule="auto"/>
              <w:jc w:val="left"/>
              <w:rPr>
                <w:sz w:val="22"/>
                <w:szCs w:val="20"/>
              </w:rPr>
            </w:pPr>
            <w:r>
              <w:rPr>
                <w:sz w:val="22"/>
                <w:szCs w:val="20"/>
              </w:rPr>
              <w:t>3.</w:t>
            </w:r>
            <w:r w:rsidR="006C2201">
              <w:rPr>
                <w:sz w:val="22"/>
                <w:szCs w:val="20"/>
              </w:rPr>
              <w:t>5</w:t>
            </w:r>
            <w:r>
              <w:rPr>
                <w:sz w:val="22"/>
                <w:szCs w:val="20"/>
              </w:rPr>
              <w:t xml:space="preserve"> </w:t>
            </w:r>
            <w:r w:rsidRPr="000E6276">
              <w:rPr>
                <w:sz w:val="22"/>
                <w:szCs w:val="20"/>
              </w:rPr>
              <w:t>C</w:t>
            </w:r>
            <w:r w:rsidR="00737D4F" w:rsidRPr="000E6276">
              <w:rPr>
                <w:sz w:val="22"/>
                <w:szCs w:val="20"/>
              </w:rPr>
              <w:t>onstructo teórico-epistemológico</w:t>
            </w:r>
            <w:r w:rsidR="00811920">
              <w:rPr>
                <w:sz w:val="22"/>
                <w:szCs w:val="20"/>
              </w:rPr>
              <w:t>………………………………………………</w:t>
            </w:r>
          </w:p>
        </w:tc>
        <w:tc>
          <w:tcPr>
            <w:tcW w:w="695" w:type="dxa"/>
          </w:tcPr>
          <w:p w14:paraId="6C194EC8" w14:textId="75374DE4" w:rsidR="00903B4D" w:rsidRPr="00D60A64" w:rsidRDefault="00093BC7" w:rsidP="00811920">
            <w:pPr>
              <w:spacing w:line="360" w:lineRule="auto"/>
              <w:jc w:val="right"/>
              <w:rPr>
                <w:sz w:val="22"/>
                <w:szCs w:val="20"/>
              </w:rPr>
            </w:pPr>
            <w:r>
              <w:rPr>
                <w:sz w:val="22"/>
                <w:szCs w:val="20"/>
              </w:rPr>
              <w:t>4</w:t>
            </w:r>
            <w:r w:rsidR="003B2DB1">
              <w:rPr>
                <w:sz w:val="22"/>
                <w:szCs w:val="20"/>
              </w:rPr>
              <w:t>5</w:t>
            </w:r>
          </w:p>
        </w:tc>
      </w:tr>
      <w:tr w:rsidR="00EB4922" w:rsidRPr="00D60A64" w14:paraId="5477A001" w14:textId="77777777" w:rsidTr="00BF446B">
        <w:trPr>
          <w:trHeight w:val="397"/>
        </w:trPr>
        <w:tc>
          <w:tcPr>
            <w:tcW w:w="452" w:type="dxa"/>
            <w:gridSpan w:val="3"/>
            <w:vAlign w:val="center"/>
          </w:tcPr>
          <w:p w14:paraId="2CBC8F67" w14:textId="6376572B" w:rsidR="00EB4922" w:rsidRPr="00D60A64" w:rsidRDefault="00EB4922" w:rsidP="00437D1F">
            <w:pPr>
              <w:spacing w:line="360" w:lineRule="auto"/>
              <w:jc w:val="left"/>
              <w:rPr>
                <w:sz w:val="22"/>
                <w:szCs w:val="20"/>
              </w:rPr>
            </w:pPr>
          </w:p>
        </w:tc>
        <w:tc>
          <w:tcPr>
            <w:tcW w:w="7907" w:type="dxa"/>
            <w:vAlign w:val="center"/>
          </w:tcPr>
          <w:p w14:paraId="58D63B5B" w14:textId="3111637F" w:rsidR="00EB4922" w:rsidRPr="00D60A64" w:rsidRDefault="00903B4D" w:rsidP="00437D1F">
            <w:pPr>
              <w:spacing w:line="360" w:lineRule="auto"/>
              <w:jc w:val="left"/>
              <w:rPr>
                <w:sz w:val="22"/>
                <w:szCs w:val="20"/>
              </w:rPr>
            </w:pPr>
            <w:r>
              <w:rPr>
                <w:sz w:val="22"/>
                <w:szCs w:val="20"/>
              </w:rPr>
              <w:t>3.</w:t>
            </w:r>
            <w:r w:rsidR="006C2201">
              <w:rPr>
                <w:sz w:val="22"/>
                <w:szCs w:val="20"/>
              </w:rPr>
              <w:t>5</w:t>
            </w:r>
            <w:r w:rsidR="00EB4922">
              <w:rPr>
                <w:sz w:val="22"/>
                <w:szCs w:val="20"/>
              </w:rPr>
              <w:t xml:space="preserve">.1 Teoría de los </w:t>
            </w:r>
            <w:r w:rsidR="006147FB">
              <w:rPr>
                <w:sz w:val="22"/>
                <w:szCs w:val="20"/>
              </w:rPr>
              <w:t>Sistemas Complejos</w:t>
            </w:r>
            <w:r w:rsidR="00811920">
              <w:rPr>
                <w:sz w:val="22"/>
                <w:szCs w:val="20"/>
              </w:rPr>
              <w:t>……………………………………………</w:t>
            </w:r>
          </w:p>
        </w:tc>
        <w:tc>
          <w:tcPr>
            <w:tcW w:w="695" w:type="dxa"/>
          </w:tcPr>
          <w:p w14:paraId="2DB00334" w14:textId="4AAEDA77" w:rsidR="00EB4922" w:rsidRPr="00D60A64" w:rsidRDefault="00093BC7" w:rsidP="00811920">
            <w:pPr>
              <w:spacing w:line="360" w:lineRule="auto"/>
              <w:jc w:val="right"/>
              <w:rPr>
                <w:sz w:val="22"/>
                <w:szCs w:val="20"/>
              </w:rPr>
            </w:pPr>
            <w:r>
              <w:rPr>
                <w:sz w:val="22"/>
                <w:szCs w:val="20"/>
              </w:rPr>
              <w:t>4</w:t>
            </w:r>
            <w:r w:rsidR="003B2DB1">
              <w:rPr>
                <w:sz w:val="22"/>
                <w:szCs w:val="20"/>
              </w:rPr>
              <w:t>5</w:t>
            </w:r>
          </w:p>
        </w:tc>
      </w:tr>
      <w:tr w:rsidR="00EB4922" w:rsidRPr="00D60A64" w14:paraId="0E895B47" w14:textId="77777777" w:rsidTr="00BF446B">
        <w:trPr>
          <w:trHeight w:val="397"/>
        </w:trPr>
        <w:tc>
          <w:tcPr>
            <w:tcW w:w="452" w:type="dxa"/>
            <w:gridSpan w:val="3"/>
            <w:vAlign w:val="center"/>
          </w:tcPr>
          <w:p w14:paraId="0B0588D7" w14:textId="77777777" w:rsidR="00EB4922" w:rsidRPr="00D60A64" w:rsidRDefault="00EB4922" w:rsidP="00437D1F">
            <w:pPr>
              <w:spacing w:line="360" w:lineRule="auto"/>
              <w:jc w:val="left"/>
              <w:rPr>
                <w:sz w:val="22"/>
                <w:szCs w:val="20"/>
              </w:rPr>
            </w:pPr>
          </w:p>
        </w:tc>
        <w:tc>
          <w:tcPr>
            <w:tcW w:w="7907" w:type="dxa"/>
            <w:vAlign w:val="center"/>
          </w:tcPr>
          <w:p w14:paraId="6E5F61BD" w14:textId="3B133BAC" w:rsidR="00EB4922" w:rsidRPr="00D60A64" w:rsidRDefault="00903B4D" w:rsidP="00437D1F">
            <w:pPr>
              <w:spacing w:line="360" w:lineRule="auto"/>
              <w:jc w:val="left"/>
              <w:rPr>
                <w:sz w:val="22"/>
                <w:szCs w:val="20"/>
              </w:rPr>
            </w:pPr>
            <w:r>
              <w:rPr>
                <w:sz w:val="22"/>
                <w:szCs w:val="20"/>
              </w:rPr>
              <w:t>3.</w:t>
            </w:r>
            <w:r w:rsidR="006C2201">
              <w:rPr>
                <w:sz w:val="22"/>
                <w:szCs w:val="20"/>
              </w:rPr>
              <w:t>5</w:t>
            </w:r>
            <w:r w:rsidR="006147FB">
              <w:rPr>
                <w:sz w:val="22"/>
                <w:szCs w:val="20"/>
              </w:rPr>
              <w:t>.2 Epistemología ambiental</w:t>
            </w:r>
            <w:r w:rsidR="00811920">
              <w:rPr>
                <w:sz w:val="22"/>
                <w:szCs w:val="20"/>
              </w:rPr>
              <w:t>……………………………………………………….</w:t>
            </w:r>
          </w:p>
        </w:tc>
        <w:tc>
          <w:tcPr>
            <w:tcW w:w="695" w:type="dxa"/>
          </w:tcPr>
          <w:p w14:paraId="5C35945B" w14:textId="66105F16" w:rsidR="00EB4922" w:rsidRPr="00D60A64" w:rsidRDefault="003B2DB1" w:rsidP="00811920">
            <w:pPr>
              <w:spacing w:line="360" w:lineRule="auto"/>
              <w:jc w:val="right"/>
              <w:rPr>
                <w:sz w:val="22"/>
                <w:szCs w:val="20"/>
              </w:rPr>
            </w:pPr>
            <w:r>
              <w:rPr>
                <w:sz w:val="22"/>
                <w:szCs w:val="20"/>
              </w:rPr>
              <w:t>48</w:t>
            </w:r>
          </w:p>
        </w:tc>
      </w:tr>
      <w:tr w:rsidR="000A34D3" w:rsidRPr="00D60A64" w14:paraId="31D13390" w14:textId="77777777" w:rsidTr="00BF446B">
        <w:trPr>
          <w:trHeight w:val="397"/>
        </w:trPr>
        <w:tc>
          <w:tcPr>
            <w:tcW w:w="452" w:type="dxa"/>
            <w:gridSpan w:val="3"/>
            <w:vAlign w:val="center"/>
          </w:tcPr>
          <w:p w14:paraId="4D6B9D0E" w14:textId="77777777" w:rsidR="000A34D3" w:rsidRPr="00D60A64" w:rsidRDefault="000A34D3" w:rsidP="00437D1F">
            <w:pPr>
              <w:spacing w:line="360" w:lineRule="auto"/>
              <w:jc w:val="left"/>
              <w:rPr>
                <w:sz w:val="22"/>
                <w:szCs w:val="20"/>
              </w:rPr>
            </w:pPr>
          </w:p>
        </w:tc>
        <w:tc>
          <w:tcPr>
            <w:tcW w:w="7907" w:type="dxa"/>
            <w:vAlign w:val="center"/>
          </w:tcPr>
          <w:p w14:paraId="3474F4A8" w14:textId="6B3D4195" w:rsidR="000A34D3" w:rsidRDefault="000A34D3" w:rsidP="00437D1F">
            <w:pPr>
              <w:spacing w:line="360" w:lineRule="auto"/>
              <w:jc w:val="left"/>
              <w:rPr>
                <w:sz w:val="22"/>
                <w:szCs w:val="20"/>
              </w:rPr>
            </w:pPr>
            <w:r>
              <w:rPr>
                <w:sz w:val="22"/>
                <w:szCs w:val="20"/>
              </w:rPr>
              <w:t>3.</w:t>
            </w:r>
            <w:r w:rsidR="006C2201">
              <w:rPr>
                <w:sz w:val="22"/>
                <w:szCs w:val="20"/>
              </w:rPr>
              <w:t>5</w:t>
            </w:r>
            <w:r>
              <w:rPr>
                <w:sz w:val="22"/>
                <w:szCs w:val="20"/>
              </w:rPr>
              <w:t>.3 Epistemología constructivista</w:t>
            </w:r>
            <w:r w:rsidR="00811920">
              <w:rPr>
                <w:sz w:val="22"/>
                <w:szCs w:val="20"/>
              </w:rPr>
              <w:t>………………………………………………….</w:t>
            </w:r>
          </w:p>
        </w:tc>
        <w:tc>
          <w:tcPr>
            <w:tcW w:w="695" w:type="dxa"/>
          </w:tcPr>
          <w:p w14:paraId="05DAB151" w14:textId="750EE54A" w:rsidR="000A34D3" w:rsidRPr="00D60A64" w:rsidRDefault="00093BC7" w:rsidP="00811920">
            <w:pPr>
              <w:spacing w:line="360" w:lineRule="auto"/>
              <w:jc w:val="right"/>
              <w:rPr>
                <w:sz w:val="22"/>
                <w:szCs w:val="20"/>
              </w:rPr>
            </w:pPr>
            <w:r>
              <w:rPr>
                <w:sz w:val="22"/>
                <w:szCs w:val="20"/>
              </w:rPr>
              <w:t>5</w:t>
            </w:r>
            <w:r w:rsidR="003B2DB1">
              <w:rPr>
                <w:sz w:val="22"/>
                <w:szCs w:val="20"/>
              </w:rPr>
              <w:t>0</w:t>
            </w:r>
          </w:p>
        </w:tc>
      </w:tr>
      <w:tr w:rsidR="00256FEC" w:rsidRPr="00D60A64" w14:paraId="0BC2A22F" w14:textId="77777777" w:rsidTr="00BF446B">
        <w:trPr>
          <w:trHeight w:val="397"/>
        </w:trPr>
        <w:tc>
          <w:tcPr>
            <w:tcW w:w="8359" w:type="dxa"/>
            <w:gridSpan w:val="4"/>
          </w:tcPr>
          <w:p w14:paraId="586CEAD5" w14:textId="7F750CDE" w:rsidR="00256FEC" w:rsidRPr="00D60A64" w:rsidRDefault="00903B4D" w:rsidP="00437D1F">
            <w:pPr>
              <w:spacing w:line="360" w:lineRule="auto"/>
              <w:jc w:val="left"/>
              <w:rPr>
                <w:sz w:val="22"/>
                <w:szCs w:val="20"/>
              </w:rPr>
            </w:pPr>
            <w:r>
              <w:rPr>
                <w:sz w:val="22"/>
                <w:szCs w:val="20"/>
              </w:rPr>
              <w:t>IV. PLANTEAMIENTO DEL PROBLEMA</w:t>
            </w:r>
            <w:r w:rsidR="00811920">
              <w:rPr>
                <w:sz w:val="22"/>
                <w:szCs w:val="20"/>
              </w:rPr>
              <w:t>…………………………………………………</w:t>
            </w:r>
          </w:p>
        </w:tc>
        <w:tc>
          <w:tcPr>
            <w:tcW w:w="695" w:type="dxa"/>
          </w:tcPr>
          <w:p w14:paraId="6579C68B" w14:textId="492863E0" w:rsidR="00256FEC" w:rsidRPr="00D60A64" w:rsidRDefault="00093BC7" w:rsidP="00811920">
            <w:pPr>
              <w:spacing w:line="360" w:lineRule="auto"/>
              <w:jc w:val="right"/>
              <w:rPr>
                <w:sz w:val="22"/>
                <w:szCs w:val="20"/>
              </w:rPr>
            </w:pPr>
            <w:r>
              <w:rPr>
                <w:sz w:val="22"/>
                <w:szCs w:val="20"/>
              </w:rPr>
              <w:t>5</w:t>
            </w:r>
            <w:r w:rsidR="003B2DB1">
              <w:rPr>
                <w:sz w:val="22"/>
                <w:szCs w:val="20"/>
              </w:rPr>
              <w:t>1</w:t>
            </w:r>
          </w:p>
        </w:tc>
      </w:tr>
      <w:tr w:rsidR="00903B4D" w:rsidRPr="00D60A64" w14:paraId="2088C95D" w14:textId="77777777" w:rsidTr="00BF446B">
        <w:trPr>
          <w:trHeight w:val="397"/>
        </w:trPr>
        <w:tc>
          <w:tcPr>
            <w:tcW w:w="8359" w:type="dxa"/>
            <w:gridSpan w:val="4"/>
          </w:tcPr>
          <w:p w14:paraId="516D76DF" w14:textId="260F3597" w:rsidR="00903B4D" w:rsidDel="00903B4D" w:rsidRDefault="00903B4D" w:rsidP="00437D1F">
            <w:pPr>
              <w:spacing w:line="360" w:lineRule="auto"/>
              <w:jc w:val="left"/>
              <w:rPr>
                <w:sz w:val="22"/>
                <w:szCs w:val="20"/>
              </w:rPr>
            </w:pPr>
            <w:r>
              <w:rPr>
                <w:sz w:val="22"/>
                <w:szCs w:val="20"/>
              </w:rPr>
              <w:t>V. JUSTIFICACIÓN</w:t>
            </w:r>
            <w:r w:rsidR="00811920">
              <w:rPr>
                <w:sz w:val="22"/>
                <w:szCs w:val="20"/>
              </w:rPr>
              <w:t>…………………………………………………………………………</w:t>
            </w:r>
          </w:p>
        </w:tc>
        <w:tc>
          <w:tcPr>
            <w:tcW w:w="695" w:type="dxa"/>
          </w:tcPr>
          <w:p w14:paraId="6F761822" w14:textId="6341769E" w:rsidR="00903B4D" w:rsidRPr="00D60A64" w:rsidRDefault="00093BC7" w:rsidP="00811920">
            <w:pPr>
              <w:spacing w:line="360" w:lineRule="auto"/>
              <w:jc w:val="right"/>
              <w:rPr>
                <w:sz w:val="22"/>
                <w:szCs w:val="20"/>
              </w:rPr>
            </w:pPr>
            <w:r>
              <w:rPr>
                <w:sz w:val="22"/>
                <w:szCs w:val="20"/>
              </w:rPr>
              <w:t>5</w:t>
            </w:r>
            <w:r w:rsidR="000E4566">
              <w:rPr>
                <w:sz w:val="22"/>
                <w:szCs w:val="20"/>
              </w:rPr>
              <w:t>4</w:t>
            </w:r>
          </w:p>
        </w:tc>
      </w:tr>
      <w:tr w:rsidR="00903B4D" w:rsidRPr="00D60A64" w14:paraId="7B0AE266" w14:textId="77777777" w:rsidTr="00BF446B">
        <w:trPr>
          <w:trHeight w:val="397"/>
        </w:trPr>
        <w:tc>
          <w:tcPr>
            <w:tcW w:w="8359" w:type="dxa"/>
            <w:gridSpan w:val="4"/>
          </w:tcPr>
          <w:p w14:paraId="5548BB2B" w14:textId="5D2F27E1" w:rsidR="00903B4D" w:rsidDel="00903B4D" w:rsidRDefault="00903B4D" w:rsidP="00437D1F">
            <w:pPr>
              <w:spacing w:line="360" w:lineRule="auto"/>
              <w:jc w:val="left"/>
              <w:rPr>
                <w:sz w:val="22"/>
                <w:szCs w:val="20"/>
              </w:rPr>
            </w:pPr>
            <w:r>
              <w:rPr>
                <w:sz w:val="22"/>
                <w:szCs w:val="20"/>
              </w:rPr>
              <w:t>VI. HIPOTÉSIS</w:t>
            </w:r>
            <w:r w:rsidR="00811920">
              <w:rPr>
                <w:sz w:val="22"/>
                <w:szCs w:val="20"/>
              </w:rPr>
              <w:t>………………………………………………………………………………</w:t>
            </w:r>
          </w:p>
        </w:tc>
        <w:tc>
          <w:tcPr>
            <w:tcW w:w="695" w:type="dxa"/>
          </w:tcPr>
          <w:p w14:paraId="624137E9" w14:textId="35100B79" w:rsidR="00903B4D" w:rsidRPr="00D60A64" w:rsidRDefault="00093BC7" w:rsidP="00811920">
            <w:pPr>
              <w:spacing w:line="360" w:lineRule="auto"/>
              <w:jc w:val="right"/>
              <w:rPr>
                <w:sz w:val="22"/>
                <w:szCs w:val="20"/>
              </w:rPr>
            </w:pPr>
            <w:r>
              <w:rPr>
                <w:sz w:val="22"/>
                <w:szCs w:val="20"/>
              </w:rPr>
              <w:t>5</w:t>
            </w:r>
            <w:r w:rsidR="000E4566">
              <w:rPr>
                <w:sz w:val="22"/>
                <w:szCs w:val="20"/>
              </w:rPr>
              <w:t>6</w:t>
            </w:r>
          </w:p>
        </w:tc>
      </w:tr>
      <w:tr w:rsidR="00903B4D" w:rsidRPr="00D60A64" w14:paraId="6EFC4EA9" w14:textId="77777777" w:rsidTr="00BF446B">
        <w:trPr>
          <w:trHeight w:val="397"/>
        </w:trPr>
        <w:tc>
          <w:tcPr>
            <w:tcW w:w="8359" w:type="dxa"/>
            <w:gridSpan w:val="4"/>
          </w:tcPr>
          <w:p w14:paraId="582D636F" w14:textId="7A0C4B50" w:rsidR="00903B4D" w:rsidRDefault="00903B4D" w:rsidP="00437D1F">
            <w:pPr>
              <w:spacing w:line="360" w:lineRule="auto"/>
              <w:jc w:val="left"/>
              <w:rPr>
                <w:sz w:val="22"/>
                <w:szCs w:val="20"/>
              </w:rPr>
            </w:pPr>
            <w:r>
              <w:rPr>
                <w:sz w:val="22"/>
                <w:szCs w:val="20"/>
              </w:rPr>
              <w:t>VII. OBJETIVOS</w:t>
            </w:r>
            <w:r w:rsidR="00811920">
              <w:rPr>
                <w:sz w:val="22"/>
                <w:szCs w:val="20"/>
              </w:rPr>
              <w:t>……………………………………………………………………………..</w:t>
            </w:r>
          </w:p>
        </w:tc>
        <w:tc>
          <w:tcPr>
            <w:tcW w:w="695" w:type="dxa"/>
          </w:tcPr>
          <w:p w14:paraId="604C6CF1" w14:textId="156BBE78" w:rsidR="00903B4D" w:rsidRPr="00D60A64" w:rsidRDefault="00093BC7" w:rsidP="00811920">
            <w:pPr>
              <w:spacing w:line="360" w:lineRule="auto"/>
              <w:jc w:val="right"/>
              <w:rPr>
                <w:sz w:val="22"/>
                <w:szCs w:val="20"/>
              </w:rPr>
            </w:pPr>
            <w:r>
              <w:rPr>
                <w:sz w:val="22"/>
                <w:szCs w:val="20"/>
              </w:rPr>
              <w:t>5</w:t>
            </w:r>
            <w:r w:rsidR="007A20C9">
              <w:rPr>
                <w:sz w:val="22"/>
                <w:szCs w:val="20"/>
              </w:rPr>
              <w:t>7</w:t>
            </w:r>
          </w:p>
        </w:tc>
      </w:tr>
      <w:tr w:rsidR="00903B4D" w:rsidRPr="00D60A64" w14:paraId="1C8CBAEF" w14:textId="77777777" w:rsidTr="00BF446B">
        <w:trPr>
          <w:trHeight w:val="397"/>
        </w:trPr>
        <w:tc>
          <w:tcPr>
            <w:tcW w:w="8359" w:type="dxa"/>
            <w:gridSpan w:val="4"/>
          </w:tcPr>
          <w:p w14:paraId="4534261A" w14:textId="4BA0C800" w:rsidR="00903B4D" w:rsidRDefault="00903B4D" w:rsidP="00437D1F">
            <w:pPr>
              <w:spacing w:line="360" w:lineRule="auto"/>
              <w:jc w:val="left"/>
              <w:rPr>
                <w:sz w:val="22"/>
                <w:szCs w:val="20"/>
              </w:rPr>
            </w:pPr>
            <w:r>
              <w:rPr>
                <w:sz w:val="22"/>
                <w:szCs w:val="20"/>
              </w:rPr>
              <w:t>VIII. METODOLOGÍA</w:t>
            </w:r>
            <w:r w:rsidR="00BF446B">
              <w:rPr>
                <w:sz w:val="22"/>
                <w:szCs w:val="20"/>
              </w:rPr>
              <w:t>……………………………………………………………………….</w:t>
            </w:r>
          </w:p>
        </w:tc>
        <w:tc>
          <w:tcPr>
            <w:tcW w:w="695" w:type="dxa"/>
          </w:tcPr>
          <w:p w14:paraId="7CA68D6E" w14:textId="48FBCE81" w:rsidR="00903B4D" w:rsidRPr="00D60A64" w:rsidRDefault="007A20C9" w:rsidP="00811920">
            <w:pPr>
              <w:spacing w:line="360" w:lineRule="auto"/>
              <w:jc w:val="right"/>
              <w:rPr>
                <w:sz w:val="22"/>
                <w:szCs w:val="20"/>
              </w:rPr>
            </w:pPr>
            <w:r>
              <w:rPr>
                <w:sz w:val="22"/>
                <w:szCs w:val="20"/>
              </w:rPr>
              <w:t>58</w:t>
            </w:r>
          </w:p>
        </w:tc>
      </w:tr>
      <w:tr w:rsidR="005C4B40" w:rsidRPr="00D60A64" w14:paraId="5FF1F1CE" w14:textId="77777777" w:rsidTr="00BF446B">
        <w:trPr>
          <w:trHeight w:val="397"/>
        </w:trPr>
        <w:tc>
          <w:tcPr>
            <w:tcW w:w="435" w:type="dxa"/>
            <w:gridSpan w:val="2"/>
          </w:tcPr>
          <w:p w14:paraId="570CB2B2" w14:textId="77777777" w:rsidR="005C4B40" w:rsidRDefault="005C4B40" w:rsidP="00437D1F">
            <w:pPr>
              <w:spacing w:line="360" w:lineRule="auto"/>
              <w:jc w:val="left"/>
              <w:rPr>
                <w:sz w:val="22"/>
                <w:szCs w:val="20"/>
              </w:rPr>
            </w:pPr>
          </w:p>
        </w:tc>
        <w:tc>
          <w:tcPr>
            <w:tcW w:w="7924" w:type="dxa"/>
            <w:gridSpan w:val="2"/>
          </w:tcPr>
          <w:p w14:paraId="57657239" w14:textId="24259562" w:rsidR="005C4B40" w:rsidRDefault="005C4B40" w:rsidP="00437D1F">
            <w:pPr>
              <w:spacing w:line="360" w:lineRule="auto"/>
              <w:jc w:val="left"/>
              <w:rPr>
                <w:sz w:val="22"/>
                <w:szCs w:val="20"/>
              </w:rPr>
            </w:pPr>
            <w:r>
              <w:rPr>
                <w:sz w:val="22"/>
                <w:szCs w:val="20"/>
              </w:rPr>
              <w:t>8.1 Zona de estudio</w:t>
            </w:r>
            <w:r w:rsidR="00BF446B">
              <w:rPr>
                <w:sz w:val="22"/>
                <w:szCs w:val="20"/>
              </w:rPr>
              <w:t>……………………………………………………………………</w:t>
            </w:r>
          </w:p>
        </w:tc>
        <w:tc>
          <w:tcPr>
            <w:tcW w:w="695" w:type="dxa"/>
          </w:tcPr>
          <w:p w14:paraId="1D3045C9" w14:textId="766700A4" w:rsidR="005C4B40" w:rsidRPr="00D60A64" w:rsidRDefault="007A20C9" w:rsidP="00811920">
            <w:pPr>
              <w:spacing w:line="360" w:lineRule="auto"/>
              <w:jc w:val="right"/>
              <w:rPr>
                <w:sz w:val="22"/>
                <w:szCs w:val="20"/>
              </w:rPr>
            </w:pPr>
            <w:r>
              <w:rPr>
                <w:sz w:val="22"/>
                <w:szCs w:val="20"/>
              </w:rPr>
              <w:t>58</w:t>
            </w:r>
          </w:p>
        </w:tc>
      </w:tr>
      <w:tr w:rsidR="005C4B40" w:rsidRPr="00D60A64" w14:paraId="36FAC0B6" w14:textId="77777777" w:rsidTr="00BF446B">
        <w:trPr>
          <w:trHeight w:val="397"/>
        </w:trPr>
        <w:tc>
          <w:tcPr>
            <w:tcW w:w="435" w:type="dxa"/>
            <w:gridSpan w:val="2"/>
          </w:tcPr>
          <w:p w14:paraId="1B3EBBD0" w14:textId="77777777" w:rsidR="005C4B40" w:rsidRDefault="005C4B40" w:rsidP="00437D1F">
            <w:pPr>
              <w:spacing w:line="360" w:lineRule="auto"/>
              <w:jc w:val="left"/>
              <w:rPr>
                <w:sz w:val="22"/>
                <w:szCs w:val="20"/>
              </w:rPr>
            </w:pPr>
          </w:p>
        </w:tc>
        <w:tc>
          <w:tcPr>
            <w:tcW w:w="7924" w:type="dxa"/>
            <w:gridSpan w:val="2"/>
          </w:tcPr>
          <w:p w14:paraId="7CE6B8EC" w14:textId="719F054C" w:rsidR="005C4B40" w:rsidRDefault="005C4B40" w:rsidP="00437D1F">
            <w:pPr>
              <w:spacing w:line="360" w:lineRule="auto"/>
              <w:jc w:val="left"/>
              <w:rPr>
                <w:sz w:val="22"/>
                <w:szCs w:val="20"/>
              </w:rPr>
            </w:pPr>
            <w:r>
              <w:rPr>
                <w:sz w:val="22"/>
                <w:szCs w:val="20"/>
              </w:rPr>
              <w:t xml:space="preserve">8.2 Unidades </w:t>
            </w:r>
            <w:r w:rsidR="006E7F3E">
              <w:rPr>
                <w:sz w:val="22"/>
                <w:szCs w:val="20"/>
              </w:rPr>
              <w:t>P</w:t>
            </w:r>
            <w:r>
              <w:rPr>
                <w:sz w:val="22"/>
                <w:szCs w:val="20"/>
              </w:rPr>
              <w:t xml:space="preserve">roductivas </w:t>
            </w:r>
            <w:r w:rsidR="006E7F3E">
              <w:rPr>
                <w:sz w:val="22"/>
                <w:szCs w:val="20"/>
              </w:rPr>
              <w:t>C</w:t>
            </w:r>
            <w:r>
              <w:rPr>
                <w:sz w:val="22"/>
                <w:szCs w:val="20"/>
              </w:rPr>
              <w:t xml:space="preserve">unícolas de </w:t>
            </w:r>
            <w:r w:rsidR="006E7F3E">
              <w:rPr>
                <w:sz w:val="22"/>
                <w:szCs w:val="20"/>
              </w:rPr>
              <w:t>T</w:t>
            </w:r>
            <w:r>
              <w:rPr>
                <w:sz w:val="22"/>
                <w:szCs w:val="20"/>
              </w:rPr>
              <w:t>raspatio</w:t>
            </w:r>
            <w:r w:rsidR="00BF446B">
              <w:rPr>
                <w:sz w:val="22"/>
                <w:szCs w:val="20"/>
              </w:rPr>
              <w:t>…………………………………</w:t>
            </w:r>
          </w:p>
        </w:tc>
        <w:tc>
          <w:tcPr>
            <w:tcW w:w="695" w:type="dxa"/>
          </w:tcPr>
          <w:p w14:paraId="50B7D1DC" w14:textId="730DB1C8" w:rsidR="005C4B40" w:rsidRPr="00D60A64" w:rsidRDefault="00093BC7" w:rsidP="00811920">
            <w:pPr>
              <w:spacing w:line="360" w:lineRule="auto"/>
              <w:jc w:val="right"/>
              <w:rPr>
                <w:sz w:val="22"/>
                <w:szCs w:val="20"/>
              </w:rPr>
            </w:pPr>
            <w:r>
              <w:rPr>
                <w:sz w:val="22"/>
                <w:szCs w:val="20"/>
              </w:rPr>
              <w:t>6</w:t>
            </w:r>
            <w:r w:rsidR="007A20C9">
              <w:rPr>
                <w:sz w:val="22"/>
                <w:szCs w:val="20"/>
              </w:rPr>
              <w:t>0</w:t>
            </w:r>
          </w:p>
        </w:tc>
      </w:tr>
      <w:tr w:rsidR="005C4B40" w:rsidRPr="00D60A64" w14:paraId="6D884ED7" w14:textId="77777777" w:rsidTr="00BF446B">
        <w:trPr>
          <w:trHeight w:val="397"/>
        </w:trPr>
        <w:tc>
          <w:tcPr>
            <w:tcW w:w="435" w:type="dxa"/>
            <w:gridSpan w:val="2"/>
          </w:tcPr>
          <w:p w14:paraId="029472AF" w14:textId="77777777" w:rsidR="005C4B40" w:rsidRDefault="005C4B40" w:rsidP="00437D1F">
            <w:pPr>
              <w:spacing w:line="360" w:lineRule="auto"/>
              <w:jc w:val="left"/>
              <w:rPr>
                <w:sz w:val="22"/>
                <w:szCs w:val="20"/>
              </w:rPr>
            </w:pPr>
          </w:p>
        </w:tc>
        <w:tc>
          <w:tcPr>
            <w:tcW w:w="7924" w:type="dxa"/>
            <w:gridSpan w:val="2"/>
          </w:tcPr>
          <w:p w14:paraId="1C38BEFF" w14:textId="3378664D" w:rsidR="005C4B40" w:rsidRDefault="00E3027E" w:rsidP="00437D1F">
            <w:pPr>
              <w:spacing w:line="360" w:lineRule="auto"/>
              <w:jc w:val="left"/>
              <w:rPr>
                <w:sz w:val="22"/>
                <w:szCs w:val="20"/>
              </w:rPr>
            </w:pPr>
            <w:r>
              <w:rPr>
                <w:sz w:val="22"/>
                <w:szCs w:val="20"/>
              </w:rPr>
              <w:t>8.3 Método IDEA</w:t>
            </w:r>
            <w:r w:rsidR="00BF446B">
              <w:rPr>
                <w:sz w:val="22"/>
                <w:szCs w:val="20"/>
              </w:rPr>
              <w:t>……………………………………………………………………….</w:t>
            </w:r>
          </w:p>
        </w:tc>
        <w:tc>
          <w:tcPr>
            <w:tcW w:w="695" w:type="dxa"/>
          </w:tcPr>
          <w:p w14:paraId="140060A5" w14:textId="59438F0C" w:rsidR="005C4B40" w:rsidRPr="00D60A64" w:rsidRDefault="00093BC7" w:rsidP="00811920">
            <w:pPr>
              <w:spacing w:line="360" w:lineRule="auto"/>
              <w:jc w:val="right"/>
              <w:rPr>
                <w:sz w:val="22"/>
                <w:szCs w:val="20"/>
              </w:rPr>
            </w:pPr>
            <w:r>
              <w:rPr>
                <w:sz w:val="22"/>
                <w:szCs w:val="20"/>
              </w:rPr>
              <w:t>6</w:t>
            </w:r>
            <w:r w:rsidR="007A20C9">
              <w:rPr>
                <w:sz w:val="22"/>
                <w:szCs w:val="20"/>
              </w:rPr>
              <w:t>0</w:t>
            </w:r>
          </w:p>
        </w:tc>
      </w:tr>
      <w:tr w:rsidR="005C4B40" w:rsidRPr="00D60A64" w14:paraId="79997290" w14:textId="77777777" w:rsidTr="00BF446B">
        <w:trPr>
          <w:trHeight w:val="397"/>
        </w:trPr>
        <w:tc>
          <w:tcPr>
            <w:tcW w:w="435" w:type="dxa"/>
            <w:gridSpan w:val="2"/>
          </w:tcPr>
          <w:p w14:paraId="469E46FA" w14:textId="77777777" w:rsidR="005C4B40" w:rsidRDefault="005C4B40" w:rsidP="00437D1F">
            <w:pPr>
              <w:spacing w:line="360" w:lineRule="auto"/>
              <w:jc w:val="left"/>
              <w:rPr>
                <w:sz w:val="22"/>
                <w:szCs w:val="20"/>
              </w:rPr>
            </w:pPr>
          </w:p>
        </w:tc>
        <w:tc>
          <w:tcPr>
            <w:tcW w:w="7924" w:type="dxa"/>
            <w:gridSpan w:val="2"/>
          </w:tcPr>
          <w:p w14:paraId="312DFFE1" w14:textId="3B3764D4" w:rsidR="005C4B40" w:rsidRDefault="00E3027E" w:rsidP="00437D1F">
            <w:pPr>
              <w:spacing w:line="360" w:lineRule="auto"/>
              <w:jc w:val="left"/>
              <w:rPr>
                <w:sz w:val="22"/>
                <w:szCs w:val="20"/>
              </w:rPr>
            </w:pPr>
            <w:r>
              <w:rPr>
                <w:sz w:val="22"/>
                <w:szCs w:val="20"/>
              </w:rPr>
              <w:t>8.4 Método etnobotánico</w:t>
            </w:r>
            <w:r w:rsidR="00BF446B">
              <w:rPr>
                <w:sz w:val="22"/>
                <w:szCs w:val="20"/>
              </w:rPr>
              <w:t>………………………………………………………………</w:t>
            </w:r>
          </w:p>
        </w:tc>
        <w:tc>
          <w:tcPr>
            <w:tcW w:w="695" w:type="dxa"/>
          </w:tcPr>
          <w:p w14:paraId="4115BA50" w14:textId="44EAFCB7" w:rsidR="005C4B40" w:rsidRPr="00D60A64" w:rsidRDefault="00093BC7" w:rsidP="00811920">
            <w:pPr>
              <w:spacing w:line="360" w:lineRule="auto"/>
              <w:jc w:val="right"/>
              <w:rPr>
                <w:sz w:val="22"/>
                <w:szCs w:val="20"/>
              </w:rPr>
            </w:pPr>
            <w:r>
              <w:rPr>
                <w:sz w:val="22"/>
                <w:szCs w:val="20"/>
              </w:rPr>
              <w:t>6</w:t>
            </w:r>
            <w:r w:rsidR="007A20C9">
              <w:rPr>
                <w:sz w:val="22"/>
                <w:szCs w:val="20"/>
              </w:rPr>
              <w:t>1</w:t>
            </w:r>
          </w:p>
        </w:tc>
      </w:tr>
      <w:tr w:rsidR="00E3027E" w:rsidRPr="00D60A64" w14:paraId="0F498BA9" w14:textId="77777777" w:rsidTr="00BF446B">
        <w:trPr>
          <w:trHeight w:val="397"/>
        </w:trPr>
        <w:tc>
          <w:tcPr>
            <w:tcW w:w="435" w:type="dxa"/>
            <w:gridSpan w:val="2"/>
          </w:tcPr>
          <w:p w14:paraId="4F9FE93B" w14:textId="77777777" w:rsidR="00E3027E" w:rsidRDefault="00E3027E" w:rsidP="00437D1F">
            <w:pPr>
              <w:spacing w:line="360" w:lineRule="auto"/>
              <w:jc w:val="left"/>
              <w:rPr>
                <w:sz w:val="22"/>
                <w:szCs w:val="20"/>
              </w:rPr>
            </w:pPr>
          </w:p>
        </w:tc>
        <w:tc>
          <w:tcPr>
            <w:tcW w:w="7924" w:type="dxa"/>
            <w:gridSpan w:val="2"/>
          </w:tcPr>
          <w:p w14:paraId="44C34A0F" w14:textId="2A3F319C" w:rsidR="00E3027E" w:rsidRDefault="00E3027E" w:rsidP="00437D1F">
            <w:pPr>
              <w:spacing w:line="360" w:lineRule="auto"/>
              <w:jc w:val="left"/>
              <w:rPr>
                <w:sz w:val="22"/>
                <w:szCs w:val="20"/>
              </w:rPr>
            </w:pPr>
            <w:r>
              <w:rPr>
                <w:sz w:val="22"/>
                <w:szCs w:val="20"/>
              </w:rPr>
              <w:t>8.5 Entrevista semiestructurada</w:t>
            </w:r>
            <w:r w:rsidR="00BF446B">
              <w:rPr>
                <w:sz w:val="22"/>
                <w:szCs w:val="20"/>
              </w:rPr>
              <w:t>……………………………………………………...</w:t>
            </w:r>
          </w:p>
        </w:tc>
        <w:tc>
          <w:tcPr>
            <w:tcW w:w="695" w:type="dxa"/>
          </w:tcPr>
          <w:p w14:paraId="12FD022F" w14:textId="31F56B6A" w:rsidR="00E3027E" w:rsidRPr="00D60A64" w:rsidRDefault="00093BC7" w:rsidP="00811920">
            <w:pPr>
              <w:spacing w:line="360" w:lineRule="auto"/>
              <w:jc w:val="right"/>
              <w:rPr>
                <w:sz w:val="22"/>
                <w:szCs w:val="20"/>
              </w:rPr>
            </w:pPr>
            <w:r>
              <w:rPr>
                <w:sz w:val="22"/>
                <w:szCs w:val="20"/>
              </w:rPr>
              <w:t>6</w:t>
            </w:r>
            <w:r w:rsidR="007A20C9">
              <w:rPr>
                <w:sz w:val="22"/>
                <w:szCs w:val="20"/>
              </w:rPr>
              <w:t>4</w:t>
            </w:r>
          </w:p>
        </w:tc>
      </w:tr>
      <w:tr w:rsidR="00E3027E" w:rsidRPr="00D60A64" w14:paraId="158CF6EA" w14:textId="77777777" w:rsidTr="00BF446B">
        <w:trPr>
          <w:trHeight w:val="397"/>
        </w:trPr>
        <w:tc>
          <w:tcPr>
            <w:tcW w:w="435" w:type="dxa"/>
            <w:gridSpan w:val="2"/>
          </w:tcPr>
          <w:p w14:paraId="4984739F" w14:textId="77777777" w:rsidR="00E3027E" w:rsidRDefault="00E3027E" w:rsidP="00437D1F">
            <w:pPr>
              <w:spacing w:line="360" w:lineRule="auto"/>
              <w:jc w:val="left"/>
              <w:rPr>
                <w:sz w:val="22"/>
                <w:szCs w:val="20"/>
              </w:rPr>
            </w:pPr>
          </w:p>
        </w:tc>
        <w:tc>
          <w:tcPr>
            <w:tcW w:w="7924" w:type="dxa"/>
            <w:gridSpan w:val="2"/>
          </w:tcPr>
          <w:p w14:paraId="7954769F" w14:textId="63470714" w:rsidR="00E3027E" w:rsidRDefault="00E3027E" w:rsidP="00437D1F">
            <w:pPr>
              <w:spacing w:line="360" w:lineRule="auto"/>
              <w:jc w:val="left"/>
              <w:rPr>
                <w:sz w:val="22"/>
                <w:szCs w:val="20"/>
              </w:rPr>
            </w:pPr>
            <w:r>
              <w:rPr>
                <w:sz w:val="22"/>
                <w:szCs w:val="20"/>
              </w:rPr>
              <w:t>8.6 Metaanálisis</w:t>
            </w:r>
            <w:r w:rsidR="00BF446B">
              <w:rPr>
                <w:sz w:val="22"/>
                <w:szCs w:val="20"/>
              </w:rPr>
              <w:t>………………………………………………………………………..</w:t>
            </w:r>
          </w:p>
        </w:tc>
        <w:tc>
          <w:tcPr>
            <w:tcW w:w="695" w:type="dxa"/>
          </w:tcPr>
          <w:p w14:paraId="3857A620" w14:textId="472DF528" w:rsidR="00E3027E" w:rsidRPr="00D60A64" w:rsidRDefault="00093BC7" w:rsidP="00811920">
            <w:pPr>
              <w:spacing w:line="360" w:lineRule="auto"/>
              <w:jc w:val="right"/>
              <w:rPr>
                <w:sz w:val="22"/>
                <w:szCs w:val="20"/>
              </w:rPr>
            </w:pPr>
            <w:r>
              <w:rPr>
                <w:sz w:val="22"/>
                <w:szCs w:val="20"/>
              </w:rPr>
              <w:t>6</w:t>
            </w:r>
            <w:r w:rsidR="007A20C9">
              <w:rPr>
                <w:sz w:val="22"/>
                <w:szCs w:val="20"/>
              </w:rPr>
              <w:t>5</w:t>
            </w:r>
          </w:p>
        </w:tc>
      </w:tr>
      <w:tr w:rsidR="00E3027E" w:rsidRPr="00D60A64" w14:paraId="69385358" w14:textId="77777777" w:rsidTr="00BF446B">
        <w:trPr>
          <w:trHeight w:val="397"/>
        </w:trPr>
        <w:tc>
          <w:tcPr>
            <w:tcW w:w="435" w:type="dxa"/>
            <w:gridSpan w:val="2"/>
          </w:tcPr>
          <w:p w14:paraId="11F892C2" w14:textId="77777777" w:rsidR="00E3027E" w:rsidRDefault="00E3027E" w:rsidP="00437D1F">
            <w:pPr>
              <w:spacing w:line="360" w:lineRule="auto"/>
              <w:jc w:val="left"/>
              <w:rPr>
                <w:sz w:val="22"/>
                <w:szCs w:val="20"/>
              </w:rPr>
            </w:pPr>
          </w:p>
        </w:tc>
        <w:tc>
          <w:tcPr>
            <w:tcW w:w="7924" w:type="dxa"/>
            <w:gridSpan w:val="2"/>
          </w:tcPr>
          <w:p w14:paraId="0822D99F" w14:textId="1C7B840E" w:rsidR="00E3027E" w:rsidRDefault="00E3027E" w:rsidP="00437D1F">
            <w:pPr>
              <w:spacing w:line="360" w:lineRule="auto"/>
              <w:jc w:val="left"/>
              <w:rPr>
                <w:sz w:val="22"/>
                <w:szCs w:val="20"/>
              </w:rPr>
            </w:pPr>
            <w:r>
              <w:rPr>
                <w:sz w:val="22"/>
                <w:szCs w:val="20"/>
              </w:rPr>
              <w:t>8.7 Análisis estadístico</w:t>
            </w:r>
            <w:r w:rsidR="00BF446B">
              <w:rPr>
                <w:sz w:val="22"/>
                <w:szCs w:val="20"/>
              </w:rPr>
              <w:t>………………………………………………………………...</w:t>
            </w:r>
          </w:p>
        </w:tc>
        <w:tc>
          <w:tcPr>
            <w:tcW w:w="695" w:type="dxa"/>
          </w:tcPr>
          <w:p w14:paraId="3C0364A1" w14:textId="56FD1A13" w:rsidR="00E3027E" w:rsidRPr="00D60A64" w:rsidRDefault="00093BC7" w:rsidP="00811920">
            <w:pPr>
              <w:spacing w:line="360" w:lineRule="auto"/>
              <w:jc w:val="right"/>
              <w:rPr>
                <w:sz w:val="22"/>
                <w:szCs w:val="20"/>
              </w:rPr>
            </w:pPr>
            <w:r>
              <w:rPr>
                <w:sz w:val="22"/>
                <w:szCs w:val="20"/>
              </w:rPr>
              <w:t>6</w:t>
            </w:r>
            <w:r w:rsidR="007A20C9">
              <w:rPr>
                <w:sz w:val="22"/>
                <w:szCs w:val="20"/>
              </w:rPr>
              <w:t>6</w:t>
            </w:r>
          </w:p>
        </w:tc>
      </w:tr>
      <w:tr w:rsidR="00FB0C03" w:rsidRPr="00D60A64" w14:paraId="5E90C1D7" w14:textId="77777777" w:rsidTr="00BF446B">
        <w:trPr>
          <w:trHeight w:val="397"/>
        </w:trPr>
        <w:tc>
          <w:tcPr>
            <w:tcW w:w="435" w:type="dxa"/>
            <w:gridSpan w:val="2"/>
          </w:tcPr>
          <w:p w14:paraId="68E83839" w14:textId="77777777" w:rsidR="00FB0C03" w:rsidRDefault="00FB0C03" w:rsidP="00437D1F">
            <w:pPr>
              <w:jc w:val="left"/>
              <w:rPr>
                <w:sz w:val="22"/>
                <w:szCs w:val="20"/>
              </w:rPr>
            </w:pPr>
          </w:p>
        </w:tc>
        <w:tc>
          <w:tcPr>
            <w:tcW w:w="7924" w:type="dxa"/>
            <w:gridSpan w:val="2"/>
          </w:tcPr>
          <w:p w14:paraId="2FC1D5E0" w14:textId="5B6F527D" w:rsidR="00FB0C03" w:rsidRDefault="00FB0C03" w:rsidP="00FB0C03">
            <w:pPr>
              <w:tabs>
                <w:tab w:val="left" w:pos="1060"/>
              </w:tabs>
              <w:jc w:val="left"/>
              <w:rPr>
                <w:sz w:val="22"/>
                <w:szCs w:val="20"/>
              </w:rPr>
            </w:pPr>
            <w:r w:rsidRPr="00FB0C03">
              <w:rPr>
                <w:sz w:val="22"/>
                <w:szCs w:val="20"/>
              </w:rPr>
              <w:t>8.8 Consideraciones éticas de la investigación</w:t>
            </w:r>
            <w:r w:rsidR="00BF446B">
              <w:rPr>
                <w:sz w:val="22"/>
                <w:szCs w:val="20"/>
              </w:rPr>
              <w:t>…………………………………….</w:t>
            </w:r>
          </w:p>
        </w:tc>
        <w:tc>
          <w:tcPr>
            <w:tcW w:w="695" w:type="dxa"/>
          </w:tcPr>
          <w:p w14:paraId="3A36ACD2" w14:textId="53373E91" w:rsidR="00FB0C03" w:rsidRDefault="00093BC7" w:rsidP="00811920">
            <w:pPr>
              <w:jc w:val="right"/>
              <w:rPr>
                <w:sz w:val="22"/>
                <w:szCs w:val="20"/>
              </w:rPr>
            </w:pPr>
            <w:r>
              <w:rPr>
                <w:sz w:val="22"/>
                <w:szCs w:val="20"/>
              </w:rPr>
              <w:t>6</w:t>
            </w:r>
            <w:r w:rsidR="007A20C9">
              <w:rPr>
                <w:sz w:val="22"/>
                <w:szCs w:val="20"/>
              </w:rPr>
              <w:t>6</w:t>
            </w:r>
          </w:p>
        </w:tc>
      </w:tr>
      <w:tr w:rsidR="00903B4D" w:rsidRPr="00D60A64" w14:paraId="6CF09F8E" w14:textId="77777777" w:rsidTr="00BF446B">
        <w:trPr>
          <w:trHeight w:val="397"/>
        </w:trPr>
        <w:tc>
          <w:tcPr>
            <w:tcW w:w="8359" w:type="dxa"/>
            <w:gridSpan w:val="4"/>
          </w:tcPr>
          <w:p w14:paraId="0499CB9C" w14:textId="4958B0D4" w:rsidR="00903B4D" w:rsidRDefault="00903B4D" w:rsidP="00437D1F">
            <w:pPr>
              <w:spacing w:line="360" w:lineRule="auto"/>
              <w:jc w:val="left"/>
              <w:rPr>
                <w:sz w:val="22"/>
                <w:szCs w:val="20"/>
              </w:rPr>
            </w:pPr>
            <w:r>
              <w:rPr>
                <w:sz w:val="22"/>
                <w:szCs w:val="20"/>
              </w:rPr>
              <w:t>IX. RESULTADOS</w:t>
            </w:r>
            <w:r w:rsidR="00BF446B">
              <w:rPr>
                <w:sz w:val="22"/>
                <w:szCs w:val="20"/>
              </w:rPr>
              <w:t>…………………………………………………………………………..</w:t>
            </w:r>
          </w:p>
        </w:tc>
        <w:tc>
          <w:tcPr>
            <w:tcW w:w="695" w:type="dxa"/>
          </w:tcPr>
          <w:p w14:paraId="1B24C6F0" w14:textId="791EB383" w:rsidR="00903B4D" w:rsidRPr="00D60A64" w:rsidRDefault="00093BC7" w:rsidP="00811920">
            <w:pPr>
              <w:spacing w:line="360" w:lineRule="auto"/>
              <w:jc w:val="right"/>
              <w:rPr>
                <w:sz w:val="22"/>
                <w:szCs w:val="20"/>
              </w:rPr>
            </w:pPr>
            <w:r>
              <w:rPr>
                <w:sz w:val="22"/>
                <w:szCs w:val="20"/>
              </w:rPr>
              <w:t>6</w:t>
            </w:r>
            <w:r w:rsidR="007A20C9">
              <w:rPr>
                <w:sz w:val="22"/>
                <w:szCs w:val="20"/>
              </w:rPr>
              <w:t>7</w:t>
            </w:r>
          </w:p>
        </w:tc>
      </w:tr>
      <w:tr w:rsidR="00FB0C03" w:rsidRPr="00D60A64" w14:paraId="3BA1DB9C" w14:textId="77777777" w:rsidTr="00BF446B">
        <w:trPr>
          <w:trHeight w:val="397"/>
        </w:trPr>
        <w:tc>
          <w:tcPr>
            <w:tcW w:w="426" w:type="dxa"/>
          </w:tcPr>
          <w:p w14:paraId="0DC503F1" w14:textId="77777777" w:rsidR="00FB0C03" w:rsidRDefault="00FB0C03" w:rsidP="00437D1F">
            <w:pPr>
              <w:jc w:val="left"/>
              <w:rPr>
                <w:sz w:val="22"/>
                <w:szCs w:val="20"/>
              </w:rPr>
            </w:pPr>
          </w:p>
        </w:tc>
        <w:tc>
          <w:tcPr>
            <w:tcW w:w="7933" w:type="dxa"/>
            <w:gridSpan w:val="3"/>
          </w:tcPr>
          <w:p w14:paraId="1E473440" w14:textId="1945B817" w:rsidR="00FB0C03" w:rsidRDefault="00FB0C03" w:rsidP="00FB0C03">
            <w:pPr>
              <w:rPr>
                <w:sz w:val="22"/>
                <w:szCs w:val="20"/>
              </w:rPr>
            </w:pPr>
            <w:r w:rsidRPr="00FB0C03">
              <w:rPr>
                <w:sz w:val="22"/>
                <w:szCs w:val="20"/>
              </w:rPr>
              <w:t>9.1. Artículo “Análisis de la sustentabilidad de las unidades productivas cunícolas de traspatio de la zona oriente del Estado de México”</w:t>
            </w:r>
            <w:r w:rsidR="00BF446B">
              <w:rPr>
                <w:sz w:val="22"/>
                <w:szCs w:val="20"/>
              </w:rPr>
              <w:t>…………………</w:t>
            </w:r>
          </w:p>
        </w:tc>
        <w:tc>
          <w:tcPr>
            <w:tcW w:w="695" w:type="dxa"/>
            <w:vAlign w:val="bottom"/>
          </w:tcPr>
          <w:p w14:paraId="5A34EE2B" w14:textId="302DF7F8" w:rsidR="00FB0C03" w:rsidRDefault="00093BC7" w:rsidP="00BF446B">
            <w:pPr>
              <w:jc w:val="right"/>
              <w:rPr>
                <w:sz w:val="22"/>
                <w:szCs w:val="20"/>
              </w:rPr>
            </w:pPr>
            <w:r>
              <w:rPr>
                <w:sz w:val="22"/>
                <w:szCs w:val="20"/>
              </w:rPr>
              <w:t>6</w:t>
            </w:r>
            <w:r w:rsidR="008618AC">
              <w:rPr>
                <w:sz w:val="22"/>
                <w:szCs w:val="20"/>
              </w:rPr>
              <w:t>7</w:t>
            </w:r>
          </w:p>
        </w:tc>
      </w:tr>
      <w:tr w:rsidR="00FB0C03" w:rsidRPr="00D60A64" w14:paraId="18167D1A" w14:textId="77777777" w:rsidTr="00BF446B">
        <w:trPr>
          <w:trHeight w:val="397"/>
        </w:trPr>
        <w:tc>
          <w:tcPr>
            <w:tcW w:w="426" w:type="dxa"/>
          </w:tcPr>
          <w:p w14:paraId="3FED8141" w14:textId="77777777" w:rsidR="00FB0C03" w:rsidRDefault="00FB0C03" w:rsidP="00437D1F">
            <w:pPr>
              <w:jc w:val="left"/>
              <w:rPr>
                <w:sz w:val="22"/>
                <w:szCs w:val="20"/>
              </w:rPr>
            </w:pPr>
          </w:p>
        </w:tc>
        <w:tc>
          <w:tcPr>
            <w:tcW w:w="7933" w:type="dxa"/>
            <w:gridSpan w:val="3"/>
          </w:tcPr>
          <w:p w14:paraId="15846339" w14:textId="63B5D50D" w:rsidR="00FB0C03" w:rsidRPr="00FB0C03" w:rsidRDefault="00FB0C03" w:rsidP="00FB0C03">
            <w:pPr>
              <w:rPr>
                <w:sz w:val="22"/>
                <w:szCs w:val="20"/>
              </w:rPr>
            </w:pPr>
            <w:r w:rsidRPr="00FB0C03">
              <w:rPr>
                <w:sz w:val="22"/>
                <w:szCs w:val="20"/>
              </w:rPr>
              <w:t>9.2. Capítulo de libro titulado “Adaptación del método IDEA para evaluar la sustentabilidad en unidades productivas cunícolas de traspatio”</w:t>
            </w:r>
            <w:r w:rsidR="00BF446B">
              <w:rPr>
                <w:sz w:val="22"/>
                <w:szCs w:val="20"/>
              </w:rPr>
              <w:t>………………….</w:t>
            </w:r>
          </w:p>
        </w:tc>
        <w:tc>
          <w:tcPr>
            <w:tcW w:w="695" w:type="dxa"/>
            <w:vAlign w:val="bottom"/>
          </w:tcPr>
          <w:p w14:paraId="12DF358F" w14:textId="265846C5" w:rsidR="00FB0C03" w:rsidRDefault="00EC6ABE" w:rsidP="00BF446B">
            <w:pPr>
              <w:jc w:val="right"/>
              <w:rPr>
                <w:sz w:val="22"/>
                <w:szCs w:val="20"/>
              </w:rPr>
            </w:pPr>
            <w:r>
              <w:rPr>
                <w:sz w:val="22"/>
                <w:szCs w:val="20"/>
              </w:rPr>
              <w:t>69</w:t>
            </w:r>
          </w:p>
        </w:tc>
      </w:tr>
      <w:tr w:rsidR="00FB0C03" w:rsidRPr="00D60A64" w14:paraId="67974021" w14:textId="77777777" w:rsidTr="00BF446B">
        <w:trPr>
          <w:trHeight w:val="397"/>
        </w:trPr>
        <w:tc>
          <w:tcPr>
            <w:tcW w:w="426" w:type="dxa"/>
          </w:tcPr>
          <w:p w14:paraId="1B6E50B0" w14:textId="77777777" w:rsidR="00FB0C03" w:rsidRDefault="00FB0C03" w:rsidP="00437D1F">
            <w:pPr>
              <w:jc w:val="left"/>
              <w:rPr>
                <w:sz w:val="22"/>
                <w:szCs w:val="20"/>
              </w:rPr>
            </w:pPr>
          </w:p>
        </w:tc>
        <w:tc>
          <w:tcPr>
            <w:tcW w:w="7933" w:type="dxa"/>
            <w:gridSpan w:val="3"/>
          </w:tcPr>
          <w:p w14:paraId="721A2C67" w14:textId="265BBCBB" w:rsidR="00FB0C03" w:rsidRPr="00FB0C03" w:rsidRDefault="00FB0C03" w:rsidP="00FB0C03">
            <w:pPr>
              <w:rPr>
                <w:sz w:val="22"/>
                <w:szCs w:val="20"/>
              </w:rPr>
            </w:pPr>
            <w:r w:rsidRPr="00FB0C03">
              <w:rPr>
                <w:sz w:val="22"/>
                <w:szCs w:val="20"/>
              </w:rPr>
              <w:t xml:space="preserve">9.3. </w:t>
            </w:r>
            <w:r w:rsidR="000C25A3" w:rsidRPr="000C25A3">
              <w:rPr>
                <w:sz w:val="22"/>
                <w:szCs w:val="20"/>
              </w:rPr>
              <w:t>Artículo “Conocimiento y Práctica de la Herbolaria en el Estado de México, Pautas hacia la Sustentabilidad</w:t>
            </w:r>
            <w:proofErr w:type="gramStart"/>
            <w:r w:rsidR="000C25A3" w:rsidRPr="000C25A3">
              <w:rPr>
                <w:sz w:val="22"/>
                <w:szCs w:val="20"/>
              </w:rPr>
              <w:t xml:space="preserve">” </w:t>
            </w:r>
            <w:r w:rsidR="00BF446B">
              <w:rPr>
                <w:sz w:val="22"/>
                <w:szCs w:val="20"/>
              </w:rPr>
              <w:t>…</w:t>
            </w:r>
            <w:proofErr w:type="gramEnd"/>
            <w:r w:rsidR="00BF446B">
              <w:rPr>
                <w:sz w:val="22"/>
                <w:szCs w:val="20"/>
              </w:rPr>
              <w:t>………………………………………</w:t>
            </w:r>
            <w:r w:rsidR="000C25A3">
              <w:rPr>
                <w:sz w:val="22"/>
                <w:szCs w:val="20"/>
              </w:rPr>
              <w:t>..</w:t>
            </w:r>
          </w:p>
        </w:tc>
        <w:tc>
          <w:tcPr>
            <w:tcW w:w="695" w:type="dxa"/>
            <w:vAlign w:val="bottom"/>
          </w:tcPr>
          <w:p w14:paraId="71265BA8" w14:textId="442205C1" w:rsidR="00FB0C03" w:rsidRDefault="008D2816" w:rsidP="00BF446B">
            <w:pPr>
              <w:jc w:val="right"/>
              <w:rPr>
                <w:sz w:val="22"/>
                <w:szCs w:val="20"/>
              </w:rPr>
            </w:pPr>
            <w:r>
              <w:rPr>
                <w:sz w:val="22"/>
                <w:szCs w:val="20"/>
              </w:rPr>
              <w:t>7</w:t>
            </w:r>
            <w:r w:rsidR="00EC6ABE">
              <w:rPr>
                <w:sz w:val="22"/>
                <w:szCs w:val="20"/>
              </w:rPr>
              <w:t>1</w:t>
            </w:r>
          </w:p>
        </w:tc>
      </w:tr>
      <w:tr w:rsidR="00FB0C03" w:rsidRPr="00FB0C03" w14:paraId="59001C07" w14:textId="77777777" w:rsidTr="00BF446B">
        <w:trPr>
          <w:trHeight w:val="397"/>
        </w:trPr>
        <w:tc>
          <w:tcPr>
            <w:tcW w:w="426" w:type="dxa"/>
          </w:tcPr>
          <w:p w14:paraId="5A1EEABE" w14:textId="77777777" w:rsidR="00FB0C03" w:rsidRDefault="00FB0C03" w:rsidP="00437D1F">
            <w:pPr>
              <w:jc w:val="left"/>
              <w:rPr>
                <w:sz w:val="22"/>
                <w:szCs w:val="20"/>
              </w:rPr>
            </w:pPr>
          </w:p>
        </w:tc>
        <w:tc>
          <w:tcPr>
            <w:tcW w:w="7933" w:type="dxa"/>
            <w:gridSpan w:val="3"/>
          </w:tcPr>
          <w:p w14:paraId="6F207142" w14:textId="75F3684D" w:rsidR="00FB0C03" w:rsidRPr="00FB0C03" w:rsidRDefault="00FB0C03" w:rsidP="00FB0C03">
            <w:pPr>
              <w:rPr>
                <w:sz w:val="22"/>
                <w:szCs w:val="20"/>
                <w:lang w:val="en-US"/>
              </w:rPr>
            </w:pPr>
            <w:r w:rsidRPr="00FB0C03">
              <w:rPr>
                <w:sz w:val="22"/>
                <w:szCs w:val="20"/>
                <w:lang w:val="en-US"/>
              </w:rPr>
              <w:t>9.4. Artículo "Ethnobotanical evaluation of the Mexican medicinal plants collected from the Popocatepetl-Iztaccíhua</w:t>
            </w:r>
            <w:r w:rsidR="00C5489D">
              <w:rPr>
                <w:sz w:val="22"/>
                <w:szCs w:val="20"/>
                <w:lang w:val="en-US"/>
              </w:rPr>
              <w:t>tl</w:t>
            </w:r>
            <w:r w:rsidRPr="00FB0C03">
              <w:rPr>
                <w:sz w:val="22"/>
                <w:szCs w:val="20"/>
                <w:lang w:val="en-US"/>
              </w:rPr>
              <w:t xml:space="preserve"> ecological reserve: Production, consumption and conservation"</w:t>
            </w:r>
            <w:r w:rsidR="00BF446B">
              <w:rPr>
                <w:sz w:val="22"/>
                <w:szCs w:val="20"/>
                <w:lang w:val="en-US"/>
              </w:rPr>
              <w:t>……………………………………………………….</w:t>
            </w:r>
          </w:p>
        </w:tc>
        <w:tc>
          <w:tcPr>
            <w:tcW w:w="695" w:type="dxa"/>
            <w:vAlign w:val="bottom"/>
          </w:tcPr>
          <w:p w14:paraId="4AA5E2F1" w14:textId="12AD5A7A" w:rsidR="00FB0C03" w:rsidRPr="00FB0C03" w:rsidRDefault="008D2816" w:rsidP="00BF446B">
            <w:pPr>
              <w:jc w:val="right"/>
              <w:rPr>
                <w:sz w:val="22"/>
                <w:szCs w:val="20"/>
                <w:lang w:val="en-US"/>
              </w:rPr>
            </w:pPr>
            <w:r>
              <w:rPr>
                <w:sz w:val="22"/>
                <w:szCs w:val="20"/>
                <w:lang w:val="en-US"/>
              </w:rPr>
              <w:t>7</w:t>
            </w:r>
            <w:r w:rsidR="00EC6ABE">
              <w:rPr>
                <w:sz w:val="22"/>
                <w:szCs w:val="20"/>
                <w:lang w:val="en-US"/>
              </w:rPr>
              <w:t>2</w:t>
            </w:r>
          </w:p>
        </w:tc>
      </w:tr>
      <w:tr w:rsidR="00FB0C03" w:rsidRPr="0060240E" w14:paraId="0897F72F" w14:textId="77777777" w:rsidTr="00BF446B">
        <w:trPr>
          <w:trHeight w:val="397"/>
        </w:trPr>
        <w:tc>
          <w:tcPr>
            <w:tcW w:w="426" w:type="dxa"/>
          </w:tcPr>
          <w:p w14:paraId="36BE552F" w14:textId="77777777" w:rsidR="00FB0C03" w:rsidRPr="00FB0C03" w:rsidRDefault="00FB0C03" w:rsidP="00437D1F">
            <w:pPr>
              <w:jc w:val="left"/>
              <w:rPr>
                <w:sz w:val="22"/>
                <w:szCs w:val="20"/>
                <w:lang w:val="en-US"/>
              </w:rPr>
            </w:pPr>
          </w:p>
        </w:tc>
        <w:tc>
          <w:tcPr>
            <w:tcW w:w="7933" w:type="dxa"/>
            <w:gridSpan w:val="3"/>
          </w:tcPr>
          <w:p w14:paraId="3ED6AACA" w14:textId="6FED4DEB" w:rsidR="00FB0C03" w:rsidRPr="0060240E" w:rsidRDefault="00FB0C03" w:rsidP="00FB0C03">
            <w:pPr>
              <w:rPr>
                <w:sz w:val="22"/>
                <w:szCs w:val="20"/>
                <w:lang w:val="es-ES"/>
              </w:rPr>
            </w:pPr>
            <w:r w:rsidRPr="0060240E">
              <w:rPr>
                <w:sz w:val="22"/>
                <w:szCs w:val="20"/>
                <w:lang w:val="es-ES"/>
              </w:rPr>
              <w:t xml:space="preserve">9.5. Artículo </w:t>
            </w:r>
            <w:r w:rsidR="00713278">
              <w:rPr>
                <w:sz w:val="22"/>
                <w:szCs w:val="20"/>
                <w:lang w:val="es-ES"/>
              </w:rPr>
              <w:t>“Análisis</w:t>
            </w:r>
            <w:r w:rsidRPr="0060240E">
              <w:rPr>
                <w:sz w:val="22"/>
                <w:szCs w:val="20"/>
                <w:lang w:val="es-ES"/>
              </w:rPr>
              <w:t xml:space="preserve"> de la herbolaria en las unidades productivas cunícolas de traspatio mediante el método IDEA”</w:t>
            </w:r>
            <w:r w:rsidR="00BF446B">
              <w:rPr>
                <w:sz w:val="22"/>
                <w:szCs w:val="20"/>
                <w:lang w:val="es-ES"/>
              </w:rPr>
              <w:t>………………………………………………….</w:t>
            </w:r>
          </w:p>
        </w:tc>
        <w:tc>
          <w:tcPr>
            <w:tcW w:w="695" w:type="dxa"/>
            <w:vAlign w:val="bottom"/>
          </w:tcPr>
          <w:p w14:paraId="4C62E27F" w14:textId="465C7C1A" w:rsidR="00FB0C03" w:rsidRPr="0060240E" w:rsidRDefault="008D2816" w:rsidP="00BF446B">
            <w:pPr>
              <w:jc w:val="right"/>
              <w:rPr>
                <w:sz w:val="22"/>
                <w:szCs w:val="20"/>
                <w:lang w:val="es-ES"/>
              </w:rPr>
            </w:pPr>
            <w:r>
              <w:rPr>
                <w:sz w:val="22"/>
                <w:szCs w:val="20"/>
                <w:lang w:val="es-ES"/>
              </w:rPr>
              <w:t>7</w:t>
            </w:r>
            <w:r w:rsidR="00EC6ABE">
              <w:rPr>
                <w:sz w:val="22"/>
                <w:szCs w:val="20"/>
                <w:lang w:val="es-ES"/>
              </w:rPr>
              <w:t>5</w:t>
            </w:r>
          </w:p>
        </w:tc>
      </w:tr>
      <w:tr w:rsidR="00903B4D" w:rsidRPr="00D60A64" w14:paraId="70C86991" w14:textId="77777777" w:rsidTr="00BF446B">
        <w:trPr>
          <w:trHeight w:val="397"/>
        </w:trPr>
        <w:tc>
          <w:tcPr>
            <w:tcW w:w="8359" w:type="dxa"/>
            <w:gridSpan w:val="4"/>
          </w:tcPr>
          <w:p w14:paraId="7D770B15" w14:textId="53297E38" w:rsidR="00903B4D" w:rsidRDefault="00903B4D" w:rsidP="00437D1F">
            <w:pPr>
              <w:spacing w:line="360" w:lineRule="auto"/>
              <w:jc w:val="left"/>
              <w:rPr>
                <w:sz w:val="22"/>
                <w:szCs w:val="20"/>
              </w:rPr>
            </w:pPr>
            <w:r>
              <w:rPr>
                <w:sz w:val="22"/>
                <w:szCs w:val="20"/>
              </w:rPr>
              <w:t>X. CONCLUSIONES</w:t>
            </w:r>
            <w:r w:rsidR="00BF446B">
              <w:rPr>
                <w:sz w:val="22"/>
                <w:szCs w:val="20"/>
              </w:rPr>
              <w:t>………………………………………………………………………..</w:t>
            </w:r>
          </w:p>
        </w:tc>
        <w:tc>
          <w:tcPr>
            <w:tcW w:w="695" w:type="dxa"/>
          </w:tcPr>
          <w:p w14:paraId="5AF12940" w14:textId="7790B71A" w:rsidR="00903B4D" w:rsidRPr="00D60A64" w:rsidRDefault="008D2816" w:rsidP="00811920">
            <w:pPr>
              <w:spacing w:line="360" w:lineRule="auto"/>
              <w:jc w:val="right"/>
              <w:rPr>
                <w:sz w:val="22"/>
                <w:szCs w:val="20"/>
              </w:rPr>
            </w:pPr>
            <w:r>
              <w:rPr>
                <w:sz w:val="22"/>
                <w:szCs w:val="20"/>
              </w:rPr>
              <w:t>7</w:t>
            </w:r>
            <w:r w:rsidR="00EC6ABE">
              <w:rPr>
                <w:sz w:val="22"/>
                <w:szCs w:val="20"/>
              </w:rPr>
              <w:t>6</w:t>
            </w:r>
          </w:p>
        </w:tc>
      </w:tr>
      <w:tr w:rsidR="00903B4D" w:rsidRPr="00D60A64" w14:paraId="6312C054" w14:textId="77777777" w:rsidTr="00BF446B">
        <w:trPr>
          <w:trHeight w:val="397"/>
        </w:trPr>
        <w:tc>
          <w:tcPr>
            <w:tcW w:w="8359" w:type="dxa"/>
            <w:gridSpan w:val="4"/>
          </w:tcPr>
          <w:p w14:paraId="65A9C88C" w14:textId="1CF0D12D" w:rsidR="00903B4D" w:rsidRDefault="00646966" w:rsidP="00437D1F">
            <w:pPr>
              <w:spacing w:line="360" w:lineRule="auto"/>
              <w:jc w:val="left"/>
              <w:rPr>
                <w:sz w:val="22"/>
                <w:szCs w:val="20"/>
              </w:rPr>
            </w:pPr>
            <w:r>
              <w:rPr>
                <w:sz w:val="22"/>
                <w:szCs w:val="20"/>
              </w:rPr>
              <w:t>XI. REFERENCIAS</w:t>
            </w:r>
            <w:r w:rsidR="00BF446B">
              <w:rPr>
                <w:sz w:val="22"/>
                <w:szCs w:val="20"/>
              </w:rPr>
              <w:t>………………………………………………………………………….</w:t>
            </w:r>
          </w:p>
        </w:tc>
        <w:tc>
          <w:tcPr>
            <w:tcW w:w="695" w:type="dxa"/>
          </w:tcPr>
          <w:p w14:paraId="3D7F98B9" w14:textId="322B902E" w:rsidR="00903B4D" w:rsidRPr="00D60A64" w:rsidRDefault="00EC6ABE" w:rsidP="00811920">
            <w:pPr>
              <w:spacing w:line="360" w:lineRule="auto"/>
              <w:jc w:val="right"/>
              <w:rPr>
                <w:sz w:val="22"/>
                <w:szCs w:val="20"/>
              </w:rPr>
            </w:pPr>
            <w:r>
              <w:rPr>
                <w:sz w:val="22"/>
                <w:szCs w:val="20"/>
              </w:rPr>
              <w:t>79</w:t>
            </w:r>
          </w:p>
        </w:tc>
      </w:tr>
      <w:tr w:rsidR="00903B4D" w:rsidRPr="00D60A64" w14:paraId="326E37CF" w14:textId="77777777" w:rsidTr="00BF446B">
        <w:trPr>
          <w:trHeight w:val="397"/>
        </w:trPr>
        <w:tc>
          <w:tcPr>
            <w:tcW w:w="8359" w:type="dxa"/>
            <w:gridSpan w:val="4"/>
          </w:tcPr>
          <w:p w14:paraId="37272050" w14:textId="5D02C5BD" w:rsidR="00903B4D" w:rsidRDefault="00646966" w:rsidP="00437D1F">
            <w:pPr>
              <w:spacing w:line="360" w:lineRule="auto"/>
              <w:jc w:val="left"/>
              <w:rPr>
                <w:sz w:val="22"/>
                <w:szCs w:val="20"/>
              </w:rPr>
            </w:pPr>
            <w:r>
              <w:rPr>
                <w:sz w:val="22"/>
                <w:szCs w:val="20"/>
              </w:rPr>
              <w:t>XII. ANEXOS</w:t>
            </w:r>
            <w:r w:rsidR="00BF446B">
              <w:rPr>
                <w:sz w:val="22"/>
                <w:szCs w:val="20"/>
              </w:rPr>
              <w:t>…………………………………………………………………………………</w:t>
            </w:r>
          </w:p>
        </w:tc>
        <w:tc>
          <w:tcPr>
            <w:tcW w:w="695" w:type="dxa"/>
          </w:tcPr>
          <w:p w14:paraId="730F70FB" w14:textId="39D67C79" w:rsidR="00903B4D" w:rsidRPr="00D60A64" w:rsidRDefault="00482FE6" w:rsidP="00811920">
            <w:pPr>
              <w:spacing w:line="360" w:lineRule="auto"/>
              <w:jc w:val="right"/>
              <w:rPr>
                <w:sz w:val="22"/>
                <w:szCs w:val="20"/>
              </w:rPr>
            </w:pPr>
            <w:r>
              <w:rPr>
                <w:sz w:val="22"/>
                <w:szCs w:val="20"/>
              </w:rPr>
              <w:t>1</w:t>
            </w:r>
            <w:r w:rsidR="008D2816">
              <w:rPr>
                <w:sz w:val="22"/>
                <w:szCs w:val="20"/>
              </w:rPr>
              <w:t>0</w:t>
            </w:r>
            <w:r w:rsidR="00EC6ABE">
              <w:rPr>
                <w:sz w:val="22"/>
                <w:szCs w:val="20"/>
              </w:rPr>
              <w:t>3</w:t>
            </w:r>
          </w:p>
        </w:tc>
      </w:tr>
      <w:tr w:rsidR="00FD0AFF" w:rsidRPr="0060240E" w14:paraId="3544E948" w14:textId="77777777" w:rsidTr="00EC6ABE">
        <w:trPr>
          <w:trHeight w:val="397"/>
        </w:trPr>
        <w:tc>
          <w:tcPr>
            <w:tcW w:w="426" w:type="dxa"/>
          </w:tcPr>
          <w:p w14:paraId="65635AE1" w14:textId="77777777" w:rsidR="00FD0AFF" w:rsidRPr="00FB0C03" w:rsidRDefault="00FD0AFF" w:rsidP="00665375">
            <w:pPr>
              <w:jc w:val="left"/>
              <w:rPr>
                <w:sz w:val="22"/>
                <w:szCs w:val="20"/>
                <w:lang w:val="en-US"/>
              </w:rPr>
            </w:pPr>
          </w:p>
        </w:tc>
        <w:tc>
          <w:tcPr>
            <w:tcW w:w="7933" w:type="dxa"/>
            <w:gridSpan w:val="3"/>
          </w:tcPr>
          <w:p w14:paraId="2FA263A6" w14:textId="188F602F" w:rsidR="00FD0AFF" w:rsidRPr="0060240E" w:rsidRDefault="00FD0AFF" w:rsidP="00665375">
            <w:pPr>
              <w:rPr>
                <w:sz w:val="22"/>
                <w:szCs w:val="20"/>
                <w:lang w:val="es-ES"/>
              </w:rPr>
            </w:pPr>
            <w:r>
              <w:rPr>
                <w:sz w:val="22"/>
                <w:szCs w:val="20"/>
                <w:lang w:val="es-ES"/>
              </w:rPr>
              <w:t>12.1 Encuesta para evaluar la sustentabilidad en el modelo de producción cunícola en la zona oriente del Estado de México…………………………………………………</w:t>
            </w:r>
            <w:r w:rsidR="00C1213D">
              <w:rPr>
                <w:sz w:val="22"/>
                <w:szCs w:val="20"/>
                <w:lang w:val="es-ES"/>
              </w:rPr>
              <w:t>………………………………..</w:t>
            </w:r>
          </w:p>
        </w:tc>
        <w:tc>
          <w:tcPr>
            <w:tcW w:w="695" w:type="dxa"/>
            <w:vAlign w:val="bottom"/>
          </w:tcPr>
          <w:p w14:paraId="03D59F17" w14:textId="53F2C22E" w:rsidR="00FD0AFF" w:rsidRPr="0060240E" w:rsidRDefault="00FD0AFF" w:rsidP="00EC6ABE">
            <w:pPr>
              <w:jc w:val="right"/>
              <w:rPr>
                <w:sz w:val="22"/>
                <w:szCs w:val="20"/>
                <w:lang w:val="es-ES"/>
              </w:rPr>
            </w:pPr>
            <w:r>
              <w:rPr>
                <w:sz w:val="22"/>
                <w:szCs w:val="20"/>
                <w:lang w:val="es-ES"/>
              </w:rPr>
              <w:t>10</w:t>
            </w:r>
            <w:r w:rsidR="00EC6ABE">
              <w:rPr>
                <w:sz w:val="22"/>
                <w:szCs w:val="20"/>
                <w:lang w:val="es-ES"/>
              </w:rPr>
              <w:t>3</w:t>
            </w:r>
          </w:p>
        </w:tc>
      </w:tr>
    </w:tbl>
    <w:p w14:paraId="00E9C63E" w14:textId="0CD8AF9C" w:rsidR="00792F5C" w:rsidRDefault="00792F5C" w:rsidP="003C3468">
      <w:pPr>
        <w:autoSpaceDE w:val="0"/>
        <w:autoSpaceDN w:val="0"/>
        <w:adjustRightInd w:val="0"/>
        <w:spacing w:after="0" w:line="480" w:lineRule="auto"/>
        <w:rPr>
          <w:bCs/>
        </w:rPr>
      </w:pPr>
    </w:p>
    <w:p w14:paraId="6FD5AB1E" w14:textId="06A8CE7D" w:rsidR="00056989" w:rsidRDefault="00D50916" w:rsidP="00437D1F">
      <w:pPr>
        <w:pStyle w:val="Sinespaciado"/>
        <w:spacing w:after="240"/>
      </w:pPr>
      <w:r>
        <w:t xml:space="preserve">Índice de </w:t>
      </w:r>
      <w:r w:rsidR="00577D79">
        <w:t>Tablas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6663"/>
        <w:gridCol w:w="1036"/>
      </w:tblGrid>
      <w:tr w:rsidR="00577D79" w:rsidRPr="00053525" w14:paraId="2AF9C8DE" w14:textId="77777777" w:rsidTr="007756C9">
        <w:tc>
          <w:tcPr>
            <w:tcW w:w="1129" w:type="dxa"/>
          </w:tcPr>
          <w:p w14:paraId="300579FE" w14:textId="452372E4" w:rsidR="00577D79" w:rsidRPr="00053525" w:rsidRDefault="00577D79" w:rsidP="007756C9">
            <w:pPr>
              <w:autoSpaceDE w:val="0"/>
              <w:autoSpaceDN w:val="0"/>
              <w:adjustRightInd w:val="0"/>
              <w:rPr>
                <w:bCs/>
                <w:sz w:val="22"/>
                <w:szCs w:val="20"/>
              </w:rPr>
            </w:pPr>
            <w:r w:rsidRPr="00053525">
              <w:rPr>
                <w:bCs/>
                <w:sz w:val="22"/>
                <w:szCs w:val="20"/>
              </w:rPr>
              <w:t>Número</w:t>
            </w:r>
          </w:p>
        </w:tc>
        <w:tc>
          <w:tcPr>
            <w:tcW w:w="6663" w:type="dxa"/>
          </w:tcPr>
          <w:p w14:paraId="5D25E3C2" w14:textId="2FE2F004" w:rsidR="00577D79" w:rsidRPr="00053525" w:rsidRDefault="00577D79" w:rsidP="007756C9">
            <w:pPr>
              <w:autoSpaceDE w:val="0"/>
              <w:autoSpaceDN w:val="0"/>
              <w:adjustRightInd w:val="0"/>
              <w:rPr>
                <w:bCs/>
                <w:sz w:val="22"/>
                <w:szCs w:val="20"/>
              </w:rPr>
            </w:pPr>
            <w:r w:rsidRPr="00053525">
              <w:rPr>
                <w:bCs/>
                <w:sz w:val="22"/>
                <w:szCs w:val="20"/>
              </w:rPr>
              <w:t>Nombre</w:t>
            </w:r>
          </w:p>
        </w:tc>
        <w:tc>
          <w:tcPr>
            <w:tcW w:w="1036" w:type="dxa"/>
          </w:tcPr>
          <w:p w14:paraId="119F6531" w14:textId="0BCF6DA8" w:rsidR="00577D79" w:rsidRPr="00053525" w:rsidRDefault="00577D79" w:rsidP="007756C9">
            <w:pPr>
              <w:autoSpaceDE w:val="0"/>
              <w:autoSpaceDN w:val="0"/>
              <w:adjustRightInd w:val="0"/>
              <w:rPr>
                <w:bCs/>
                <w:sz w:val="22"/>
                <w:szCs w:val="20"/>
              </w:rPr>
            </w:pPr>
            <w:r w:rsidRPr="00053525">
              <w:rPr>
                <w:bCs/>
                <w:sz w:val="22"/>
                <w:szCs w:val="20"/>
              </w:rPr>
              <w:t>Página</w:t>
            </w:r>
          </w:p>
        </w:tc>
      </w:tr>
      <w:tr w:rsidR="00577D79" w:rsidRPr="00053525" w14:paraId="5EE4EBA7" w14:textId="77777777" w:rsidTr="007756C9">
        <w:trPr>
          <w:trHeight w:val="406"/>
        </w:trPr>
        <w:tc>
          <w:tcPr>
            <w:tcW w:w="1129" w:type="dxa"/>
          </w:tcPr>
          <w:p w14:paraId="4B9BABBD" w14:textId="2FAE73BD" w:rsidR="00577D79" w:rsidRPr="00053525" w:rsidRDefault="00577D79" w:rsidP="007756C9">
            <w:pPr>
              <w:autoSpaceDE w:val="0"/>
              <w:autoSpaceDN w:val="0"/>
              <w:adjustRightInd w:val="0"/>
              <w:rPr>
                <w:bCs/>
                <w:sz w:val="22"/>
                <w:szCs w:val="20"/>
              </w:rPr>
            </w:pPr>
            <w:r w:rsidRPr="00053525">
              <w:rPr>
                <w:bCs/>
                <w:sz w:val="22"/>
                <w:szCs w:val="20"/>
              </w:rPr>
              <w:t>1</w:t>
            </w:r>
          </w:p>
        </w:tc>
        <w:tc>
          <w:tcPr>
            <w:tcW w:w="6663" w:type="dxa"/>
          </w:tcPr>
          <w:p w14:paraId="2E184941" w14:textId="0D49C890" w:rsidR="00577D79" w:rsidRPr="00053525" w:rsidRDefault="00577D79" w:rsidP="007756C9">
            <w:pPr>
              <w:autoSpaceDE w:val="0"/>
              <w:autoSpaceDN w:val="0"/>
              <w:adjustRightInd w:val="0"/>
              <w:rPr>
                <w:bCs/>
                <w:sz w:val="22"/>
                <w:szCs w:val="20"/>
              </w:rPr>
            </w:pPr>
            <w:r w:rsidRPr="00053525">
              <w:rPr>
                <w:sz w:val="22"/>
                <w:szCs w:val="20"/>
              </w:rPr>
              <w:t>Aplicación de la etnoveterinaria en el mundo</w:t>
            </w:r>
            <w:r w:rsidR="00BF446B">
              <w:rPr>
                <w:sz w:val="22"/>
                <w:szCs w:val="20"/>
              </w:rPr>
              <w:t>…………………………</w:t>
            </w:r>
          </w:p>
        </w:tc>
        <w:tc>
          <w:tcPr>
            <w:tcW w:w="1036" w:type="dxa"/>
          </w:tcPr>
          <w:p w14:paraId="74BF030C" w14:textId="151055C3" w:rsidR="00577D79" w:rsidRPr="00053525" w:rsidRDefault="00A82984" w:rsidP="007756C9">
            <w:pPr>
              <w:autoSpaceDE w:val="0"/>
              <w:autoSpaceDN w:val="0"/>
              <w:adjustRightInd w:val="0"/>
              <w:jc w:val="center"/>
              <w:rPr>
                <w:bCs/>
                <w:sz w:val="22"/>
                <w:szCs w:val="20"/>
              </w:rPr>
            </w:pPr>
            <w:r>
              <w:rPr>
                <w:bCs/>
                <w:sz w:val="22"/>
                <w:szCs w:val="20"/>
              </w:rPr>
              <w:t>1</w:t>
            </w:r>
            <w:r w:rsidR="0002425F">
              <w:rPr>
                <w:bCs/>
                <w:sz w:val="22"/>
                <w:szCs w:val="20"/>
              </w:rPr>
              <w:t>4</w:t>
            </w:r>
          </w:p>
        </w:tc>
      </w:tr>
      <w:tr w:rsidR="00577D79" w:rsidRPr="00053525" w14:paraId="39E83364" w14:textId="77777777" w:rsidTr="007756C9">
        <w:tc>
          <w:tcPr>
            <w:tcW w:w="1129" w:type="dxa"/>
          </w:tcPr>
          <w:p w14:paraId="0F314F18" w14:textId="03037C22" w:rsidR="00577D79" w:rsidRPr="00053525" w:rsidRDefault="00F04B83" w:rsidP="007756C9">
            <w:pPr>
              <w:autoSpaceDE w:val="0"/>
              <w:autoSpaceDN w:val="0"/>
              <w:adjustRightInd w:val="0"/>
              <w:rPr>
                <w:bCs/>
                <w:sz w:val="22"/>
                <w:szCs w:val="20"/>
              </w:rPr>
            </w:pPr>
            <w:r w:rsidRPr="00053525">
              <w:rPr>
                <w:bCs/>
                <w:sz w:val="22"/>
                <w:szCs w:val="20"/>
              </w:rPr>
              <w:t>2</w:t>
            </w:r>
          </w:p>
        </w:tc>
        <w:tc>
          <w:tcPr>
            <w:tcW w:w="6663" w:type="dxa"/>
          </w:tcPr>
          <w:p w14:paraId="71B414FF" w14:textId="10575FCB" w:rsidR="00577D79" w:rsidRPr="00053525" w:rsidRDefault="008D52B1" w:rsidP="007756C9">
            <w:pPr>
              <w:autoSpaceDE w:val="0"/>
              <w:autoSpaceDN w:val="0"/>
              <w:adjustRightInd w:val="0"/>
              <w:rPr>
                <w:bCs/>
                <w:sz w:val="22"/>
                <w:szCs w:val="20"/>
              </w:rPr>
            </w:pPr>
            <w:r w:rsidRPr="00053525">
              <w:rPr>
                <w:bCs/>
                <w:sz w:val="22"/>
                <w:szCs w:val="20"/>
              </w:rPr>
              <w:t>Uso de la h</w:t>
            </w:r>
            <w:r w:rsidR="00E11A7F" w:rsidRPr="00053525">
              <w:rPr>
                <w:bCs/>
                <w:sz w:val="22"/>
                <w:szCs w:val="20"/>
              </w:rPr>
              <w:t>erbolaria en la mejora de parámetros productivos</w:t>
            </w:r>
            <w:r w:rsidR="00BF446B">
              <w:rPr>
                <w:bCs/>
                <w:sz w:val="22"/>
                <w:szCs w:val="20"/>
              </w:rPr>
              <w:t>………</w:t>
            </w:r>
          </w:p>
        </w:tc>
        <w:tc>
          <w:tcPr>
            <w:tcW w:w="1036" w:type="dxa"/>
          </w:tcPr>
          <w:p w14:paraId="24966D34" w14:textId="34B8FC11" w:rsidR="00577D79" w:rsidRPr="00053525" w:rsidRDefault="00503304" w:rsidP="007756C9">
            <w:pPr>
              <w:autoSpaceDE w:val="0"/>
              <w:autoSpaceDN w:val="0"/>
              <w:adjustRightInd w:val="0"/>
              <w:jc w:val="center"/>
              <w:rPr>
                <w:bCs/>
                <w:sz w:val="22"/>
                <w:szCs w:val="20"/>
              </w:rPr>
            </w:pPr>
            <w:r w:rsidRPr="00053525">
              <w:rPr>
                <w:bCs/>
                <w:sz w:val="22"/>
                <w:szCs w:val="20"/>
              </w:rPr>
              <w:t>2</w:t>
            </w:r>
            <w:r w:rsidR="0002425F">
              <w:rPr>
                <w:bCs/>
                <w:sz w:val="22"/>
                <w:szCs w:val="20"/>
              </w:rPr>
              <w:t>1</w:t>
            </w:r>
          </w:p>
        </w:tc>
      </w:tr>
      <w:tr w:rsidR="003B2DB1" w:rsidRPr="00053525" w14:paraId="02FA267C" w14:textId="77777777" w:rsidTr="007756C9">
        <w:tc>
          <w:tcPr>
            <w:tcW w:w="1129" w:type="dxa"/>
          </w:tcPr>
          <w:p w14:paraId="4DBABEEC" w14:textId="51A3036A" w:rsidR="003B2DB1" w:rsidRPr="00053525" w:rsidRDefault="003B2DB1" w:rsidP="003B2DB1">
            <w:pPr>
              <w:autoSpaceDE w:val="0"/>
              <w:autoSpaceDN w:val="0"/>
              <w:adjustRightInd w:val="0"/>
              <w:rPr>
                <w:bCs/>
                <w:sz w:val="22"/>
                <w:szCs w:val="20"/>
              </w:rPr>
            </w:pPr>
            <w:r>
              <w:rPr>
                <w:bCs/>
                <w:sz w:val="22"/>
                <w:szCs w:val="20"/>
              </w:rPr>
              <w:t>3</w:t>
            </w:r>
          </w:p>
        </w:tc>
        <w:tc>
          <w:tcPr>
            <w:tcW w:w="6663" w:type="dxa"/>
          </w:tcPr>
          <w:p w14:paraId="103B3C14" w14:textId="5955364B" w:rsidR="003B2DB1" w:rsidRPr="00053525" w:rsidRDefault="003B2DB1" w:rsidP="003B2DB1">
            <w:pPr>
              <w:autoSpaceDE w:val="0"/>
              <w:autoSpaceDN w:val="0"/>
              <w:adjustRightInd w:val="0"/>
              <w:rPr>
                <w:bCs/>
                <w:sz w:val="22"/>
                <w:szCs w:val="20"/>
              </w:rPr>
            </w:pPr>
            <w:r w:rsidRPr="00053525">
              <w:rPr>
                <w:bCs/>
                <w:sz w:val="22"/>
                <w:szCs w:val="20"/>
              </w:rPr>
              <w:t>Metodologías para la evaluación de la sustentabilidad</w:t>
            </w:r>
            <w:r>
              <w:rPr>
                <w:bCs/>
                <w:sz w:val="22"/>
                <w:szCs w:val="20"/>
              </w:rPr>
              <w:t>……………..</w:t>
            </w:r>
          </w:p>
        </w:tc>
        <w:tc>
          <w:tcPr>
            <w:tcW w:w="1036" w:type="dxa"/>
          </w:tcPr>
          <w:p w14:paraId="4B7C84A9" w14:textId="77F42568" w:rsidR="003B2DB1" w:rsidRPr="00053525" w:rsidRDefault="003B2DB1" w:rsidP="003B2DB1">
            <w:pPr>
              <w:autoSpaceDE w:val="0"/>
              <w:autoSpaceDN w:val="0"/>
              <w:adjustRightInd w:val="0"/>
              <w:jc w:val="center"/>
              <w:rPr>
                <w:bCs/>
                <w:sz w:val="22"/>
                <w:szCs w:val="20"/>
              </w:rPr>
            </w:pPr>
            <w:r>
              <w:rPr>
                <w:bCs/>
                <w:sz w:val="22"/>
                <w:szCs w:val="20"/>
              </w:rPr>
              <w:t>29</w:t>
            </w:r>
          </w:p>
        </w:tc>
      </w:tr>
      <w:tr w:rsidR="003B2DB1" w:rsidRPr="00053525" w14:paraId="61F0D871" w14:textId="77777777" w:rsidTr="007756C9">
        <w:tc>
          <w:tcPr>
            <w:tcW w:w="1129" w:type="dxa"/>
          </w:tcPr>
          <w:p w14:paraId="1C085274" w14:textId="50D9FD44" w:rsidR="003B2DB1" w:rsidRPr="00053525" w:rsidRDefault="003B2DB1" w:rsidP="003B2DB1">
            <w:pPr>
              <w:autoSpaceDE w:val="0"/>
              <w:autoSpaceDN w:val="0"/>
              <w:adjustRightInd w:val="0"/>
              <w:rPr>
                <w:bCs/>
                <w:sz w:val="22"/>
                <w:szCs w:val="20"/>
              </w:rPr>
            </w:pPr>
            <w:r w:rsidRPr="00053525">
              <w:rPr>
                <w:bCs/>
                <w:sz w:val="22"/>
                <w:szCs w:val="20"/>
              </w:rPr>
              <w:t>3</w:t>
            </w:r>
          </w:p>
        </w:tc>
        <w:tc>
          <w:tcPr>
            <w:tcW w:w="6663" w:type="dxa"/>
          </w:tcPr>
          <w:p w14:paraId="064FFECA" w14:textId="5C5D398C" w:rsidR="003B2DB1" w:rsidRPr="00053525" w:rsidRDefault="003B2DB1" w:rsidP="003B2DB1">
            <w:pPr>
              <w:autoSpaceDE w:val="0"/>
              <w:autoSpaceDN w:val="0"/>
              <w:adjustRightInd w:val="0"/>
              <w:rPr>
                <w:bCs/>
                <w:sz w:val="22"/>
                <w:szCs w:val="20"/>
              </w:rPr>
            </w:pPr>
            <w:r w:rsidRPr="00053525">
              <w:rPr>
                <w:bCs/>
                <w:sz w:val="22"/>
                <w:szCs w:val="20"/>
              </w:rPr>
              <w:t>Aplicación de la herbolaria en modelos de producción cunícola</w:t>
            </w:r>
            <w:r>
              <w:rPr>
                <w:bCs/>
                <w:sz w:val="22"/>
                <w:szCs w:val="20"/>
              </w:rPr>
              <w:t>…</w:t>
            </w:r>
            <w:proofErr w:type="gramStart"/>
            <w:r>
              <w:rPr>
                <w:bCs/>
                <w:sz w:val="22"/>
                <w:szCs w:val="20"/>
              </w:rPr>
              <w:t>..</w:t>
            </w:r>
            <w:proofErr w:type="gramEnd"/>
          </w:p>
        </w:tc>
        <w:tc>
          <w:tcPr>
            <w:tcW w:w="1036" w:type="dxa"/>
          </w:tcPr>
          <w:p w14:paraId="45EE4C45" w14:textId="3605D911" w:rsidR="003B2DB1" w:rsidRPr="00053525" w:rsidRDefault="003B2DB1" w:rsidP="003B2DB1">
            <w:pPr>
              <w:autoSpaceDE w:val="0"/>
              <w:autoSpaceDN w:val="0"/>
              <w:adjustRightInd w:val="0"/>
              <w:jc w:val="center"/>
              <w:rPr>
                <w:bCs/>
                <w:sz w:val="22"/>
                <w:szCs w:val="20"/>
              </w:rPr>
            </w:pPr>
            <w:r w:rsidRPr="00053525">
              <w:rPr>
                <w:bCs/>
                <w:sz w:val="22"/>
                <w:szCs w:val="20"/>
              </w:rPr>
              <w:t>38</w:t>
            </w:r>
          </w:p>
        </w:tc>
      </w:tr>
      <w:tr w:rsidR="003B2DB1" w:rsidRPr="00053525" w14:paraId="5AAEB039" w14:textId="77777777" w:rsidTr="007756C9">
        <w:tc>
          <w:tcPr>
            <w:tcW w:w="1129" w:type="dxa"/>
          </w:tcPr>
          <w:p w14:paraId="5E8472EC" w14:textId="42F34F06" w:rsidR="003B2DB1" w:rsidRPr="00053525" w:rsidRDefault="003B2DB1" w:rsidP="003B2DB1">
            <w:pPr>
              <w:autoSpaceDE w:val="0"/>
              <w:autoSpaceDN w:val="0"/>
              <w:adjustRightInd w:val="0"/>
              <w:rPr>
                <w:bCs/>
                <w:sz w:val="22"/>
                <w:szCs w:val="20"/>
              </w:rPr>
            </w:pPr>
            <w:r w:rsidRPr="00053525">
              <w:rPr>
                <w:bCs/>
                <w:sz w:val="22"/>
                <w:szCs w:val="20"/>
              </w:rPr>
              <w:t xml:space="preserve">4 </w:t>
            </w:r>
          </w:p>
        </w:tc>
        <w:tc>
          <w:tcPr>
            <w:tcW w:w="6663" w:type="dxa"/>
          </w:tcPr>
          <w:p w14:paraId="1A39B62E" w14:textId="42CFF92E" w:rsidR="003B2DB1" w:rsidRPr="00053525" w:rsidRDefault="003B2DB1" w:rsidP="003B2DB1">
            <w:pPr>
              <w:autoSpaceDE w:val="0"/>
              <w:autoSpaceDN w:val="0"/>
              <w:adjustRightInd w:val="0"/>
              <w:rPr>
                <w:bCs/>
                <w:sz w:val="22"/>
                <w:szCs w:val="20"/>
              </w:rPr>
            </w:pPr>
            <w:r w:rsidRPr="00053525">
              <w:rPr>
                <w:bCs/>
                <w:sz w:val="22"/>
                <w:szCs w:val="20"/>
              </w:rPr>
              <w:t>Ejemplo de un ciclo anual de reproducción</w:t>
            </w:r>
            <w:r>
              <w:rPr>
                <w:bCs/>
                <w:sz w:val="22"/>
                <w:szCs w:val="20"/>
              </w:rPr>
              <w:t>…………………………..</w:t>
            </w:r>
          </w:p>
        </w:tc>
        <w:tc>
          <w:tcPr>
            <w:tcW w:w="1036" w:type="dxa"/>
          </w:tcPr>
          <w:p w14:paraId="330ED283" w14:textId="0263689A" w:rsidR="003B2DB1" w:rsidRPr="00053525" w:rsidRDefault="003B2DB1" w:rsidP="003B2DB1">
            <w:pPr>
              <w:autoSpaceDE w:val="0"/>
              <w:autoSpaceDN w:val="0"/>
              <w:adjustRightInd w:val="0"/>
              <w:jc w:val="center"/>
              <w:rPr>
                <w:bCs/>
                <w:sz w:val="22"/>
                <w:szCs w:val="20"/>
              </w:rPr>
            </w:pPr>
            <w:r>
              <w:rPr>
                <w:bCs/>
                <w:sz w:val="22"/>
                <w:szCs w:val="20"/>
              </w:rPr>
              <w:t>40</w:t>
            </w:r>
          </w:p>
        </w:tc>
      </w:tr>
      <w:tr w:rsidR="003B2DB1" w:rsidRPr="00053525" w14:paraId="2120D6EE" w14:textId="77777777" w:rsidTr="007756C9">
        <w:tc>
          <w:tcPr>
            <w:tcW w:w="1129" w:type="dxa"/>
          </w:tcPr>
          <w:p w14:paraId="5B6A69D1" w14:textId="130FE91E" w:rsidR="003B2DB1" w:rsidRPr="00053525" w:rsidRDefault="003B2DB1" w:rsidP="003B2DB1">
            <w:pPr>
              <w:autoSpaceDE w:val="0"/>
              <w:autoSpaceDN w:val="0"/>
              <w:adjustRightInd w:val="0"/>
              <w:rPr>
                <w:bCs/>
                <w:sz w:val="22"/>
                <w:szCs w:val="20"/>
              </w:rPr>
            </w:pPr>
            <w:r w:rsidRPr="00053525">
              <w:rPr>
                <w:bCs/>
                <w:sz w:val="22"/>
                <w:szCs w:val="20"/>
              </w:rPr>
              <w:t>5</w:t>
            </w:r>
          </w:p>
        </w:tc>
        <w:tc>
          <w:tcPr>
            <w:tcW w:w="6663" w:type="dxa"/>
          </w:tcPr>
          <w:p w14:paraId="1C6A611A" w14:textId="0B5B9DE0" w:rsidR="003B2DB1" w:rsidRPr="00053525" w:rsidRDefault="003B2DB1" w:rsidP="003B2DB1">
            <w:pPr>
              <w:autoSpaceDE w:val="0"/>
              <w:autoSpaceDN w:val="0"/>
              <w:adjustRightInd w:val="0"/>
              <w:rPr>
                <w:bCs/>
                <w:sz w:val="22"/>
                <w:szCs w:val="20"/>
              </w:rPr>
            </w:pPr>
            <w:r w:rsidRPr="00053525">
              <w:rPr>
                <w:sz w:val="22"/>
                <w:szCs w:val="20"/>
              </w:rPr>
              <w:t>Aplicación de la herbolaria en modelos de producción de cunícola</w:t>
            </w:r>
            <w:proofErr w:type="gramStart"/>
            <w:r w:rsidRPr="00053525">
              <w:rPr>
                <w:sz w:val="22"/>
                <w:szCs w:val="20"/>
              </w:rPr>
              <w:t>.</w:t>
            </w:r>
            <w:r>
              <w:rPr>
                <w:sz w:val="22"/>
                <w:szCs w:val="20"/>
              </w:rPr>
              <w:t>.</w:t>
            </w:r>
            <w:proofErr w:type="gramEnd"/>
          </w:p>
        </w:tc>
        <w:tc>
          <w:tcPr>
            <w:tcW w:w="1036" w:type="dxa"/>
          </w:tcPr>
          <w:p w14:paraId="381BE4AF" w14:textId="0AD72B44" w:rsidR="003B2DB1" w:rsidRPr="00053525" w:rsidRDefault="003B2DB1" w:rsidP="003B2DB1">
            <w:pPr>
              <w:autoSpaceDE w:val="0"/>
              <w:autoSpaceDN w:val="0"/>
              <w:adjustRightInd w:val="0"/>
              <w:jc w:val="center"/>
              <w:rPr>
                <w:bCs/>
                <w:sz w:val="22"/>
                <w:szCs w:val="20"/>
              </w:rPr>
            </w:pPr>
            <w:r>
              <w:rPr>
                <w:bCs/>
                <w:sz w:val="22"/>
                <w:szCs w:val="20"/>
              </w:rPr>
              <w:t>43</w:t>
            </w:r>
          </w:p>
        </w:tc>
      </w:tr>
      <w:tr w:rsidR="007A20C9" w:rsidRPr="00053525" w14:paraId="601B67EC" w14:textId="77777777" w:rsidTr="007756C9">
        <w:tc>
          <w:tcPr>
            <w:tcW w:w="1129" w:type="dxa"/>
          </w:tcPr>
          <w:p w14:paraId="1934C5CF" w14:textId="59428FEA" w:rsidR="007A20C9" w:rsidRPr="00053525" w:rsidRDefault="007A20C9" w:rsidP="007A20C9">
            <w:pPr>
              <w:autoSpaceDE w:val="0"/>
              <w:autoSpaceDN w:val="0"/>
              <w:adjustRightInd w:val="0"/>
              <w:rPr>
                <w:bCs/>
                <w:sz w:val="22"/>
                <w:szCs w:val="20"/>
              </w:rPr>
            </w:pPr>
            <w:r w:rsidRPr="00053525">
              <w:rPr>
                <w:bCs/>
                <w:sz w:val="22"/>
                <w:szCs w:val="20"/>
              </w:rPr>
              <w:t>6</w:t>
            </w:r>
          </w:p>
        </w:tc>
        <w:tc>
          <w:tcPr>
            <w:tcW w:w="6663" w:type="dxa"/>
          </w:tcPr>
          <w:p w14:paraId="189565A0" w14:textId="4C9167AC" w:rsidR="007A20C9" w:rsidRPr="00053525" w:rsidRDefault="007A20C9" w:rsidP="007A20C9">
            <w:pPr>
              <w:autoSpaceDE w:val="0"/>
              <w:autoSpaceDN w:val="0"/>
              <w:adjustRightInd w:val="0"/>
              <w:rPr>
                <w:bCs/>
                <w:sz w:val="22"/>
                <w:szCs w:val="20"/>
              </w:rPr>
            </w:pPr>
            <w:r w:rsidRPr="00053525">
              <w:rPr>
                <w:sz w:val="22"/>
                <w:szCs w:val="20"/>
              </w:rPr>
              <w:t>Dimensiones y variables consideradas en la sustentabilidad en las plantas medicinales</w:t>
            </w:r>
            <w:r>
              <w:rPr>
                <w:sz w:val="22"/>
                <w:szCs w:val="20"/>
              </w:rPr>
              <w:t>……………………………………………………..</w:t>
            </w:r>
          </w:p>
        </w:tc>
        <w:tc>
          <w:tcPr>
            <w:tcW w:w="1036" w:type="dxa"/>
          </w:tcPr>
          <w:p w14:paraId="36687348" w14:textId="3BD5B350" w:rsidR="007A20C9" w:rsidRPr="00053525" w:rsidRDefault="007A20C9" w:rsidP="007A20C9">
            <w:pPr>
              <w:autoSpaceDE w:val="0"/>
              <w:autoSpaceDN w:val="0"/>
              <w:adjustRightInd w:val="0"/>
              <w:jc w:val="center"/>
              <w:rPr>
                <w:bCs/>
                <w:sz w:val="22"/>
                <w:szCs w:val="20"/>
              </w:rPr>
            </w:pPr>
            <w:r>
              <w:rPr>
                <w:bCs/>
                <w:sz w:val="22"/>
                <w:szCs w:val="20"/>
              </w:rPr>
              <w:t>63</w:t>
            </w:r>
          </w:p>
        </w:tc>
      </w:tr>
      <w:tr w:rsidR="007A20C9" w:rsidRPr="00053525" w14:paraId="66944404" w14:textId="77777777" w:rsidTr="007756C9">
        <w:tc>
          <w:tcPr>
            <w:tcW w:w="1129" w:type="dxa"/>
          </w:tcPr>
          <w:p w14:paraId="4953CD0F" w14:textId="08773454" w:rsidR="007A20C9" w:rsidRPr="00053525" w:rsidRDefault="007A20C9" w:rsidP="007A20C9">
            <w:pPr>
              <w:autoSpaceDE w:val="0"/>
              <w:autoSpaceDN w:val="0"/>
              <w:adjustRightInd w:val="0"/>
              <w:rPr>
                <w:bCs/>
                <w:sz w:val="22"/>
                <w:szCs w:val="20"/>
              </w:rPr>
            </w:pPr>
            <w:r w:rsidRPr="00053525">
              <w:rPr>
                <w:bCs/>
                <w:sz w:val="22"/>
                <w:szCs w:val="20"/>
              </w:rPr>
              <w:t>7</w:t>
            </w:r>
          </w:p>
        </w:tc>
        <w:tc>
          <w:tcPr>
            <w:tcW w:w="6663" w:type="dxa"/>
          </w:tcPr>
          <w:p w14:paraId="2EEE8AB9" w14:textId="6E5627F6" w:rsidR="007A20C9" w:rsidRPr="00053525" w:rsidRDefault="007A20C9" w:rsidP="007A20C9">
            <w:pPr>
              <w:autoSpaceDE w:val="0"/>
              <w:autoSpaceDN w:val="0"/>
              <w:adjustRightInd w:val="0"/>
              <w:rPr>
                <w:bCs/>
                <w:sz w:val="22"/>
                <w:szCs w:val="20"/>
              </w:rPr>
            </w:pPr>
          </w:p>
        </w:tc>
        <w:tc>
          <w:tcPr>
            <w:tcW w:w="1036" w:type="dxa"/>
            <w:vAlign w:val="bottom"/>
          </w:tcPr>
          <w:p w14:paraId="104C9F9F" w14:textId="71E96D25" w:rsidR="007A20C9" w:rsidRPr="00053525" w:rsidRDefault="007A20C9" w:rsidP="007A20C9">
            <w:pPr>
              <w:autoSpaceDE w:val="0"/>
              <w:autoSpaceDN w:val="0"/>
              <w:adjustRightInd w:val="0"/>
              <w:jc w:val="center"/>
              <w:rPr>
                <w:bCs/>
                <w:sz w:val="22"/>
                <w:szCs w:val="20"/>
              </w:rPr>
            </w:pPr>
            <w:r>
              <w:rPr>
                <w:bCs/>
                <w:sz w:val="22"/>
                <w:szCs w:val="20"/>
              </w:rPr>
              <w:t>65</w:t>
            </w:r>
          </w:p>
        </w:tc>
      </w:tr>
    </w:tbl>
    <w:p w14:paraId="752688ED" w14:textId="77777777" w:rsidR="00D50916" w:rsidRDefault="00D50916" w:rsidP="00D50916">
      <w:pPr>
        <w:pStyle w:val="Sinespaciado"/>
      </w:pPr>
    </w:p>
    <w:p w14:paraId="15F04C9A" w14:textId="77777777" w:rsidR="00D50916" w:rsidRDefault="00D50916" w:rsidP="00D50916">
      <w:pPr>
        <w:pStyle w:val="Sinespaciado"/>
      </w:pPr>
    </w:p>
    <w:p w14:paraId="1C095C6F" w14:textId="77777777" w:rsidR="00D50916" w:rsidRDefault="00D50916" w:rsidP="00D50916">
      <w:pPr>
        <w:pStyle w:val="Sinespaciado"/>
      </w:pPr>
    </w:p>
    <w:p w14:paraId="613A4093" w14:textId="3EB760CD" w:rsidR="00577D79" w:rsidRDefault="00D50916" w:rsidP="00437D1F">
      <w:pPr>
        <w:pStyle w:val="Sinespaciado"/>
        <w:spacing w:after="240"/>
      </w:pPr>
      <w:r>
        <w:t xml:space="preserve">Índice de </w:t>
      </w:r>
      <w:r w:rsidR="00791E83">
        <w:t>Figuras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
        <w:gridCol w:w="6794"/>
        <w:gridCol w:w="964"/>
      </w:tblGrid>
      <w:tr w:rsidR="00791E83" w:rsidRPr="00053525" w14:paraId="03B84EBE" w14:textId="77777777" w:rsidTr="007756C9">
        <w:tc>
          <w:tcPr>
            <w:tcW w:w="1070" w:type="dxa"/>
          </w:tcPr>
          <w:p w14:paraId="3DC0170D" w14:textId="15919FAE" w:rsidR="00791E83" w:rsidRPr="00053525" w:rsidRDefault="00791E83" w:rsidP="007756C9">
            <w:pPr>
              <w:autoSpaceDE w:val="0"/>
              <w:autoSpaceDN w:val="0"/>
              <w:adjustRightInd w:val="0"/>
              <w:rPr>
                <w:bCs/>
                <w:sz w:val="22"/>
              </w:rPr>
            </w:pPr>
            <w:r w:rsidRPr="00053525">
              <w:rPr>
                <w:bCs/>
                <w:sz w:val="22"/>
              </w:rPr>
              <w:t>Número</w:t>
            </w:r>
          </w:p>
        </w:tc>
        <w:tc>
          <w:tcPr>
            <w:tcW w:w="6794" w:type="dxa"/>
          </w:tcPr>
          <w:p w14:paraId="0D4115E2" w14:textId="306B4FF0" w:rsidR="00791E83" w:rsidRPr="00053525" w:rsidRDefault="00791E83" w:rsidP="007756C9">
            <w:pPr>
              <w:autoSpaceDE w:val="0"/>
              <w:autoSpaceDN w:val="0"/>
              <w:adjustRightInd w:val="0"/>
              <w:rPr>
                <w:bCs/>
                <w:sz w:val="22"/>
              </w:rPr>
            </w:pPr>
            <w:r w:rsidRPr="00053525">
              <w:rPr>
                <w:bCs/>
                <w:sz w:val="22"/>
              </w:rPr>
              <w:t>Nombre</w:t>
            </w:r>
          </w:p>
        </w:tc>
        <w:tc>
          <w:tcPr>
            <w:tcW w:w="964" w:type="dxa"/>
          </w:tcPr>
          <w:p w14:paraId="14F12F82" w14:textId="46729033" w:rsidR="00791E83" w:rsidRPr="00053525" w:rsidRDefault="00791E83" w:rsidP="007756C9">
            <w:pPr>
              <w:autoSpaceDE w:val="0"/>
              <w:autoSpaceDN w:val="0"/>
              <w:adjustRightInd w:val="0"/>
              <w:rPr>
                <w:bCs/>
                <w:sz w:val="22"/>
              </w:rPr>
            </w:pPr>
            <w:r w:rsidRPr="00053525">
              <w:rPr>
                <w:bCs/>
                <w:sz w:val="22"/>
              </w:rPr>
              <w:t xml:space="preserve">Página </w:t>
            </w:r>
          </w:p>
        </w:tc>
      </w:tr>
      <w:tr w:rsidR="00791E83" w:rsidRPr="00053525" w14:paraId="3E03C0DB" w14:textId="77777777" w:rsidTr="007756C9">
        <w:tc>
          <w:tcPr>
            <w:tcW w:w="1070" w:type="dxa"/>
          </w:tcPr>
          <w:p w14:paraId="50B1918F" w14:textId="3412BF9B" w:rsidR="00791E83" w:rsidRPr="00053525" w:rsidRDefault="00791E83" w:rsidP="007756C9">
            <w:pPr>
              <w:autoSpaceDE w:val="0"/>
              <w:autoSpaceDN w:val="0"/>
              <w:adjustRightInd w:val="0"/>
              <w:rPr>
                <w:bCs/>
                <w:sz w:val="22"/>
              </w:rPr>
            </w:pPr>
            <w:r w:rsidRPr="00053525">
              <w:rPr>
                <w:bCs/>
                <w:sz w:val="22"/>
              </w:rPr>
              <w:t>1</w:t>
            </w:r>
          </w:p>
        </w:tc>
        <w:tc>
          <w:tcPr>
            <w:tcW w:w="6794" w:type="dxa"/>
          </w:tcPr>
          <w:p w14:paraId="472A002D" w14:textId="46E26BEA" w:rsidR="00791E83" w:rsidRPr="00053525" w:rsidRDefault="00791E83" w:rsidP="007756C9">
            <w:pPr>
              <w:pStyle w:val="Sinespaciado"/>
              <w:spacing w:before="100" w:after="100"/>
              <w:rPr>
                <w:sz w:val="22"/>
              </w:rPr>
            </w:pPr>
            <w:r w:rsidRPr="00053525">
              <w:rPr>
                <w:sz w:val="22"/>
              </w:rPr>
              <w:t>Representación de la multidimensional de la sustentabilidad, modificado de Sarandón, 2011</w:t>
            </w:r>
            <w:r w:rsidR="007756C9">
              <w:rPr>
                <w:sz w:val="22"/>
              </w:rPr>
              <w:t>………………………………………….</w:t>
            </w:r>
          </w:p>
        </w:tc>
        <w:tc>
          <w:tcPr>
            <w:tcW w:w="964" w:type="dxa"/>
            <w:vAlign w:val="bottom"/>
          </w:tcPr>
          <w:p w14:paraId="3155A766" w14:textId="0F33D02D" w:rsidR="00791E83" w:rsidRPr="00053525" w:rsidRDefault="0002425F" w:rsidP="007756C9">
            <w:pPr>
              <w:autoSpaceDE w:val="0"/>
              <w:autoSpaceDN w:val="0"/>
              <w:adjustRightInd w:val="0"/>
              <w:jc w:val="center"/>
              <w:rPr>
                <w:bCs/>
                <w:sz w:val="22"/>
              </w:rPr>
            </w:pPr>
            <w:r>
              <w:rPr>
                <w:bCs/>
                <w:sz w:val="22"/>
              </w:rPr>
              <w:t>28</w:t>
            </w:r>
          </w:p>
        </w:tc>
      </w:tr>
      <w:tr w:rsidR="00791E83" w:rsidRPr="00053525" w14:paraId="6F142799" w14:textId="77777777" w:rsidTr="007756C9">
        <w:tc>
          <w:tcPr>
            <w:tcW w:w="1070" w:type="dxa"/>
          </w:tcPr>
          <w:p w14:paraId="310A725E" w14:textId="7C3D505C" w:rsidR="00791E83" w:rsidRPr="00053525" w:rsidRDefault="00266297" w:rsidP="007756C9">
            <w:pPr>
              <w:autoSpaceDE w:val="0"/>
              <w:autoSpaceDN w:val="0"/>
              <w:adjustRightInd w:val="0"/>
              <w:rPr>
                <w:bCs/>
                <w:sz w:val="22"/>
              </w:rPr>
            </w:pPr>
            <w:r w:rsidRPr="00053525">
              <w:rPr>
                <w:bCs/>
                <w:sz w:val="22"/>
              </w:rPr>
              <w:t>2</w:t>
            </w:r>
          </w:p>
        </w:tc>
        <w:tc>
          <w:tcPr>
            <w:tcW w:w="6794" w:type="dxa"/>
          </w:tcPr>
          <w:p w14:paraId="78D24DB2" w14:textId="1ACFA075" w:rsidR="00791E83" w:rsidRPr="00053525" w:rsidRDefault="00266297" w:rsidP="007756C9">
            <w:pPr>
              <w:autoSpaceDE w:val="0"/>
              <w:autoSpaceDN w:val="0"/>
              <w:adjustRightInd w:val="0"/>
              <w:rPr>
                <w:bCs/>
                <w:sz w:val="22"/>
              </w:rPr>
            </w:pPr>
            <w:r w:rsidRPr="00053525">
              <w:rPr>
                <w:bCs/>
                <w:sz w:val="22"/>
              </w:rPr>
              <w:t>Ubicación de la zona oriente del Estado de México</w:t>
            </w:r>
            <w:r w:rsidR="007756C9">
              <w:rPr>
                <w:bCs/>
                <w:sz w:val="22"/>
              </w:rPr>
              <w:t>…………………..</w:t>
            </w:r>
          </w:p>
        </w:tc>
        <w:tc>
          <w:tcPr>
            <w:tcW w:w="964" w:type="dxa"/>
            <w:vAlign w:val="center"/>
          </w:tcPr>
          <w:p w14:paraId="36FBA5CB" w14:textId="4FE9C80C" w:rsidR="00791E83" w:rsidRPr="00053525" w:rsidRDefault="007A20C9" w:rsidP="007756C9">
            <w:pPr>
              <w:autoSpaceDE w:val="0"/>
              <w:autoSpaceDN w:val="0"/>
              <w:adjustRightInd w:val="0"/>
              <w:jc w:val="center"/>
              <w:rPr>
                <w:bCs/>
                <w:sz w:val="22"/>
              </w:rPr>
            </w:pPr>
            <w:r>
              <w:rPr>
                <w:bCs/>
                <w:sz w:val="22"/>
              </w:rPr>
              <w:t>58</w:t>
            </w:r>
          </w:p>
        </w:tc>
      </w:tr>
    </w:tbl>
    <w:p w14:paraId="4B64614B" w14:textId="77777777" w:rsidR="00E931AB" w:rsidRDefault="00E931AB">
      <w:pPr>
        <w:spacing w:before="0" w:beforeAutospacing="0" w:after="160" w:afterAutospacing="0"/>
        <w:rPr>
          <w:bCs/>
        </w:rPr>
        <w:sectPr w:rsidR="00E931AB" w:rsidSect="002E60FD">
          <w:pgSz w:w="12240" w:h="15840"/>
          <w:pgMar w:top="1417" w:right="1701" w:bottom="1417" w:left="1701" w:header="708" w:footer="708" w:gutter="0"/>
          <w:pgNumType w:start="1"/>
          <w:cols w:space="708"/>
          <w:docGrid w:linePitch="360"/>
        </w:sectPr>
      </w:pPr>
    </w:p>
    <w:p w14:paraId="489529DB" w14:textId="7DBB875E" w:rsidR="00AF466B" w:rsidRPr="00CC756F" w:rsidRDefault="00AF466B" w:rsidP="002609E2">
      <w:pPr>
        <w:pStyle w:val="Prrafodelista"/>
        <w:numPr>
          <w:ilvl w:val="0"/>
          <w:numId w:val="6"/>
        </w:numPr>
        <w:autoSpaceDE w:val="0"/>
        <w:autoSpaceDN w:val="0"/>
        <w:adjustRightInd w:val="0"/>
        <w:spacing w:after="0"/>
        <w:rPr>
          <w:b/>
        </w:rPr>
      </w:pPr>
      <w:r w:rsidRPr="00CC756F">
        <w:rPr>
          <w:b/>
        </w:rPr>
        <w:lastRenderedPageBreak/>
        <w:t>RESUMEN DE LA TESIS</w:t>
      </w:r>
    </w:p>
    <w:p w14:paraId="70B95D1E" w14:textId="72FC9A7B" w:rsidR="0020535A" w:rsidRPr="0044351E" w:rsidRDefault="0044351E" w:rsidP="0020535A">
      <w:pPr>
        <w:autoSpaceDE w:val="0"/>
        <w:autoSpaceDN w:val="0"/>
        <w:adjustRightInd w:val="0"/>
        <w:spacing w:after="0"/>
      </w:pPr>
      <w:r>
        <w:t>L</w:t>
      </w:r>
      <w:r w:rsidR="004A6E0D">
        <w:t>os sistemas agrícolas sustentables, deben ser “capaces de mantener en el tiempo un flujo de bienes y servicios que satisfagan las necesidades alimenticias, socioeconómicas y culturales de la población</w:t>
      </w:r>
      <w:sdt>
        <w:sdtPr>
          <w:tag w:val="goog_rdk_2"/>
          <w:id w:val="6495134"/>
        </w:sdtPr>
        <w:sdtEndPr/>
        <w:sdtContent>
          <w:r w:rsidR="004A6E0D">
            <w:t>,</w:t>
          </w:r>
        </w:sdtContent>
      </w:sdt>
      <w:r w:rsidR="004A6E0D">
        <w:t xml:space="preserve"> sin excluir la relación con los sistemas naturales que le dan soporte” (</w:t>
      </w:r>
      <w:r w:rsidR="004A6E0D" w:rsidRPr="006F293B">
        <w:t>Sarandón,</w:t>
      </w:r>
      <w:r w:rsidR="004A6E0D">
        <w:t xml:space="preserve"> 2011, p.7). </w:t>
      </w:r>
      <w:r w:rsidR="0020535A">
        <w:t>Siendo necesario incluir los conocimientos tradicionales en los sistemas productivos pueden ser convenientes para el desarrollo endógeno y pueden ser reproducidos en diferentes territorios.</w:t>
      </w:r>
    </w:p>
    <w:p w14:paraId="1E4520D4" w14:textId="14CAB946" w:rsidR="00625C37" w:rsidRDefault="004A6E0D" w:rsidP="002609E2">
      <w:pPr>
        <w:autoSpaceDE w:val="0"/>
        <w:autoSpaceDN w:val="0"/>
        <w:adjustRightInd w:val="0"/>
        <w:spacing w:after="0"/>
      </w:pPr>
      <w:r>
        <w:t>En México existen sistemas que cumplen con el concepto anterior</w:t>
      </w:r>
      <w:r w:rsidR="00870112">
        <w:t>,</w:t>
      </w:r>
      <w:r>
        <w:t xml:space="preserve"> aunque </w:t>
      </w:r>
      <w:r w:rsidR="002E2B69">
        <w:t xml:space="preserve">no tienen mayor presencia en los organismos </w:t>
      </w:r>
      <w:r w:rsidR="00DE33E3">
        <w:t xml:space="preserve">reguladores como </w:t>
      </w:r>
      <w:r w:rsidR="00DE33E3" w:rsidRPr="00DE33E3">
        <w:t>Comisión Federal para la Protección contra Riesgos Sanitarios</w:t>
      </w:r>
      <w:r w:rsidR="00DE33E3">
        <w:t xml:space="preserve"> (COFEPRIS) o </w:t>
      </w:r>
      <w:r w:rsidR="00DE33E3" w:rsidRPr="00DE33E3">
        <w:t>Secretaría de Agricultura, Ganadería, Desarrollo Rural, Pesca y Alimentación</w:t>
      </w:r>
      <w:r w:rsidR="00DE33E3">
        <w:t xml:space="preserve"> (SAGARPA)</w:t>
      </w:r>
      <w:r w:rsidR="00A42CBF">
        <w:t xml:space="preserve">. </w:t>
      </w:r>
      <w:r w:rsidR="00870112">
        <w:t xml:space="preserve">Los sistemas considerados por dichos organismos son extensivos y corresponden al modelo planteado por la Revolución verde, </w:t>
      </w:r>
      <w:r w:rsidR="00723086">
        <w:t>identifica</w:t>
      </w:r>
      <w:r w:rsidR="0020535A">
        <w:t>dos</w:t>
      </w:r>
      <w:r w:rsidR="00723086">
        <w:t xml:space="preserve"> por la grave degradación ambiental.</w:t>
      </w:r>
    </w:p>
    <w:p w14:paraId="753C8091" w14:textId="66073838" w:rsidR="00723086" w:rsidRDefault="0020535A" w:rsidP="002609E2">
      <w:pPr>
        <w:autoSpaceDE w:val="0"/>
        <w:autoSpaceDN w:val="0"/>
        <w:adjustRightInd w:val="0"/>
        <w:spacing w:after="0"/>
      </w:pPr>
      <w:r>
        <w:t>L</w:t>
      </w:r>
      <w:r w:rsidR="00723086">
        <w:t>a alternativa son los sistemas productivos de traspatio</w:t>
      </w:r>
      <w:r w:rsidR="00A84BC1">
        <w:t>, a</w:t>
      </w:r>
      <w:r w:rsidR="008D7A6A">
        <w:t xml:space="preserve">l no pertenecer a una asociación son excluidos de la gestión de apoyos económicos gubernamentales destinados para el desarrollo endógeno. </w:t>
      </w:r>
      <w:r w:rsidR="00301176">
        <w:t xml:space="preserve">Tienen amplia aceptación social, </w:t>
      </w:r>
      <w:r w:rsidR="007D39E9">
        <w:t>tradición, cultura, sus productos se comercializan mediante cadenas cortas</w:t>
      </w:r>
      <w:r w:rsidR="008D7A6A">
        <w:t xml:space="preserve"> </w:t>
      </w:r>
      <w:r w:rsidR="007D39E9">
        <w:t>e incorporan prácticas agroecológicas</w:t>
      </w:r>
      <w:r w:rsidR="00927D8B">
        <w:t xml:space="preserve"> y u</w:t>
      </w:r>
      <w:r w:rsidR="007D39E9">
        <w:t>n ejemplo de ello</w:t>
      </w:r>
      <w:r w:rsidR="00927D8B">
        <w:t>,</w:t>
      </w:r>
      <w:r w:rsidR="007D39E9">
        <w:t xml:space="preserve"> son la herbolaria y cunicultura.</w:t>
      </w:r>
    </w:p>
    <w:p w14:paraId="0CFB4B3C" w14:textId="3DFCD7BE" w:rsidR="00A12ED2" w:rsidRDefault="00A937E4" w:rsidP="002609E2">
      <w:pPr>
        <w:autoSpaceDE w:val="0"/>
        <w:autoSpaceDN w:val="0"/>
        <w:adjustRightInd w:val="0"/>
        <w:spacing w:after="0"/>
        <w:rPr>
          <w:lang w:val="es-419"/>
        </w:rPr>
      </w:pPr>
      <w:r>
        <w:t>Ambas practicas se realizan en la zona oriente del Estado de México</w:t>
      </w:r>
      <w:r w:rsidR="00BA47A7">
        <w:t>,</w:t>
      </w:r>
      <w:r w:rsidR="004D6694">
        <w:t xml:space="preserve"> colaboran </w:t>
      </w:r>
      <w:r w:rsidR="00CD453A">
        <w:t>en la economía local</w:t>
      </w:r>
      <w:r w:rsidR="00BA47A7">
        <w:t>,</w:t>
      </w:r>
      <w:r w:rsidR="00CD453A">
        <w:t xml:space="preserve"> dan identidad a la zona</w:t>
      </w:r>
      <w:r w:rsidR="00BA47A7">
        <w:t xml:space="preserve"> y </w:t>
      </w:r>
      <w:r w:rsidR="00EA2FA3">
        <w:t>se relacionan con el medio ambiente</w:t>
      </w:r>
      <w:r w:rsidR="00AF20DC">
        <w:t>, así mismo fueron analizadas con las mismas dimensiones propuestas</w:t>
      </w:r>
      <w:r w:rsidR="00EF676B">
        <w:t xml:space="preserve"> en el objetivo</w:t>
      </w:r>
      <w:r w:rsidR="00BA47A7">
        <w:t>.</w:t>
      </w:r>
      <w:r w:rsidR="00EA2FA3">
        <w:t xml:space="preserve"> </w:t>
      </w:r>
      <w:r w:rsidR="005E435F">
        <w:t xml:space="preserve">En esta investigación se propone </w:t>
      </w:r>
      <w:r w:rsidR="00A12ED2">
        <w:t>“</w:t>
      </w:r>
      <w:r w:rsidR="005E435F">
        <w:t>e</w:t>
      </w:r>
      <w:r w:rsidR="005E435F" w:rsidRPr="00880AF4">
        <w:t>valuar la interacción de las dimensiones agroecológica, socio-territorial y económica de las unidades productivas cunícolas de traspatio al emplear la herbolaria</w:t>
      </w:r>
      <w:r w:rsidR="00A12ED2">
        <w:t>”</w:t>
      </w:r>
      <w:r w:rsidR="005E435F" w:rsidRPr="00880AF4">
        <w:rPr>
          <w:lang w:val="es-419"/>
        </w:rPr>
        <w:t>.</w:t>
      </w:r>
      <w:r w:rsidR="00A12ED2">
        <w:rPr>
          <w:lang w:val="es-419"/>
        </w:rPr>
        <w:t xml:space="preserve"> </w:t>
      </w:r>
      <w:r w:rsidR="005E435F">
        <w:rPr>
          <w:lang w:val="es-419"/>
        </w:rPr>
        <w:t xml:space="preserve"> </w:t>
      </w:r>
    </w:p>
    <w:p w14:paraId="2EF2F46B" w14:textId="0445FA0B" w:rsidR="00EA2FA3" w:rsidRPr="002267E7" w:rsidRDefault="00EF676B" w:rsidP="002609E2">
      <w:pPr>
        <w:autoSpaceDE w:val="0"/>
        <w:autoSpaceDN w:val="0"/>
        <w:adjustRightInd w:val="0"/>
        <w:spacing w:after="0"/>
        <w:rPr>
          <w:lang w:val="es-419"/>
        </w:rPr>
      </w:pPr>
      <w:r>
        <w:rPr>
          <w:lang w:val="es-419"/>
        </w:rPr>
        <w:t>El análisis de la sustentabilidad de las unidades productivas cunícolas de traspatio se realizó mediante el método IDEA.</w:t>
      </w:r>
      <w:r w:rsidR="002267E7">
        <w:rPr>
          <w:lang w:val="es-419"/>
        </w:rPr>
        <w:t xml:space="preserve"> </w:t>
      </w:r>
      <w:r w:rsidR="00EA2FA3">
        <w:rPr>
          <w:lang w:val="es-419"/>
        </w:rPr>
        <w:t xml:space="preserve">Para la evaluación de la herbolaria se utilizo el </w:t>
      </w:r>
      <w:r w:rsidR="00EA2FA3">
        <w:rPr>
          <w:lang w:val="es-419"/>
        </w:rPr>
        <w:lastRenderedPageBreak/>
        <w:t xml:space="preserve">método etnobotánico, </w:t>
      </w:r>
      <w:r w:rsidR="00937E86">
        <w:rPr>
          <w:lang w:val="es-419"/>
        </w:rPr>
        <w:t>mediante entrevista</w:t>
      </w:r>
      <w:r w:rsidR="00982741">
        <w:rPr>
          <w:lang w:val="es-419"/>
        </w:rPr>
        <w:t>s</w:t>
      </w:r>
      <w:r w:rsidR="00937E86">
        <w:rPr>
          <w:lang w:val="es-419"/>
        </w:rPr>
        <w:t xml:space="preserve"> </w:t>
      </w:r>
      <w:r w:rsidR="00AF20DC">
        <w:rPr>
          <w:lang w:val="es-419"/>
        </w:rPr>
        <w:t xml:space="preserve">se obtuvieron parámetros </w:t>
      </w:r>
      <w:r w:rsidR="006465F1">
        <w:rPr>
          <w:lang w:val="es-419"/>
        </w:rPr>
        <w:t>etnobotánicos.</w:t>
      </w:r>
      <w:r w:rsidR="002267E7">
        <w:rPr>
          <w:lang w:val="es-419"/>
        </w:rPr>
        <w:t xml:space="preserve"> El uso de la herbolaria en las unidades productivas cunícolas de </w:t>
      </w:r>
      <w:r w:rsidR="00CC756F">
        <w:rPr>
          <w:lang w:val="es-419"/>
        </w:rPr>
        <w:t>traspatio</w:t>
      </w:r>
      <w:r w:rsidR="002267E7">
        <w:rPr>
          <w:lang w:val="es-419"/>
        </w:rPr>
        <w:t xml:space="preserve"> </w:t>
      </w:r>
      <w:r w:rsidR="002609E2">
        <w:rPr>
          <w:lang w:val="es-419"/>
        </w:rPr>
        <w:t xml:space="preserve">se realizó </w:t>
      </w:r>
      <w:r w:rsidR="002267E7">
        <w:rPr>
          <w:lang w:val="es-419"/>
        </w:rPr>
        <w:t>a través del método PRISMA</w:t>
      </w:r>
      <w:r w:rsidR="002609E2">
        <w:rPr>
          <w:lang w:val="es-419"/>
        </w:rPr>
        <w:t>, donde</w:t>
      </w:r>
      <w:r w:rsidR="002267E7">
        <w:rPr>
          <w:lang w:val="es-419"/>
        </w:rPr>
        <w:t xml:space="preserve"> se identific</w:t>
      </w:r>
      <w:r w:rsidR="003E0AE2">
        <w:rPr>
          <w:lang w:val="es-419"/>
        </w:rPr>
        <w:t>aron</w:t>
      </w:r>
      <w:r w:rsidR="002267E7">
        <w:rPr>
          <w:lang w:val="es-419"/>
        </w:rPr>
        <w:t xml:space="preserve"> la</w:t>
      </w:r>
      <w:r w:rsidR="003E0AE2">
        <w:rPr>
          <w:lang w:val="es-419"/>
        </w:rPr>
        <w:t>s</w:t>
      </w:r>
      <w:r w:rsidR="002267E7">
        <w:rPr>
          <w:lang w:val="es-419"/>
        </w:rPr>
        <w:t xml:space="preserve"> </w:t>
      </w:r>
      <w:r w:rsidR="003E0AE2">
        <w:rPr>
          <w:lang w:val="es-419"/>
        </w:rPr>
        <w:t>siguientes plantas</w:t>
      </w:r>
      <w:r w:rsidR="002267E7">
        <w:rPr>
          <w:lang w:val="es-419"/>
        </w:rPr>
        <w:t xml:space="preserve"> </w:t>
      </w:r>
      <w:r w:rsidR="003E0AE2" w:rsidRPr="003E0AE2">
        <w:rPr>
          <w:lang w:val="es-419"/>
        </w:rPr>
        <w:t>agave azul (</w:t>
      </w:r>
      <w:r w:rsidR="003E0AE2" w:rsidRPr="003C3877">
        <w:rPr>
          <w:i/>
          <w:iCs/>
          <w:lang w:val="es-419"/>
        </w:rPr>
        <w:t>Agave tequilana</w:t>
      </w:r>
      <w:r w:rsidR="003E0AE2" w:rsidRPr="003E0AE2">
        <w:rPr>
          <w:lang w:val="es-419"/>
        </w:rPr>
        <w:t>), cilantro (</w:t>
      </w:r>
      <w:r w:rsidR="003E0AE2" w:rsidRPr="003C3877">
        <w:rPr>
          <w:i/>
          <w:iCs/>
          <w:lang w:val="es-419"/>
        </w:rPr>
        <w:t>Coriandrum sativum</w:t>
      </w:r>
      <w:r w:rsidR="003E0AE2" w:rsidRPr="003E0AE2">
        <w:rPr>
          <w:lang w:val="es-419"/>
        </w:rPr>
        <w:t>), colorín (</w:t>
      </w:r>
      <w:r w:rsidR="003E0AE2" w:rsidRPr="003C3877">
        <w:rPr>
          <w:i/>
          <w:iCs/>
          <w:lang w:val="es-419"/>
        </w:rPr>
        <w:t>Erythrina coralloides</w:t>
      </w:r>
      <w:r w:rsidR="003E0AE2" w:rsidRPr="003E0AE2">
        <w:rPr>
          <w:lang w:val="es-419"/>
        </w:rPr>
        <w:t>), epazote (</w:t>
      </w:r>
      <w:r w:rsidR="003E0AE2" w:rsidRPr="003C3877">
        <w:rPr>
          <w:i/>
          <w:iCs/>
          <w:lang w:val="es-419"/>
        </w:rPr>
        <w:t>Chenopodium ambrosioides</w:t>
      </w:r>
      <w:r w:rsidR="003E0AE2" w:rsidRPr="003E0AE2">
        <w:rPr>
          <w:lang w:val="es-419"/>
        </w:rPr>
        <w:t>), moringa (</w:t>
      </w:r>
      <w:r w:rsidR="003E0AE2" w:rsidRPr="003C3877">
        <w:rPr>
          <w:i/>
          <w:iCs/>
          <w:lang w:val="es-419"/>
        </w:rPr>
        <w:t>Moringa oleífera</w:t>
      </w:r>
      <w:r w:rsidR="003E0AE2" w:rsidRPr="003E0AE2">
        <w:rPr>
          <w:lang w:val="es-419"/>
        </w:rPr>
        <w:t>), noni (</w:t>
      </w:r>
      <w:r w:rsidR="003E0AE2" w:rsidRPr="003C3877">
        <w:rPr>
          <w:i/>
          <w:iCs/>
          <w:lang w:val="es-419"/>
        </w:rPr>
        <w:t>Morinda citrifolia</w:t>
      </w:r>
      <w:r w:rsidR="003E0AE2" w:rsidRPr="003E0AE2">
        <w:rPr>
          <w:lang w:val="es-419"/>
        </w:rPr>
        <w:t>), romero (</w:t>
      </w:r>
      <w:r w:rsidR="003E0AE2" w:rsidRPr="003C3877">
        <w:rPr>
          <w:i/>
          <w:iCs/>
          <w:lang w:val="es-419"/>
        </w:rPr>
        <w:t>Rosmarinus officinalis</w:t>
      </w:r>
      <w:r w:rsidR="003E0AE2" w:rsidRPr="003E0AE2">
        <w:rPr>
          <w:lang w:val="es-419"/>
        </w:rPr>
        <w:t>) y tomillo (</w:t>
      </w:r>
      <w:r w:rsidR="003E0AE2" w:rsidRPr="003C3877">
        <w:rPr>
          <w:i/>
          <w:iCs/>
          <w:lang w:val="es-419"/>
        </w:rPr>
        <w:t>Thymus vulgaris</w:t>
      </w:r>
      <w:r w:rsidR="003E0AE2" w:rsidRPr="003E0AE2">
        <w:rPr>
          <w:lang w:val="es-419"/>
        </w:rPr>
        <w:t>)</w:t>
      </w:r>
      <w:r w:rsidR="003E0AE2">
        <w:rPr>
          <w:lang w:val="es-419"/>
        </w:rPr>
        <w:t xml:space="preserve"> adicionadas en la alimentación de los conejos.</w:t>
      </w:r>
    </w:p>
    <w:p w14:paraId="36B8CDF8" w14:textId="77C29A43" w:rsidR="00CB363A" w:rsidRPr="00CB363A" w:rsidRDefault="003E0AE2" w:rsidP="002609E2">
      <w:pPr>
        <w:rPr>
          <w:lang w:val="es-419"/>
        </w:rPr>
      </w:pPr>
      <w:r>
        <w:rPr>
          <w:lang w:val="es-419"/>
        </w:rPr>
        <w:t>Los principales resultados son</w:t>
      </w:r>
      <w:r w:rsidR="00927D8B">
        <w:rPr>
          <w:lang w:val="es-419"/>
        </w:rPr>
        <w:t>,</w:t>
      </w:r>
      <w:r>
        <w:rPr>
          <w:lang w:val="es-419"/>
        </w:rPr>
        <w:t xml:space="preserve"> </w:t>
      </w:r>
      <w:r w:rsidR="00CB363A">
        <w:rPr>
          <w:lang w:val="es-419"/>
        </w:rPr>
        <w:t>a</w:t>
      </w:r>
      <w:r w:rsidR="00CB363A" w:rsidRPr="00CB363A">
        <w:rPr>
          <w:lang w:val="es-419"/>
        </w:rPr>
        <w:t xml:space="preserve">l analizar </w:t>
      </w:r>
      <w:r w:rsidR="00CB363A">
        <w:rPr>
          <w:lang w:val="es-419"/>
        </w:rPr>
        <w:t xml:space="preserve">la sustentabilidad de las unidades productivas cunícolas de traspatio </w:t>
      </w:r>
      <w:r w:rsidR="00CB363A" w:rsidRPr="00CB363A">
        <w:rPr>
          <w:lang w:val="es-419"/>
        </w:rPr>
        <w:t>se observó que es una práctica donde se enriquece e incrementa la interacción entre los productores con el medio ambiente y la sociedad. En consecuencia, la economía local se favorece a corto y mediano plazo.</w:t>
      </w:r>
    </w:p>
    <w:p w14:paraId="079F714D" w14:textId="532EC9EC" w:rsidR="00A754AA" w:rsidRDefault="00CB363A" w:rsidP="002609E2">
      <w:pPr>
        <w:rPr>
          <w:lang w:val="es-419"/>
        </w:rPr>
      </w:pPr>
      <w:r w:rsidRPr="00CB363A">
        <w:rPr>
          <w:lang w:val="es-419"/>
        </w:rPr>
        <w:t>Existe mayor coherencia ciudadana en las U</w:t>
      </w:r>
      <w:r w:rsidR="0052179A">
        <w:rPr>
          <w:lang w:val="es-419"/>
        </w:rPr>
        <w:t xml:space="preserve">nidades </w:t>
      </w:r>
      <w:r w:rsidRPr="00CB363A">
        <w:rPr>
          <w:lang w:val="es-419"/>
        </w:rPr>
        <w:t>P</w:t>
      </w:r>
      <w:r w:rsidR="0052179A">
        <w:rPr>
          <w:lang w:val="es-419"/>
        </w:rPr>
        <w:t xml:space="preserve">roductivas </w:t>
      </w:r>
      <w:r w:rsidRPr="00CB363A">
        <w:rPr>
          <w:lang w:val="es-419"/>
        </w:rPr>
        <w:t>C</w:t>
      </w:r>
      <w:r w:rsidR="0052179A">
        <w:rPr>
          <w:lang w:val="es-419"/>
        </w:rPr>
        <w:t xml:space="preserve">unícolas de </w:t>
      </w:r>
      <w:r w:rsidRPr="00CB363A">
        <w:rPr>
          <w:lang w:val="es-419"/>
        </w:rPr>
        <w:t>T</w:t>
      </w:r>
      <w:r w:rsidR="0052179A">
        <w:rPr>
          <w:lang w:val="es-419"/>
        </w:rPr>
        <w:t>raspatio (UPTC)</w:t>
      </w:r>
      <w:r w:rsidRPr="00CB363A">
        <w:rPr>
          <w:lang w:val="es-419"/>
        </w:rPr>
        <w:t xml:space="preserve"> que son manejadas por productores-agricultores, pues en estas se distingue una interacción, reforzamiento e interdependencia en las dimensiones por acción del actor social. Estos fungen como empresarios y agrónomos, en función del aprovechamiento de recursos y productos locales. Generando así, una autonomía de capacidades en el establecimiento de pautas hacia una transición agroecológica de los sistemas productivos alimentarios.  </w:t>
      </w:r>
    </w:p>
    <w:p w14:paraId="1A480890" w14:textId="6AAB02FC" w:rsidR="003E0AE2" w:rsidRDefault="00CB363A" w:rsidP="002609E2">
      <w:pPr>
        <w:rPr>
          <w:color w:val="000000" w:themeColor="text1"/>
        </w:rPr>
      </w:pPr>
      <w:r>
        <w:rPr>
          <w:lang w:val="es-419"/>
        </w:rPr>
        <w:t>L</w:t>
      </w:r>
      <w:r w:rsidR="00551882">
        <w:rPr>
          <w:lang w:val="es-419"/>
        </w:rPr>
        <w:t xml:space="preserve">a sustentabilidad de la herbolaria </w:t>
      </w:r>
      <w:r w:rsidR="00551882" w:rsidRPr="00911DE0">
        <w:rPr>
          <w:color w:val="000000" w:themeColor="text1"/>
        </w:rPr>
        <w:t>depende del dialogo permanente de saberes en la inclusión de valores, cosmovisiones e identidades de la cultura local con la naturaleza. Es un ecosistema delicado sujeto a las externalidades provocadas por el ser humano como la deforestación</w:t>
      </w:r>
      <w:r w:rsidR="00551882">
        <w:rPr>
          <w:color w:val="000000" w:themeColor="text1"/>
        </w:rPr>
        <w:t xml:space="preserve"> </w:t>
      </w:r>
      <w:r w:rsidR="00551882" w:rsidRPr="00911DE0">
        <w:rPr>
          <w:color w:val="000000" w:themeColor="text1"/>
        </w:rPr>
        <w:t>o fenómenos naturales, como la actividad volcánica.</w:t>
      </w:r>
      <w:r w:rsidR="00551882">
        <w:rPr>
          <w:color w:val="000000" w:themeColor="text1"/>
        </w:rPr>
        <w:t xml:space="preserve"> </w:t>
      </w:r>
      <w:r w:rsidR="00A754AA">
        <w:rPr>
          <w:color w:val="000000" w:themeColor="text1"/>
        </w:rPr>
        <w:t>P</w:t>
      </w:r>
      <w:r w:rsidR="00A754AA" w:rsidRPr="00A754AA">
        <w:rPr>
          <w:color w:val="000000" w:themeColor="text1"/>
        </w:rPr>
        <w:t xml:space="preserve">udiera presentar una tendencia hacia la insustentabilidad si el consumo es excesivo (ambientalmente no sustentable) por el dominio y explotación humana en una regulación ambiental deficiente y por la lucha contra la pobreza (socialmente no sustentable) teniendo consecuencias negativas que alteren el fino equilibrio que mantiene la sustentabilidad actualmente en la </w:t>
      </w:r>
      <w:r w:rsidR="00A754AA">
        <w:rPr>
          <w:color w:val="000000" w:themeColor="text1"/>
        </w:rPr>
        <w:t>zona</w:t>
      </w:r>
      <w:r w:rsidR="00A754AA" w:rsidRPr="00A754AA">
        <w:rPr>
          <w:color w:val="000000" w:themeColor="text1"/>
        </w:rPr>
        <w:t xml:space="preserve"> de estudio, el cual depende del </w:t>
      </w:r>
      <w:r w:rsidR="00A754AA" w:rsidRPr="00A754AA">
        <w:rPr>
          <w:color w:val="000000" w:themeColor="text1"/>
        </w:rPr>
        <w:lastRenderedPageBreak/>
        <w:t>crecimiento exponencial de la población (consumidor) y la capacidad de carga natural (productor) que tienen los ecosistemas</w:t>
      </w:r>
      <w:r w:rsidR="00A754AA">
        <w:rPr>
          <w:color w:val="000000" w:themeColor="text1"/>
        </w:rPr>
        <w:t>.</w:t>
      </w:r>
    </w:p>
    <w:p w14:paraId="3D9E7D86" w14:textId="73941232" w:rsidR="00CB363A" w:rsidRDefault="00B91760" w:rsidP="002609E2">
      <w:r>
        <w:rPr>
          <w:color w:val="000000" w:themeColor="text1"/>
        </w:rPr>
        <w:t xml:space="preserve">Al </w:t>
      </w:r>
      <w:r>
        <w:t xml:space="preserve">adicionar plantas locales a la alimentación de los conejos </w:t>
      </w:r>
      <w:r w:rsidR="00CC756F">
        <w:t xml:space="preserve">se </w:t>
      </w:r>
      <w:r>
        <w:t xml:space="preserve">tiene como resultado una tendencia hacia la sustentabilidad por la coherencia con la protección y manejo de la biodiversidad, suelo y agua, </w:t>
      </w:r>
      <w:r w:rsidR="00CC756F">
        <w:t xml:space="preserve">las cuales </w:t>
      </w:r>
      <w:r>
        <w:t xml:space="preserve">son manejadas por productores-agricultores o productores con cercanía a áreas agrícolas por las prácticas agroecológicas. Pues son ellos quienes realizan explotaciones consientes y éticas, </w:t>
      </w:r>
      <w:r w:rsidR="00CC756F">
        <w:t>favoreciendo</w:t>
      </w:r>
      <w:r>
        <w:t xml:space="preserve"> la interacción entre actores sociales y la conservación del medio ambiente. Se evidencia por la trascendencia y adaptabilidad siendo una opción de desarrollo humano y local en la mejora y conservación de la calidad de vida de los productores.</w:t>
      </w:r>
      <w:r w:rsidR="003C3877">
        <w:t xml:space="preserve"> La planta con mejor rendimiento productivo </w:t>
      </w:r>
      <w:r w:rsidR="00CC756F">
        <w:t>fue</w:t>
      </w:r>
      <w:r w:rsidR="003C3877">
        <w:t xml:space="preserve"> el romero (</w:t>
      </w:r>
      <w:r w:rsidR="003C3877" w:rsidRPr="003C3877">
        <w:rPr>
          <w:i/>
          <w:iCs/>
          <w:lang w:val="es-419"/>
        </w:rPr>
        <w:t>Rosmarinus officinalis</w:t>
      </w:r>
      <w:r w:rsidR="003C3877">
        <w:t xml:space="preserve">), </w:t>
      </w:r>
      <w:r w:rsidR="00CC756F">
        <w:t xml:space="preserve">el cual </w:t>
      </w:r>
      <w:r w:rsidR="003C3877">
        <w:t>no modifica la calidad de la carne</w:t>
      </w:r>
      <w:r w:rsidR="00CC756F">
        <w:t xml:space="preserve"> y</w:t>
      </w:r>
      <w:r w:rsidR="003C3877">
        <w:t xml:space="preserve"> tiene menor costo productivo debido a los compuestos bioactivos contenidos</w:t>
      </w:r>
      <w:r w:rsidR="00CC756F">
        <w:t>.</w:t>
      </w:r>
      <w:r w:rsidR="003C3877">
        <w:t xml:space="preserve"> </w:t>
      </w:r>
      <w:r w:rsidR="00CC756F">
        <w:t>S</w:t>
      </w:r>
      <w:r w:rsidR="003C3877">
        <w:t>e siembra en la zona de estudio.</w:t>
      </w:r>
    </w:p>
    <w:p w14:paraId="3BF4681B" w14:textId="128AF14B" w:rsidR="008A44F9" w:rsidRDefault="003C3877" w:rsidP="002609E2">
      <w:pPr>
        <w:pStyle w:val="Sinespaciado"/>
        <w:spacing w:line="360" w:lineRule="auto"/>
      </w:pPr>
      <w:r>
        <w:t xml:space="preserve">Se concluye </w:t>
      </w:r>
      <w:r w:rsidR="00025230">
        <w:t xml:space="preserve">la pertinencia de </w:t>
      </w:r>
      <w:r w:rsidR="008A44F9">
        <w:t xml:space="preserve">crear </w:t>
      </w:r>
      <w:r w:rsidR="008A44F9">
        <w:rPr>
          <w:rFonts w:cs="Arial"/>
          <w:bCs/>
        </w:rPr>
        <w:t>una asociación de productores pertenecientes a la zona oriente del Estado de México con la finalidad de gestionar apoyos necesarios para potencializar la producción y comercialización de la carne de conejo, generar sesiones de retroalimentación entre productores y especialistas en el área para fortalecerse mediante la articulación técnica para generar conocimiento de forma equitativa, informar a los productores las innovaciones en alimentación generada</w:t>
      </w:r>
      <w:r w:rsidR="00CC756F">
        <w:rPr>
          <w:rFonts w:cs="Arial"/>
          <w:bCs/>
        </w:rPr>
        <w:t>s</w:t>
      </w:r>
      <w:r w:rsidR="008A44F9">
        <w:rPr>
          <w:rFonts w:cs="Arial"/>
          <w:bCs/>
        </w:rPr>
        <w:t xml:space="preserve"> por los especialistas en el área experimental y que benefician a las </w:t>
      </w:r>
      <w:r w:rsidR="008A44F9" w:rsidRPr="00E051CA">
        <w:t>unidades productivas cunícolas de traspatio</w:t>
      </w:r>
      <w:r w:rsidR="008A44F9">
        <w:t xml:space="preserve"> en los ámbitos productivos, económicos y socio-territorial; y para los productores que no son agricultores o no tienen contacto directo con las zonas agrícolas, fomentar las prácticas agroecológicas, pues son estas la base para la sustentabilidad.</w:t>
      </w:r>
    </w:p>
    <w:p w14:paraId="6968425B" w14:textId="77777777" w:rsidR="00D52AE2" w:rsidRDefault="00D52AE2" w:rsidP="002609E2">
      <w:pPr>
        <w:pStyle w:val="Sinespaciado"/>
        <w:spacing w:line="360" w:lineRule="auto"/>
      </w:pPr>
    </w:p>
    <w:p w14:paraId="257CBB7C" w14:textId="6AAEF753" w:rsidR="002609E2" w:rsidRDefault="003025A9" w:rsidP="002609E2">
      <w:pPr>
        <w:pStyle w:val="Sinespaciado"/>
        <w:spacing w:line="360" w:lineRule="auto"/>
      </w:pPr>
      <w:r w:rsidRPr="00CC756F">
        <w:rPr>
          <w:b/>
          <w:bCs/>
        </w:rPr>
        <w:t>PALABRAS CLAVE</w:t>
      </w:r>
      <w:r>
        <w:t xml:space="preserve">: </w:t>
      </w:r>
      <w:r w:rsidR="00D52AE2">
        <w:t xml:space="preserve">Sustentabilidad productiva, Parámetros productivos, Cunicultura, Herbolaria. </w:t>
      </w:r>
    </w:p>
    <w:p w14:paraId="59D41A7D" w14:textId="224C9EC0" w:rsidR="00B91760" w:rsidRDefault="002609E2" w:rsidP="00A84BC1">
      <w:pPr>
        <w:spacing w:before="0" w:beforeAutospacing="0" w:after="160" w:afterAutospacing="0"/>
        <w:rPr>
          <w:b/>
          <w:bCs/>
          <w:color w:val="000000" w:themeColor="text1"/>
          <w:lang w:val="en-US"/>
        </w:rPr>
      </w:pPr>
      <w:r w:rsidRPr="0087391D">
        <w:rPr>
          <w:lang w:val="en-US"/>
        </w:rPr>
        <w:br w:type="page"/>
      </w:r>
      <w:r w:rsidR="004D279C" w:rsidRPr="00CC756F">
        <w:rPr>
          <w:b/>
          <w:bCs/>
          <w:color w:val="000000" w:themeColor="text1"/>
          <w:lang w:val="en-US"/>
        </w:rPr>
        <w:lastRenderedPageBreak/>
        <w:t>ABSTRAC</w:t>
      </w:r>
      <w:r w:rsidR="00D52AE2" w:rsidRPr="00CC756F">
        <w:rPr>
          <w:b/>
          <w:bCs/>
          <w:color w:val="000000" w:themeColor="text1"/>
          <w:lang w:val="en-US"/>
        </w:rPr>
        <w:t>T</w:t>
      </w:r>
    </w:p>
    <w:p w14:paraId="7072F6D4" w14:textId="77777777" w:rsidR="0079142B" w:rsidRPr="005A6716" w:rsidRDefault="0079142B" w:rsidP="00A84BC1">
      <w:pPr>
        <w:spacing w:before="0" w:beforeAutospacing="0" w:after="160" w:afterAutospacing="0"/>
        <w:rPr>
          <w:lang w:val="en-US"/>
        </w:rPr>
      </w:pPr>
    </w:p>
    <w:p w14:paraId="7B867ACF" w14:textId="5FB4F280" w:rsidR="00EE5575" w:rsidRDefault="00EE5575" w:rsidP="00633C48">
      <w:pPr>
        <w:rPr>
          <w:lang w:val="en-US"/>
        </w:rPr>
      </w:pPr>
      <w:r>
        <w:rPr>
          <w:lang w:val="en-US"/>
        </w:rPr>
        <w:t>S</w:t>
      </w:r>
      <w:r w:rsidR="00CC756F" w:rsidRPr="00CC756F">
        <w:rPr>
          <w:lang w:val="en-US"/>
        </w:rPr>
        <w:t xml:space="preserve">ustainable agricultural systems, they must be "capable of maintaining a flow of goods and services over time that satisfy the nutritional, socioeconomic and cultural needs of the population, without excluding the relationship with the natural systems that support it." (Sarandón, 2011, p.7). </w:t>
      </w:r>
      <w:r w:rsidRPr="00EE5575">
        <w:rPr>
          <w:lang w:val="en-US"/>
        </w:rPr>
        <w:t>Since it is necessary to include traditional knowledge in production systems, it can be convenient for endogenous development and can be reproduced in different territories.</w:t>
      </w:r>
    </w:p>
    <w:p w14:paraId="77EB7E6A" w14:textId="77777777" w:rsidR="00CE784F" w:rsidRPr="00CE784F" w:rsidRDefault="00CE784F" w:rsidP="00CE784F">
      <w:pPr>
        <w:rPr>
          <w:lang w:val="en-US"/>
        </w:rPr>
      </w:pPr>
      <w:r w:rsidRPr="00CE784F">
        <w:rPr>
          <w:lang w:val="en-US"/>
        </w:rPr>
        <w:t>In Mexico there are systems that comply with the previous concept, although they do not have a greater presence in regulatory bodies such as the Federal Commission for Protection against Sanitary Risks (COFEPRIS) or the Ministry of Agriculture, Livestock, Rural Development, Fisheries and Food (SAGARPA). The systems considered by these organisms are extensive and correspond to the model proposed by the Green Revolution, identified by serious environmental degradation.</w:t>
      </w:r>
    </w:p>
    <w:p w14:paraId="205D9A8D" w14:textId="32BD70D6" w:rsidR="00CE784F" w:rsidRPr="00CE784F" w:rsidRDefault="00CE784F" w:rsidP="00CE784F">
      <w:pPr>
        <w:rPr>
          <w:lang w:val="en-US"/>
        </w:rPr>
      </w:pPr>
      <w:r w:rsidRPr="00CE784F">
        <w:rPr>
          <w:lang w:val="en-US"/>
        </w:rPr>
        <w:t xml:space="preserve">The alternative is backyard production systems, as they do not belong to an </w:t>
      </w:r>
      <w:r w:rsidR="00A2632B" w:rsidRPr="00CE784F">
        <w:rPr>
          <w:lang w:val="en-US"/>
        </w:rPr>
        <w:t>association,</w:t>
      </w:r>
      <w:r w:rsidRPr="00CE784F">
        <w:rPr>
          <w:lang w:val="en-US"/>
        </w:rPr>
        <w:t xml:space="preserve"> they are excluded from the management of government economic support destined for endogenous development. They have wide social acceptance, tradition, culture, their products are marketed through short chains and incorporate agroecological practices and an example of this are herbalism and rabbit farming.</w:t>
      </w:r>
    </w:p>
    <w:p w14:paraId="41FED862" w14:textId="7A473CE9" w:rsidR="00CE784F" w:rsidRPr="00CE784F" w:rsidRDefault="00CE784F" w:rsidP="00CE784F">
      <w:pPr>
        <w:rPr>
          <w:lang w:val="en-US"/>
        </w:rPr>
      </w:pPr>
      <w:r w:rsidRPr="00CE784F">
        <w:rPr>
          <w:lang w:val="en-US"/>
        </w:rPr>
        <w:t xml:space="preserve">Both practices are carried out in the eastern part of the State of Mexico, they collaborate in the local economy, give identity to the </w:t>
      </w:r>
      <w:r w:rsidR="00A2632B" w:rsidRPr="00CE784F">
        <w:rPr>
          <w:lang w:val="en-US"/>
        </w:rPr>
        <w:t>area,</w:t>
      </w:r>
      <w:r w:rsidRPr="00CE784F">
        <w:rPr>
          <w:lang w:val="en-US"/>
        </w:rPr>
        <w:t xml:space="preserve"> and are related to the environment, and they were also analyzed with the same dimensions proposed in the objective. This research proposes "to evaluate the interaction of the agroecological, socio-territorial and economic dimensions of the backyard rabbit production units when using herbal medicine".</w:t>
      </w:r>
    </w:p>
    <w:p w14:paraId="3BC7F1F7" w14:textId="586A65FA" w:rsidR="00CE784F" w:rsidRDefault="00CE784F" w:rsidP="00CE784F">
      <w:pPr>
        <w:rPr>
          <w:lang w:val="en-US"/>
        </w:rPr>
      </w:pPr>
      <w:r w:rsidRPr="00CE784F">
        <w:rPr>
          <w:lang w:val="en-US"/>
        </w:rPr>
        <w:t xml:space="preserve">The analysis of the sustainability of the backyard rabbit production units was carried out using the IDEA method. For the evaluation of the herbalism, the ethnobotanical </w:t>
      </w:r>
      <w:r w:rsidRPr="00CE784F">
        <w:rPr>
          <w:lang w:val="en-US"/>
        </w:rPr>
        <w:lastRenderedPageBreak/>
        <w:t>method was used, through interviews, ethnobotanical parameters were obtained. The use of herbalism in the backyard rabbit production units was carried out through the PRISMA method, where the</w:t>
      </w:r>
      <w:r>
        <w:rPr>
          <w:lang w:val="en-US"/>
        </w:rPr>
        <w:t xml:space="preserve"> </w:t>
      </w:r>
      <w:r w:rsidRPr="00CE784F">
        <w:rPr>
          <w:lang w:val="en-US"/>
        </w:rPr>
        <w:t>following plants blue agave (</w:t>
      </w:r>
      <w:r w:rsidRPr="00C5489D">
        <w:rPr>
          <w:i/>
          <w:iCs/>
          <w:lang w:val="en-US"/>
        </w:rPr>
        <w:t>Agave tequilana</w:t>
      </w:r>
      <w:r w:rsidRPr="00CE784F">
        <w:rPr>
          <w:lang w:val="en-US"/>
        </w:rPr>
        <w:t>), coriander (</w:t>
      </w:r>
      <w:r w:rsidRPr="00C5489D">
        <w:rPr>
          <w:i/>
          <w:iCs/>
          <w:lang w:val="en-US"/>
        </w:rPr>
        <w:t>Coriandrum sativum</w:t>
      </w:r>
      <w:r w:rsidRPr="00CE784F">
        <w:rPr>
          <w:lang w:val="en-US"/>
        </w:rPr>
        <w:t>), bunting (</w:t>
      </w:r>
      <w:r w:rsidRPr="00C5489D">
        <w:rPr>
          <w:i/>
          <w:iCs/>
          <w:lang w:val="en-US"/>
        </w:rPr>
        <w:t>Erythrina coralloides</w:t>
      </w:r>
      <w:r w:rsidRPr="00CE784F">
        <w:rPr>
          <w:lang w:val="en-US"/>
        </w:rPr>
        <w:t>), epazote (</w:t>
      </w:r>
      <w:r w:rsidRPr="00C5489D">
        <w:rPr>
          <w:i/>
          <w:iCs/>
          <w:lang w:val="en-US"/>
        </w:rPr>
        <w:t>Chenopodium ambrosioides</w:t>
      </w:r>
      <w:r w:rsidRPr="00CE784F">
        <w:rPr>
          <w:lang w:val="en-US"/>
        </w:rPr>
        <w:t>), moringa (</w:t>
      </w:r>
      <w:r w:rsidRPr="00C5489D">
        <w:rPr>
          <w:i/>
          <w:iCs/>
          <w:lang w:val="en-US"/>
        </w:rPr>
        <w:t>Moringa oleifera</w:t>
      </w:r>
      <w:r w:rsidRPr="00CE784F">
        <w:rPr>
          <w:lang w:val="en-US"/>
        </w:rPr>
        <w:t>), noni (</w:t>
      </w:r>
      <w:r w:rsidRPr="00C5489D">
        <w:rPr>
          <w:i/>
          <w:iCs/>
          <w:lang w:val="en-US"/>
        </w:rPr>
        <w:t>Morinda citrifolia</w:t>
      </w:r>
      <w:r w:rsidRPr="00CE784F">
        <w:rPr>
          <w:lang w:val="en-US"/>
        </w:rPr>
        <w:t>), rosemary (</w:t>
      </w:r>
      <w:r w:rsidRPr="00C5489D">
        <w:rPr>
          <w:i/>
          <w:iCs/>
          <w:lang w:val="en-US"/>
        </w:rPr>
        <w:t>Rosmarinus officinalis</w:t>
      </w:r>
      <w:r w:rsidRPr="00CE784F">
        <w:rPr>
          <w:lang w:val="en-US"/>
        </w:rPr>
        <w:t>) and thyme (</w:t>
      </w:r>
      <w:r w:rsidRPr="00C5489D">
        <w:rPr>
          <w:i/>
          <w:iCs/>
          <w:lang w:val="en-US"/>
        </w:rPr>
        <w:t>Thymus vulgaris</w:t>
      </w:r>
      <w:r w:rsidRPr="00CE784F">
        <w:rPr>
          <w:lang w:val="en-US"/>
        </w:rPr>
        <w:t>) added in the feeding of rabbits</w:t>
      </w:r>
      <w:r>
        <w:rPr>
          <w:lang w:val="en-US"/>
        </w:rPr>
        <w:t xml:space="preserve">. </w:t>
      </w:r>
    </w:p>
    <w:p w14:paraId="37A815B1" w14:textId="77777777" w:rsidR="00CC756F" w:rsidRPr="00CC756F" w:rsidRDefault="00CC756F" w:rsidP="00633C48">
      <w:pPr>
        <w:rPr>
          <w:lang w:val="en-US"/>
        </w:rPr>
      </w:pPr>
      <w:r w:rsidRPr="00CC756F">
        <w:rPr>
          <w:lang w:val="en-US"/>
        </w:rPr>
        <w:t>The main results are when analyzing the sustainability of the backyard rabbit production units, it was observed that it is a practice where the interaction between producers with the environment and society is enriched and increased. Consequently, the local economy is favored in the short and medium term.</w:t>
      </w:r>
    </w:p>
    <w:p w14:paraId="4654F48D" w14:textId="0928EAA1" w:rsidR="00CC756F" w:rsidRPr="00CC756F" w:rsidRDefault="00CC756F" w:rsidP="00633C48">
      <w:pPr>
        <w:rPr>
          <w:lang w:val="en-US"/>
        </w:rPr>
      </w:pPr>
      <w:r w:rsidRPr="00CC756F">
        <w:rPr>
          <w:lang w:val="en-US"/>
        </w:rPr>
        <w:t xml:space="preserve">There is greater citizen coherence in the UPCTs that are managed by producers-farmers, since in these there is an interaction, </w:t>
      </w:r>
      <w:r w:rsidR="00633C48" w:rsidRPr="00CC756F">
        <w:rPr>
          <w:lang w:val="en-US"/>
        </w:rPr>
        <w:t>reinforcement,</w:t>
      </w:r>
      <w:r w:rsidRPr="00CC756F">
        <w:rPr>
          <w:lang w:val="en-US"/>
        </w:rPr>
        <w:t xml:space="preserve"> and interdependence in the dimensions by action of the social actor. These serve as entrepreneurs and agronomists, based on the use of local resources and products. </w:t>
      </w:r>
      <w:r w:rsidR="00633C48" w:rsidRPr="00CC756F">
        <w:rPr>
          <w:lang w:val="en-US"/>
        </w:rPr>
        <w:t>Thus,</w:t>
      </w:r>
      <w:r w:rsidRPr="00CC756F">
        <w:rPr>
          <w:lang w:val="en-US"/>
        </w:rPr>
        <w:t xml:space="preserve"> generating an autonomy of capacities in the establishment of guidelines towards an agroecological transition of food production systems.</w:t>
      </w:r>
    </w:p>
    <w:p w14:paraId="666A96F4" w14:textId="066DC640" w:rsidR="00CC756F" w:rsidRDefault="00CC756F" w:rsidP="00633C48">
      <w:pPr>
        <w:rPr>
          <w:lang w:val="en-US"/>
        </w:rPr>
      </w:pPr>
      <w:r w:rsidRPr="00CC756F">
        <w:rPr>
          <w:lang w:val="en-US"/>
        </w:rPr>
        <w:t xml:space="preserve">The sustainability of herbalism depends on the permanent dialogue of knowledge in the inclusion of values, </w:t>
      </w:r>
      <w:r w:rsidR="00633C48" w:rsidRPr="00CC756F">
        <w:rPr>
          <w:lang w:val="en-US"/>
        </w:rPr>
        <w:t>worldviews,</w:t>
      </w:r>
      <w:r w:rsidRPr="00CC756F">
        <w:rPr>
          <w:lang w:val="en-US"/>
        </w:rPr>
        <w:t xml:space="preserve"> and identities of the local culture with nature. It is a delicate ecosystem subject to human-caused externalities such as deforestation or natural phenomena, such as volcanic activity. It could present a tendency towards unsustainability if consumption is excessive (environmentally unsustainable) due to human domination and exploitation in poor environmental regulation and the fight against poverty (socially unsustainable) having negative consequences that alter the fine balance that it maintains. sustainability currently in the study area, which depends on the exponential growth of the population (consumer) and the natural carrying capacity (producer) that ecosystems have.</w:t>
      </w:r>
    </w:p>
    <w:p w14:paraId="69ECB693" w14:textId="3C5B2AA4" w:rsidR="00CC756F" w:rsidRPr="00CC756F" w:rsidRDefault="00CC756F" w:rsidP="00633C48">
      <w:pPr>
        <w:rPr>
          <w:lang w:val="en-US"/>
        </w:rPr>
      </w:pPr>
      <w:r w:rsidRPr="00CC756F">
        <w:rPr>
          <w:lang w:val="en-US"/>
        </w:rPr>
        <w:lastRenderedPageBreak/>
        <w:t>By adding local plants to the feeding of the rabbits, the result is a tendency towards sustainability due to the coherence with the protection and management of biodiversity, soil</w:t>
      </w:r>
      <w:r w:rsidR="00633C48">
        <w:rPr>
          <w:lang w:val="en-US"/>
        </w:rPr>
        <w:t>,</w:t>
      </w:r>
      <w:r w:rsidRPr="00CC756F">
        <w:rPr>
          <w:lang w:val="en-US"/>
        </w:rPr>
        <w:t xml:space="preserve"> and water, which are managed by producers-farmers or producers close to agricultural areas. by agroecological practices. Well, they are the ones who carry out conscious and ethical exploitations, favoring the interaction between social actors and the conservation of the environment. It is evidenced by the transcendence and adaptability, being an option for human and local development in the improvement and conservation of the quality of life of the producers. The plant with the best productive performance was rosemary (</w:t>
      </w:r>
      <w:r w:rsidRPr="00633C48">
        <w:rPr>
          <w:i/>
          <w:iCs/>
          <w:lang w:val="en-US"/>
        </w:rPr>
        <w:t>Rosmarinus officinalis</w:t>
      </w:r>
      <w:r w:rsidRPr="00CC756F">
        <w:rPr>
          <w:lang w:val="en-US"/>
        </w:rPr>
        <w:t>), which does not modify the quality of the meat and has a lower production cost due to the bioactive compounds contained. It is sown in the study area.</w:t>
      </w:r>
    </w:p>
    <w:p w14:paraId="4E4098B5" w14:textId="39252395" w:rsidR="00CC756F" w:rsidRPr="00437D1F" w:rsidRDefault="00CC756F" w:rsidP="00633C48">
      <w:pPr>
        <w:rPr>
          <w:lang w:val="en-US"/>
        </w:rPr>
      </w:pPr>
      <w:r w:rsidRPr="00CC756F">
        <w:rPr>
          <w:lang w:val="en-US"/>
        </w:rPr>
        <w:t>The relevance of creating an association of producers belonging to the eastern part of the State of Mexico is concluded in order to manage the necessary support to enhance the production and commercialization of rabbit meat, generate feedback sessions between producers and specialists in the area to be strengthened through technical articulation to generate knowledge in an equitable way, inform producers of the innovations in food generated by specialists in the experimental area and that benefit the backyard rabbit production units in the productive, economic and socio-territorial areas; and for producers who are not farmers or do not have direct contact with agricultural areas, promote agroecological practices, since these are the basis for sustainability.</w:t>
      </w:r>
    </w:p>
    <w:p w14:paraId="1CECB706" w14:textId="20C24B2E" w:rsidR="00633C48" w:rsidRDefault="0035764C" w:rsidP="00D52AE2">
      <w:pPr>
        <w:pStyle w:val="Sinespaciado"/>
        <w:spacing w:line="480" w:lineRule="auto"/>
        <w:rPr>
          <w:lang w:val="en-US"/>
        </w:rPr>
      </w:pPr>
      <w:r w:rsidRPr="00633C48">
        <w:rPr>
          <w:b/>
          <w:bCs/>
          <w:lang w:val="en-US"/>
        </w:rPr>
        <w:t>KEY WORDS</w:t>
      </w:r>
      <w:r w:rsidRPr="00437D1F">
        <w:rPr>
          <w:lang w:val="en-US"/>
        </w:rPr>
        <w:t>: Productive sustainability, Productive parameters, Cuniculture, Herbology</w:t>
      </w:r>
      <w:r w:rsidR="00633C48">
        <w:rPr>
          <w:lang w:val="en-US"/>
        </w:rPr>
        <w:br w:type="page"/>
      </w:r>
    </w:p>
    <w:p w14:paraId="74AEC5C6" w14:textId="3F3FF687" w:rsidR="00AF466B" w:rsidRPr="00633C48" w:rsidRDefault="00AF466B" w:rsidP="00AF466B">
      <w:pPr>
        <w:pStyle w:val="Prrafodelista"/>
        <w:numPr>
          <w:ilvl w:val="0"/>
          <w:numId w:val="6"/>
        </w:numPr>
        <w:autoSpaceDE w:val="0"/>
        <w:autoSpaceDN w:val="0"/>
        <w:adjustRightInd w:val="0"/>
        <w:spacing w:after="0" w:line="480" w:lineRule="auto"/>
        <w:rPr>
          <w:b/>
        </w:rPr>
      </w:pPr>
      <w:r w:rsidRPr="00633C48">
        <w:rPr>
          <w:b/>
        </w:rPr>
        <w:lastRenderedPageBreak/>
        <w:t xml:space="preserve">INTRODUCCIÓN </w:t>
      </w:r>
    </w:p>
    <w:p w14:paraId="343AC2BE" w14:textId="2A46C6FC" w:rsidR="005D53A0" w:rsidRDefault="004426D5" w:rsidP="00633C48">
      <w:pPr>
        <w:autoSpaceDE w:val="0"/>
        <w:autoSpaceDN w:val="0"/>
        <w:adjustRightInd w:val="0"/>
        <w:spacing w:after="0"/>
        <w:rPr>
          <w:bCs/>
        </w:rPr>
      </w:pPr>
      <w:r>
        <w:rPr>
          <w:bCs/>
        </w:rPr>
        <w:t xml:space="preserve">La presente investigación se gestó con la idea de estudiar la sustentabilidad </w:t>
      </w:r>
      <w:r w:rsidR="00CB15D0">
        <w:rPr>
          <w:bCs/>
        </w:rPr>
        <w:t>de dos sistemas agroalimentarios, la herbolaria y cunicultura, en individual</w:t>
      </w:r>
      <w:r>
        <w:rPr>
          <w:bCs/>
        </w:rPr>
        <w:t xml:space="preserve"> y </w:t>
      </w:r>
      <w:r w:rsidR="00633C48">
        <w:rPr>
          <w:bCs/>
        </w:rPr>
        <w:t xml:space="preserve">en </w:t>
      </w:r>
      <w:r>
        <w:rPr>
          <w:bCs/>
        </w:rPr>
        <w:t>conjunto</w:t>
      </w:r>
      <w:r w:rsidR="006413F9">
        <w:rPr>
          <w:bCs/>
        </w:rPr>
        <w:t>.</w:t>
      </w:r>
      <w:r>
        <w:rPr>
          <w:bCs/>
        </w:rPr>
        <w:t xml:space="preserve"> </w:t>
      </w:r>
      <w:r w:rsidR="006413F9">
        <w:rPr>
          <w:bCs/>
        </w:rPr>
        <w:t>E</w:t>
      </w:r>
      <w:r>
        <w:rPr>
          <w:bCs/>
        </w:rPr>
        <w:t>n el contexto de</w:t>
      </w:r>
      <w:r w:rsidR="006413F9">
        <w:rPr>
          <w:bCs/>
        </w:rPr>
        <w:t xml:space="preserve"> que ambos son promotores de crecimiento y desarrollo local</w:t>
      </w:r>
      <w:r w:rsidR="006531EC">
        <w:rPr>
          <w:bCs/>
        </w:rPr>
        <w:t xml:space="preserve"> de la zona oriente del Estado de México</w:t>
      </w:r>
      <w:r w:rsidR="006413F9">
        <w:rPr>
          <w:bCs/>
        </w:rPr>
        <w:t>.</w:t>
      </w:r>
      <w:r w:rsidR="00CB15D0">
        <w:rPr>
          <w:bCs/>
        </w:rPr>
        <w:t xml:space="preserve"> </w:t>
      </w:r>
      <w:r w:rsidR="002C7E1C">
        <w:rPr>
          <w:bCs/>
        </w:rPr>
        <w:t xml:space="preserve">Existen diferentes metodologías para determinar la sustentabilidad para este estudio se eligió el método IDEA, </w:t>
      </w:r>
      <w:r w:rsidR="00633C48">
        <w:rPr>
          <w:bCs/>
        </w:rPr>
        <w:t>el cual</w:t>
      </w:r>
      <w:r w:rsidR="006531EC">
        <w:rPr>
          <w:bCs/>
        </w:rPr>
        <w:t xml:space="preserve"> ha sido aplicado en sistemas productivos lecheros y </w:t>
      </w:r>
      <w:r w:rsidR="000309C5">
        <w:rPr>
          <w:bCs/>
        </w:rPr>
        <w:t>se adaptó para el sistema cunícola</w:t>
      </w:r>
      <w:r w:rsidR="005D53A0">
        <w:rPr>
          <w:bCs/>
        </w:rPr>
        <w:t>.</w:t>
      </w:r>
    </w:p>
    <w:p w14:paraId="47ECE284" w14:textId="0AE4A990" w:rsidR="00E7349C" w:rsidRDefault="008D20B4" w:rsidP="00633C48">
      <w:pPr>
        <w:autoSpaceDE w:val="0"/>
        <w:autoSpaceDN w:val="0"/>
        <w:adjustRightInd w:val="0"/>
        <w:spacing w:after="0"/>
      </w:pPr>
      <w:r>
        <w:rPr>
          <w:bCs/>
        </w:rPr>
        <w:t xml:space="preserve">A los sistemas productivos de carne se les ha señalado por la </w:t>
      </w:r>
      <w:r w:rsidR="00AE573E">
        <w:rPr>
          <w:bCs/>
        </w:rPr>
        <w:t>sobrecarga a nivel mundial</w:t>
      </w:r>
      <w:r>
        <w:rPr>
          <w:bCs/>
        </w:rPr>
        <w:t xml:space="preserve"> </w:t>
      </w:r>
      <w:r w:rsidR="00AE573E">
        <w:t>ya que recurre</w:t>
      </w:r>
      <w:r w:rsidR="00633C48">
        <w:t>n</w:t>
      </w:r>
      <w:r w:rsidR="00AE573E">
        <w:t xml:space="preserve"> al uso y abuso de tratamientos veterinarios que deterioran el medio ambiente estimulando el crecimiento animal, lo que incrementa los ingresos económicos del productor. Pero</w:t>
      </w:r>
      <w:r w:rsidR="00633C48">
        <w:t>,</w:t>
      </w:r>
      <w:r w:rsidR="00AE573E">
        <w:t xml:space="preserve"> ocasiona efectos secundarios negativos con altas repercusiones ambientales al consumidor final a corto, mediano y largo plazo. Estas acciones </w:t>
      </w:r>
      <w:r w:rsidR="00781D82">
        <w:t>cor</w:t>
      </w:r>
      <w:r w:rsidR="00AE573E">
        <w:t>responden a la denominada Revolución verde, donde se tecnificó</w:t>
      </w:r>
      <w:r w:rsidR="00CD13CE">
        <w:t xml:space="preserve"> e intensifico</w:t>
      </w:r>
      <w:r w:rsidR="00AE573E">
        <w:t xml:space="preserve"> a las explotaciones </w:t>
      </w:r>
      <w:r w:rsidR="00767BEC">
        <w:t>agrícolas y en cunicultura</w:t>
      </w:r>
      <w:r w:rsidR="00633C48">
        <w:t>,</w:t>
      </w:r>
      <w:r w:rsidR="00767BEC">
        <w:t xml:space="preserve"> se demerito el conocimiento tradicional expresado en fórmulas alimentarias</w:t>
      </w:r>
      <w:r w:rsidR="00781D82">
        <w:t>, unificando la alimentación mediante nutrimentos balanceados.</w:t>
      </w:r>
      <w:r w:rsidR="006E1F3D">
        <w:t xml:space="preserve"> </w:t>
      </w:r>
    </w:p>
    <w:p w14:paraId="6613A9C9" w14:textId="6D79E83E" w:rsidR="00781D82" w:rsidRDefault="00E7349C" w:rsidP="00633C48">
      <w:pPr>
        <w:autoSpaceDE w:val="0"/>
        <w:autoSpaceDN w:val="0"/>
        <w:adjustRightInd w:val="0"/>
        <w:spacing w:after="0"/>
      </w:pPr>
      <w:r>
        <w:t>Esta misma tecnificación dejo de fuera a las unidades productivas de traspatio. Las cuales al no integrarse en asociaciones no se les otorgan apoyos económicos por parte del Estado</w:t>
      </w:r>
      <w:r w:rsidR="00633C48">
        <w:t>, las cuales</w:t>
      </w:r>
      <w:r>
        <w:t xml:space="preserve"> </w:t>
      </w:r>
      <w:r w:rsidR="00633C48">
        <w:t>no cuentan con</w:t>
      </w:r>
      <w:r>
        <w:t xml:space="preserve"> regulación por parte de los organismos especializados en el área. El apoyo que se les otorga son paquetes productivos y, con ello, manejo técnico. </w:t>
      </w:r>
      <w:r w:rsidR="006E1F3D">
        <w:t xml:space="preserve"> </w:t>
      </w:r>
    </w:p>
    <w:p w14:paraId="1CACF358" w14:textId="78CF7247" w:rsidR="007736A7" w:rsidRDefault="005B2D3D" w:rsidP="00633C48">
      <w:pPr>
        <w:autoSpaceDE w:val="0"/>
        <w:autoSpaceDN w:val="0"/>
        <w:adjustRightInd w:val="0"/>
        <w:spacing w:after="0"/>
      </w:pPr>
      <w:r>
        <w:t>Bajo esta perspectiva</w:t>
      </w:r>
      <w:r w:rsidR="00781D82">
        <w:t xml:space="preserve"> es conveniente </w:t>
      </w:r>
      <w:r w:rsidR="00FC05D1">
        <w:t>re</w:t>
      </w:r>
      <w:r w:rsidR="00781D82">
        <w:t xml:space="preserve">integrar </w:t>
      </w:r>
      <w:r w:rsidR="00FC05D1">
        <w:t xml:space="preserve">el conocimiento tradicional </w:t>
      </w:r>
      <w:r w:rsidR="00781D82">
        <w:t>a las</w:t>
      </w:r>
      <w:r w:rsidR="00E7349C">
        <w:t xml:space="preserve"> unidades productivas de traspatio para generar estrategias que sean de menor costo, fácil acceso y reproducibles</w:t>
      </w:r>
      <w:r w:rsidR="007736A7">
        <w:t>, para que trascienda</w:t>
      </w:r>
      <w:r w:rsidR="00633C48">
        <w:t>n</w:t>
      </w:r>
      <w:r w:rsidR="007736A7">
        <w:t xml:space="preserve"> inter e intrageneracionalmente</w:t>
      </w:r>
      <w:r w:rsidR="00E81307">
        <w:t>.</w:t>
      </w:r>
      <w:r w:rsidR="007736A7">
        <w:t xml:space="preserve"> </w:t>
      </w:r>
      <w:r w:rsidR="00E81307">
        <w:t>De acuerdo con</w:t>
      </w:r>
      <w:r w:rsidR="007736A7">
        <w:t xml:space="preserve"> Leff (2004) </w:t>
      </w:r>
      <w:r w:rsidR="009D328A">
        <w:t>es</w:t>
      </w:r>
      <w:r w:rsidR="007736A7">
        <w:t xml:space="preserve"> necesario pensar y construir una nueva racionalidad productiva mediante la articulación de la revolución </w:t>
      </w:r>
      <w:r w:rsidR="007736A7">
        <w:lastRenderedPageBreak/>
        <w:t>científico-tecnológica, el equilibrio ecológico, la innovación tecnológica y los valores culturales como condición del proceso económico.</w:t>
      </w:r>
    </w:p>
    <w:p w14:paraId="2F919942" w14:textId="71206717" w:rsidR="00781D82" w:rsidRDefault="00293C29" w:rsidP="00633C48">
      <w:pPr>
        <w:autoSpaceDE w:val="0"/>
        <w:autoSpaceDN w:val="0"/>
        <w:adjustRightInd w:val="0"/>
        <w:spacing w:after="0"/>
      </w:pPr>
      <w:r>
        <w:t xml:space="preserve">Esta investigación tiene tres puntos de interés: herbolaria, sustentabilidad y cunicultura. </w:t>
      </w:r>
      <w:r w:rsidR="00A94572">
        <w:t xml:space="preserve">La herbolaria, como práctica de larga </w:t>
      </w:r>
      <w:r w:rsidR="00EE75E3">
        <w:t>trascendencia para el tratamiento de enfermedades en México</w:t>
      </w:r>
      <w:r w:rsidR="00BC7A2C">
        <w:t>, recientemente</w:t>
      </w:r>
      <w:r w:rsidR="004917DC">
        <w:t xml:space="preserve"> el uso traspaso al área veterinaria</w:t>
      </w:r>
      <w:r w:rsidR="00BC7A2C">
        <w:t xml:space="preserve"> por</w:t>
      </w:r>
      <w:r w:rsidR="005B55F7">
        <w:t xml:space="preserve"> parámetros productivos y de calidad de carne. </w:t>
      </w:r>
      <w:r>
        <w:t xml:space="preserve">La sustentabilidad </w:t>
      </w:r>
      <w:r w:rsidR="00D90306">
        <w:t xml:space="preserve">desde el abordaje productivo </w:t>
      </w:r>
      <w:r w:rsidR="00D90306" w:rsidRPr="00D90306">
        <w:t>emplea como fuerza laboral a los integrantes del núcleo familiar, con baja dependencia de insumos energéticos y reintegración de los desechos a otros sistemas productivos</w:t>
      </w:r>
      <w:r w:rsidR="00A528E6">
        <w:t>,</w:t>
      </w:r>
      <w:r w:rsidR="00D90306" w:rsidRPr="00D90306">
        <w:t xml:space="preserve"> fortaleciendo las comunidades rurales a largo plazo, mediante la administración del medio ambiente por los actores rurales para la producción de bienes y servicios fomentando el desarrollo endógeno.</w:t>
      </w:r>
      <w:r w:rsidR="004F46B1">
        <w:t xml:space="preserve"> </w:t>
      </w:r>
      <w:r w:rsidR="00D90306">
        <w:t>Por último, la cunicultura</w:t>
      </w:r>
      <w:r w:rsidR="00530D13">
        <w:t xml:space="preserve"> es el proceso de reproducción, cría y engorde de conejos, en forma económica, orientada a obtener el máximo beneficio en la venta de sus productos y subproductos.</w:t>
      </w:r>
    </w:p>
    <w:p w14:paraId="38029407" w14:textId="3888B0CD" w:rsidR="00530D13" w:rsidRDefault="00530D13" w:rsidP="00633C48">
      <w:r>
        <w:t xml:space="preserve">El objetivo general de la investigación </w:t>
      </w:r>
      <w:r w:rsidR="00A528E6">
        <w:t>fue</w:t>
      </w:r>
      <w:r>
        <w:t xml:space="preserve"> “E</w:t>
      </w:r>
      <w:r w:rsidRPr="00880AF4">
        <w:t>valuar la interacción de las dimensiones agroecológica, socio-territorial y económica de las unidades productivas cunícolas de traspatio al emplear la herbolaria</w:t>
      </w:r>
      <w:r>
        <w:t>”</w:t>
      </w:r>
      <w:r w:rsidRPr="00880AF4">
        <w:rPr>
          <w:lang w:val="es-419"/>
        </w:rPr>
        <w:t>.</w:t>
      </w:r>
      <w:r>
        <w:rPr>
          <w:lang w:val="es-419"/>
        </w:rPr>
        <w:t xml:space="preserve"> La hipótesis planteada </w:t>
      </w:r>
      <w:r w:rsidR="00A528E6">
        <w:rPr>
          <w:lang w:val="es-419"/>
        </w:rPr>
        <w:t>fue</w:t>
      </w:r>
      <w:r>
        <w:rPr>
          <w:lang w:val="es-419"/>
        </w:rPr>
        <w:t xml:space="preserve"> “</w:t>
      </w:r>
      <w:r w:rsidRPr="00880AF4">
        <w:t>Al emplear la herbolaria en las unidades productivas cunícolas de traspatio, se aumenta la interacción de las dimensiones agroecológica, socio-territorial y económica</w:t>
      </w:r>
      <w:r w:rsidR="006B7AAE">
        <w:t xml:space="preserve"> mejorando la sustentabilidad del sistema</w:t>
      </w:r>
      <w:r>
        <w:t>”.</w:t>
      </w:r>
    </w:p>
    <w:p w14:paraId="396C1A5C" w14:textId="0B61ECA6" w:rsidR="00530D13" w:rsidRDefault="00A528E6" w:rsidP="00633C48">
      <w:r>
        <w:t>E</w:t>
      </w:r>
      <w:r w:rsidR="00FD75A4">
        <w:t xml:space="preserve">l análisis de la herbolaria y la cunicultura se realizó mediante la Teoría de Sistemas Complejos para poder </w:t>
      </w:r>
      <w:r w:rsidR="00AA5706">
        <w:t xml:space="preserve">conocer la dinámica al interior de ambos sistemas. De manera específica </w:t>
      </w:r>
      <w:r>
        <w:t>en</w:t>
      </w:r>
      <w:r w:rsidR="00AA5706">
        <w:t xml:space="preserve"> la cunicultura se empleó el método IDEA</w:t>
      </w:r>
      <w:r w:rsidR="002C2FA3">
        <w:t>, aplicando un instrumento</w:t>
      </w:r>
      <w:r w:rsidR="004A2453">
        <w:t>-cuestionario</w:t>
      </w:r>
      <w:r w:rsidR="002C2FA3">
        <w:t xml:space="preserve"> adaptado a los productores de la zona oriente del Estado de México</w:t>
      </w:r>
      <w:r w:rsidR="00B12555">
        <w:t>, se tomaron fotografías de las unidades productivas cunícolas de traspatio</w:t>
      </w:r>
      <w:r w:rsidR="004A2453">
        <w:t xml:space="preserve">. </w:t>
      </w:r>
      <w:r w:rsidR="00B12555">
        <w:t xml:space="preserve">La herbolaria se abordó </w:t>
      </w:r>
      <w:r w:rsidR="000946D8">
        <w:t>con el método etnobotánico, mediante</w:t>
      </w:r>
      <w:r w:rsidR="00B12555">
        <w:t xml:space="preserve"> grupos focales y entrevistas semiestructuradas en grupos de adultos mayores </w:t>
      </w:r>
      <w:r w:rsidR="00D62A98">
        <w:t xml:space="preserve">de tres municipios con presencia de comercialización, uso y aceptación de las plantas </w:t>
      </w:r>
      <w:r w:rsidR="00D62A98">
        <w:lastRenderedPageBreak/>
        <w:t>medicinales</w:t>
      </w:r>
      <w:r w:rsidR="000946D8">
        <w:t xml:space="preserve"> y se obtuvieron parámetros etnobotánicos</w:t>
      </w:r>
      <w:r w:rsidR="00D62A98">
        <w:t xml:space="preserve">. Por último, </w:t>
      </w:r>
      <w:r>
        <w:t>la</w:t>
      </w:r>
      <w:r w:rsidR="00D62A98">
        <w:t xml:space="preserve"> integra</w:t>
      </w:r>
      <w:r>
        <w:t>ción de</w:t>
      </w:r>
      <w:r w:rsidR="00D62A98">
        <w:t xml:space="preserve"> la herbolaria en la cunicultura</w:t>
      </w:r>
      <w:r>
        <w:t xml:space="preserve"> </w:t>
      </w:r>
      <w:r w:rsidR="00D62A98">
        <w:t>se realizó por medio del método IDEA.</w:t>
      </w:r>
    </w:p>
    <w:p w14:paraId="273A991F" w14:textId="252F2E52" w:rsidR="00D62A98" w:rsidRDefault="00AC3AEC" w:rsidP="00633C48">
      <w:r w:rsidRPr="00AC3AEC">
        <w:t xml:space="preserve">El documento se divide en </w:t>
      </w:r>
      <w:r>
        <w:t>diez</w:t>
      </w:r>
      <w:r w:rsidRPr="00AC3AEC">
        <w:t xml:space="preserve"> apartados: </w:t>
      </w:r>
      <w:r>
        <w:t>revisión de bibliografía, planteamiento del problema, justificación, hipótesis, objetivos, metodología, resultados, conclusiones, referencias y anexos.</w:t>
      </w:r>
    </w:p>
    <w:p w14:paraId="5DA43C17" w14:textId="77777777" w:rsidR="00A528E6" w:rsidRDefault="00AC3AEC" w:rsidP="00633C48">
      <w:r>
        <w:t xml:space="preserve">En la revisión de la bibliografía se </w:t>
      </w:r>
      <w:r w:rsidR="006377E4">
        <w:t>detallan los antecedentes de herbolaria, sustentabilidad, cunicultura y unidades productivas cunícolas de traspatio. Así como</w:t>
      </w:r>
      <w:r w:rsidR="00432775">
        <w:t>,</w:t>
      </w:r>
      <w:r w:rsidR="006377E4">
        <w:t xml:space="preserve"> el constructo teórico-epistemológico</w:t>
      </w:r>
      <w:r w:rsidR="00432775">
        <w:t xml:space="preserve"> </w:t>
      </w:r>
      <w:r w:rsidR="00576440">
        <w:t xml:space="preserve">que contempla la Teoría de los Sistemas Complejos, Epistemología ambiental y la Epistemología constructivista. Los apartados siguientes son planteamiento del problema, justificación, hipótesis y objetivos, general y específicos. En la metodología se detalla el diseño </w:t>
      </w:r>
      <w:r w:rsidR="00E76E46">
        <w:t>metodológico por objetivo especifico y la descripción de la zona de estudio. Los resultados están organizados por objetivo específico y producto obtenido.</w:t>
      </w:r>
      <w:r w:rsidR="003101CA">
        <w:t xml:space="preserve"> Por último, conclusiones, referencias y anexos.</w:t>
      </w:r>
    </w:p>
    <w:p w14:paraId="67B78E9E" w14:textId="77777777" w:rsidR="00A528E6" w:rsidRDefault="00A528E6">
      <w:pPr>
        <w:spacing w:before="0" w:beforeAutospacing="0" w:after="160" w:afterAutospacing="0"/>
      </w:pPr>
      <w:r>
        <w:br w:type="page"/>
      </w:r>
    </w:p>
    <w:p w14:paraId="4FA510B0" w14:textId="0A27249C" w:rsidR="007749BE" w:rsidRPr="00A528E6" w:rsidRDefault="007749BE" w:rsidP="008D562C">
      <w:pPr>
        <w:autoSpaceDE w:val="0"/>
        <w:autoSpaceDN w:val="0"/>
        <w:adjustRightInd w:val="0"/>
        <w:spacing w:after="0"/>
        <w:rPr>
          <w:b/>
        </w:rPr>
      </w:pPr>
      <w:r w:rsidRPr="00A528E6">
        <w:rPr>
          <w:b/>
        </w:rPr>
        <w:lastRenderedPageBreak/>
        <w:t>III. REVISIÓN DE LA BIBLIOGRAFÍA</w:t>
      </w:r>
    </w:p>
    <w:p w14:paraId="5E1F0D83" w14:textId="74D1BE42" w:rsidR="003C3468" w:rsidRPr="00A528E6" w:rsidRDefault="004410D7" w:rsidP="008D562C">
      <w:pPr>
        <w:autoSpaceDE w:val="0"/>
        <w:autoSpaceDN w:val="0"/>
        <w:adjustRightInd w:val="0"/>
        <w:spacing w:after="0"/>
        <w:rPr>
          <w:rFonts w:cs="Arial"/>
          <w:b/>
          <w:szCs w:val="24"/>
        </w:rPr>
      </w:pPr>
      <w:r w:rsidRPr="00A528E6">
        <w:rPr>
          <w:b/>
        </w:rPr>
        <w:t xml:space="preserve">3.1 </w:t>
      </w:r>
      <w:r w:rsidR="003C3468" w:rsidRPr="00A528E6">
        <w:rPr>
          <w:b/>
        </w:rPr>
        <w:t>HERBOLARIA</w:t>
      </w:r>
    </w:p>
    <w:p w14:paraId="685655FF" w14:textId="5D60F6E0" w:rsidR="003C3468" w:rsidRPr="009D5269" w:rsidRDefault="003C3468" w:rsidP="008D562C">
      <w:pPr>
        <w:rPr>
          <w:color w:val="000000"/>
          <w:szCs w:val="24"/>
        </w:rPr>
      </w:pPr>
      <w:r w:rsidRPr="009D5269">
        <w:t>El uso de la herbolaria en México se practica desde los grupos étnicos que habitaban en el territorio, por lo que</w:t>
      </w:r>
      <w:r w:rsidR="008D562C">
        <w:t>,</w:t>
      </w:r>
      <w:r w:rsidRPr="009D5269">
        <w:t xml:space="preserve"> los primeros informes fueron redactados por los frailes </w:t>
      </w:r>
      <w:r w:rsidRPr="009D5269">
        <w:rPr>
          <w:color w:val="000000"/>
          <w:szCs w:val="24"/>
        </w:rPr>
        <w:t>que arribaron con los conquistadores españoles desde mediados del siglo XVI</w:t>
      </w:r>
      <w:r>
        <w:rPr>
          <w:color w:val="000000"/>
          <w:szCs w:val="24"/>
        </w:rPr>
        <w:t>.</w:t>
      </w:r>
      <w:r w:rsidRPr="009D5269">
        <w:rPr>
          <w:color w:val="000000"/>
          <w:szCs w:val="24"/>
        </w:rPr>
        <w:t xml:space="preserve"> </w:t>
      </w:r>
      <w:r>
        <w:rPr>
          <w:color w:val="000000"/>
          <w:szCs w:val="24"/>
        </w:rPr>
        <w:t>E</w:t>
      </w:r>
      <w:r w:rsidRPr="009D5269">
        <w:rPr>
          <w:color w:val="000000"/>
          <w:szCs w:val="24"/>
        </w:rPr>
        <w:t xml:space="preserve">l escrito </w:t>
      </w:r>
      <w:r w:rsidR="008D562C">
        <w:rPr>
          <w:color w:val="000000"/>
          <w:szCs w:val="24"/>
        </w:rPr>
        <w:t>realizado por</w:t>
      </w:r>
      <w:r w:rsidRPr="009D5269">
        <w:rPr>
          <w:color w:val="000000"/>
          <w:szCs w:val="24"/>
        </w:rPr>
        <w:t xml:space="preserve"> </w:t>
      </w:r>
      <w:r w:rsidR="006A15B0">
        <w:rPr>
          <w:color w:val="000000"/>
          <w:szCs w:val="24"/>
        </w:rPr>
        <w:t xml:space="preserve">fray Bernardino de Sahagún titulado “Códice Florentino” </w:t>
      </w:r>
      <w:r w:rsidRPr="009D5269">
        <w:rPr>
          <w:color w:val="000000"/>
          <w:szCs w:val="24"/>
        </w:rPr>
        <w:t xml:space="preserve">(Biblioteca Digital Mundial, 2014), </w:t>
      </w:r>
      <w:r w:rsidR="008D562C">
        <w:rPr>
          <w:color w:val="000000"/>
          <w:szCs w:val="24"/>
        </w:rPr>
        <w:t>fue</w:t>
      </w:r>
      <w:r w:rsidRPr="009D5269">
        <w:rPr>
          <w:color w:val="000000"/>
          <w:szCs w:val="24"/>
        </w:rPr>
        <w:t xml:space="preserve"> enviado de América a la Madre Patria, </w:t>
      </w:r>
      <w:r w:rsidR="008D562C">
        <w:rPr>
          <w:color w:val="000000"/>
          <w:szCs w:val="24"/>
        </w:rPr>
        <w:t>con esta acción se</w:t>
      </w:r>
      <w:r w:rsidRPr="009D5269">
        <w:rPr>
          <w:color w:val="000000"/>
          <w:szCs w:val="24"/>
        </w:rPr>
        <w:t xml:space="preserve"> </w:t>
      </w:r>
      <w:r w:rsidR="008D562C">
        <w:rPr>
          <w:color w:val="000000"/>
          <w:szCs w:val="24"/>
        </w:rPr>
        <w:t>r</w:t>
      </w:r>
      <w:r w:rsidRPr="009D5269">
        <w:rPr>
          <w:color w:val="000000"/>
          <w:szCs w:val="24"/>
        </w:rPr>
        <w:t>ealiza</w:t>
      </w:r>
      <w:r w:rsidR="008D562C">
        <w:rPr>
          <w:color w:val="000000"/>
          <w:szCs w:val="24"/>
        </w:rPr>
        <w:t>ron</w:t>
      </w:r>
      <w:r w:rsidRPr="009D5269">
        <w:rPr>
          <w:color w:val="000000"/>
          <w:szCs w:val="24"/>
        </w:rPr>
        <w:t xml:space="preserve"> los primeros acercamientos a la herbolaria novohispana</w:t>
      </w:r>
      <w:r w:rsidR="006465F3">
        <w:rPr>
          <w:color w:val="000000"/>
          <w:szCs w:val="24"/>
        </w:rPr>
        <w:t xml:space="preserve"> donde se muestra la relación habitual entre las plantas y la población prehispánica</w:t>
      </w:r>
      <w:r w:rsidRPr="009D5269">
        <w:rPr>
          <w:color w:val="000000"/>
          <w:szCs w:val="24"/>
        </w:rPr>
        <w:t>.</w:t>
      </w:r>
    </w:p>
    <w:p w14:paraId="532DF7B2" w14:textId="6BEBD56D" w:rsidR="003C3468" w:rsidRPr="009D5269" w:rsidRDefault="003C3468" w:rsidP="008D562C">
      <w:pPr>
        <w:rPr>
          <w:color w:val="000000"/>
          <w:szCs w:val="24"/>
        </w:rPr>
      </w:pPr>
      <w:r w:rsidRPr="009D5269">
        <w:rPr>
          <w:color w:val="000000"/>
          <w:szCs w:val="24"/>
        </w:rPr>
        <w:t>Otro de los herbario</w:t>
      </w:r>
      <w:r>
        <w:rPr>
          <w:color w:val="000000"/>
          <w:szCs w:val="24"/>
        </w:rPr>
        <w:t>s</w:t>
      </w:r>
      <w:r w:rsidRPr="009D5269">
        <w:rPr>
          <w:color w:val="000000"/>
          <w:szCs w:val="24"/>
        </w:rPr>
        <w:t xml:space="preserve"> que se conoce</w:t>
      </w:r>
      <w:r>
        <w:rPr>
          <w:color w:val="000000"/>
          <w:szCs w:val="24"/>
        </w:rPr>
        <w:t>n</w:t>
      </w:r>
      <w:r w:rsidRPr="009D5269">
        <w:rPr>
          <w:color w:val="000000"/>
          <w:szCs w:val="24"/>
        </w:rPr>
        <w:t xml:space="preserve"> fue escrito por el </w:t>
      </w:r>
      <w:bookmarkStart w:id="1" w:name="_Hlk528082394"/>
      <w:r w:rsidRPr="009D5269">
        <w:rPr>
          <w:color w:val="000000"/>
          <w:szCs w:val="24"/>
        </w:rPr>
        <w:t>medico xochimilca Martin de la Cr</w:t>
      </w:r>
      <w:r>
        <w:rPr>
          <w:color w:val="000000"/>
          <w:szCs w:val="24"/>
        </w:rPr>
        <w:t>u</w:t>
      </w:r>
      <w:r w:rsidRPr="009D5269">
        <w:rPr>
          <w:color w:val="000000"/>
          <w:szCs w:val="24"/>
        </w:rPr>
        <w:t>z de Tlatelolco en 1552</w:t>
      </w:r>
      <w:bookmarkEnd w:id="1"/>
      <w:r w:rsidRPr="009D5269">
        <w:rPr>
          <w:color w:val="000000"/>
          <w:szCs w:val="24"/>
        </w:rPr>
        <w:t xml:space="preserve">, </w:t>
      </w:r>
      <w:bookmarkStart w:id="2" w:name="_Hlk528082414"/>
      <w:r w:rsidRPr="009D5269">
        <w:rPr>
          <w:color w:val="000000"/>
          <w:szCs w:val="24"/>
        </w:rPr>
        <w:t>la</w:t>
      </w:r>
      <w:r>
        <w:rPr>
          <w:color w:val="000000"/>
          <w:szCs w:val="24"/>
        </w:rPr>
        <w:t xml:space="preserve"> primera</w:t>
      </w:r>
      <w:r w:rsidRPr="009D5269">
        <w:rPr>
          <w:color w:val="000000"/>
          <w:szCs w:val="24"/>
        </w:rPr>
        <w:t xml:space="preserve"> intención </w:t>
      </w:r>
      <w:r>
        <w:rPr>
          <w:color w:val="000000"/>
          <w:szCs w:val="24"/>
        </w:rPr>
        <w:t>fue</w:t>
      </w:r>
      <w:r w:rsidRPr="009D5269">
        <w:rPr>
          <w:color w:val="000000"/>
          <w:szCs w:val="24"/>
        </w:rPr>
        <w:t xml:space="preserve"> ser una recolección de experiencias que provenía de la tradición indígena</w:t>
      </w:r>
      <w:r>
        <w:rPr>
          <w:color w:val="000000"/>
          <w:szCs w:val="24"/>
        </w:rPr>
        <w:t xml:space="preserve"> en materia médica,</w:t>
      </w:r>
      <w:r w:rsidRPr="009D5269">
        <w:rPr>
          <w:color w:val="000000"/>
          <w:szCs w:val="24"/>
        </w:rPr>
        <w:t xml:space="preserve"> no se le consider</w:t>
      </w:r>
      <w:r>
        <w:rPr>
          <w:color w:val="000000"/>
          <w:szCs w:val="24"/>
        </w:rPr>
        <w:t>ó</w:t>
      </w:r>
      <w:r w:rsidRPr="009D5269">
        <w:rPr>
          <w:color w:val="000000"/>
          <w:szCs w:val="24"/>
        </w:rPr>
        <w:t xml:space="preserve"> un tratado profesional</w:t>
      </w:r>
      <w:r w:rsidRPr="00335F36">
        <w:rPr>
          <w:color w:val="000000"/>
          <w:szCs w:val="24"/>
        </w:rPr>
        <w:t xml:space="preserve"> </w:t>
      </w:r>
      <w:r w:rsidRPr="009D5269">
        <w:rPr>
          <w:color w:val="000000"/>
          <w:szCs w:val="24"/>
        </w:rPr>
        <w:t>pues el autor no hablaba latín</w:t>
      </w:r>
      <w:r w:rsidR="00F058D9">
        <w:rPr>
          <w:color w:val="000000"/>
          <w:szCs w:val="24"/>
        </w:rPr>
        <w:t>, este trabajo fue traducido al latín</w:t>
      </w:r>
      <w:r w:rsidRPr="009D5269">
        <w:rPr>
          <w:color w:val="000000"/>
          <w:szCs w:val="24"/>
        </w:rPr>
        <w:t xml:space="preserve"> </w:t>
      </w:r>
      <w:r w:rsidR="00F058D9">
        <w:rPr>
          <w:color w:val="000000"/>
          <w:szCs w:val="24"/>
        </w:rPr>
        <w:t xml:space="preserve">por </w:t>
      </w:r>
      <w:r w:rsidRPr="009D5269">
        <w:rPr>
          <w:color w:val="000000"/>
          <w:szCs w:val="24"/>
        </w:rPr>
        <w:t xml:space="preserve">Juan Badiano, </w:t>
      </w:r>
      <w:bookmarkEnd w:id="2"/>
      <w:r w:rsidR="00F058D9">
        <w:rPr>
          <w:color w:val="000000"/>
          <w:szCs w:val="24"/>
        </w:rPr>
        <w:t>denominándolo</w:t>
      </w:r>
      <w:r w:rsidRPr="009D5269">
        <w:rPr>
          <w:color w:val="000000"/>
          <w:szCs w:val="24"/>
        </w:rPr>
        <w:t xml:space="preserve"> “</w:t>
      </w:r>
      <w:r w:rsidRPr="009D5269">
        <w:rPr>
          <w:i/>
          <w:color w:val="000000"/>
          <w:szCs w:val="24"/>
        </w:rPr>
        <w:t>Libellus de Medicinalibus Indorum Herbis</w:t>
      </w:r>
      <w:r w:rsidRPr="009D5269">
        <w:rPr>
          <w:color w:val="000000"/>
          <w:szCs w:val="24"/>
        </w:rPr>
        <w:t>”,</w:t>
      </w:r>
      <w:r w:rsidR="00F058D9">
        <w:rPr>
          <w:color w:val="000000"/>
          <w:szCs w:val="24"/>
        </w:rPr>
        <w:t xml:space="preserve"> el cual</w:t>
      </w:r>
      <w:r w:rsidRPr="009D5269">
        <w:rPr>
          <w:color w:val="000000"/>
          <w:szCs w:val="24"/>
        </w:rPr>
        <w:t xml:space="preserve"> </w:t>
      </w:r>
      <w:r w:rsidR="00FC4584">
        <w:rPr>
          <w:color w:val="000000"/>
          <w:szCs w:val="24"/>
        </w:rPr>
        <w:t xml:space="preserve">fue </w:t>
      </w:r>
      <w:r w:rsidR="00F058D9">
        <w:rPr>
          <w:color w:val="000000"/>
          <w:szCs w:val="24"/>
        </w:rPr>
        <w:t>publica</w:t>
      </w:r>
      <w:r w:rsidR="00FC4584">
        <w:rPr>
          <w:color w:val="000000"/>
          <w:szCs w:val="24"/>
        </w:rPr>
        <w:t>do</w:t>
      </w:r>
      <w:r w:rsidR="00F058D9" w:rsidRPr="009D5269">
        <w:rPr>
          <w:color w:val="000000"/>
          <w:szCs w:val="24"/>
        </w:rPr>
        <w:t xml:space="preserve"> </w:t>
      </w:r>
      <w:r w:rsidRPr="009D5269">
        <w:rPr>
          <w:color w:val="000000"/>
          <w:szCs w:val="24"/>
        </w:rPr>
        <w:t>en 2003</w:t>
      </w:r>
      <w:r>
        <w:rPr>
          <w:color w:val="000000"/>
          <w:szCs w:val="24"/>
        </w:rPr>
        <w:t xml:space="preserve"> </w:t>
      </w:r>
      <w:r w:rsidRPr="009D5269">
        <w:rPr>
          <w:color w:val="000000"/>
          <w:szCs w:val="24"/>
        </w:rPr>
        <w:t>por el Departamento de Historia y Filosofía de la Facultad de Medicina de la UNAM (Olivares, 2016).</w:t>
      </w:r>
    </w:p>
    <w:p w14:paraId="71DCE570" w14:textId="77777777" w:rsidR="00D93F5F" w:rsidRDefault="003C3468" w:rsidP="008D562C">
      <w:pPr>
        <w:rPr>
          <w:color w:val="000000"/>
          <w:szCs w:val="24"/>
        </w:rPr>
      </w:pPr>
      <w:r w:rsidRPr="009D5269">
        <w:rPr>
          <w:color w:val="000000"/>
          <w:szCs w:val="24"/>
        </w:rPr>
        <w:t xml:space="preserve">Para definir y reconocer el uso de la herbolaria tradicional como una de las opciones relacionadas con el tratamiento de enfermedades, la Organización Mundial de la Salud (OMS), realizó un consenso en 1977, para unificar una definición que tiene una serie de términos que pueden variar desde: </w:t>
      </w:r>
      <w:r w:rsidRPr="00E20622">
        <w:rPr>
          <w:i/>
          <w:iCs/>
          <w:color w:val="000000"/>
          <w:szCs w:val="24"/>
        </w:rPr>
        <w:t>medicinas tradicionales</w:t>
      </w:r>
      <w:r w:rsidRPr="009D5269">
        <w:rPr>
          <w:color w:val="000000"/>
          <w:szCs w:val="24"/>
        </w:rPr>
        <w:t xml:space="preserve">, </w:t>
      </w:r>
      <w:r w:rsidRPr="00E20622">
        <w:rPr>
          <w:i/>
          <w:iCs/>
          <w:color w:val="000000"/>
          <w:szCs w:val="24"/>
        </w:rPr>
        <w:t>medicinas indígenas</w:t>
      </w:r>
      <w:r w:rsidRPr="009D5269">
        <w:rPr>
          <w:color w:val="000000"/>
          <w:szCs w:val="24"/>
        </w:rPr>
        <w:t xml:space="preserve"> o recientemente, </w:t>
      </w:r>
      <w:r w:rsidRPr="00E20622">
        <w:rPr>
          <w:i/>
          <w:iCs/>
          <w:color w:val="000000"/>
          <w:szCs w:val="24"/>
        </w:rPr>
        <w:t>medicinas paralelas</w:t>
      </w:r>
      <w:r w:rsidRPr="009D5269">
        <w:rPr>
          <w:color w:val="000000"/>
          <w:szCs w:val="24"/>
        </w:rPr>
        <w:t xml:space="preserve"> (Lozaya, 1989); </w:t>
      </w:r>
      <w:r w:rsidR="00F058D9">
        <w:rPr>
          <w:color w:val="000000"/>
          <w:szCs w:val="24"/>
        </w:rPr>
        <w:t>quedando</w:t>
      </w:r>
      <w:r w:rsidRPr="009D5269">
        <w:rPr>
          <w:color w:val="000000"/>
          <w:szCs w:val="24"/>
        </w:rPr>
        <w:t xml:space="preserve"> de la siguiente manera: </w:t>
      </w:r>
    </w:p>
    <w:p w14:paraId="25843C43" w14:textId="496A24C3" w:rsidR="003C3468" w:rsidRPr="009D5269" w:rsidRDefault="00D93F5F" w:rsidP="008D562C">
      <w:pPr>
        <w:ind w:left="709" w:hanging="709"/>
        <w:rPr>
          <w:color w:val="000000"/>
          <w:szCs w:val="24"/>
        </w:rPr>
      </w:pPr>
      <w:r>
        <w:rPr>
          <w:color w:val="000000"/>
          <w:szCs w:val="24"/>
        </w:rPr>
        <w:t xml:space="preserve">           </w:t>
      </w:r>
      <w:r w:rsidR="003C3468" w:rsidRPr="008D562C">
        <w:rPr>
          <w:i/>
          <w:iCs/>
          <w:color w:val="000000"/>
          <w:szCs w:val="24"/>
        </w:rPr>
        <w:t>La medicina tradicional representa la cima de todos los conocimientos y prácticas, explicables o no, usados en el diagnóstico, prevención y eliminación del desequilibrio físico, mental o social y basados</w:t>
      </w:r>
      <w:r w:rsidR="00C9498E" w:rsidRPr="008D562C">
        <w:rPr>
          <w:i/>
          <w:iCs/>
          <w:color w:val="000000"/>
          <w:szCs w:val="24"/>
        </w:rPr>
        <w:t xml:space="preserve"> en la </w:t>
      </w:r>
      <w:r w:rsidR="003C3468" w:rsidRPr="008D562C">
        <w:rPr>
          <w:i/>
          <w:iCs/>
          <w:color w:val="000000"/>
          <w:szCs w:val="24"/>
        </w:rPr>
        <w:t>observación y experiencia práctica, transmitidos de generación en generación oralmente o por escrito</w:t>
      </w:r>
      <w:r w:rsidR="003C3468" w:rsidRPr="009D5269">
        <w:rPr>
          <w:color w:val="000000"/>
          <w:szCs w:val="24"/>
        </w:rPr>
        <w:t xml:space="preserve"> (Bannerman, 1977</w:t>
      </w:r>
      <w:r w:rsidR="00C9498E">
        <w:rPr>
          <w:color w:val="000000"/>
          <w:szCs w:val="24"/>
        </w:rPr>
        <w:t>, p</w:t>
      </w:r>
      <w:r>
        <w:rPr>
          <w:color w:val="000000"/>
          <w:szCs w:val="24"/>
        </w:rPr>
        <w:t>.</w:t>
      </w:r>
      <w:r w:rsidR="00C9498E">
        <w:rPr>
          <w:color w:val="000000"/>
          <w:szCs w:val="24"/>
        </w:rPr>
        <w:t xml:space="preserve"> 427</w:t>
      </w:r>
      <w:r w:rsidR="003C3468" w:rsidRPr="009D5269">
        <w:rPr>
          <w:color w:val="000000"/>
          <w:szCs w:val="24"/>
        </w:rPr>
        <w:t>).</w:t>
      </w:r>
    </w:p>
    <w:p w14:paraId="154BE5C3" w14:textId="4B870F3F" w:rsidR="00251493" w:rsidRDefault="003C3468" w:rsidP="008D562C">
      <w:pPr>
        <w:rPr>
          <w:color w:val="000000"/>
          <w:szCs w:val="24"/>
        </w:rPr>
      </w:pPr>
      <w:r w:rsidRPr="009D5269">
        <w:rPr>
          <w:color w:val="000000"/>
          <w:szCs w:val="24"/>
        </w:rPr>
        <w:lastRenderedPageBreak/>
        <w:t>Ante la ambigüedad del concepto</w:t>
      </w:r>
      <w:r>
        <w:rPr>
          <w:color w:val="000000"/>
          <w:szCs w:val="24"/>
        </w:rPr>
        <w:t xml:space="preserve"> </w:t>
      </w:r>
      <w:r w:rsidR="004C7B13">
        <w:rPr>
          <w:color w:val="000000"/>
          <w:szCs w:val="24"/>
        </w:rPr>
        <w:t xml:space="preserve">acuñado </w:t>
      </w:r>
      <w:r>
        <w:rPr>
          <w:color w:val="000000"/>
          <w:szCs w:val="24"/>
        </w:rPr>
        <w:t>por</w:t>
      </w:r>
      <w:r w:rsidRPr="009D5269">
        <w:rPr>
          <w:color w:val="000000"/>
          <w:szCs w:val="24"/>
        </w:rPr>
        <w:t xml:space="preserve"> la OMS, en México Lozaya </w:t>
      </w:r>
      <w:r>
        <w:rPr>
          <w:color w:val="000000"/>
          <w:szCs w:val="24"/>
        </w:rPr>
        <w:t>(</w:t>
      </w:r>
      <w:r w:rsidRPr="009D5269">
        <w:rPr>
          <w:color w:val="000000"/>
          <w:szCs w:val="24"/>
        </w:rPr>
        <w:t>1982</w:t>
      </w:r>
      <w:r>
        <w:rPr>
          <w:color w:val="000000"/>
          <w:szCs w:val="24"/>
        </w:rPr>
        <w:t>)</w:t>
      </w:r>
      <w:r w:rsidRPr="009D5269">
        <w:rPr>
          <w:color w:val="000000"/>
          <w:szCs w:val="24"/>
        </w:rPr>
        <w:t xml:space="preserve">, propone definirlo </w:t>
      </w:r>
      <w:r>
        <w:rPr>
          <w:color w:val="000000"/>
          <w:szCs w:val="24"/>
        </w:rPr>
        <w:t>como</w:t>
      </w:r>
      <w:r w:rsidRPr="009D5269">
        <w:rPr>
          <w:color w:val="000000"/>
          <w:szCs w:val="24"/>
        </w:rPr>
        <w:t xml:space="preserve"> </w:t>
      </w:r>
    </w:p>
    <w:p w14:paraId="7FCBC744" w14:textId="0811366B" w:rsidR="004D2A81" w:rsidRDefault="00FD3F56" w:rsidP="008D562C">
      <w:pPr>
        <w:ind w:left="709" w:hanging="709"/>
        <w:rPr>
          <w:color w:val="000000"/>
          <w:szCs w:val="24"/>
        </w:rPr>
      </w:pPr>
      <w:r>
        <w:rPr>
          <w:color w:val="000000"/>
          <w:szCs w:val="24"/>
        </w:rPr>
        <w:t xml:space="preserve">           </w:t>
      </w:r>
      <w:r w:rsidR="003C3468" w:rsidRPr="008D562C">
        <w:rPr>
          <w:i/>
          <w:iCs/>
          <w:color w:val="000000"/>
          <w:szCs w:val="24"/>
        </w:rPr>
        <w:t>La medicina tradicional es el conjunto de conocimientos, creencias, prácticas y recursos provenientes de la cultura popular, de los que hace uso la población del país para resolver, en forma empírica, algunos de sus problemas de salud, al margen o a pesar de la existencia de una medicina oficial e institucionalizada por el Estado</w:t>
      </w:r>
      <w:r w:rsidR="004D2A81">
        <w:rPr>
          <w:color w:val="000000"/>
          <w:szCs w:val="24"/>
        </w:rPr>
        <w:t xml:space="preserve"> (Lozoya, 1982, p.</w:t>
      </w:r>
      <w:r>
        <w:rPr>
          <w:color w:val="000000"/>
          <w:szCs w:val="24"/>
        </w:rPr>
        <w:t xml:space="preserve"> 17).</w:t>
      </w:r>
      <w:r w:rsidR="004D2A81">
        <w:rPr>
          <w:color w:val="000000"/>
          <w:szCs w:val="24"/>
        </w:rPr>
        <w:t xml:space="preserve"> </w:t>
      </w:r>
    </w:p>
    <w:p w14:paraId="5D088C96" w14:textId="09CCC32D" w:rsidR="003C3468" w:rsidRPr="009D5269" w:rsidRDefault="00792F5C" w:rsidP="008D562C">
      <w:pPr>
        <w:rPr>
          <w:color w:val="000000"/>
          <w:szCs w:val="24"/>
        </w:rPr>
      </w:pPr>
      <w:r>
        <w:rPr>
          <w:color w:val="000000"/>
          <w:szCs w:val="24"/>
        </w:rPr>
        <w:t>E</w:t>
      </w:r>
      <w:r w:rsidR="003C3468" w:rsidRPr="009D5269">
        <w:rPr>
          <w:color w:val="000000"/>
          <w:szCs w:val="24"/>
        </w:rPr>
        <w:t xml:space="preserve">n </w:t>
      </w:r>
      <w:r w:rsidR="008D562C">
        <w:rPr>
          <w:color w:val="000000"/>
          <w:szCs w:val="24"/>
        </w:rPr>
        <w:t>esta definición</w:t>
      </w:r>
      <w:r w:rsidR="003C3468" w:rsidRPr="009D5269">
        <w:rPr>
          <w:color w:val="000000"/>
          <w:szCs w:val="24"/>
        </w:rPr>
        <w:t xml:space="preserve"> se reconoce el término de </w:t>
      </w:r>
      <w:r w:rsidR="003C3468" w:rsidRPr="00E20622">
        <w:rPr>
          <w:i/>
          <w:iCs/>
          <w:color w:val="000000"/>
          <w:szCs w:val="24"/>
        </w:rPr>
        <w:t>cultura popular</w:t>
      </w:r>
      <w:r w:rsidR="003C3468" w:rsidRPr="009D5269">
        <w:rPr>
          <w:color w:val="000000"/>
          <w:szCs w:val="24"/>
        </w:rPr>
        <w:t xml:space="preserve"> como la aceptación y reconocimiento de la función social que desempeñan otras culturas médicas frente al modelo de medicina reconocida por el estado (Lozaya, 1982).</w:t>
      </w:r>
    </w:p>
    <w:p w14:paraId="2C0643D0" w14:textId="77777777" w:rsidR="003C3468" w:rsidRPr="009D5269" w:rsidRDefault="003C3468" w:rsidP="008D562C">
      <w:pPr>
        <w:rPr>
          <w:rFonts w:cs="Arial"/>
        </w:rPr>
      </w:pPr>
      <w:r>
        <w:rPr>
          <w:rFonts w:cs="Arial"/>
          <w:color w:val="000000"/>
          <w:szCs w:val="24"/>
        </w:rPr>
        <w:t>E</w:t>
      </w:r>
      <w:r w:rsidRPr="009D5269">
        <w:rPr>
          <w:rFonts w:cs="Arial"/>
          <w:color w:val="000000"/>
          <w:szCs w:val="24"/>
        </w:rPr>
        <w:t>n Latinoamérica y en México, e</w:t>
      </w:r>
      <w:r>
        <w:rPr>
          <w:rFonts w:cs="Arial"/>
          <w:color w:val="000000"/>
          <w:szCs w:val="24"/>
        </w:rPr>
        <w:t>l</w:t>
      </w:r>
      <w:r w:rsidRPr="009D5269">
        <w:rPr>
          <w:rFonts w:cs="Arial"/>
          <w:color w:val="000000"/>
          <w:szCs w:val="24"/>
        </w:rPr>
        <w:t xml:space="preserve"> conocimiento</w:t>
      </w:r>
      <w:r>
        <w:rPr>
          <w:rFonts w:cs="Arial"/>
          <w:color w:val="000000"/>
          <w:szCs w:val="24"/>
        </w:rPr>
        <w:t xml:space="preserve"> de la herbolaria</w:t>
      </w:r>
      <w:r w:rsidRPr="009D5269">
        <w:rPr>
          <w:rFonts w:cs="Arial"/>
          <w:color w:val="000000"/>
          <w:szCs w:val="24"/>
        </w:rPr>
        <w:t xml:space="preserve"> forma parte de la cultura y los poseedores del conocimiento son los curanderos</w:t>
      </w:r>
      <w:r>
        <w:rPr>
          <w:rFonts w:cs="Arial"/>
          <w:color w:val="000000"/>
          <w:szCs w:val="24"/>
        </w:rPr>
        <w:t>.</w:t>
      </w:r>
      <w:r w:rsidRPr="009D5269">
        <w:rPr>
          <w:rFonts w:cs="Arial"/>
          <w:color w:val="000000"/>
          <w:szCs w:val="24"/>
        </w:rPr>
        <w:t xml:space="preserve"> </w:t>
      </w:r>
      <w:r>
        <w:rPr>
          <w:rFonts w:cs="Arial"/>
          <w:color w:val="000000"/>
          <w:szCs w:val="24"/>
        </w:rPr>
        <w:t>E</w:t>
      </w:r>
      <w:r w:rsidRPr="009D5269">
        <w:rPr>
          <w:rFonts w:cs="Arial"/>
          <w:color w:val="000000"/>
          <w:szCs w:val="24"/>
        </w:rPr>
        <w:t xml:space="preserve">n la actualidad </w:t>
      </w:r>
      <w:r>
        <w:rPr>
          <w:rFonts w:cs="Arial"/>
          <w:color w:val="000000"/>
          <w:szCs w:val="24"/>
        </w:rPr>
        <w:t>convergen</w:t>
      </w:r>
      <w:r w:rsidRPr="009D5269">
        <w:rPr>
          <w:rFonts w:cs="Arial"/>
          <w:color w:val="000000"/>
          <w:szCs w:val="24"/>
        </w:rPr>
        <w:t xml:space="preserve"> dos tipos de medicinas</w:t>
      </w:r>
      <w:r>
        <w:rPr>
          <w:rFonts w:cs="Arial"/>
          <w:color w:val="000000"/>
          <w:szCs w:val="24"/>
        </w:rPr>
        <w:t xml:space="preserve">, </w:t>
      </w:r>
      <w:r w:rsidRPr="009D5269">
        <w:rPr>
          <w:rFonts w:cs="Arial"/>
          <w:color w:val="000000"/>
          <w:szCs w:val="24"/>
        </w:rPr>
        <w:t>alópata y homeópata</w:t>
      </w:r>
      <w:r>
        <w:rPr>
          <w:rFonts w:cs="Arial"/>
          <w:color w:val="000000"/>
          <w:szCs w:val="24"/>
        </w:rPr>
        <w:t>,</w:t>
      </w:r>
      <w:r w:rsidRPr="009D5269">
        <w:rPr>
          <w:rFonts w:cs="Arial"/>
          <w:color w:val="000000"/>
          <w:szCs w:val="24"/>
        </w:rPr>
        <w:t xml:space="preserve"> que interactúan en más de una ocasión dentro del mismo espacio; con la dificultad de encontrar un marco único, generalizador y orgánico para su interacción</w:t>
      </w:r>
      <w:r w:rsidRPr="009D5269">
        <w:rPr>
          <w:rFonts w:cs="Arial"/>
        </w:rPr>
        <w:t xml:space="preserve"> (López, 2016). </w:t>
      </w:r>
    </w:p>
    <w:p w14:paraId="07645CEE" w14:textId="3F0DD6D3" w:rsidR="003C3468" w:rsidRPr="009D5269" w:rsidRDefault="003C3468" w:rsidP="008D562C">
      <w:pPr>
        <w:rPr>
          <w:color w:val="000000"/>
          <w:szCs w:val="24"/>
        </w:rPr>
      </w:pPr>
      <w:r w:rsidRPr="009D5269">
        <w:rPr>
          <w:color w:val="000000"/>
          <w:szCs w:val="24"/>
        </w:rPr>
        <w:t xml:space="preserve">El uso de la herbolaria persiste a nivel nacional como parte de la idiosincrasia y cultura popular por ser una tradición indígena, la conservación de estas prácticas ha prevalecido por medio de la trasmisión de conocimientos </w:t>
      </w:r>
      <w:r>
        <w:rPr>
          <w:color w:val="000000"/>
          <w:szCs w:val="24"/>
        </w:rPr>
        <w:t>intra</w:t>
      </w:r>
      <w:r w:rsidRPr="009D5269">
        <w:rPr>
          <w:color w:val="000000"/>
          <w:szCs w:val="24"/>
        </w:rPr>
        <w:t>generaci</w:t>
      </w:r>
      <w:r>
        <w:rPr>
          <w:color w:val="000000"/>
          <w:szCs w:val="24"/>
        </w:rPr>
        <w:t>onalmente</w:t>
      </w:r>
      <w:r w:rsidRPr="009D5269">
        <w:rPr>
          <w:color w:val="000000"/>
          <w:szCs w:val="24"/>
        </w:rPr>
        <w:t xml:space="preserve"> por medio del lenguaje (Villareal-Ibarra</w:t>
      </w:r>
      <w:r w:rsidR="00426667">
        <w:rPr>
          <w:color w:val="000000"/>
          <w:szCs w:val="24"/>
        </w:rPr>
        <w:t>,</w:t>
      </w:r>
      <w:r w:rsidRPr="009D5269">
        <w:rPr>
          <w:color w:val="000000"/>
          <w:szCs w:val="24"/>
        </w:rPr>
        <w:t xml:space="preserve"> </w:t>
      </w:r>
      <w:r w:rsidRPr="009D5269">
        <w:rPr>
          <w:i/>
          <w:color w:val="000000"/>
          <w:szCs w:val="24"/>
        </w:rPr>
        <w:t>et al.</w:t>
      </w:r>
      <w:r w:rsidRPr="009D5269">
        <w:rPr>
          <w:color w:val="000000"/>
          <w:szCs w:val="24"/>
        </w:rPr>
        <w:t>, 2014; López, 2016)</w:t>
      </w:r>
      <w:r>
        <w:rPr>
          <w:color w:val="000000"/>
          <w:szCs w:val="24"/>
        </w:rPr>
        <w:t>.</w:t>
      </w:r>
      <w:r w:rsidR="00FC4584">
        <w:rPr>
          <w:color w:val="000000"/>
          <w:szCs w:val="24"/>
        </w:rPr>
        <w:t xml:space="preserve"> </w:t>
      </w:r>
      <w:r>
        <w:rPr>
          <w:color w:val="000000"/>
          <w:szCs w:val="24"/>
        </w:rPr>
        <w:t>E</w:t>
      </w:r>
      <w:r w:rsidRPr="009D5269">
        <w:rPr>
          <w:color w:val="000000"/>
          <w:szCs w:val="24"/>
        </w:rPr>
        <w:t>sta práctica se mezcló con la herbolaria española, influenciada por la tradición árabe; según datos proporcionados por una encuesta realizada por el Gabinete de Comunicación Estratégica</w:t>
      </w:r>
      <w:r w:rsidR="004C7B13">
        <w:rPr>
          <w:color w:val="000000"/>
          <w:szCs w:val="24"/>
        </w:rPr>
        <w:t>,</w:t>
      </w:r>
      <w:r w:rsidRPr="009D5269">
        <w:rPr>
          <w:color w:val="000000"/>
          <w:szCs w:val="24"/>
        </w:rPr>
        <w:t xml:space="preserve"> el 84% respondió que la medicina alternativa “es parte de la tradición mexicana” y el 44% ha recurrido a ella, en relación </w:t>
      </w:r>
      <w:r w:rsidR="00F37FB8">
        <w:rPr>
          <w:color w:val="000000"/>
          <w:szCs w:val="24"/>
        </w:rPr>
        <w:t>con</w:t>
      </w:r>
      <w:r w:rsidRPr="009D5269">
        <w:rPr>
          <w:color w:val="000000"/>
          <w:szCs w:val="24"/>
        </w:rPr>
        <w:t xml:space="preserve"> esto</w:t>
      </w:r>
      <w:r w:rsidR="004C7B13">
        <w:rPr>
          <w:color w:val="000000"/>
          <w:szCs w:val="24"/>
        </w:rPr>
        <w:t>,</w:t>
      </w:r>
      <w:r w:rsidRPr="009D5269">
        <w:rPr>
          <w:color w:val="000000"/>
          <w:szCs w:val="24"/>
        </w:rPr>
        <w:t xml:space="preserve"> 35 de cada 100 mujeres se benefician de este conocimiento (Ecoosfera, 2015).</w:t>
      </w:r>
    </w:p>
    <w:p w14:paraId="304DCC30" w14:textId="4EEDCEC9" w:rsidR="003C3468" w:rsidRPr="009D5269" w:rsidRDefault="003C3468" w:rsidP="008D562C">
      <w:pPr>
        <w:rPr>
          <w:color w:val="000000"/>
          <w:szCs w:val="24"/>
        </w:rPr>
      </w:pPr>
      <w:r w:rsidRPr="009D5269">
        <w:rPr>
          <w:color w:val="000000"/>
          <w:szCs w:val="24"/>
        </w:rPr>
        <w:t xml:space="preserve">En Latinoamérica se han realizado estudios en los que se clasifica la herbolaria local, en países como Brasil (Gonzaga, França </w:t>
      </w:r>
      <w:r w:rsidR="008167CA">
        <w:rPr>
          <w:color w:val="000000"/>
          <w:szCs w:val="24"/>
        </w:rPr>
        <w:t xml:space="preserve">y </w:t>
      </w:r>
      <w:r w:rsidRPr="009D5269">
        <w:rPr>
          <w:color w:val="000000"/>
          <w:szCs w:val="24"/>
        </w:rPr>
        <w:t>de Melo, 2016; Da Costa</w:t>
      </w:r>
      <w:r>
        <w:rPr>
          <w:color w:val="000000"/>
          <w:szCs w:val="24"/>
        </w:rPr>
        <w:t xml:space="preserve">, Bonfim, Pasa </w:t>
      </w:r>
      <w:r w:rsidR="008167CA">
        <w:rPr>
          <w:color w:val="000000"/>
          <w:szCs w:val="24"/>
        </w:rPr>
        <w:t>y</w:t>
      </w:r>
      <w:r>
        <w:rPr>
          <w:color w:val="000000"/>
          <w:szCs w:val="24"/>
        </w:rPr>
        <w:t xml:space="preserve"> Montero</w:t>
      </w:r>
      <w:r w:rsidRPr="009D5269">
        <w:rPr>
          <w:color w:val="000000"/>
          <w:szCs w:val="24"/>
        </w:rPr>
        <w:t>, 2017; Fernande</w:t>
      </w:r>
      <w:r>
        <w:rPr>
          <w:color w:val="000000"/>
          <w:szCs w:val="24"/>
        </w:rPr>
        <w:t>s</w:t>
      </w:r>
      <w:r w:rsidRPr="009D5269">
        <w:rPr>
          <w:color w:val="000000"/>
          <w:szCs w:val="24"/>
        </w:rPr>
        <w:t xml:space="preserve"> </w:t>
      </w:r>
      <w:r w:rsidR="008167CA">
        <w:rPr>
          <w:color w:val="000000"/>
          <w:szCs w:val="24"/>
        </w:rPr>
        <w:t>y</w:t>
      </w:r>
      <w:r w:rsidRPr="009D5269">
        <w:rPr>
          <w:color w:val="000000"/>
          <w:szCs w:val="24"/>
        </w:rPr>
        <w:t xml:space="preserve"> Boff, 2017), Argentina (Acosta, Ladio </w:t>
      </w:r>
      <w:r>
        <w:rPr>
          <w:color w:val="000000"/>
          <w:szCs w:val="24"/>
        </w:rPr>
        <w:t>y</w:t>
      </w:r>
      <w:r w:rsidRPr="009D5269">
        <w:rPr>
          <w:color w:val="000000"/>
          <w:szCs w:val="24"/>
        </w:rPr>
        <w:t xml:space="preserve"> Vignale, </w:t>
      </w:r>
      <w:r w:rsidRPr="009D5269">
        <w:rPr>
          <w:color w:val="000000"/>
          <w:szCs w:val="24"/>
        </w:rPr>
        <w:lastRenderedPageBreak/>
        <w:t xml:space="preserve">2017; </w:t>
      </w:r>
      <w:r w:rsidRPr="00306D85">
        <w:rPr>
          <w:color w:val="000000"/>
          <w:szCs w:val="24"/>
        </w:rPr>
        <w:t>Paván, Furlan, Caminos y Ojeda, 2017), Bolivia</w:t>
      </w:r>
      <w:r w:rsidRPr="009D5269">
        <w:rPr>
          <w:color w:val="000000"/>
          <w:szCs w:val="24"/>
        </w:rPr>
        <w:t xml:space="preserve"> (Cussy-Poma</w:t>
      </w:r>
      <w:r>
        <w:rPr>
          <w:color w:val="000000"/>
          <w:szCs w:val="24"/>
        </w:rPr>
        <w:t xml:space="preserve">, </w:t>
      </w:r>
      <w:r>
        <w:rPr>
          <w:color w:val="000000"/>
        </w:rPr>
        <w:t xml:space="preserve">Fernández, Rondevaldova, Foffová, </w:t>
      </w:r>
      <w:r w:rsidR="008167CA">
        <w:rPr>
          <w:color w:val="000000"/>
        </w:rPr>
        <w:t>y</w:t>
      </w:r>
      <w:r>
        <w:rPr>
          <w:color w:val="000000"/>
        </w:rPr>
        <w:t xml:space="preserve"> Russo,</w:t>
      </w:r>
      <w:r w:rsidRPr="009D5269">
        <w:rPr>
          <w:color w:val="000000"/>
          <w:szCs w:val="24"/>
        </w:rPr>
        <w:t xml:space="preserve"> 2017), Venezuela (Bravo, Arteaga </w:t>
      </w:r>
      <w:r>
        <w:rPr>
          <w:color w:val="000000"/>
          <w:szCs w:val="24"/>
        </w:rPr>
        <w:t>y</w:t>
      </w:r>
      <w:r w:rsidRPr="009D5269">
        <w:rPr>
          <w:color w:val="000000"/>
          <w:szCs w:val="24"/>
        </w:rPr>
        <w:t xml:space="preserve"> Herrera, 2017), Perú (Castillo-Vera, Cochachin </w:t>
      </w:r>
      <w:r>
        <w:rPr>
          <w:color w:val="000000"/>
          <w:szCs w:val="24"/>
        </w:rPr>
        <w:t>y</w:t>
      </w:r>
      <w:r w:rsidRPr="009D5269">
        <w:rPr>
          <w:color w:val="000000"/>
          <w:szCs w:val="24"/>
        </w:rPr>
        <w:t xml:space="preserve"> Albán, 2017), Panamá (Torres, </w:t>
      </w:r>
      <w:r>
        <w:rPr>
          <w:color w:val="000000"/>
          <w:szCs w:val="24"/>
        </w:rPr>
        <w:t>Laurido, Pavan, Zapata y Martínez,</w:t>
      </w:r>
      <w:r w:rsidRPr="009D5269">
        <w:rPr>
          <w:color w:val="000000"/>
          <w:szCs w:val="24"/>
        </w:rPr>
        <w:t xml:space="preserve"> 2017), Ecuador (Gallegos-Zurita, 2016) y México, en los que relacionan el nivel socioeconómico, los conocimientos de botánica, aplicación (comestibles y/o medicinales) y áreas geográficas específicas de estudio. </w:t>
      </w:r>
    </w:p>
    <w:p w14:paraId="339F09FB" w14:textId="77777777" w:rsidR="003C3468" w:rsidRPr="009D5269" w:rsidRDefault="003C3468" w:rsidP="008D562C">
      <w:pPr>
        <w:rPr>
          <w:color w:val="000000"/>
          <w:szCs w:val="24"/>
        </w:rPr>
      </w:pPr>
      <w:r w:rsidRPr="009D5269">
        <w:rPr>
          <w:color w:val="000000"/>
          <w:szCs w:val="24"/>
        </w:rPr>
        <w:t>En México, universidades públicas tales como la Universidad Nacional Autónoma de México (UNAM) y la Universidad Autónoma Chapingo (UACh) han realizado diversos estudios relacionados con la herbolaria tradicional</w:t>
      </w:r>
      <w:r>
        <w:rPr>
          <w:color w:val="000000"/>
          <w:szCs w:val="24"/>
        </w:rPr>
        <w:t>.</w:t>
      </w:r>
      <w:r w:rsidRPr="009D5269">
        <w:rPr>
          <w:color w:val="000000"/>
          <w:szCs w:val="24"/>
        </w:rPr>
        <w:t xml:space="preserve"> </w:t>
      </w:r>
      <w:r>
        <w:rPr>
          <w:color w:val="000000"/>
          <w:szCs w:val="24"/>
        </w:rPr>
        <w:t>E</w:t>
      </w:r>
      <w:r w:rsidRPr="009D5269">
        <w:rPr>
          <w:color w:val="000000"/>
          <w:szCs w:val="24"/>
        </w:rPr>
        <w:t>n el caso de la UNAM</w:t>
      </w:r>
      <w:r>
        <w:rPr>
          <w:color w:val="000000"/>
          <w:szCs w:val="24"/>
        </w:rPr>
        <w:t>,</w:t>
      </w:r>
      <w:r w:rsidRPr="009D5269">
        <w:rPr>
          <w:color w:val="000000"/>
          <w:szCs w:val="24"/>
        </w:rPr>
        <w:t xml:space="preserve"> existe </w:t>
      </w:r>
      <w:r>
        <w:rPr>
          <w:color w:val="000000"/>
          <w:szCs w:val="24"/>
        </w:rPr>
        <w:t>l</w:t>
      </w:r>
      <w:r w:rsidRPr="009D5269">
        <w:rPr>
          <w:color w:val="000000"/>
          <w:szCs w:val="24"/>
        </w:rPr>
        <w:t xml:space="preserve">a Biblioteca Digital de Medicina Tradicional Mexicana en la que hacen cuatro categorías, denominadas: Diccionario Enciclopédico de la Medicina Tradicional Mexicana, La Medicina Tradicional de los Pueblos Indígenas de México, Atlas de las Plantas de la Medicina Tradicional Mexicana y Flora Medicinal Indígena de México, en la que se </w:t>
      </w:r>
      <w:r>
        <w:rPr>
          <w:color w:val="000000"/>
          <w:szCs w:val="24"/>
        </w:rPr>
        <w:t>tiene</w:t>
      </w:r>
      <w:r w:rsidRPr="009D5269">
        <w:rPr>
          <w:color w:val="000000"/>
          <w:szCs w:val="24"/>
        </w:rPr>
        <w:t xml:space="preserve"> acceso a mil monografías de herbolaria tradicional de diferentes regiones del país (UNAM, 2009).</w:t>
      </w:r>
    </w:p>
    <w:p w14:paraId="774EB307" w14:textId="303F3F3E" w:rsidR="003C3468" w:rsidRPr="009D5269" w:rsidRDefault="003C3468" w:rsidP="008D562C">
      <w:pPr>
        <w:rPr>
          <w:rFonts w:cs="Arial"/>
          <w:color w:val="111111"/>
          <w:shd w:val="clear" w:color="auto" w:fill="FFFFFF"/>
        </w:rPr>
      </w:pPr>
      <w:r w:rsidRPr="009D5269">
        <w:rPr>
          <w:color w:val="000000"/>
          <w:szCs w:val="24"/>
        </w:rPr>
        <w:t>En el caso de la</w:t>
      </w:r>
      <w:r w:rsidR="004C7B13">
        <w:rPr>
          <w:color w:val="000000"/>
          <w:szCs w:val="24"/>
        </w:rPr>
        <w:t xml:space="preserve"> Universidad Autónoma Chapingo</w:t>
      </w:r>
      <w:r w:rsidRPr="009D5269">
        <w:rPr>
          <w:color w:val="000000"/>
          <w:szCs w:val="24"/>
        </w:rPr>
        <w:t xml:space="preserve"> </w:t>
      </w:r>
      <w:r w:rsidR="004C7B13">
        <w:rPr>
          <w:color w:val="000000"/>
          <w:szCs w:val="24"/>
        </w:rPr>
        <w:t>(</w:t>
      </w:r>
      <w:r w:rsidRPr="009D5269">
        <w:rPr>
          <w:color w:val="000000"/>
          <w:szCs w:val="24"/>
        </w:rPr>
        <w:t>UACh</w:t>
      </w:r>
      <w:r w:rsidR="004C7B13">
        <w:rPr>
          <w:color w:val="000000"/>
          <w:szCs w:val="24"/>
        </w:rPr>
        <w:t>)</w:t>
      </w:r>
      <w:r w:rsidRPr="009D5269">
        <w:rPr>
          <w:color w:val="000000"/>
          <w:szCs w:val="24"/>
        </w:rPr>
        <w:t>, los estudios que se realizan son en relación al fomento del uso</w:t>
      </w:r>
      <w:r>
        <w:rPr>
          <w:color w:val="000000"/>
          <w:szCs w:val="24"/>
        </w:rPr>
        <w:t xml:space="preserve"> y conservación del conocimiento</w:t>
      </w:r>
      <w:r w:rsidRPr="009D5269">
        <w:rPr>
          <w:color w:val="000000"/>
          <w:szCs w:val="24"/>
        </w:rPr>
        <w:t xml:space="preserve"> de la herbolaria en una amplia gama de actividades académicas, cursos, difusión, recuperación y uso, como la colaboración entre </w:t>
      </w:r>
      <w:r w:rsidR="00A31E2F">
        <w:rPr>
          <w:rFonts w:cs="Arial"/>
          <w:color w:val="111111"/>
          <w:shd w:val="clear" w:color="auto" w:fill="FFFFFF"/>
        </w:rPr>
        <w:t>l</w:t>
      </w:r>
      <w:r w:rsidRPr="009D5269">
        <w:rPr>
          <w:rFonts w:cs="Arial"/>
          <w:color w:val="111111"/>
          <w:shd w:val="clear" w:color="auto" w:fill="FFFFFF"/>
        </w:rPr>
        <w:t>a Secretaría de Desarrollo Rural y Equidad para las Comunidades (</w:t>
      </w:r>
      <w:r w:rsidRPr="009D5269">
        <w:rPr>
          <w:rFonts w:cs="Arial"/>
          <w:shd w:val="clear" w:color="auto" w:fill="FFFFFF"/>
        </w:rPr>
        <w:t>SEDEREC</w:t>
      </w:r>
      <w:r w:rsidRPr="009D5269">
        <w:rPr>
          <w:rFonts w:cs="Arial"/>
          <w:color w:val="111111"/>
          <w:shd w:val="clear" w:color="auto" w:fill="FFFFFF"/>
        </w:rPr>
        <w:t xml:space="preserve">) de la Ciudad de México, </w:t>
      </w:r>
      <w:r w:rsidR="004C7B13">
        <w:rPr>
          <w:rFonts w:cs="Arial"/>
          <w:color w:val="111111"/>
          <w:shd w:val="clear" w:color="auto" w:fill="FFFFFF"/>
        </w:rPr>
        <w:t>Universidad Nacional Autónoma de México (</w:t>
      </w:r>
      <w:r w:rsidRPr="009D5269">
        <w:rPr>
          <w:rFonts w:cs="Arial"/>
          <w:color w:val="111111"/>
          <w:shd w:val="clear" w:color="auto" w:fill="FFFFFF"/>
        </w:rPr>
        <w:t>UNAM</w:t>
      </w:r>
      <w:r w:rsidR="004C7B13">
        <w:rPr>
          <w:rFonts w:cs="Arial"/>
          <w:color w:val="111111"/>
          <w:shd w:val="clear" w:color="auto" w:fill="FFFFFF"/>
        </w:rPr>
        <w:t>)</w:t>
      </w:r>
      <w:r w:rsidRPr="009D5269">
        <w:rPr>
          <w:rFonts w:cs="Arial"/>
          <w:color w:val="111111"/>
          <w:shd w:val="clear" w:color="auto" w:fill="FFFFFF"/>
        </w:rPr>
        <w:t xml:space="preserve"> y la Universidad Autónoma Metropolitana (UAM) de Xochimilco en la que se llevan a cabo actividades de análisis, técnicas de cultivo y comercialización de herbolaria (</w:t>
      </w:r>
      <w:r>
        <w:rPr>
          <w:color w:val="000000"/>
          <w:szCs w:val="24"/>
        </w:rPr>
        <w:t>SEDEREC, 2017</w:t>
      </w:r>
      <w:r w:rsidRPr="009D5269">
        <w:rPr>
          <w:color w:val="000000"/>
          <w:szCs w:val="24"/>
        </w:rPr>
        <w:t>).</w:t>
      </w:r>
    </w:p>
    <w:p w14:paraId="2611A987" w14:textId="0EA1783D" w:rsidR="00E57880" w:rsidRPr="009D5269" w:rsidRDefault="004C7B13" w:rsidP="008D562C">
      <w:pPr>
        <w:rPr>
          <w:color w:val="000000"/>
          <w:szCs w:val="24"/>
        </w:rPr>
      </w:pPr>
      <w:r>
        <w:rPr>
          <w:color w:val="000000"/>
          <w:szCs w:val="24"/>
        </w:rPr>
        <w:t xml:space="preserve">Dada la diversidad cultural que existe en México, </w:t>
      </w:r>
      <w:r w:rsidR="00166817">
        <w:rPr>
          <w:color w:val="000000"/>
          <w:szCs w:val="24"/>
        </w:rPr>
        <w:t xml:space="preserve">varios </w:t>
      </w:r>
      <w:r>
        <w:rPr>
          <w:color w:val="000000"/>
          <w:szCs w:val="24"/>
        </w:rPr>
        <w:t xml:space="preserve">autores se han dado a la tarea de realizar </w:t>
      </w:r>
      <w:r w:rsidR="00A123DC">
        <w:rPr>
          <w:color w:val="000000"/>
          <w:szCs w:val="24"/>
        </w:rPr>
        <w:t xml:space="preserve">estudios de herbolaria en </w:t>
      </w:r>
      <w:r w:rsidR="003C3468" w:rsidRPr="009D5269">
        <w:rPr>
          <w:color w:val="000000"/>
          <w:szCs w:val="24"/>
        </w:rPr>
        <w:t>Guerrero (Uriostegui-Flores, 201</w:t>
      </w:r>
      <w:r w:rsidR="003C3468">
        <w:rPr>
          <w:color w:val="000000"/>
          <w:szCs w:val="24"/>
        </w:rPr>
        <w:t>5</w:t>
      </w:r>
      <w:r w:rsidR="003C3468" w:rsidRPr="009D5269">
        <w:rPr>
          <w:color w:val="000000"/>
          <w:szCs w:val="24"/>
        </w:rPr>
        <w:t>), Tabasco (Alvarez-Quiroz</w:t>
      </w:r>
      <w:r w:rsidR="003C3468">
        <w:rPr>
          <w:color w:val="000000"/>
          <w:szCs w:val="24"/>
        </w:rPr>
        <w:t>, Caso-Barrera, Aliphat-Fernández y Galmiche-Tejeda</w:t>
      </w:r>
      <w:r w:rsidR="003C3468" w:rsidRPr="009D5269">
        <w:rPr>
          <w:color w:val="000000"/>
          <w:szCs w:val="24"/>
        </w:rPr>
        <w:t>, 2017</w:t>
      </w:r>
      <w:r w:rsidR="003C3468">
        <w:rPr>
          <w:color w:val="000000"/>
          <w:szCs w:val="24"/>
        </w:rPr>
        <w:t xml:space="preserve">; </w:t>
      </w:r>
      <w:r w:rsidR="003C3468" w:rsidRPr="009D5269">
        <w:rPr>
          <w:color w:val="000000"/>
          <w:szCs w:val="24"/>
        </w:rPr>
        <w:t>Villanueva-Ibarra</w:t>
      </w:r>
      <w:r w:rsidR="003C3468">
        <w:rPr>
          <w:color w:val="000000"/>
          <w:szCs w:val="24"/>
        </w:rPr>
        <w:t xml:space="preserve">, </w:t>
      </w:r>
      <w:r w:rsidR="003C3468" w:rsidRPr="006C7E54">
        <w:rPr>
          <w:i/>
          <w:iCs/>
          <w:color w:val="000000"/>
          <w:szCs w:val="24"/>
        </w:rPr>
        <w:t>et al</w:t>
      </w:r>
      <w:r w:rsidR="003C3468">
        <w:rPr>
          <w:color w:val="000000"/>
          <w:szCs w:val="24"/>
        </w:rPr>
        <w:t>.</w:t>
      </w:r>
      <w:r w:rsidR="003C3468" w:rsidRPr="009D5269">
        <w:rPr>
          <w:color w:val="000000"/>
          <w:szCs w:val="24"/>
        </w:rPr>
        <w:t>, 2012),</w:t>
      </w:r>
      <w:r w:rsidR="003C3468">
        <w:rPr>
          <w:color w:val="000000"/>
          <w:szCs w:val="24"/>
        </w:rPr>
        <w:t xml:space="preserve"> </w:t>
      </w:r>
      <w:r w:rsidR="003C3468" w:rsidRPr="009D5269">
        <w:rPr>
          <w:color w:val="000000"/>
          <w:szCs w:val="24"/>
        </w:rPr>
        <w:t xml:space="preserve">Estado de México (López, 2016), Puebla (Jorand, 2008) y Campeche (Huicochea, 2015) perpetuando así el uso y </w:t>
      </w:r>
      <w:r w:rsidR="003C3468" w:rsidRPr="009D5269">
        <w:rPr>
          <w:color w:val="000000"/>
          <w:szCs w:val="24"/>
        </w:rPr>
        <w:lastRenderedPageBreak/>
        <w:t>conocimiento para el tratamiento de algunas enfermedades, tales como: desórdenes del sistema digestivo, genitourinario y endocrino, infecciones del sistema respiratorio, piel, gineco-obstétrico y metabólico nutricional (Villareal-Ibarra</w:t>
      </w:r>
      <w:r w:rsidR="00E57880">
        <w:rPr>
          <w:color w:val="000000"/>
          <w:szCs w:val="24"/>
        </w:rPr>
        <w:t>,</w:t>
      </w:r>
      <w:r w:rsidR="003C3468" w:rsidRPr="009D5269">
        <w:rPr>
          <w:color w:val="000000"/>
          <w:szCs w:val="24"/>
        </w:rPr>
        <w:t xml:space="preserve"> </w:t>
      </w:r>
      <w:r w:rsidR="003C3468" w:rsidRPr="009D5269">
        <w:rPr>
          <w:i/>
          <w:color w:val="000000"/>
          <w:szCs w:val="24"/>
        </w:rPr>
        <w:t>et al.</w:t>
      </w:r>
      <w:r w:rsidR="003C3468" w:rsidRPr="009D5269">
        <w:rPr>
          <w:color w:val="000000"/>
          <w:szCs w:val="24"/>
        </w:rPr>
        <w:t xml:space="preserve">, 2014; López, 2016).  </w:t>
      </w:r>
    </w:p>
    <w:p w14:paraId="18A4182E" w14:textId="2043633E" w:rsidR="00F32B20" w:rsidRDefault="00A77BD5" w:rsidP="008D562C">
      <w:pPr>
        <w:rPr>
          <w:rFonts w:cs="Arial"/>
        </w:rPr>
      </w:pPr>
      <w:r>
        <w:rPr>
          <w:rFonts w:cs="Arial"/>
        </w:rPr>
        <w:t xml:space="preserve">El uso de la herbolaria en el tratamiento de </w:t>
      </w:r>
      <w:r w:rsidR="004B5951">
        <w:rPr>
          <w:rFonts w:cs="Arial"/>
        </w:rPr>
        <w:t>patologías</w:t>
      </w:r>
      <w:r w:rsidR="00F214ED">
        <w:rPr>
          <w:rFonts w:cs="Arial"/>
        </w:rPr>
        <w:t xml:space="preserve"> o alguna sintomatología</w:t>
      </w:r>
      <w:r w:rsidR="004B5951">
        <w:rPr>
          <w:rFonts w:cs="Arial"/>
        </w:rPr>
        <w:t xml:space="preserve"> en la veterinaria se denomina </w:t>
      </w:r>
      <w:r w:rsidR="00567EFA">
        <w:rPr>
          <w:rFonts w:cs="Arial"/>
        </w:rPr>
        <w:t>etnoveterinaria</w:t>
      </w:r>
      <w:r w:rsidR="004B5951">
        <w:rPr>
          <w:rFonts w:cs="Arial"/>
        </w:rPr>
        <w:t>, de acuerdo con McCorkle (1986)</w:t>
      </w:r>
      <w:r w:rsidR="00AE4A7E">
        <w:rPr>
          <w:rFonts w:cs="Arial"/>
        </w:rPr>
        <w:t xml:space="preserve"> es el </w:t>
      </w:r>
      <w:r w:rsidR="00AE4A7E" w:rsidRPr="00AE4A7E">
        <w:rPr>
          <w:rFonts w:cs="Arial"/>
        </w:rPr>
        <w:t>estudio holístico de los sistemas de conocimiento en prácticas, estructuras sociales y creencias con respeto a la producción animal</w:t>
      </w:r>
      <w:r w:rsidR="00AE4A7E">
        <w:rPr>
          <w:rFonts w:cs="Arial"/>
        </w:rPr>
        <w:t xml:space="preserve"> mediante la interconexión de los entornos físico, social, cultural, geográfico, político e histórico, donde interactúan los animales y los propietarios.</w:t>
      </w:r>
      <w:r w:rsidR="00F7442F">
        <w:rPr>
          <w:rFonts w:cs="Arial"/>
        </w:rPr>
        <w:t xml:space="preserve"> </w:t>
      </w:r>
    </w:p>
    <w:p w14:paraId="03B2E1D4" w14:textId="6E240457" w:rsidR="003C3468" w:rsidRDefault="00FD6205" w:rsidP="008D562C">
      <w:pPr>
        <w:rPr>
          <w:rFonts w:cs="Arial"/>
        </w:rPr>
      </w:pPr>
      <w:r>
        <w:rPr>
          <w:rFonts w:cs="Arial"/>
        </w:rPr>
        <w:t>S</w:t>
      </w:r>
      <w:r w:rsidR="003C3468" w:rsidRPr="009D5269">
        <w:rPr>
          <w:rFonts w:cs="Arial"/>
        </w:rPr>
        <w:t xml:space="preserve">e </w:t>
      </w:r>
      <w:r w:rsidR="003C3468">
        <w:rPr>
          <w:rFonts w:cs="Arial"/>
        </w:rPr>
        <w:t>aplica</w:t>
      </w:r>
      <w:r w:rsidR="003C3468" w:rsidRPr="009D5269">
        <w:rPr>
          <w:rFonts w:cs="Arial"/>
        </w:rPr>
        <w:t xml:space="preserve"> en diferentes lugares del mundo</w:t>
      </w:r>
      <w:r w:rsidR="002F0460">
        <w:rPr>
          <w:rFonts w:cs="Arial"/>
        </w:rPr>
        <w:t xml:space="preserve"> </w:t>
      </w:r>
      <w:r w:rsidR="00F32B20">
        <w:rPr>
          <w:rFonts w:cs="Arial"/>
        </w:rPr>
        <w:t>(tabla 1)</w:t>
      </w:r>
      <w:r w:rsidR="003C3468" w:rsidRPr="009D5269">
        <w:rPr>
          <w:rFonts w:cs="Arial"/>
        </w:rPr>
        <w:t>, en los que resaltan: África, Asia, Europa y Latinoamérica.</w:t>
      </w:r>
      <w:r w:rsidR="006243D0">
        <w:rPr>
          <w:rFonts w:cs="Arial"/>
        </w:rPr>
        <w:t xml:space="preserve"> </w:t>
      </w:r>
      <w:r w:rsidR="004B7ECC">
        <w:rPr>
          <w:rFonts w:cs="Arial"/>
        </w:rPr>
        <w:t>El empleo es principalmente en la ganadería y se usa en patologías como endo y ecto parásitos, antiinflamatorio</w:t>
      </w:r>
      <w:r w:rsidR="004E124D">
        <w:rPr>
          <w:rFonts w:cs="Arial"/>
        </w:rPr>
        <w:t>s</w:t>
      </w:r>
      <w:r w:rsidR="004B7ECC">
        <w:rPr>
          <w:rFonts w:cs="Arial"/>
        </w:rPr>
        <w:t xml:space="preserve">, </w:t>
      </w:r>
      <w:r w:rsidR="004E124D">
        <w:rPr>
          <w:rFonts w:cs="Arial"/>
        </w:rPr>
        <w:t xml:space="preserve">antibacteriales y antivirales. De acuerdo </w:t>
      </w:r>
      <w:r w:rsidR="006E54D9">
        <w:rPr>
          <w:rFonts w:cs="Arial"/>
        </w:rPr>
        <w:t>con</w:t>
      </w:r>
      <w:r w:rsidR="004E124D">
        <w:rPr>
          <w:rFonts w:cs="Arial"/>
        </w:rPr>
        <w:t xml:space="preserve"> la ubicación geográfica</w:t>
      </w:r>
      <w:r w:rsidR="00A31E2F">
        <w:rPr>
          <w:rFonts w:cs="Arial"/>
        </w:rPr>
        <w:t>,</w:t>
      </w:r>
      <w:r w:rsidR="004E124D">
        <w:rPr>
          <w:rFonts w:cs="Arial"/>
        </w:rPr>
        <w:t xml:space="preserve"> es la finalidad de la etnoveterinaria, en África y Latinoamérica es una opción de tratamiento de bajo costo, en Asia se debe a la cultura </w:t>
      </w:r>
      <w:r w:rsidR="00934786">
        <w:rPr>
          <w:rFonts w:cs="Arial"/>
        </w:rPr>
        <w:t xml:space="preserve">y tradición de la herbolaria y </w:t>
      </w:r>
      <w:r w:rsidR="00A31E2F">
        <w:rPr>
          <w:rFonts w:cs="Arial"/>
        </w:rPr>
        <w:t xml:space="preserve">en </w:t>
      </w:r>
      <w:r w:rsidR="00934786">
        <w:rPr>
          <w:rFonts w:cs="Arial"/>
        </w:rPr>
        <w:t xml:space="preserve">Europa para producir una ganadería sustentable. </w:t>
      </w:r>
      <w:r w:rsidR="004E124D">
        <w:rPr>
          <w:rFonts w:cs="Arial"/>
        </w:rPr>
        <w:t xml:space="preserve"> </w:t>
      </w:r>
    </w:p>
    <w:p w14:paraId="6184C17A" w14:textId="77777777" w:rsidR="000C0A3B" w:rsidRDefault="006961D7" w:rsidP="008D562C">
      <w:pPr>
        <w:rPr>
          <w:rFonts w:cs="Arial"/>
        </w:rPr>
      </w:pPr>
      <w:r w:rsidRPr="009D5269">
        <w:rPr>
          <w:rFonts w:cs="Arial"/>
        </w:rPr>
        <w:t xml:space="preserve">En México, </w:t>
      </w:r>
      <w:r>
        <w:rPr>
          <w:rFonts w:cs="Arial"/>
        </w:rPr>
        <w:t>la herbolaria</w:t>
      </w:r>
      <w:r w:rsidRPr="009D5269">
        <w:rPr>
          <w:rFonts w:cs="Arial"/>
        </w:rPr>
        <w:t xml:space="preserve"> se ha estudiado</w:t>
      </w:r>
      <w:r>
        <w:rPr>
          <w:rFonts w:cs="Arial"/>
        </w:rPr>
        <w:t xml:space="preserve"> por</w:t>
      </w:r>
      <w:r w:rsidRPr="009D5269">
        <w:rPr>
          <w:rFonts w:cs="Arial"/>
        </w:rPr>
        <w:t xml:space="preserve"> áreas geográficas especificas con antecedentes de grupos étnicos o población vulnerable, tales como: Geerlings</w:t>
      </w:r>
      <w:r>
        <w:rPr>
          <w:rFonts w:cs="Arial"/>
        </w:rPr>
        <w:t xml:space="preserve"> y Perezgrovas</w:t>
      </w:r>
      <w:r w:rsidRPr="009D5269">
        <w:rPr>
          <w:rFonts w:cs="Arial"/>
        </w:rPr>
        <w:t xml:space="preserve"> (1998), </w:t>
      </w:r>
      <w:r>
        <w:rPr>
          <w:rFonts w:cs="Arial"/>
        </w:rPr>
        <w:t>quienes describen</w:t>
      </w:r>
      <w:r w:rsidRPr="009D5269">
        <w:rPr>
          <w:rFonts w:cs="Arial"/>
        </w:rPr>
        <w:t xml:space="preserve"> las creencias y las prácticas de las pastoras tzotziles relacionadas con la cría, salud y aplicación de conocimientos en ganado ovin</w:t>
      </w:r>
      <w:r>
        <w:rPr>
          <w:rFonts w:cs="Arial"/>
        </w:rPr>
        <w:t>o,</w:t>
      </w:r>
      <w:r w:rsidRPr="009D5269">
        <w:rPr>
          <w:rFonts w:cs="Arial"/>
        </w:rPr>
        <w:t xml:space="preserve"> sistema</w:t>
      </w:r>
      <w:r>
        <w:rPr>
          <w:rFonts w:cs="Arial"/>
        </w:rPr>
        <w:t xml:space="preserve"> </w:t>
      </w:r>
      <w:r w:rsidRPr="009D5269">
        <w:rPr>
          <w:rFonts w:cs="Arial"/>
        </w:rPr>
        <w:t>determinad</w:t>
      </w:r>
      <w:r>
        <w:rPr>
          <w:rFonts w:cs="Arial"/>
        </w:rPr>
        <w:t>o</w:t>
      </w:r>
      <w:r w:rsidRPr="009D5269">
        <w:rPr>
          <w:rFonts w:cs="Arial"/>
        </w:rPr>
        <w:t xml:space="preserve"> por la disponibilidad de recursos local</w:t>
      </w:r>
      <w:r>
        <w:rPr>
          <w:rFonts w:cs="Arial"/>
        </w:rPr>
        <w:t>es</w:t>
      </w:r>
      <w:r w:rsidRPr="009D5269">
        <w:rPr>
          <w:rFonts w:cs="Arial"/>
        </w:rPr>
        <w:t xml:space="preserve"> y las limitantes ambientales</w:t>
      </w:r>
      <w:r>
        <w:rPr>
          <w:rFonts w:cs="Arial"/>
        </w:rPr>
        <w:t>.</w:t>
      </w:r>
    </w:p>
    <w:p w14:paraId="58EEF8DB" w14:textId="2BF06974" w:rsidR="000C0A3B" w:rsidRDefault="000C0A3B" w:rsidP="008D562C">
      <w:pPr>
        <w:rPr>
          <w:rFonts w:cs="Arial"/>
        </w:rPr>
        <w:sectPr w:rsidR="000C0A3B" w:rsidSect="002E60FD">
          <w:footerReference w:type="default" r:id="rId11"/>
          <w:pgSz w:w="12240" w:h="15840"/>
          <w:pgMar w:top="1417" w:right="1701" w:bottom="1417" w:left="1701" w:header="708" w:footer="708" w:gutter="0"/>
          <w:pgNumType w:start="1"/>
          <w:cols w:space="708"/>
          <w:docGrid w:linePitch="360"/>
        </w:sectPr>
      </w:pPr>
      <w:r w:rsidRPr="009D5269">
        <w:rPr>
          <w:rFonts w:cs="Arial"/>
        </w:rPr>
        <w:t>Espino</w:t>
      </w:r>
      <w:r>
        <w:rPr>
          <w:rFonts w:cs="Arial"/>
        </w:rPr>
        <w:t>s</w:t>
      </w:r>
      <w:r w:rsidRPr="009D5269">
        <w:rPr>
          <w:rFonts w:cs="Arial"/>
        </w:rPr>
        <w:t xml:space="preserve">a-Moreno </w:t>
      </w:r>
      <w:r w:rsidRPr="009D5269">
        <w:rPr>
          <w:i/>
          <w:color w:val="000000"/>
        </w:rPr>
        <w:t>et al.</w:t>
      </w:r>
      <w:r w:rsidRPr="009D5269">
        <w:rPr>
          <w:rFonts w:cs="Arial"/>
        </w:rPr>
        <w:t xml:space="preserve"> (2016),</w:t>
      </w:r>
      <w:r>
        <w:rPr>
          <w:rFonts w:cs="Arial"/>
        </w:rPr>
        <w:t xml:space="preserve"> </w:t>
      </w:r>
      <w:r w:rsidRPr="009D5269">
        <w:rPr>
          <w:rFonts w:cs="Arial"/>
        </w:rPr>
        <w:t xml:space="preserve">evaluaron la actividad antihelmíntica </w:t>
      </w:r>
      <w:r w:rsidRPr="009D5269">
        <w:rPr>
          <w:rFonts w:cs="Arial"/>
          <w:i/>
        </w:rPr>
        <w:t>in vitro</w:t>
      </w:r>
      <w:r w:rsidRPr="009D5269">
        <w:rPr>
          <w:rFonts w:cs="Arial"/>
        </w:rPr>
        <w:t xml:space="preserve"> de tres plantas de uso tradicional </w:t>
      </w:r>
      <w:r w:rsidRPr="009D5269">
        <w:rPr>
          <w:rFonts w:cs="Arial"/>
          <w:i/>
        </w:rPr>
        <w:t>Cydista aequinoctialis L., Heliotropium indicum L. y Momordica charantia L.</w:t>
      </w:r>
      <w:r w:rsidRPr="009D5269">
        <w:rPr>
          <w:rFonts w:cs="Arial"/>
        </w:rPr>
        <w:t xml:space="preserve"> en el estado de Tabasco contra </w:t>
      </w:r>
      <w:r w:rsidRPr="009D5269">
        <w:rPr>
          <w:rFonts w:cs="Arial"/>
          <w:i/>
        </w:rPr>
        <w:t>Haemonchus contortus</w:t>
      </w:r>
      <w:r w:rsidRPr="009D5269">
        <w:rPr>
          <w:rFonts w:cs="Arial"/>
        </w:rPr>
        <w:t>, parasito gastrointestinal que afecta al ganado</w:t>
      </w:r>
      <w:r>
        <w:rPr>
          <w:rFonts w:cs="Arial"/>
        </w:rPr>
        <w:t xml:space="preserve">, siendo el </w:t>
      </w:r>
      <w:r w:rsidRPr="009D5269">
        <w:rPr>
          <w:rFonts w:cs="Arial"/>
          <w:i/>
        </w:rPr>
        <w:t>Momordica charantia L.</w:t>
      </w:r>
      <w:r>
        <w:rPr>
          <w:rFonts w:cs="Arial"/>
          <w:i/>
        </w:rPr>
        <w:t xml:space="preserve"> </w:t>
      </w:r>
      <w:r w:rsidRPr="009A21E8">
        <w:rPr>
          <w:rFonts w:cs="Arial"/>
          <w:iCs/>
        </w:rPr>
        <w:t>quien</w:t>
      </w:r>
      <w:r>
        <w:rPr>
          <w:rFonts w:cs="Arial"/>
        </w:rPr>
        <w:t xml:space="preserve"> obtuvo mejores resultados</w:t>
      </w:r>
      <w:r w:rsidRPr="009D5269">
        <w:rPr>
          <w:rFonts w:cs="Arial"/>
        </w:rPr>
        <w:t xml:space="preserve">; Mayoral </w:t>
      </w:r>
      <w:r w:rsidRPr="009D5269">
        <w:rPr>
          <w:i/>
          <w:color w:val="000000"/>
        </w:rPr>
        <w:t>et al.</w:t>
      </w:r>
      <w:r w:rsidRPr="009D5269">
        <w:rPr>
          <w:rFonts w:cs="Arial"/>
        </w:rPr>
        <w:t xml:space="preserve"> (2017), </w:t>
      </w:r>
      <w:r>
        <w:rPr>
          <w:rFonts w:cs="Arial"/>
        </w:rPr>
        <w:t>analizaron</w:t>
      </w:r>
      <w:r w:rsidRPr="009D5269">
        <w:rPr>
          <w:rFonts w:cs="Arial"/>
        </w:rPr>
        <w:t xml:space="preserve"> </w:t>
      </w:r>
      <w:r w:rsidRPr="009D5269">
        <w:rPr>
          <w:rFonts w:cs="Arial"/>
          <w:i/>
        </w:rPr>
        <w:t>in vitro</w:t>
      </w:r>
      <w:r w:rsidRPr="009D5269">
        <w:rPr>
          <w:rFonts w:cs="Arial"/>
        </w:rPr>
        <w:t xml:space="preserve"> al </w:t>
      </w:r>
    </w:p>
    <w:p w14:paraId="62CDBF20" w14:textId="40D485C7" w:rsidR="003C3468" w:rsidRDefault="003C3468" w:rsidP="008855B8">
      <w:pPr>
        <w:pStyle w:val="Sinespaciado"/>
      </w:pPr>
      <w:r>
        <w:lastRenderedPageBreak/>
        <w:t xml:space="preserve">Tabla </w:t>
      </w:r>
      <w:r w:rsidR="006E0A7A">
        <w:t>1</w:t>
      </w:r>
      <w:r w:rsidR="008855B8">
        <w:t>.</w:t>
      </w:r>
      <w:r>
        <w:t xml:space="preserve"> Aplicación de la </w:t>
      </w:r>
      <w:r w:rsidRPr="00934786">
        <w:t>etnoveterinaria</w:t>
      </w:r>
      <w:r>
        <w:t xml:space="preserve"> en </w:t>
      </w:r>
      <w:r w:rsidR="009C3632">
        <w:t>el mundo</w:t>
      </w:r>
      <w:r>
        <w:t>.</w:t>
      </w:r>
    </w:p>
    <w:tbl>
      <w:tblPr>
        <w:tblStyle w:val="Tablaconcuadrcula"/>
        <w:tblW w:w="0" w:type="auto"/>
        <w:tblLook w:val="04A0" w:firstRow="1" w:lastRow="0" w:firstColumn="1" w:lastColumn="0" w:noHBand="0" w:noVBand="1"/>
      </w:tblPr>
      <w:tblGrid>
        <w:gridCol w:w="846"/>
        <w:gridCol w:w="1701"/>
        <w:gridCol w:w="4111"/>
        <w:gridCol w:w="2918"/>
        <w:gridCol w:w="1881"/>
        <w:gridCol w:w="1539"/>
      </w:tblGrid>
      <w:tr w:rsidR="009C3632" w:rsidRPr="00D1290A" w14:paraId="650D3467" w14:textId="77777777" w:rsidTr="00A31E2F">
        <w:tc>
          <w:tcPr>
            <w:tcW w:w="846" w:type="dxa"/>
            <w:vAlign w:val="center"/>
          </w:tcPr>
          <w:p w14:paraId="236E3E5A" w14:textId="12A689AD" w:rsidR="009C3632" w:rsidRPr="00D1290A" w:rsidRDefault="009C3632" w:rsidP="00A31E2F">
            <w:pPr>
              <w:jc w:val="left"/>
              <w:rPr>
                <w:rFonts w:cs="Arial"/>
                <w:b/>
                <w:bCs/>
                <w:sz w:val="18"/>
                <w:szCs w:val="18"/>
              </w:rPr>
            </w:pPr>
            <w:r>
              <w:rPr>
                <w:rFonts w:cs="Arial"/>
                <w:b/>
                <w:bCs/>
                <w:sz w:val="18"/>
                <w:szCs w:val="18"/>
              </w:rPr>
              <w:t>País</w:t>
            </w:r>
          </w:p>
        </w:tc>
        <w:tc>
          <w:tcPr>
            <w:tcW w:w="1701" w:type="dxa"/>
            <w:vAlign w:val="center"/>
          </w:tcPr>
          <w:p w14:paraId="0A2A191A" w14:textId="502B2D1B" w:rsidR="009C3632" w:rsidRPr="00D1290A" w:rsidRDefault="009C3632" w:rsidP="00A31E2F">
            <w:pPr>
              <w:jc w:val="left"/>
              <w:rPr>
                <w:rFonts w:cs="Arial"/>
                <w:b/>
                <w:bCs/>
                <w:sz w:val="18"/>
                <w:szCs w:val="18"/>
              </w:rPr>
            </w:pPr>
            <w:r w:rsidRPr="00D1290A">
              <w:rPr>
                <w:rFonts w:cs="Arial"/>
                <w:b/>
                <w:bCs/>
                <w:sz w:val="18"/>
                <w:szCs w:val="18"/>
              </w:rPr>
              <w:t>Autor(es) y año</w:t>
            </w:r>
          </w:p>
        </w:tc>
        <w:tc>
          <w:tcPr>
            <w:tcW w:w="4111" w:type="dxa"/>
            <w:vAlign w:val="center"/>
          </w:tcPr>
          <w:p w14:paraId="0C11B232" w14:textId="77777777" w:rsidR="009C3632" w:rsidRPr="00D1290A" w:rsidRDefault="009C3632" w:rsidP="00A31E2F">
            <w:pPr>
              <w:jc w:val="left"/>
              <w:rPr>
                <w:rFonts w:cs="Arial"/>
                <w:b/>
                <w:bCs/>
                <w:sz w:val="18"/>
                <w:szCs w:val="18"/>
              </w:rPr>
            </w:pPr>
            <w:r w:rsidRPr="00D1290A">
              <w:rPr>
                <w:rFonts w:cs="Arial"/>
                <w:b/>
                <w:bCs/>
                <w:sz w:val="18"/>
                <w:szCs w:val="18"/>
              </w:rPr>
              <w:t xml:space="preserve">Plantas medicinales </w:t>
            </w:r>
          </w:p>
        </w:tc>
        <w:tc>
          <w:tcPr>
            <w:tcW w:w="2918" w:type="dxa"/>
            <w:vAlign w:val="center"/>
          </w:tcPr>
          <w:p w14:paraId="1DEDE109" w14:textId="77777777" w:rsidR="009C3632" w:rsidRPr="00D1290A" w:rsidRDefault="009C3632" w:rsidP="00A31E2F">
            <w:pPr>
              <w:jc w:val="left"/>
              <w:rPr>
                <w:rFonts w:cs="Arial"/>
                <w:b/>
                <w:bCs/>
                <w:sz w:val="18"/>
                <w:szCs w:val="18"/>
              </w:rPr>
            </w:pPr>
            <w:r w:rsidRPr="00D1290A">
              <w:rPr>
                <w:rFonts w:cs="Arial"/>
                <w:b/>
                <w:bCs/>
                <w:sz w:val="18"/>
                <w:szCs w:val="18"/>
              </w:rPr>
              <w:t>Campo de acción</w:t>
            </w:r>
          </w:p>
        </w:tc>
        <w:tc>
          <w:tcPr>
            <w:tcW w:w="1881" w:type="dxa"/>
            <w:vAlign w:val="center"/>
          </w:tcPr>
          <w:p w14:paraId="49DEEAF0" w14:textId="77777777" w:rsidR="009C3632" w:rsidRPr="00D1290A" w:rsidRDefault="009C3632" w:rsidP="00A31E2F">
            <w:pPr>
              <w:jc w:val="left"/>
              <w:rPr>
                <w:rFonts w:cs="Arial"/>
                <w:b/>
                <w:bCs/>
                <w:sz w:val="18"/>
                <w:szCs w:val="18"/>
              </w:rPr>
            </w:pPr>
            <w:r w:rsidRPr="00D1290A">
              <w:rPr>
                <w:rFonts w:cs="Arial"/>
                <w:b/>
                <w:bCs/>
                <w:sz w:val="18"/>
                <w:szCs w:val="18"/>
              </w:rPr>
              <w:t>Especies veterinarias</w:t>
            </w:r>
          </w:p>
        </w:tc>
        <w:tc>
          <w:tcPr>
            <w:tcW w:w="1539" w:type="dxa"/>
            <w:vAlign w:val="center"/>
          </w:tcPr>
          <w:p w14:paraId="07E7DCC5" w14:textId="77777777" w:rsidR="009C3632" w:rsidRPr="002F0460" w:rsidRDefault="009C3632" w:rsidP="00A31E2F">
            <w:pPr>
              <w:jc w:val="left"/>
              <w:rPr>
                <w:rFonts w:cs="Arial"/>
                <w:b/>
                <w:bCs/>
                <w:sz w:val="18"/>
                <w:szCs w:val="18"/>
              </w:rPr>
            </w:pPr>
            <w:r w:rsidRPr="002F0460">
              <w:rPr>
                <w:rFonts w:cs="Arial"/>
                <w:b/>
                <w:bCs/>
                <w:sz w:val="18"/>
                <w:szCs w:val="18"/>
              </w:rPr>
              <w:t xml:space="preserve">Vía de aplicación </w:t>
            </w:r>
          </w:p>
        </w:tc>
      </w:tr>
      <w:tr w:rsidR="009C3632" w:rsidRPr="00D1290A" w14:paraId="4A8975FC" w14:textId="77777777" w:rsidTr="00A31E2F">
        <w:tc>
          <w:tcPr>
            <w:tcW w:w="846" w:type="dxa"/>
            <w:vMerge w:val="restart"/>
            <w:vAlign w:val="center"/>
          </w:tcPr>
          <w:p w14:paraId="4E64A3A6" w14:textId="747A41BA" w:rsidR="009C3632" w:rsidRPr="00D1290A" w:rsidRDefault="009C3632" w:rsidP="00A31E2F">
            <w:pPr>
              <w:jc w:val="left"/>
              <w:rPr>
                <w:color w:val="000000"/>
                <w:sz w:val="18"/>
                <w:szCs w:val="18"/>
              </w:rPr>
            </w:pPr>
            <w:r>
              <w:rPr>
                <w:color w:val="000000"/>
                <w:sz w:val="18"/>
                <w:szCs w:val="18"/>
              </w:rPr>
              <w:t>África</w:t>
            </w:r>
          </w:p>
        </w:tc>
        <w:tc>
          <w:tcPr>
            <w:tcW w:w="1701" w:type="dxa"/>
            <w:vAlign w:val="center"/>
          </w:tcPr>
          <w:p w14:paraId="46A02E28" w14:textId="77678DB7" w:rsidR="009C3632" w:rsidRPr="00D1290A" w:rsidRDefault="009C3632" w:rsidP="00A31E2F">
            <w:pPr>
              <w:jc w:val="left"/>
              <w:rPr>
                <w:rFonts w:cs="Arial"/>
                <w:sz w:val="18"/>
                <w:szCs w:val="18"/>
              </w:rPr>
            </w:pPr>
            <w:r w:rsidRPr="00D1290A">
              <w:rPr>
                <w:color w:val="000000"/>
                <w:sz w:val="18"/>
                <w:szCs w:val="18"/>
              </w:rPr>
              <w:t xml:space="preserve">Syakalima, Simuunza, </w:t>
            </w:r>
            <w:r w:rsidR="00BD4A34">
              <w:rPr>
                <w:color w:val="000000"/>
                <w:sz w:val="18"/>
                <w:szCs w:val="18"/>
              </w:rPr>
              <w:t>y</w:t>
            </w:r>
            <w:r w:rsidRPr="00D1290A">
              <w:rPr>
                <w:color w:val="000000"/>
                <w:sz w:val="18"/>
                <w:szCs w:val="18"/>
              </w:rPr>
              <w:t xml:space="preserve"> Zulu (2018)</w:t>
            </w:r>
          </w:p>
        </w:tc>
        <w:tc>
          <w:tcPr>
            <w:tcW w:w="4111" w:type="dxa"/>
            <w:vAlign w:val="center"/>
          </w:tcPr>
          <w:p w14:paraId="0A178D1A" w14:textId="77777777" w:rsidR="009C3632" w:rsidRPr="00D1290A" w:rsidRDefault="009C3632" w:rsidP="00A31E2F">
            <w:pPr>
              <w:jc w:val="left"/>
              <w:rPr>
                <w:color w:val="000000"/>
                <w:sz w:val="18"/>
                <w:szCs w:val="18"/>
              </w:rPr>
            </w:pPr>
            <w:r w:rsidRPr="00D1290A">
              <w:rPr>
                <w:i/>
                <w:color w:val="000000"/>
                <w:sz w:val="18"/>
                <w:szCs w:val="18"/>
              </w:rPr>
              <w:t>Aloe vera</w:t>
            </w:r>
            <w:r w:rsidRPr="00D1290A">
              <w:rPr>
                <w:color w:val="000000"/>
                <w:sz w:val="18"/>
                <w:szCs w:val="18"/>
              </w:rPr>
              <w:t xml:space="preserve"> y </w:t>
            </w:r>
            <w:r w:rsidRPr="00D1290A">
              <w:rPr>
                <w:i/>
                <w:color w:val="000000"/>
                <w:sz w:val="18"/>
                <w:szCs w:val="18"/>
              </w:rPr>
              <w:t>Aristolochia índica</w:t>
            </w:r>
            <w:r w:rsidRPr="00D1290A">
              <w:rPr>
                <w:color w:val="000000"/>
                <w:sz w:val="18"/>
                <w:szCs w:val="18"/>
              </w:rPr>
              <w:t xml:space="preserve"> en mastitis, </w:t>
            </w:r>
            <w:r w:rsidRPr="00D1290A">
              <w:rPr>
                <w:i/>
                <w:color w:val="000000"/>
                <w:sz w:val="18"/>
                <w:szCs w:val="18"/>
              </w:rPr>
              <w:t>Alpinia officinarum</w:t>
            </w:r>
            <w:r w:rsidRPr="00D1290A">
              <w:rPr>
                <w:color w:val="000000"/>
                <w:sz w:val="18"/>
                <w:szCs w:val="18"/>
              </w:rPr>
              <w:t xml:space="preserve"> y </w:t>
            </w:r>
            <w:r w:rsidRPr="00D1290A">
              <w:rPr>
                <w:i/>
                <w:color w:val="000000"/>
                <w:sz w:val="18"/>
                <w:szCs w:val="18"/>
              </w:rPr>
              <w:t>Curcuma Zedoaria</w:t>
            </w:r>
            <w:r w:rsidRPr="00D1290A">
              <w:rPr>
                <w:color w:val="000000"/>
                <w:sz w:val="18"/>
                <w:szCs w:val="18"/>
              </w:rPr>
              <w:t xml:space="preserve"> en enteritis,</w:t>
            </w:r>
            <w:r w:rsidRPr="00D1290A">
              <w:rPr>
                <w:i/>
                <w:color w:val="000000"/>
                <w:sz w:val="18"/>
                <w:szCs w:val="18"/>
              </w:rPr>
              <w:t>Adathoda vasica L</w:t>
            </w:r>
            <w:r w:rsidRPr="00D1290A">
              <w:rPr>
                <w:color w:val="000000"/>
                <w:sz w:val="18"/>
                <w:szCs w:val="18"/>
              </w:rPr>
              <w:t xml:space="preserve">. y </w:t>
            </w:r>
            <w:r w:rsidRPr="00D1290A">
              <w:rPr>
                <w:i/>
                <w:color w:val="000000"/>
                <w:sz w:val="18"/>
                <w:szCs w:val="18"/>
              </w:rPr>
              <w:t>Glyeyrrhiza glabra L</w:t>
            </w:r>
            <w:r w:rsidRPr="00D1290A">
              <w:rPr>
                <w:color w:val="000000"/>
                <w:sz w:val="18"/>
                <w:szCs w:val="18"/>
              </w:rPr>
              <w:t xml:space="preserve">. en artritis, </w:t>
            </w:r>
            <w:r w:rsidRPr="00D1290A">
              <w:rPr>
                <w:i/>
                <w:color w:val="000000"/>
                <w:sz w:val="18"/>
                <w:szCs w:val="18"/>
              </w:rPr>
              <w:t>Cassia auriculata L</w:t>
            </w:r>
            <w:r w:rsidRPr="00D1290A">
              <w:rPr>
                <w:color w:val="000000"/>
                <w:sz w:val="18"/>
                <w:szCs w:val="18"/>
              </w:rPr>
              <w:t xml:space="preserve">. y </w:t>
            </w:r>
            <w:r w:rsidRPr="00D1290A">
              <w:rPr>
                <w:i/>
                <w:color w:val="000000"/>
                <w:sz w:val="18"/>
                <w:szCs w:val="18"/>
              </w:rPr>
              <w:t>Commiphora caudate</w:t>
            </w:r>
            <w:r w:rsidRPr="00D1290A">
              <w:rPr>
                <w:color w:val="000000"/>
                <w:sz w:val="18"/>
                <w:szCs w:val="18"/>
              </w:rPr>
              <w:t xml:space="preserve"> en estomatitis y </w:t>
            </w:r>
            <w:r w:rsidRPr="00D1290A">
              <w:rPr>
                <w:i/>
                <w:iCs/>
                <w:color w:val="000000"/>
                <w:sz w:val="18"/>
                <w:szCs w:val="18"/>
              </w:rPr>
              <w:t>Cordia monoica</w:t>
            </w:r>
            <w:r w:rsidRPr="00D1290A">
              <w:rPr>
                <w:color w:val="000000"/>
                <w:sz w:val="18"/>
                <w:szCs w:val="18"/>
              </w:rPr>
              <w:t xml:space="preserve"> en conjuntivitis</w:t>
            </w:r>
          </w:p>
        </w:tc>
        <w:tc>
          <w:tcPr>
            <w:tcW w:w="2918" w:type="dxa"/>
            <w:vAlign w:val="center"/>
          </w:tcPr>
          <w:p w14:paraId="448CC662" w14:textId="77777777" w:rsidR="009C3632" w:rsidRPr="00D1290A" w:rsidRDefault="009C3632" w:rsidP="00A31E2F">
            <w:pPr>
              <w:jc w:val="left"/>
              <w:rPr>
                <w:rFonts w:cs="Arial"/>
                <w:sz w:val="18"/>
                <w:szCs w:val="18"/>
              </w:rPr>
            </w:pPr>
            <w:r w:rsidRPr="00D1290A">
              <w:rPr>
                <w:rFonts w:cs="Arial"/>
                <w:sz w:val="18"/>
                <w:szCs w:val="18"/>
              </w:rPr>
              <w:t>Antiinflamatorio</w:t>
            </w:r>
          </w:p>
        </w:tc>
        <w:tc>
          <w:tcPr>
            <w:tcW w:w="1881" w:type="dxa"/>
            <w:vAlign w:val="center"/>
          </w:tcPr>
          <w:p w14:paraId="67A37052" w14:textId="77777777" w:rsidR="009C3632" w:rsidRPr="00D1290A" w:rsidRDefault="009C3632" w:rsidP="00A31E2F">
            <w:pPr>
              <w:jc w:val="left"/>
              <w:rPr>
                <w:rFonts w:cs="Arial"/>
                <w:sz w:val="18"/>
                <w:szCs w:val="18"/>
              </w:rPr>
            </w:pPr>
            <w:r w:rsidRPr="00D1290A">
              <w:rPr>
                <w:rFonts w:cs="Arial"/>
                <w:sz w:val="18"/>
                <w:szCs w:val="18"/>
              </w:rPr>
              <w:t>Ganado</w:t>
            </w:r>
          </w:p>
        </w:tc>
        <w:tc>
          <w:tcPr>
            <w:tcW w:w="1539" w:type="dxa"/>
            <w:vAlign w:val="center"/>
          </w:tcPr>
          <w:p w14:paraId="0418E803" w14:textId="77777777" w:rsidR="009C3632" w:rsidRPr="00D1290A" w:rsidRDefault="009C3632" w:rsidP="00A31E2F">
            <w:pPr>
              <w:jc w:val="left"/>
              <w:rPr>
                <w:rFonts w:cs="Arial"/>
                <w:sz w:val="18"/>
                <w:szCs w:val="18"/>
              </w:rPr>
            </w:pPr>
            <w:r w:rsidRPr="00D1290A">
              <w:rPr>
                <w:rFonts w:cs="Arial"/>
                <w:sz w:val="18"/>
                <w:szCs w:val="18"/>
              </w:rPr>
              <w:t xml:space="preserve">Vía oral </w:t>
            </w:r>
          </w:p>
        </w:tc>
      </w:tr>
      <w:tr w:rsidR="009C3632" w:rsidRPr="00D1290A" w14:paraId="336FF3B3" w14:textId="77777777" w:rsidTr="00A31E2F">
        <w:tc>
          <w:tcPr>
            <w:tcW w:w="846" w:type="dxa"/>
            <w:vMerge/>
            <w:vAlign w:val="center"/>
          </w:tcPr>
          <w:p w14:paraId="05C6E0C0" w14:textId="77777777" w:rsidR="009C3632" w:rsidRPr="00D1290A" w:rsidRDefault="009C3632" w:rsidP="00A31E2F">
            <w:pPr>
              <w:jc w:val="left"/>
              <w:rPr>
                <w:color w:val="000000"/>
                <w:sz w:val="18"/>
                <w:szCs w:val="18"/>
              </w:rPr>
            </w:pPr>
          </w:p>
        </w:tc>
        <w:tc>
          <w:tcPr>
            <w:tcW w:w="1701" w:type="dxa"/>
            <w:vAlign w:val="center"/>
          </w:tcPr>
          <w:p w14:paraId="1680158C" w14:textId="10F74242" w:rsidR="009C3632" w:rsidRPr="00D1290A" w:rsidRDefault="009C3632" w:rsidP="00A31E2F">
            <w:pPr>
              <w:jc w:val="left"/>
              <w:rPr>
                <w:rFonts w:cs="Arial"/>
                <w:sz w:val="18"/>
                <w:szCs w:val="18"/>
              </w:rPr>
            </w:pPr>
            <w:r w:rsidRPr="00D1290A">
              <w:rPr>
                <w:color w:val="000000"/>
                <w:sz w:val="18"/>
                <w:szCs w:val="18"/>
              </w:rPr>
              <w:t xml:space="preserve">Kpodékon </w:t>
            </w:r>
            <w:r w:rsidRPr="00D1290A">
              <w:rPr>
                <w:i/>
                <w:color w:val="000000"/>
                <w:sz w:val="18"/>
                <w:szCs w:val="18"/>
              </w:rPr>
              <w:t xml:space="preserve">et al. </w:t>
            </w:r>
            <w:r w:rsidRPr="00D1290A">
              <w:rPr>
                <w:color w:val="000000"/>
                <w:sz w:val="18"/>
                <w:szCs w:val="18"/>
              </w:rPr>
              <w:t>(2015)</w:t>
            </w:r>
          </w:p>
        </w:tc>
        <w:tc>
          <w:tcPr>
            <w:tcW w:w="4111" w:type="dxa"/>
            <w:vAlign w:val="center"/>
          </w:tcPr>
          <w:p w14:paraId="4AC75CE6" w14:textId="77777777" w:rsidR="009C3632" w:rsidRPr="00D1290A" w:rsidRDefault="009C3632" w:rsidP="00A31E2F">
            <w:pPr>
              <w:jc w:val="left"/>
              <w:rPr>
                <w:i/>
                <w:color w:val="000000"/>
                <w:sz w:val="18"/>
                <w:szCs w:val="18"/>
              </w:rPr>
            </w:pPr>
            <w:r w:rsidRPr="00D1290A">
              <w:rPr>
                <w:i/>
                <w:color w:val="000000"/>
                <w:sz w:val="18"/>
                <w:szCs w:val="18"/>
              </w:rPr>
              <w:t>Erythrina senegalensis, Pterocarpus erinaceus, Boerhavia diffusa, Parkia biglobosa, Detarium microcarpum y Khaya senegalensis</w:t>
            </w:r>
          </w:p>
        </w:tc>
        <w:tc>
          <w:tcPr>
            <w:tcW w:w="2918" w:type="dxa"/>
            <w:vAlign w:val="center"/>
          </w:tcPr>
          <w:p w14:paraId="5D43B081" w14:textId="77777777" w:rsidR="009C3632" w:rsidRPr="00D1290A" w:rsidRDefault="009C3632" w:rsidP="00A31E2F">
            <w:pPr>
              <w:jc w:val="left"/>
              <w:rPr>
                <w:color w:val="000000"/>
                <w:sz w:val="18"/>
                <w:szCs w:val="18"/>
              </w:rPr>
            </w:pPr>
            <w:r w:rsidRPr="00D1290A">
              <w:rPr>
                <w:color w:val="000000"/>
                <w:sz w:val="18"/>
                <w:szCs w:val="18"/>
              </w:rPr>
              <w:t xml:space="preserve">Virales </w:t>
            </w:r>
          </w:p>
        </w:tc>
        <w:tc>
          <w:tcPr>
            <w:tcW w:w="1881" w:type="dxa"/>
            <w:vAlign w:val="center"/>
          </w:tcPr>
          <w:p w14:paraId="08D7339C" w14:textId="77777777" w:rsidR="009C3632" w:rsidRPr="00D1290A" w:rsidRDefault="009C3632" w:rsidP="00A31E2F">
            <w:pPr>
              <w:jc w:val="left"/>
              <w:rPr>
                <w:rFonts w:cs="Arial"/>
                <w:sz w:val="18"/>
                <w:szCs w:val="18"/>
              </w:rPr>
            </w:pPr>
            <w:r w:rsidRPr="00D1290A">
              <w:rPr>
                <w:color w:val="000000"/>
                <w:sz w:val="18"/>
                <w:szCs w:val="18"/>
              </w:rPr>
              <w:t>Ganado, aves de corral, cerdos, cabras y ovejas</w:t>
            </w:r>
          </w:p>
        </w:tc>
        <w:tc>
          <w:tcPr>
            <w:tcW w:w="1539" w:type="dxa"/>
            <w:vAlign w:val="center"/>
          </w:tcPr>
          <w:p w14:paraId="42E3ACFB" w14:textId="77777777" w:rsidR="009C3632" w:rsidRPr="00D1290A" w:rsidRDefault="009C3632" w:rsidP="00A31E2F">
            <w:pPr>
              <w:jc w:val="left"/>
              <w:rPr>
                <w:rFonts w:cs="Arial"/>
                <w:sz w:val="18"/>
                <w:szCs w:val="18"/>
              </w:rPr>
            </w:pPr>
            <w:r w:rsidRPr="00D1290A">
              <w:rPr>
                <w:rFonts w:cs="Arial"/>
                <w:sz w:val="18"/>
                <w:szCs w:val="18"/>
              </w:rPr>
              <w:t>Diversas vías de aplicación dependiendo de la planta</w:t>
            </w:r>
          </w:p>
        </w:tc>
      </w:tr>
      <w:tr w:rsidR="009C3632" w:rsidRPr="00D1290A" w14:paraId="050F70B1" w14:textId="77777777" w:rsidTr="00A31E2F">
        <w:tc>
          <w:tcPr>
            <w:tcW w:w="846" w:type="dxa"/>
            <w:vMerge/>
            <w:vAlign w:val="center"/>
          </w:tcPr>
          <w:p w14:paraId="1C6905D7" w14:textId="77777777" w:rsidR="009C3632" w:rsidRPr="00D1290A" w:rsidRDefault="009C3632" w:rsidP="00A31E2F">
            <w:pPr>
              <w:jc w:val="left"/>
              <w:rPr>
                <w:color w:val="000000"/>
                <w:sz w:val="18"/>
                <w:szCs w:val="18"/>
              </w:rPr>
            </w:pPr>
          </w:p>
        </w:tc>
        <w:tc>
          <w:tcPr>
            <w:tcW w:w="1701" w:type="dxa"/>
            <w:vAlign w:val="center"/>
          </w:tcPr>
          <w:p w14:paraId="68E4DDAF" w14:textId="5AB48BAE" w:rsidR="009C3632" w:rsidRPr="00437D1F" w:rsidRDefault="009C3632" w:rsidP="00A31E2F">
            <w:pPr>
              <w:jc w:val="left"/>
              <w:rPr>
                <w:color w:val="000000"/>
                <w:sz w:val="18"/>
                <w:szCs w:val="18"/>
                <w:lang w:val="en-US"/>
              </w:rPr>
            </w:pPr>
            <w:r w:rsidRPr="00437D1F">
              <w:rPr>
                <w:color w:val="000000"/>
                <w:sz w:val="18"/>
                <w:szCs w:val="18"/>
                <w:lang w:val="en-US"/>
              </w:rPr>
              <w:t xml:space="preserve">Kioko, Baker, Shannon </w:t>
            </w:r>
            <w:r w:rsidR="00BD4A34" w:rsidRPr="00437D1F">
              <w:rPr>
                <w:color w:val="000000"/>
                <w:sz w:val="18"/>
                <w:szCs w:val="18"/>
                <w:lang w:val="en-US"/>
              </w:rPr>
              <w:t>y</w:t>
            </w:r>
            <w:r w:rsidRPr="00437D1F">
              <w:rPr>
                <w:color w:val="000000"/>
                <w:sz w:val="18"/>
                <w:szCs w:val="18"/>
                <w:lang w:val="en-US"/>
              </w:rPr>
              <w:t xml:space="preserve"> Kiffner (2015)</w:t>
            </w:r>
          </w:p>
        </w:tc>
        <w:tc>
          <w:tcPr>
            <w:tcW w:w="4111" w:type="dxa"/>
            <w:vAlign w:val="center"/>
          </w:tcPr>
          <w:p w14:paraId="2F19839A" w14:textId="77777777" w:rsidR="009C3632" w:rsidRPr="00D1290A" w:rsidRDefault="009C3632" w:rsidP="00A31E2F">
            <w:pPr>
              <w:jc w:val="left"/>
              <w:rPr>
                <w:iCs/>
                <w:color w:val="000000"/>
                <w:sz w:val="18"/>
                <w:szCs w:val="18"/>
              </w:rPr>
            </w:pPr>
            <w:r w:rsidRPr="00D1290A">
              <w:rPr>
                <w:iCs/>
                <w:color w:val="000000"/>
                <w:sz w:val="18"/>
                <w:szCs w:val="18"/>
              </w:rPr>
              <w:t xml:space="preserve">Familias de </w:t>
            </w:r>
            <w:r w:rsidRPr="00D1290A">
              <w:rPr>
                <w:i/>
                <w:color w:val="000000"/>
                <w:sz w:val="18"/>
                <w:szCs w:val="18"/>
              </w:rPr>
              <w:t xml:space="preserve">Fabaceae y Burseraceae </w:t>
            </w:r>
          </w:p>
        </w:tc>
        <w:tc>
          <w:tcPr>
            <w:tcW w:w="2918" w:type="dxa"/>
            <w:vAlign w:val="center"/>
          </w:tcPr>
          <w:p w14:paraId="00DA7C8C" w14:textId="77777777" w:rsidR="009C3632" w:rsidRPr="00D1290A" w:rsidRDefault="009C3632" w:rsidP="00A31E2F">
            <w:pPr>
              <w:jc w:val="left"/>
              <w:rPr>
                <w:color w:val="000000"/>
                <w:sz w:val="18"/>
                <w:szCs w:val="18"/>
              </w:rPr>
            </w:pPr>
            <w:r w:rsidRPr="00D1290A">
              <w:rPr>
                <w:color w:val="000000"/>
                <w:sz w:val="18"/>
                <w:szCs w:val="18"/>
              </w:rPr>
              <w:t xml:space="preserve">Ectoparásitos </w:t>
            </w:r>
          </w:p>
        </w:tc>
        <w:tc>
          <w:tcPr>
            <w:tcW w:w="1881" w:type="dxa"/>
            <w:vAlign w:val="center"/>
          </w:tcPr>
          <w:p w14:paraId="58E8B2EB" w14:textId="77777777" w:rsidR="009C3632" w:rsidRPr="00D1290A" w:rsidRDefault="009C3632" w:rsidP="00A31E2F">
            <w:pPr>
              <w:jc w:val="left"/>
              <w:rPr>
                <w:color w:val="000000"/>
                <w:sz w:val="18"/>
                <w:szCs w:val="18"/>
              </w:rPr>
            </w:pPr>
            <w:r w:rsidRPr="00D1290A">
              <w:rPr>
                <w:color w:val="000000"/>
                <w:sz w:val="18"/>
                <w:szCs w:val="18"/>
              </w:rPr>
              <w:t xml:space="preserve">En el orden de los </w:t>
            </w:r>
            <w:r w:rsidRPr="00D1290A">
              <w:rPr>
                <w:i/>
                <w:iCs/>
                <w:color w:val="000000"/>
                <w:sz w:val="18"/>
                <w:szCs w:val="18"/>
              </w:rPr>
              <w:t>Ixodoidea</w:t>
            </w:r>
          </w:p>
        </w:tc>
        <w:tc>
          <w:tcPr>
            <w:tcW w:w="1539" w:type="dxa"/>
            <w:vAlign w:val="center"/>
          </w:tcPr>
          <w:p w14:paraId="7224B3B7" w14:textId="77777777" w:rsidR="009C3632" w:rsidRPr="00D1290A" w:rsidRDefault="009C3632" w:rsidP="00A31E2F">
            <w:pPr>
              <w:jc w:val="left"/>
              <w:rPr>
                <w:rFonts w:cs="Arial"/>
                <w:sz w:val="18"/>
                <w:szCs w:val="18"/>
              </w:rPr>
            </w:pPr>
            <w:r w:rsidRPr="00D1290A">
              <w:rPr>
                <w:rFonts w:cs="Arial"/>
                <w:sz w:val="18"/>
                <w:szCs w:val="18"/>
              </w:rPr>
              <w:t>-</w:t>
            </w:r>
          </w:p>
        </w:tc>
      </w:tr>
      <w:tr w:rsidR="009C3632" w:rsidRPr="00D1290A" w14:paraId="5366C110" w14:textId="77777777" w:rsidTr="00A31E2F">
        <w:tc>
          <w:tcPr>
            <w:tcW w:w="846" w:type="dxa"/>
            <w:vMerge/>
            <w:vAlign w:val="center"/>
          </w:tcPr>
          <w:p w14:paraId="3B7EA3A2" w14:textId="77777777" w:rsidR="009C3632" w:rsidRPr="00D1290A" w:rsidRDefault="009C3632" w:rsidP="00A31E2F">
            <w:pPr>
              <w:jc w:val="left"/>
              <w:rPr>
                <w:color w:val="000000"/>
                <w:sz w:val="18"/>
                <w:szCs w:val="18"/>
              </w:rPr>
            </w:pPr>
          </w:p>
        </w:tc>
        <w:tc>
          <w:tcPr>
            <w:tcW w:w="1701" w:type="dxa"/>
            <w:vAlign w:val="center"/>
          </w:tcPr>
          <w:p w14:paraId="3C62D77F" w14:textId="78B59D23" w:rsidR="009C3632" w:rsidRPr="00D1290A" w:rsidRDefault="009C3632" w:rsidP="00A31E2F">
            <w:pPr>
              <w:jc w:val="left"/>
              <w:rPr>
                <w:color w:val="000000"/>
                <w:sz w:val="18"/>
                <w:szCs w:val="18"/>
              </w:rPr>
            </w:pPr>
            <w:r w:rsidRPr="00D1290A">
              <w:rPr>
                <w:color w:val="000000"/>
                <w:sz w:val="18"/>
                <w:szCs w:val="18"/>
              </w:rPr>
              <w:t xml:space="preserve">Mudzengi </w:t>
            </w:r>
            <w:r w:rsidRPr="00D1290A">
              <w:rPr>
                <w:i/>
                <w:color w:val="000000"/>
                <w:sz w:val="18"/>
                <w:szCs w:val="18"/>
              </w:rPr>
              <w:t>et al</w:t>
            </w:r>
            <w:r w:rsidRPr="00D1290A">
              <w:rPr>
                <w:color w:val="000000"/>
                <w:sz w:val="18"/>
                <w:szCs w:val="18"/>
              </w:rPr>
              <w:t>. (2017)</w:t>
            </w:r>
          </w:p>
        </w:tc>
        <w:tc>
          <w:tcPr>
            <w:tcW w:w="4111" w:type="dxa"/>
            <w:vAlign w:val="center"/>
          </w:tcPr>
          <w:p w14:paraId="36F1E885" w14:textId="77777777" w:rsidR="009C3632" w:rsidRPr="00D1290A" w:rsidRDefault="009C3632" w:rsidP="00A31E2F">
            <w:pPr>
              <w:jc w:val="left"/>
              <w:rPr>
                <w:iCs/>
                <w:color w:val="000000"/>
                <w:sz w:val="18"/>
                <w:szCs w:val="18"/>
              </w:rPr>
            </w:pPr>
            <w:r w:rsidRPr="00D1290A">
              <w:rPr>
                <w:i/>
                <w:color w:val="000000"/>
                <w:sz w:val="18"/>
                <w:szCs w:val="18"/>
              </w:rPr>
              <w:t>Salvadora persica</w:t>
            </w:r>
            <w:r w:rsidRPr="00D1290A">
              <w:rPr>
                <w:iCs/>
                <w:color w:val="000000"/>
                <w:sz w:val="18"/>
                <w:szCs w:val="18"/>
              </w:rPr>
              <w:t xml:space="preserve"> L., </w:t>
            </w:r>
            <w:r w:rsidRPr="00D1290A">
              <w:rPr>
                <w:i/>
                <w:color w:val="000000"/>
                <w:sz w:val="18"/>
                <w:szCs w:val="18"/>
              </w:rPr>
              <w:t>Colophospermum mopane</w:t>
            </w:r>
            <w:r w:rsidRPr="00D1290A">
              <w:rPr>
                <w:iCs/>
                <w:color w:val="000000"/>
                <w:sz w:val="18"/>
                <w:szCs w:val="18"/>
              </w:rPr>
              <w:t xml:space="preserve"> y </w:t>
            </w:r>
            <w:r w:rsidRPr="00D1290A">
              <w:rPr>
                <w:i/>
                <w:color w:val="000000"/>
                <w:sz w:val="18"/>
                <w:szCs w:val="18"/>
              </w:rPr>
              <w:t>Dichrostachys cinérea</w:t>
            </w:r>
            <w:r w:rsidRPr="00D1290A">
              <w:rPr>
                <w:iCs/>
                <w:color w:val="000000"/>
                <w:sz w:val="18"/>
                <w:szCs w:val="18"/>
              </w:rPr>
              <w:t>.</w:t>
            </w:r>
          </w:p>
        </w:tc>
        <w:tc>
          <w:tcPr>
            <w:tcW w:w="2918" w:type="dxa"/>
            <w:vAlign w:val="center"/>
          </w:tcPr>
          <w:p w14:paraId="797217CC" w14:textId="77777777" w:rsidR="009C3632" w:rsidRPr="00D1290A" w:rsidRDefault="009C3632" w:rsidP="00A31E2F">
            <w:pPr>
              <w:jc w:val="left"/>
              <w:rPr>
                <w:color w:val="000000"/>
                <w:sz w:val="18"/>
                <w:szCs w:val="18"/>
              </w:rPr>
            </w:pPr>
            <w:r w:rsidRPr="00D1290A">
              <w:rPr>
                <w:color w:val="000000"/>
                <w:sz w:val="18"/>
                <w:szCs w:val="18"/>
              </w:rPr>
              <w:t xml:space="preserve">Antibacterial en específico en contra de </w:t>
            </w:r>
            <w:r w:rsidRPr="00D1290A">
              <w:rPr>
                <w:i/>
                <w:iCs/>
                <w:color w:val="000000"/>
                <w:sz w:val="18"/>
                <w:szCs w:val="18"/>
              </w:rPr>
              <w:t>E. coli</w:t>
            </w:r>
            <w:r w:rsidRPr="00D1290A">
              <w:rPr>
                <w:color w:val="000000"/>
                <w:sz w:val="18"/>
                <w:szCs w:val="18"/>
              </w:rPr>
              <w:t xml:space="preserve"> y </w:t>
            </w:r>
            <w:r w:rsidRPr="00D1290A">
              <w:rPr>
                <w:i/>
                <w:iCs/>
                <w:color w:val="000000"/>
                <w:sz w:val="18"/>
                <w:szCs w:val="18"/>
              </w:rPr>
              <w:t>S. aureus</w:t>
            </w:r>
          </w:p>
        </w:tc>
        <w:tc>
          <w:tcPr>
            <w:tcW w:w="1881" w:type="dxa"/>
            <w:vAlign w:val="center"/>
          </w:tcPr>
          <w:p w14:paraId="2907D303" w14:textId="77777777" w:rsidR="009C3632" w:rsidRPr="00D1290A" w:rsidRDefault="009C3632" w:rsidP="00A31E2F">
            <w:pPr>
              <w:jc w:val="left"/>
              <w:rPr>
                <w:color w:val="000000"/>
                <w:sz w:val="18"/>
                <w:szCs w:val="18"/>
              </w:rPr>
            </w:pPr>
            <w:r w:rsidRPr="00D1290A">
              <w:rPr>
                <w:color w:val="000000"/>
                <w:sz w:val="18"/>
                <w:szCs w:val="18"/>
              </w:rPr>
              <w:t>Ganado</w:t>
            </w:r>
          </w:p>
        </w:tc>
        <w:tc>
          <w:tcPr>
            <w:tcW w:w="1539" w:type="dxa"/>
            <w:vAlign w:val="center"/>
          </w:tcPr>
          <w:p w14:paraId="2C36F521" w14:textId="77777777" w:rsidR="009C3632" w:rsidRPr="00D1290A" w:rsidRDefault="009C3632" w:rsidP="00A31E2F">
            <w:pPr>
              <w:jc w:val="left"/>
              <w:rPr>
                <w:rFonts w:cs="Arial"/>
                <w:sz w:val="18"/>
                <w:szCs w:val="18"/>
              </w:rPr>
            </w:pPr>
            <w:r w:rsidRPr="00D1290A">
              <w:rPr>
                <w:rFonts w:cs="Arial"/>
                <w:sz w:val="18"/>
                <w:szCs w:val="18"/>
              </w:rPr>
              <w:t>Extracto crudo</w:t>
            </w:r>
          </w:p>
        </w:tc>
      </w:tr>
      <w:tr w:rsidR="009C3632" w:rsidRPr="00D1290A" w14:paraId="35B370B3" w14:textId="77777777" w:rsidTr="00A31E2F">
        <w:tc>
          <w:tcPr>
            <w:tcW w:w="846" w:type="dxa"/>
            <w:vMerge/>
            <w:vAlign w:val="center"/>
          </w:tcPr>
          <w:p w14:paraId="4A152AE6" w14:textId="77777777" w:rsidR="009C3632" w:rsidRPr="007A2577" w:rsidRDefault="009C3632" w:rsidP="00A31E2F">
            <w:pPr>
              <w:jc w:val="left"/>
              <w:rPr>
                <w:color w:val="000000"/>
                <w:sz w:val="18"/>
                <w:szCs w:val="18"/>
              </w:rPr>
            </w:pPr>
          </w:p>
        </w:tc>
        <w:tc>
          <w:tcPr>
            <w:tcW w:w="1701" w:type="dxa"/>
            <w:vMerge w:val="restart"/>
            <w:vAlign w:val="center"/>
          </w:tcPr>
          <w:p w14:paraId="280966FE" w14:textId="7B1C4E36" w:rsidR="009C3632" w:rsidRPr="00D1290A" w:rsidRDefault="009C3632" w:rsidP="00A31E2F">
            <w:pPr>
              <w:jc w:val="left"/>
              <w:rPr>
                <w:color w:val="000000"/>
                <w:sz w:val="18"/>
                <w:szCs w:val="18"/>
              </w:rPr>
            </w:pPr>
            <w:r w:rsidRPr="007A2577">
              <w:rPr>
                <w:color w:val="000000"/>
                <w:sz w:val="18"/>
                <w:szCs w:val="18"/>
              </w:rPr>
              <w:t>Feyera, Mekonnen, Wakayo</w:t>
            </w:r>
            <w:r>
              <w:rPr>
                <w:color w:val="000000"/>
                <w:sz w:val="18"/>
                <w:szCs w:val="18"/>
              </w:rPr>
              <w:t xml:space="preserve"> </w:t>
            </w:r>
            <w:r w:rsidR="00BD4A34">
              <w:rPr>
                <w:color w:val="000000"/>
                <w:sz w:val="18"/>
                <w:szCs w:val="18"/>
              </w:rPr>
              <w:t>y</w:t>
            </w:r>
            <w:r w:rsidRPr="007A2577">
              <w:rPr>
                <w:color w:val="000000"/>
                <w:sz w:val="18"/>
                <w:szCs w:val="18"/>
              </w:rPr>
              <w:t xml:space="preserve"> Assefa</w:t>
            </w:r>
            <w:r w:rsidRPr="00D1290A">
              <w:rPr>
                <w:color w:val="000000"/>
                <w:sz w:val="18"/>
                <w:szCs w:val="18"/>
              </w:rPr>
              <w:t xml:space="preserve"> (2017)</w:t>
            </w:r>
          </w:p>
        </w:tc>
        <w:tc>
          <w:tcPr>
            <w:tcW w:w="4111" w:type="dxa"/>
            <w:vAlign w:val="center"/>
          </w:tcPr>
          <w:p w14:paraId="0BC0F27F" w14:textId="77777777" w:rsidR="009C3632" w:rsidRPr="00D1290A" w:rsidRDefault="009C3632" w:rsidP="00A31E2F">
            <w:pPr>
              <w:jc w:val="left"/>
              <w:rPr>
                <w:i/>
                <w:color w:val="000000"/>
                <w:sz w:val="18"/>
                <w:szCs w:val="18"/>
              </w:rPr>
            </w:pPr>
            <w:r w:rsidRPr="00D1290A">
              <w:rPr>
                <w:i/>
                <w:color w:val="000000"/>
                <w:sz w:val="18"/>
                <w:szCs w:val="18"/>
              </w:rPr>
              <w:t>Abutilon anglosomaliae y Carullum speciosa</w:t>
            </w:r>
          </w:p>
        </w:tc>
        <w:tc>
          <w:tcPr>
            <w:tcW w:w="2918" w:type="dxa"/>
            <w:vAlign w:val="center"/>
          </w:tcPr>
          <w:p w14:paraId="0423ABE9" w14:textId="77777777" w:rsidR="009C3632" w:rsidRPr="00D1290A" w:rsidRDefault="009C3632" w:rsidP="00A31E2F">
            <w:pPr>
              <w:jc w:val="left"/>
              <w:rPr>
                <w:color w:val="000000"/>
                <w:sz w:val="18"/>
                <w:szCs w:val="18"/>
              </w:rPr>
            </w:pPr>
            <w:r w:rsidRPr="00D1290A">
              <w:rPr>
                <w:color w:val="000000"/>
                <w:sz w:val="18"/>
                <w:szCs w:val="18"/>
              </w:rPr>
              <w:t>Heridas externas</w:t>
            </w:r>
          </w:p>
        </w:tc>
        <w:tc>
          <w:tcPr>
            <w:tcW w:w="1881" w:type="dxa"/>
            <w:vAlign w:val="center"/>
          </w:tcPr>
          <w:p w14:paraId="6786BED7" w14:textId="77777777" w:rsidR="009C3632" w:rsidRPr="00D1290A" w:rsidRDefault="009C3632" w:rsidP="00A31E2F">
            <w:pPr>
              <w:jc w:val="left"/>
              <w:rPr>
                <w:color w:val="000000"/>
                <w:sz w:val="18"/>
                <w:szCs w:val="18"/>
              </w:rPr>
            </w:pPr>
            <w:r w:rsidRPr="00D1290A">
              <w:rPr>
                <w:color w:val="000000"/>
                <w:sz w:val="18"/>
                <w:szCs w:val="18"/>
              </w:rPr>
              <w:t xml:space="preserve">Ganado </w:t>
            </w:r>
          </w:p>
        </w:tc>
        <w:tc>
          <w:tcPr>
            <w:tcW w:w="1539" w:type="dxa"/>
            <w:vAlign w:val="center"/>
          </w:tcPr>
          <w:p w14:paraId="37543CF6" w14:textId="77777777" w:rsidR="009C3632" w:rsidRPr="00D1290A" w:rsidRDefault="009C3632" w:rsidP="00A31E2F">
            <w:pPr>
              <w:jc w:val="left"/>
              <w:rPr>
                <w:rFonts w:cs="Arial"/>
                <w:sz w:val="18"/>
                <w:szCs w:val="18"/>
              </w:rPr>
            </w:pPr>
            <w:r w:rsidRPr="00D1290A">
              <w:rPr>
                <w:rFonts w:cs="Arial"/>
                <w:sz w:val="18"/>
                <w:szCs w:val="18"/>
              </w:rPr>
              <w:t xml:space="preserve">Cataplasmas </w:t>
            </w:r>
          </w:p>
        </w:tc>
      </w:tr>
      <w:tr w:rsidR="009C3632" w:rsidRPr="00D1290A" w14:paraId="6A798245" w14:textId="77777777" w:rsidTr="00A31E2F">
        <w:tc>
          <w:tcPr>
            <w:tcW w:w="846" w:type="dxa"/>
            <w:vMerge/>
            <w:vAlign w:val="center"/>
          </w:tcPr>
          <w:p w14:paraId="2126448C" w14:textId="77777777" w:rsidR="009C3632" w:rsidRPr="00D1290A" w:rsidRDefault="009C3632" w:rsidP="00A31E2F">
            <w:pPr>
              <w:jc w:val="left"/>
              <w:rPr>
                <w:color w:val="000000"/>
                <w:sz w:val="18"/>
                <w:szCs w:val="18"/>
              </w:rPr>
            </w:pPr>
          </w:p>
        </w:tc>
        <w:tc>
          <w:tcPr>
            <w:tcW w:w="1701" w:type="dxa"/>
            <w:vMerge/>
            <w:vAlign w:val="center"/>
          </w:tcPr>
          <w:p w14:paraId="3FF759DF" w14:textId="291B8E13" w:rsidR="009C3632" w:rsidRPr="00D1290A" w:rsidRDefault="009C3632" w:rsidP="00A31E2F">
            <w:pPr>
              <w:jc w:val="left"/>
              <w:rPr>
                <w:color w:val="000000"/>
                <w:sz w:val="18"/>
                <w:szCs w:val="18"/>
              </w:rPr>
            </w:pPr>
          </w:p>
        </w:tc>
        <w:tc>
          <w:tcPr>
            <w:tcW w:w="4111" w:type="dxa"/>
            <w:vAlign w:val="center"/>
          </w:tcPr>
          <w:p w14:paraId="0F3F877F" w14:textId="77777777" w:rsidR="009C3632" w:rsidRPr="00D1290A" w:rsidRDefault="009C3632" w:rsidP="00A31E2F">
            <w:pPr>
              <w:jc w:val="left"/>
              <w:rPr>
                <w:iCs/>
                <w:color w:val="000000"/>
                <w:sz w:val="18"/>
                <w:szCs w:val="18"/>
              </w:rPr>
            </w:pPr>
            <w:r w:rsidRPr="00D1290A">
              <w:rPr>
                <w:i/>
                <w:color w:val="000000"/>
                <w:sz w:val="18"/>
                <w:szCs w:val="18"/>
              </w:rPr>
              <w:t xml:space="preserve">Acacia mellifera </w:t>
            </w:r>
            <w:r w:rsidRPr="00D1290A">
              <w:rPr>
                <w:iCs/>
                <w:color w:val="000000"/>
                <w:sz w:val="18"/>
                <w:szCs w:val="18"/>
              </w:rPr>
              <w:t>y</w:t>
            </w:r>
            <w:r w:rsidRPr="00D1290A">
              <w:rPr>
                <w:i/>
                <w:color w:val="000000"/>
                <w:sz w:val="18"/>
                <w:szCs w:val="18"/>
              </w:rPr>
              <w:t xml:space="preserve"> Adenium aculeatum</w:t>
            </w:r>
          </w:p>
        </w:tc>
        <w:tc>
          <w:tcPr>
            <w:tcW w:w="2918" w:type="dxa"/>
            <w:vAlign w:val="center"/>
          </w:tcPr>
          <w:p w14:paraId="133DD18E" w14:textId="77777777" w:rsidR="009C3632" w:rsidRPr="00D1290A" w:rsidRDefault="009C3632" w:rsidP="00A31E2F">
            <w:pPr>
              <w:jc w:val="left"/>
              <w:rPr>
                <w:color w:val="000000"/>
                <w:sz w:val="18"/>
                <w:szCs w:val="18"/>
              </w:rPr>
            </w:pPr>
            <w:r w:rsidRPr="00D1290A">
              <w:rPr>
                <w:color w:val="000000"/>
                <w:sz w:val="18"/>
                <w:szCs w:val="18"/>
              </w:rPr>
              <w:t xml:space="preserve">Antibacterial </w:t>
            </w:r>
          </w:p>
        </w:tc>
        <w:tc>
          <w:tcPr>
            <w:tcW w:w="1881" w:type="dxa"/>
            <w:vAlign w:val="center"/>
          </w:tcPr>
          <w:p w14:paraId="459CF3D3" w14:textId="77777777" w:rsidR="009C3632" w:rsidRPr="00D1290A" w:rsidRDefault="009C3632" w:rsidP="00A31E2F">
            <w:pPr>
              <w:jc w:val="left"/>
              <w:rPr>
                <w:color w:val="000000"/>
                <w:sz w:val="18"/>
                <w:szCs w:val="18"/>
              </w:rPr>
            </w:pPr>
            <w:r w:rsidRPr="00D1290A">
              <w:rPr>
                <w:color w:val="000000"/>
                <w:sz w:val="18"/>
                <w:szCs w:val="18"/>
              </w:rPr>
              <w:t>Ganado</w:t>
            </w:r>
          </w:p>
        </w:tc>
        <w:tc>
          <w:tcPr>
            <w:tcW w:w="1539" w:type="dxa"/>
            <w:vAlign w:val="center"/>
          </w:tcPr>
          <w:p w14:paraId="3142CB2E" w14:textId="77777777" w:rsidR="009C3632" w:rsidRPr="00D1290A" w:rsidRDefault="009C3632" w:rsidP="00A31E2F">
            <w:pPr>
              <w:jc w:val="left"/>
              <w:rPr>
                <w:rFonts w:cs="Arial"/>
                <w:sz w:val="18"/>
                <w:szCs w:val="18"/>
              </w:rPr>
            </w:pPr>
            <w:r w:rsidRPr="00D1290A">
              <w:rPr>
                <w:rFonts w:cs="Arial"/>
                <w:sz w:val="18"/>
                <w:szCs w:val="18"/>
              </w:rPr>
              <w:t xml:space="preserve">Intravaginal </w:t>
            </w:r>
          </w:p>
        </w:tc>
      </w:tr>
      <w:tr w:rsidR="009C3632" w:rsidRPr="00D1290A" w14:paraId="280F24BF" w14:textId="77777777" w:rsidTr="00A31E2F">
        <w:tc>
          <w:tcPr>
            <w:tcW w:w="846" w:type="dxa"/>
            <w:vMerge/>
            <w:vAlign w:val="center"/>
          </w:tcPr>
          <w:p w14:paraId="7CF2C62C" w14:textId="77777777" w:rsidR="009C3632" w:rsidRPr="00D1290A" w:rsidRDefault="009C3632" w:rsidP="00A31E2F">
            <w:pPr>
              <w:jc w:val="left"/>
              <w:rPr>
                <w:color w:val="000000"/>
                <w:sz w:val="18"/>
                <w:szCs w:val="18"/>
              </w:rPr>
            </w:pPr>
          </w:p>
        </w:tc>
        <w:tc>
          <w:tcPr>
            <w:tcW w:w="1701" w:type="dxa"/>
            <w:vAlign w:val="center"/>
          </w:tcPr>
          <w:p w14:paraId="528773BF" w14:textId="1DD7726E" w:rsidR="009C3632" w:rsidRPr="00D1290A" w:rsidRDefault="009C3632" w:rsidP="00A31E2F">
            <w:pPr>
              <w:jc w:val="left"/>
              <w:rPr>
                <w:color w:val="000000"/>
                <w:sz w:val="18"/>
                <w:szCs w:val="18"/>
              </w:rPr>
            </w:pPr>
            <w:r w:rsidRPr="00D1290A">
              <w:rPr>
                <w:color w:val="000000"/>
                <w:sz w:val="18"/>
                <w:szCs w:val="18"/>
              </w:rPr>
              <w:t>Ma</w:t>
            </w:r>
            <w:r w:rsidR="00C613B0">
              <w:rPr>
                <w:color w:val="000000"/>
                <w:sz w:val="18"/>
                <w:szCs w:val="18"/>
              </w:rPr>
              <w:t>royi</w:t>
            </w:r>
            <w:r w:rsidRPr="00D1290A">
              <w:rPr>
                <w:color w:val="000000"/>
                <w:sz w:val="18"/>
                <w:szCs w:val="18"/>
              </w:rPr>
              <w:t xml:space="preserve"> (2017</w:t>
            </w:r>
            <w:r>
              <w:rPr>
                <w:color w:val="000000"/>
                <w:sz w:val="18"/>
                <w:szCs w:val="18"/>
              </w:rPr>
              <w:t>a</w:t>
            </w:r>
            <w:r w:rsidRPr="00D1290A">
              <w:rPr>
                <w:color w:val="000000"/>
                <w:sz w:val="18"/>
                <w:szCs w:val="18"/>
              </w:rPr>
              <w:t>)</w:t>
            </w:r>
          </w:p>
        </w:tc>
        <w:tc>
          <w:tcPr>
            <w:tcW w:w="4111" w:type="dxa"/>
            <w:vAlign w:val="center"/>
          </w:tcPr>
          <w:p w14:paraId="317048B2" w14:textId="77777777" w:rsidR="009C3632" w:rsidRPr="00D1290A" w:rsidRDefault="009C3632" w:rsidP="00A31E2F">
            <w:pPr>
              <w:jc w:val="left"/>
              <w:rPr>
                <w:i/>
                <w:color w:val="000000"/>
                <w:sz w:val="18"/>
                <w:szCs w:val="18"/>
              </w:rPr>
            </w:pPr>
            <w:r w:rsidRPr="00D1290A">
              <w:rPr>
                <w:i/>
                <w:color w:val="000000"/>
                <w:sz w:val="18"/>
                <w:szCs w:val="18"/>
              </w:rPr>
              <w:t>Elephantorrhiza elephantina</w:t>
            </w:r>
          </w:p>
        </w:tc>
        <w:tc>
          <w:tcPr>
            <w:tcW w:w="2918" w:type="dxa"/>
            <w:vAlign w:val="center"/>
          </w:tcPr>
          <w:p w14:paraId="3BA19421" w14:textId="77777777" w:rsidR="009C3632" w:rsidRPr="00D1290A" w:rsidRDefault="009C3632" w:rsidP="00A31E2F">
            <w:pPr>
              <w:jc w:val="left"/>
              <w:rPr>
                <w:color w:val="000000"/>
                <w:sz w:val="18"/>
                <w:szCs w:val="18"/>
              </w:rPr>
            </w:pPr>
            <w:r w:rsidRPr="00D1290A">
              <w:rPr>
                <w:color w:val="000000"/>
                <w:sz w:val="18"/>
                <w:szCs w:val="18"/>
              </w:rPr>
              <w:t>Antihelmínticos, antibacterianos, antimicóticos, antiinflamatorios, anticonceptivo y actividades antioxidantes</w:t>
            </w:r>
          </w:p>
        </w:tc>
        <w:tc>
          <w:tcPr>
            <w:tcW w:w="1881" w:type="dxa"/>
            <w:vAlign w:val="center"/>
          </w:tcPr>
          <w:p w14:paraId="40BC8A0F" w14:textId="77777777" w:rsidR="009C3632" w:rsidRPr="00D1290A" w:rsidRDefault="009C3632" w:rsidP="00A31E2F">
            <w:pPr>
              <w:jc w:val="left"/>
              <w:rPr>
                <w:color w:val="000000"/>
                <w:sz w:val="18"/>
                <w:szCs w:val="18"/>
              </w:rPr>
            </w:pPr>
            <w:r w:rsidRPr="00D1290A">
              <w:rPr>
                <w:color w:val="000000"/>
                <w:sz w:val="18"/>
                <w:szCs w:val="18"/>
              </w:rPr>
              <w:t>Bovinos, cabras, caballos, cerdos, aves y ovejas</w:t>
            </w:r>
          </w:p>
        </w:tc>
        <w:tc>
          <w:tcPr>
            <w:tcW w:w="1539" w:type="dxa"/>
            <w:vAlign w:val="center"/>
          </w:tcPr>
          <w:p w14:paraId="1C0933A6" w14:textId="77777777" w:rsidR="009C3632" w:rsidRPr="00D1290A" w:rsidRDefault="009C3632" w:rsidP="00A31E2F">
            <w:pPr>
              <w:jc w:val="left"/>
              <w:rPr>
                <w:rFonts w:cs="Arial"/>
                <w:sz w:val="18"/>
                <w:szCs w:val="18"/>
              </w:rPr>
            </w:pPr>
            <w:r w:rsidRPr="00D1290A">
              <w:rPr>
                <w:rFonts w:cs="Arial"/>
                <w:sz w:val="18"/>
                <w:szCs w:val="18"/>
              </w:rPr>
              <w:t>-</w:t>
            </w:r>
          </w:p>
        </w:tc>
      </w:tr>
      <w:tr w:rsidR="009C3632" w:rsidRPr="00D1290A" w14:paraId="16BEFA53" w14:textId="77777777" w:rsidTr="00A31E2F">
        <w:tc>
          <w:tcPr>
            <w:tcW w:w="846" w:type="dxa"/>
            <w:vMerge/>
            <w:vAlign w:val="center"/>
          </w:tcPr>
          <w:p w14:paraId="6B6B0726" w14:textId="77777777" w:rsidR="009C3632" w:rsidRPr="00D1290A" w:rsidRDefault="009C3632" w:rsidP="00A31E2F">
            <w:pPr>
              <w:jc w:val="left"/>
              <w:rPr>
                <w:color w:val="000000"/>
                <w:sz w:val="18"/>
                <w:szCs w:val="18"/>
              </w:rPr>
            </w:pPr>
          </w:p>
        </w:tc>
        <w:tc>
          <w:tcPr>
            <w:tcW w:w="1701" w:type="dxa"/>
            <w:vAlign w:val="center"/>
          </w:tcPr>
          <w:p w14:paraId="68018B20" w14:textId="6A5A4CA3" w:rsidR="009C3632" w:rsidRPr="00D1290A" w:rsidRDefault="009C3632" w:rsidP="00A31E2F">
            <w:pPr>
              <w:jc w:val="left"/>
              <w:rPr>
                <w:color w:val="000000"/>
                <w:sz w:val="18"/>
                <w:szCs w:val="18"/>
              </w:rPr>
            </w:pPr>
            <w:r w:rsidRPr="00D1290A">
              <w:rPr>
                <w:color w:val="000000"/>
                <w:sz w:val="18"/>
                <w:szCs w:val="18"/>
              </w:rPr>
              <w:t xml:space="preserve">Marume </w:t>
            </w:r>
            <w:r w:rsidRPr="002F0460">
              <w:rPr>
                <w:i/>
                <w:iCs/>
                <w:color w:val="000000"/>
                <w:sz w:val="18"/>
                <w:szCs w:val="18"/>
              </w:rPr>
              <w:t>et al</w:t>
            </w:r>
            <w:r w:rsidRPr="00D1290A">
              <w:rPr>
                <w:color w:val="000000"/>
                <w:sz w:val="18"/>
                <w:szCs w:val="18"/>
              </w:rPr>
              <w:t>. (2017)</w:t>
            </w:r>
          </w:p>
        </w:tc>
        <w:tc>
          <w:tcPr>
            <w:tcW w:w="4111" w:type="dxa"/>
            <w:vAlign w:val="center"/>
          </w:tcPr>
          <w:p w14:paraId="1E433F5E" w14:textId="77777777" w:rsidR="009C3632" w:rsidRPr="00D1290A" w:rsidRDefault="009C3632" w:rsidP="00A31E2F">
            <w:pPr>
              <w:jc w:val="left"/>
              <w:rPr>
                <w:i/>
                <w:color w:val="000000"/>
                <w:sz w:val="18"/>
                <w:szCs w:val="18"/>
              </w:rPr>
            </w:pPr>
            <w:r w:rsidRPr="00D1290A">
              <w:rPr>
                <w:i/>
                <w:color w:val="000000"/>
                <w:sz w:val="18"/>
                <w:szCs w:val="18"/>
              </w:rPr>
              <w:t>Cissus quadrangularis, Adenium multiflorum y Erythrina abyssinica</w:t>
            </w:r>
          </w:p>
        </w:tc>
        <w:tc>
          <w:tcPr>
            <w:tcW w:w="2918" w:type="dxa"/>
            <w:vAlign w:val="center"/>
          </w:tcPr>
          <w:p w14:paraId="14E2AC7A" w14:textId="77777777" w:rsidR="009C3632" w:rsidRPr="00D1290A" w:rsidRDefault="009C3632" w:rsidP="00A31E2F">
            <w:pPr>
              <w:jc w:val="left"/>
              <w:rPr>
                <w:color w:val="000000"/>
                <w:sz w:val="18"/>
                <w:szCs w:val="18"/>
              </w:rPr>
            </w:pPr>
            <w:r w:rsidRPr="00D1290A">
              <w:rPr>
                <w:color w:val="000000"/>
                <w:sz w:val="18"/>
                <w:szCs w:val="18"/>
              </w:rPr>
              <w:t xml:space="preserve">Lesiones cutáneas </w:t>
            </w:r>
          </w:p>
        </w:tc>
        <w:tc>
          <w:tcPr>
            <w:tcW w:w="1881" w:type="dxa"/>
            <w:vAlign w:val="center"/>
          </w:tcPr>
          <w:p w14:paraId="56FF880E" w14:textId="77777777" w:rsidR="009C3632" w:rsidRPr="00D1290A" w:rsidRDefault="009C3632" w:rsidP="00A31E2F">
            <w:pPr>
              <w:jc w:val="left"/>
              <w:rPr>
                <w:color w:val="000000"/>
                <w:sz w:val="18"/>
                <w:szCs w:val="18"/>
              </w:rPr>
            </w:pPr>
            <w:r w:rsidRPr="00D1290A">
              <w:rPr>
                <w:color w:val="000000"/>
                <w:sz w:val="18"/>
                <w:szCs w:val="18"/>
              </w:rPr>
              <w:t xml:space="preserve">Experimento </w:t>
            </w:r>
            <w:r w:rsidRPr="00D1290A">
              <w:rPr>
                <w:i/>
                <w:iCs/>
                <w:color w:val="000000"/>
                <w:sz w:val="18"/>
                <w:szCs w:val="18"/>
              </w:rPr>
              <w:t xml:space="preserve">in vivo </w:t>
            </w:r>
            <w:r w:rsidRPr="00D1290A">
              <w:rPr>
                <w:color w:val="000000"/>
                <w:sz w:val="18"/>
                <w:szCs w:val="18"/>
              </w:rPr>
              <w:t>en ratas</w:t>
            </w:r>
          </w:p>
        </w:tc>
        <w:tc>
          <w:tcPr>
            <w:tcW w:w="1539" w:type="dxa"/>
            <w:vAlign w:val="center"/>
          </w:tcPr>
          <w:p w14:paraId="241362B8" w14:textId="77777777" w:rsidR="009C3632" w:rsidRPr="00D1290A" w:rsidRDefault="009C3632" w:rsidP="00A31E2F">
            <w:pPr>
              <w:jc w:val="left"/>
              <w:rPr>
                <w:rFonts w:cs="Arial"/>
                <w:sz w:val="18"/>
                <w:szCs w:val="18"/>
              </w:rPr>
            </w:pPr>
            <w:r w:rsidRPr="00D1290A">
              <w:rPr>
                <w:rFonts w:cs="Arial"/>
                <w:sz w:val="18"/>
                <w:szCs w:val="18"/>
              </w:rPr>
              <w:t xml:space="preserve">Ungüento </w:t>
            </w:r>
          </w:p>
        </w:tc>
      </w:tr>
      <w:tr w:rsidR="009C3632" w:rsidRPr="00D1290A" w14:paraId="327405DA" w14:textId="77777777" w:rsidTr="00A31E2F">
        <w:tc>
          <w:tcPr>
            <w:tcW w:w="846" w:type="dxa"/>
            <w:vMerge/>
            <w:vAlign w:val="center"/>
          </w:tcPr>
          <w:p w14:paraId="49D67A4D" w14:textId="77777777" w:rsidR="009C3632" w:rsidRPr="00D1290A" w:rsidRDefault="009C3632" w:rsidP="00A31E2F">
            <w:pPr>
              <w:jc w:val="left"/>
              <w:rPr>
                <w:color w:val="000000"/>
                <w:sz w:val="18"/>
                <w:szCs w:val="18"/>
              </w:rPr>
            </w:pPr>
          </w:p>
        </w:tc>
        <w:tc>
          <w:tcPr>
            <w:tcW w:w="1701" w:type="dxa"/>
            <w:vAlign w:val="center"/>
          </w:tcPr>
          <w:p w14:paraId="3795EE96" w14:textId="07F179A9" w:rsidR="009C3632" w:rsidRPr="00D1290A" w:rsidRDefault="009C3632" w:rsidP="00A31E2F">
            <w:pPr>
              <w:jc w:val="left"/>
              <w:rPr>
                <w:rFonts w:cs="Arial"/>
                <w:sz w:val="18"/>
                <w:szCs w:val="18"/>
              </w:rPr>
            </w:pPr>
            <w:r w:rsidRPr="00D1290A">
              <w:rPr>
                <w:color w:val="000000"/>
                <w:sz w:val="18"/>
                <w:szCs w:val="18"/>
              </w:rPr>
              <w:t>Nyahangare</w:t>
            </w:r>
            <w:r>
              <w:rPr>
                <w:color w:val="000000"/>
                <w:sz w:val="18"/>
                <w:szCs w:val="18"/>
              </w:rPr>
              <w:t>,</w:t>
            </w:r>
            <w:r w:rsidRPr="00D1290A">
              <w:rPr>
                <w:color w:val="000000"/>
                <w:sz w:val="18"/>
                <w:szCs w:val="18"/>
              </w:rPr>
              <w:t xml:space="preserve"> </w:t>
            </w:r>
            <w:r w:rsidRPr="006E41C4">
              <w:rPr>
                <w:color w:val="000000"/>
                <w:sz w:val="18"/>
                <w:szCs w:val="18"/>
              </w:rPr>
              <w:t>Mvumi</w:t>
            </w:r>
            <w:r>
              <w:rPr>
                <w:color w:val="000000"/>
                <w:sz w:val="18"/>
                <w:szCs w:val="18"/>
              </w:rPr>
              <w:t xml:space="preserve"> </w:t>
            </w:r>
            <w:r w:rsidR="00BD4A34">
              <w:rPr>
                <w:color w:val="000000"/>
                <w:sz w:val="18"/>
                <w:szCs w:val="18"/>
              </w:rPr>
              <w:t>y</w:t>
            </w:r>
            <w:r w:rsidRPr="006E41C4">
              <w:rPr>
                <w:color w:val="000000"/>
                <w:sz w:val="18"/>
                <w:szCs w:val="18"/>
              </w:rPr>
              <w:t xml:space="preserve"> Mutibvu</w:t>
            </w:r>
            <w:r w:rsidRPr="00D1290A">
              <w:rPr>
                <w:color w:val="000000"/>
                <w:sz w:val="18"/>
                <w:szCs w:val="18"/>
              </w:rPr>
              <w:t xml:space="preserve"> (2015)</w:t>
            </w:r>
          </w:p>
        </w:tc>
        <w:tc>
          <w:tcPr>
            <w:tcW w:w="4111" w:type="dxa"/>
            <w:vAlign w:val="center"/>
          </w:tcPr>
          <w:p w14:paraId="0DEEBF52" w14:textId="77777777" w:rsidR="009C3632" w:rsidRPr="00D1290A" w:rsidRDefault="009C3632" w:rsidP="00A31E2F">
            <w:pPr>
              <w:jc w:val="left"/>
              <w:rPr>
                <w:rFonts w:cs="Arial"/>
                <w:sz w:val="18"/>
                <w:szCs w:val="18"/>
              </w:rPr>
            </w:pPr>
            <w:r w:rsidRPr="00D1290A">
              <w:rPr>
                <w:i/>
                <w:color w:val="000000"/>
                <w:sz w:val="18"/>
                <w:szCs w:val="18"/>
              </w:rPr>
              <w:t>Cissus quadrangularis, Lippia javanica, Psydrax lívida y Aloe sp</w:t>
            </w:r>
          </w:p>
        </w:tc>
        <w:tc>
          <w:tcPr>
            <w:tcW w:w="2918" w:type="dxa"/>
            <w:vAlign w:val="center"/>
          </w:tcPr>
          <w:p w14:paraId="1B2E6390" w14:textId="77777777" w:rsidR="009C3632" w:rsidRPr="00D1290A" w:rsidRDefault="009C3632" w:rsidP="00A31E2F">
            <w:pPr>
              <w:jc w:val="left"/>
              <w:rPr>
                <w:rFonts w:cs="Arial"/>
                <w:sz w:val="18"/>
                <w:szCs w:val="18"/>
              </w:rPr>
            </w:pPr>
            <w:r w:rsidRPr="00D1290A">
              <w:rPr>
                <w:color w:val="000000"/>
                <w:sz w:val="18"/>
                <w:szCs w:val="18"/>
              </w:rPr>
              <w:t xml:space="preserve">Ectoparásitos </w:t>
            </w:r>
          </w:p>
        </w:tc>
        <w:tc>
          <w:tcPr>
            <w:tcW w:w="1881" w:type="dxa"/>
            <w:vAlign w:val="center"/>
          </w:tcPr>
          <w:p w14:paraId="5DAE5CAF" w14:textId="77777777" w:rsidR="009C3632" w:rsidRPr="00D1290A" w:rsidRDefault="009C3632" w:rsidP="00A31E2F">
            <w:pPr>
              <w:jc w:val="left"/>
              <w:rPr>
                <w:rFonts w:cs="Arial"/>
                <w:sz w:val="18"/>
                <w:szCs w:val="18"/>
              </w:rPr>
            </w:pPr>
            <w:r w:rsidRPr="00D1290A">
              <w:rPr>
                <w:color w:val="000000"/>
                <w:sz w:val="18"/>
                <w:szCs w:val="18"/>
              </w:rPr>
              <w:t>Ganado (ovejas, cabras, pollos, cerdos y burros)</w:t>
            </w:r>
          </w:p>
        </w:tc>
        <w:tc>
          <w:tcPr>
            <w:tcW w:w="1539" w:type="dxa"/>
            <w:vAlign w:val="center"/>
          </w:tcPr>
          <w:p w14:paraId="05268975" w14:textId="77777777" w:rsidR="009C3632" w:rsidRPr="00D1290A" w:rsidRDefault="009C3632" w:rsidP="00A31E2F">
            <w:pPr>
              <w:jc w:val="left"/>
              <w:rPr>
                <w:rFonts w:cs="Arial"/>
                <w:sz w:val="18"/>
                <w:szCs w:val="18"/>
              </w:rPr>
            </w:pPr>
            <w:r w:rsidRPr="00D1290A">
              <w:rPr>
                <w:rFonts w:cs="Arial"/>
                <w:sz w:val="18"/>
                <w:szCs w:val="18"/>
              </w:rPr>
              <w:t xml:space="preserve">Externa </w:t>
            </w:r>
          </w:p>
        </w:tc>
      </w:tr>
      <w:tr w:rsidR="009C3632" w:rsidRPr="00D1290A" w14:paraId="209EDACD" w14:textId="77777777" w:rsidTr="00A31E2F">
        <w:tc>
          <w:tcPr>
            <w:tcW w:w="846" w:type="dxa"/>
            <w:vMerge/>
            <w:vAlign w:val="center"/>
          </w:tcPr>
          <w:p w14:paraId="68C76304" w14:textId="77777777" w:rsidR="009C3632" w:rsidRPr="00D1290A" w:rsidRDefault="009C3632" w:rsidP="00A31E2F">
            <w:pPr>
              <w:jc w:val="left"/>
              <w:rPr>
                <w:color w:val="000000"/>
                <w:sz w:val="18"/>
                <w:szCs w:val="18"/>
              </w:rPr>
            </w:pPr>
          </w:p>
        </w:tc>
        <w:tc>
          <w:tcPr>
            <w:tcW w:w="1701" w:type="dxa"/>
            <w:vAlign w:val="center"/>
          </w:tcPr>
          <w:p w14:paraId="28114673" w14:textId="55D50E9A" w:rsidR="009C3632" w:rsidRPr="00D1290A" w:rsidRDefault="009C3632" w:rsidP="00A31E2F">
            <w:pPr>
              <w:jc w:val="left"/>
              <w:rPr>
                <w:color w:val="000000"/>
                <w:sz w:val="18"/>
                <w:szCs w:val="18"/>
              </w:rPr>
            </w:pPr>
            <w:r w:rsidRPr="00D1290A">
              <w:rPr>
                <w:color w:val="000000"/>
                <w:sz w:val="18"/>
                <w:szCs w:val="18"/>
              </w:rPr>
              <w:t xml:space="preserve">Oyedeji-Amusa, Ojuromi </w:t>
            </w:r>
            <w:r w:rsidR="00BD4A34">
              <w:rPr>
                <w:color w:val="000000"/>
                <w:sz w:val="18"/>
                <w:szCs w:val="18"/>
              </w:rPr>
              <w:t>y</w:t>
            </w:r>
            <w:r w:rsidRPr="00D1290A">
              <w:rPr>
                <w:color w:val="000000"/>
                <w:sz w:val="18"/>
                <w:szCs w:val="18"/>
              </w:rPr>
              <w:t xml:space="preserve"> Ashafa (2016)</w:t>
            </w:r>
          </w:p>
        </w:tc>
        <w:tc>
          <w:tcPr>
            <w:tcW w:w="4111" w:type="dxa"/>
            <w:vAlign w:val="center"/>
          </w:tcPr>
          <w:p w14:paraId="39C883D8" w14:textId="77777777" w:rsidR="009C3632" w:rsidRPr="00D1290A" w:rsidRDefault="009C3632" w:rsidP="00A31E2F">
            <w:pPr>
              <w:jc w:val="left"/>
              <w:rPr>
                <w:i/>
                <w:color w:val="000000"/>
                <w:sz w:val="18"/>
                <w:szCs w:val="18"/>
              </w:rPr>
            </w:pPr>
            <w:r w:rsidRPr="00D1290A">
              <w:rPr>
                <w:i/>
                <w:color w:val="000000"/>
                <w:sz w:val="18"/>
                <w:szCs w:val="18"/>
              </w:rPr>
              <w:t>Bridelia micranth y Nicotiana tabacum</w:t>
            </w:r>
          </w:p>
        </w:tc>
        <w:tc>
          <w:tcPr>
            <w:tcW w:w="2918" w:type="dxa"/>
            <w:vAlign w:val="center"/>
          </w:tcPr>
          <w:p w14:paraId="5C76B5AE" w14:textId="77777777" w:rsidR="009C3632" w:rsidRPr="00D1290A" w:rsidRDefault="009C3632" w:rsidP="00A31E2F">
            <w:pPr>
              <w:jc w:val="left"/>
              <w:rPr>
                <w:color w:val="000000"/>
                <w:sz w:val="18"/>
                <w:szCs w:val="18"/>
              </w:rPr>
            </w:pPr>
            <w:r w:rsidRPr="00D1290A">
              <w:rPr>
                <w:color w:val="000000"/>
                <w:sz w:val="18"/>
                <w:szCs w:val="18"/>
              </w:rPr>
              <w:t>Pesticidas, fertilizantes, anti-toxinas y tratamiento de infecciones de la piel</w:t>
            </w:r>
          </w:p>
        </w:tc>
        <w:tc>
          <w:tcPr>
            <w:tcW w:w="1881" w:type="dxa"/>
            <w:vAlign w:val="center"/>
          </w:tcPr>
          <w:p w14:paraId="5124C79A" w14:textId="77777777" w:rsidR="009C3632" w:rsidRPr="00D1290A" w:rsidRDefault="009C3632" w:rsidP="00A31E2F">
            <w:pPr>
              <w:jc w:val="left"/>
              <w:rPr>
                <w:color w:val="000000"/>
                <w:sz w:val="18"/>
                <w:szCs w:val="18"/>
              </w:rPr>
            </w:pPr>
            <w:r w:rsidRPr="00D1290A">
              <w:rPr>
                <w:color w:val="000000"/>
                <w:sz w:val="18"/>
                <w:szCs w:val="18"/>
              </w:rPr>
              <w:t>Ganado vacuno</w:t>
            </w:r>
          </w:p>
        </w:tc>
        <w:tc>
          <w:tcPr>
            <w:tcW w:w="1539" w:type="dxa"/>
            <w:vAlign w:val="center"/>
          </w:tcPr>
          <w:p w14:paraId="0B0A2E4C" w14:textId="77777777" w:rsidR="009C3632" w:rsidRPr="00D1290A" w:rsidRDefault="009C3632" w:rsidP="00A31E2F">
            <w:pPr>
              <w:jc w:val="left"/>
              <w:rPr>
                <w:rFonts w:cs="Arial"/>
                <w:sz w:val="18"/>
                <w:szCs w:val="18"/>
              </w:rPr>
            </w:pPr>
            <w:r w:rsidRPr="00D1290A">
              <w:rPr>
                <w:rFonts w:cs="Arial"/>
                <w:sz w:val="18"/>
                <w:szCs w:val="18"/>
              </w:rPr>
              <w:t>-</w:t>
            </w:r>
          </w:p>
        </w:tc>
      </w:tr>
      <w:tr w:rsidR="009C3632" w:rsidRPr="00D1290A" w14:paraId="6083956B" w14:textId="77777777" w:rsidTr="00A31E2F">
        <w:tc>
          <w:tcPr>
            <w:tcW w:w="846" w:type="dxa"/>
            <w:vMerge/>
            <w:vAlign w:val="center"/>
          </w:tcPr>
          <w:p w14:paraId="4939B129" w14:textId="77777777" w:rsidR="009C3632" w:rsidRPr="00D1290A" w:rsidRDefault="009C3632" w:rsidP="00A31E2F">
            <w:pPr>
              <w:jc w:val="left"/>
              <w:rPr>
                <w:color w:val="000000"/>
                <w:sz w:val="18"/>
                <w:szCs w:val="18"/>
              </w:rPr>
            </w:pPr>
          </w:p>
        </w:tc>
        <w:tc>
          <w:tcPr>
            <w:tcW w:w="1701" w:type="dxa"/>
            <w:vAlign w:val="center"/>
          </w:tcPr>
          <w:p w14:paraId="093C9F00" w14:textId="253AEC0C" w:rsidR="009C3632" w:rsidRPr="00D1290A" w:rsidRDefault="009C3632" w:rsidP="00A31E2F">
            <w:pPr>
              <w:jc w:val="left"/>
              <w:rPr>
                <w:color w:val="000000"/>
                <w:sz w:val="18"/>
                <w:szCs w:val="18"/>
              </w:rPr>
            </w:pPr>
            <w:r w:rsidRPr="00D1290A">
              <w:rPr>
                <w:color w:val="000000"/>
                <w:sz w:val="18"/>
                <w:szCs w:val="18"/>
              </w:rPr>
              <w:t xml:space="preserve">Sõukand </w:t>
            </w:r>
            <w:r w:rsidRPr="002F0460">
              <w:rPr>
                <w:i/>
                <w:iCs/>
                <w:color w:val="000000"/>
                <w:sz w:val="18"/>
                <w:szCs w:val="18"/>
              </w:rPr>
              <w:t>et al</w:t>
            </w:r>
            <w:r w:rsidRPr="00D1290A">
              <w:rPr>
                <w:color w:val="000000"/>
                <w:sz w:val="18"/>
                <w:szCs w:val="18"/>
              </w:rPr>
              <w:t>. (2017a)</w:t>
            </w:r>
          </w:p>
        </w:tc>
        <w:tc>
          <w:tcPr>
            <w:tcW w:w="4111" w:type="dxa"/>
            <w:vAlign w:val="center"/>
          </w:tcPr>
          <w:p w14:paraId="75AC8323" w14:textId="77777777" w:rsidR="009C3632" w:rsidRPr="00D1290A" w:rsidRDefault="009C3632" w:rsidP="00A31E2F">
            <w:pPr>
              <w:jc w:val="left"/>
              <w:rPr>
                <w:i/>
                <w:color w:val="000000"/>
                <w:sz w:val="18"/>
                <w:szCs w:val="18"/>
              </w:rPr>
            </w:pPr>
            <w:r w:rsidRPr="00D1290A">
              <w:rPr>
                <w:i/>
                <w:color w:val="000000"/>
                <w:sz w:val="18"/>
                <w:szCs w:val="18"/>
              </w:rPr>
              <w:t>Acorus calamus L., Viburnum opulus, Achillea millefolium, Artemisia absinthium, Matricaria spp y Tanacetum vulgare</w:t>
            </w:r>
          </w:p>
        </w:tc>
        <w:tc>
          <w:tcPr>
            <w:tcW w:w="2918" w:type="dxa"/>
            <w:vAlign w:val="center"/>
          </w:tcPr>
          <w:p w14:paraId="762FC222" w14:textId="77777777" w:rsidR="009C3632" w:rsidRPr="00D1290A" w:rsidRDefault="009C3632" w:rsidP="00A31E2F">
            <w:pPr>
              <w:jc w:val="left"/>
              <w:rPr>
                <w:color w:val="000000"/>
                <w:sz w:val="18"/>
                <w:szCs w:val="18"/>
              </w:rPr>
            </w:pPr>
            <w:r w:rsidRPr="00D1290A">
              <w:rPr>
                <w:color w:val="000000"/>
                <w:sz w:val="18"/>
                <w:szCs w:val="18"/>
              </w:rPr>
              <w:t>Documentación de uso en veterinaria</w:t>
            </w:r>
          </w:p>
        </w:tc>
        <w:tc>
          <w:tcPr>
            <w:tcW w:w="1881" w:type="dxa"/>
            <w:vAlign w:val="center"/>
          </w:tcPr>
          <w:p w14:paraId="21378C43" w14:textId="77777777" w:rsidR="009C3632" w:rsidRPr="00D1290A" w:rsidRDefault="009C3632" w:rsidP="00A31E2F">
            <w:pPr>
              <w:jc w:val="left"/>
              <w:rPr>
                <w:color w:val="000000"/>
                <w:sz w:val="18"/>
                <w:szCs w:val="18"/>
              </w:rPr>
            </w:pPr>
            <w:r w:rsidRPr="00D1290A">
              <w:rPr>
                <w:color w:val="000000"/>
                <w:sz w:val="18"/>
                <w:szCs w:val="18"/>
              </w:rPr>
              <w:t>-</w:t>
            </w:r>
          </w:p>
        </w:tc>
        <w:tc>
          <w:tcPr>
            <w:tcW w:w="1539" w:type="dxa"/>
            <w:vAlign w:val="center"/>
          </w:tcPr>
          <w:p w14:paraId="6B0CAE32" w14:textId="77777777" w:rsidR="009C3632" w:rsidRPr="00D1290A" w:rsidRDefault="009C3632" w:rsidP="00A31E2F">
            <w:pPr>
              <w:jc w:val="left"/>
              <w:rPr>
                <w:rFonts w:cs="Arial"/>
                <w:sz w:val="18"/>
                <w:szCs w:val="18"/>
              </w:rPr>
            </w:pPr>
            <w:r w:rsidRPr="00D1290A">
              <w:rPr>
                <w:rFonts w:cs="Arial"/>
                <w:sz w:val="18"/>
                <w:szCs w:val="18"/>
              </w:rPr>
              <w:t>Alimentación y antibacterial</w:t>
            </w:r>
          </w:p>
        </w:tc>
      </w:tr>
    </w:tbl>
    <w:p w14:paraId="6151AD1A" w14:textId="156AA088" w:rsidR="009C3632" w:rsidRDefault="009C3632"/>
    <w:p w14:paraId="66B3E635" w14:textId="33A785CF" w:rsidR="009C3632" w:rsidRDefault="009C3632" w:rsidP="008855B8">
      <w:pPr>
        <w:pStyle w:val="Sinespaciado"/>
      </w:pPr>
      <w:r>
        <w:lastRenderedPageBreak/>
        <w:t xml:space="preserve">Continuación Tabla </w:t>
      </w:r>
      <w:r w:rsidR="004C34CE">
        <w:t>1</w:t>
      </w:r>
      <w:r>
        <w:t xml:space="preserve">. Aplicación de </w:t>
      </w:r>
      <w:r w:rsidRPr="00934786">
        <w:t>la etnoveterinaria en</w:t>
      </w:r>
      <w:r>
        <w:t xml:space="preserve"> el mundo.</w:t>
      </w:r>
    </w:p>
    <w:tbl>
      <w:tblPr>
        <w:tblStyle w:val="Tablaconcuadrcula"/>
        <w:tblW w:w="0" w:type="auto"/>
        <w:tblLook w:val="04A0" w:firstRow="1" w:lastRow="0" w:firstColumn="1" w:lastColumn="0" w:noHBand="0" w:noVBand="1"/>
      </w:tblPr>
      <w:tblGrid>
        <w:gridCol w:w="843"/>
        <w:gridCol w:w="1693"/>
        <w:gridCol w:w="4061"/>
        <w:gridCol w:w="2894"/>
        <w:gridCol w:w="1869"/>
        <w:gridCol w:w="1636"/>
      </w:tblGrid>
      <w:tr w:rsidR="009C3632" w:rsidRPr="00D1290A" w14:paraId="107FB460" w14:textId="77777777" w:rsidTr="00A31E2F">
        <w:tc>
          <w:tcPr>
            <w:tcW w:w="843" w:type="dxa"/>
            <w:vAlign w:val="center"/>
          </w:tcPr>
          <w:p w14:paraId="027A5818" w14:textId="1AB59683" w:rsidR="009C3632" w:rsidRPr="00D1290A" w:rsidRDefault="009C3632" w:rsidP="00A31E2F">
            <w:pPr>
              <w:jc w:val="left"/>
              <w:rPr>
                <w:color w:val="000000"/>
                <w:sz w:val="18"/>
                <w:szCs w:val="18"/>
              </w:rPr>
            </w:pPr>
            <w:r>
              <w:rPr>
                <w:rFonts w:cs="Arial"/>
                <w:b/>
                <w:bCs/>
                <w:sz w:val="18"/>
                <w:szCs w:val="18"/>
              </w:rPr>
              <w:t>País</w:t>
            </w:r>
          </w:p>
        </w:tc>
        <w:tc>
          <w:tcPr>
            <w:tcW w:w="1693" w:type="dxa"/>
            <w:vAlign w:val="center"/>
          </w:tcPr>
          <w:p w14:paraId="2A924D0A" w14:textId="435BDC95" w:rsidR="009C3632" w:rsidRPr="00D1290A" w:rsidRDefault="009C3632" w:rsidP="00A31E2F">
            <w:pPr>
              <w:jc w:val="left"/>
              <w:rPr>
                <w:color w:val="000000"/>
                <w:sz w:val="18"/>
                <w:szCs w:val="18"/>
              </w:rPr>
            </w:pPr>
            <w:r w:rsidRPr="00D1290A">
              <w:rPr>
                <w:rFonts w:cs="Arial"/>
                <w:b/>
                <w:bCs/>
                <w:sz w:val="18"/>
                <w:szCs w:val="18"/>
              </w:rPr>
              <w:t>Autor(es) y año</w:t>
            </w:r>
          </w:p>
        </w:tc>
        <w:tc>
          <w:tcPr>
            <w:tcW w:w="4061" w:type="dxa"/>
            <w:vAlign w:val="center"/>
          </w:tcPr>
          <w:p w14:paraId="49A23494" w14:textId="362A146D" w:rsidR="009C3632" w:rsidRPr="00D1290A" w:rsidRDefault="009C3632" w:rsidP="00A31E2F">
            <w:pPr>
              <w:jc w:val="left"/>
              <w:rPr>
                <w:i/>
                <w:color w:val="000000"/>
                <w:sz w:val="18"/>
                <w:szCs w:val="18"/>
              </w:rPr>
            </w:pPr>
            <w:r w:rsidRPr="00D1290A">
              <w:rPr>
                <w:rFonts w:cs="Arial"/>
                <w:b/>
                <w:bCs/>
                <w:sz w:val="18"/>
                <w:szCs w:val="18"/>
              </w:rPr>
              <w:t xml:space="preserve">Plantas medicinales </w:t>
            </w:r>
          </w:p>
        </w:tc>
        <w:tc>
          <w:tcPr>
            <w:tcW w:w="2894" w:type="dxa"/>
            <w:vAlign w:val="center"/>
          </w:tcPr>
          <w:p w14:paraId="6EC7E83B" w14:textId="075E5A57" w:rsidR="009C3632" w:rsidRPr="00D1290A" w:rsidRDefault="009C3632" w:rsidP="00A31E2F">
            <w:pPr>
              <w:jc w:val="left"/>
              <w:rPr>
                <w:color w:val="000000"/>
                <w:sz w:val="18"/>
                <w:szCs w:val="18"/>
              </w:rPr>
            </w:pPr>
            <w:r w:rsidRPr="00D1290A">
              <w:rPr>
                <w:rFonts w:cs="Arial"/>
                <w:b/>
                <w:bCs/>
                <w:sz w:val="18"/>
                <w:szCs w:val="18"/>
              </w:rPr>
              <w:t>Campo de acción</w:t>
            </w:r>
          </w:p>
        </w:tc>
        <w:tc>
          <w:tcPr>
            <w:tcW w:w="1869" w:type="dxa"/>
            <w:vAlign w:val="center"/>
          </w:tcPr>
          <w:p w14:paraId="062510CE" w14:textId="49BC6CAF" w:rsidR="009C3632" w:rsidRPr="00D1290A" w:rsidRDefault="009C3632" w:rsidP="00A31E2F">
            <w:pPr>
              <w:jc w:val="left"/>
              <w:rPr>
                <w:color w:val="000000"/>
                <w:sz w:val="18"/>
                <w:szCs w:val="18"/>
              </w:rPr>
            </w:pPr>
            <w:r w:rsidRPr="00D1290A">
              <w:rPr>
                <w:rFonts w:cs="Arial"/>
                <w:b/>
                <w:bCs/>
                <w:sz w:val="18"/>
                <w:szCs w:val="18"/>
              </w:rPr>
              <w:t>Especies veterinarias</w:t>
            </w:r>
          </w:p>
        </w:tc>
        <w:tc>
          <w:tcPr>
            <w:tcW w:w="1636" w:type="dxa"/>
            <w:vAlign w:val="center"/>
          </w:tcPr>
          <w:p w14:paraId="57025B91" w14:textId="5CA24E70" w:rsidR="009C3632" w:rsidRPr="002F0460" w:rsidRDefault="009C3632" w:rsidP="00A31E2F">
            <w:pPr>
              <w:jc w:val="left"/>
              <w:rPr>
                <w:rFonts w:cs="Arial"/>
                <w:b/>
                <w:bCs/>
                <w:sz w:val="18"/>
                <w:szCs w:val="18"/>
              </w:rPr>
            </w:pPr>
            <w:r w:rsidRPr="002F0460">
              <w:rPr>
                <w:rFonts w:cs="Arial"/>
                <w:b/>
                <w:bCs/>
                <w:sz w:val="18"/>
                <w:szCs w:val="18"/>
              </w:rPr>
              <w:t xml:space="preserve">Vía de aplicación </w:t>
            </w:r>
          </w:p>
        </w:tc>
      </w:tr>
      <w:tr w:rsidR="00DF08CB" w:rsidRPr="00D1290A" w14:paraId="38648B73" w14:textId="77777777" w:rsidTr="00A31E2F">
        <w:tc>
          <w:tcPr>
            <w:tcW w:w="843" w:type="dxa"/>
            <w:vMerge w:val="restart"/>
            <w:vAlign w:val="center"/>
          </w:tcPr>
          <w:p w14:paraId="67E75B07" w14:textId="784E72F0" w:rsidR="00DF08CB" w:rsidRPr="00D1290A" w:rsidRDefault="00DF08CB" w:rsidP="00A31E2F">
            <w:pPr>
              <w:jc w:val="left"/>
              <w:rPr>
                <w:color w:val="000000"/>
                <w:sz w:val="18"/>
                <w:szCs w:val="18"/>
              </w:rPr>
            </w:pPr>
            <w:r>
              <w:rPr>
                <w:color w:val="000000"/>
                <w:sz w:val="18"/>
                <w:szCs w:val="18"/>
              </w:rPr>
              <w:t>África</w:t>
            </w:r>
          </w:p>
        </w:tc>
        <w:tc>
          <w:tcPr>
            <w:tcW w:w="1693" w:type="dxa"/>
            <w:vAlign w:val="center"/>
          </w:tcPr>
          <w:p w14:paraId="33082162" w14:textId="699E0B5A" w:rsidR="00DF08CB" w:rsidRPr="00437D1F" w:rsidRDefault="00DF08CB" w:rsidP="00A31E2F">
            <w:pPr>
              <w:jc w:val="left"/>
              <w:rPr>
                <w:color w:val="000000"/>
                <w:sz w:val="18"/>
                <w:szCs w:val="18"/>
                <w:lang w:val="en-US"/>
              </w:rPr>
            </w:pPr>
            <w:r w:rsidRPr="00437D1F">
              <w:rPr>
                <w:color w:val="000000"/>
                <w:sz w:val="18"/>
                <w:szCs w:val="18"/>
                <w:lang w:val="en-US"/>
              </w:rPr>
              <w:t xml:space="preserve">Sõukand, Hrynevich, </w:t>
            </w:r>
            <w:r w:rsidR="00BD4A34" w:rsidRPr="00437D1F">
              <w:rPr>
                <w:color w:val="000000"/>
                <w:sz w:val="18"/>
                <w:szCs w:val="18"/>
                <w:lang w:val="en-US"/>
              </w:rPr>
              <w:t>y</w:t>
            </w:r>
            <w:r w:rsidRPr="00437D1F">
              <w:rPr>
                <w:color w:val="000000"/>
                <w:sz w:val="18"/>
                <w:szCs w:val="18"/>
                <w:lang w:val="en-US"/>
              </w:rPr>
              <w:t xml:space="preserve"> Prakofjewa (2017b)</w:t>
            </w:r>
          </w:p>
        </w:tc>
        <w:tc>
          <w:tcPr>
            <w:tcW w:w="4061" w:type="dxa"/>
            <w:vAlign w:val="center"/>
          </w:tcPr>
          <w:p w14:paraId="59F57B93" w14:textId="77777777" w:rsidR="00DF08CB" w:rsidRPr="00D1290A" w:rsidRDefault="00DF08CB" w:rsidP="00A31E2F">
            <w:pPr>
              <w:jc w:val="left"/>
              <w:rPr>
                <w:i/>
                <w:color w:val="000000"/>
                <w:sz w:val="18"/>
                <w:szCs w:val="18"/>
              </w:rPr>
            </w:pPr>
            <w:r w:rsidRPr="00D1290A">
              <w:rPr>
                <w:i/>
                <w:color w:val="000000"/>
                <w:sz w:val="18"/>
                <w:szCs w:val="18"/>
              </w:rPr>
              <w:t xml:space="preserve">Beta vulgaris </w:t>
            </w:r>
            <w:r w:rsidRPr="00D1290A">
              <w:rPr>
                <w:iCs/>
                <w:color w:val="000000"/>
                <w:sz w:val="18"/>
                <w:szCs w:val="18"/>
              </w:rPr>
              <w:t>(laxante e incrementa la producción de leche)</w:t>
            </w:r>
            <w:r w:rsidRPr="00D1290A">
              <w:rPr>
                <w:i/>
                <w:color w:val="000000"/>
                <w:sz w:val="18"/>
                <w:szCs w:val="18"/>
              </w:rPr>
              <w:t xml:space="preserve">, Allium cepa </w:t>
            </w:r>
            <w:r w:rsidRPr="00D1290A">
              <w:rPr>
                <w:iCs/>
                <w:color w:val="000000"/>
                <w:sz w:val="18"/>
                <w:szCs w:val="18"/>
              </w:rPr>
              <w:t>(enfermedades de la piel),</w:t>
            </w:r>
            <w:r w:rsidRPr="00D1290A">
              <w:rPr>
                <w:i/>
                <w:color w:val="000000"/>
                <w:sz w:val="18"/>
                <w:szCs w:val="18"/>
              </w:rPr>
              <w:t xml:space="preserve"> Allium sativum </w:t>
            </w:r>
            <w:r w:rsidRPr="00D1290A">
              <w:rPr>
                <w:iCs/>
                <w:color w:val="000000"/>
                <w:sz w:val="18"/>
                <w:szCs w:val="18"/>
              </w:rPr>
              <w:t>(problemas de rumiación en vacas)</w:t>
            </w:r>
            <w:r w:rsidRPr="00D1290A">
              <w:rPr>
                <w:i/>
                <w:color w:val="000000"/>
                <w:sz w:val="18"/>
                <w:szCs w:val="18"/>
              </w:rPr>
              <w:t xml:space="preserve">, Calendula officinalis </w:t>
            </w:r>
            <w:r w:rsidRPr="00D1290A">
              <w:rPr>
                <w:iCs/>
                <w:color w:val="000000"/>
                <w:sz w:val="18"/>
                <w:szCs w:val="18"/>
              </w:rPr>
              <w:t>(enfermedades oculares, dolor de estómago, cortaduras),</w:t>
            </w:r>
            <w:r w:rsidRPr="00D1290A">
              <w:rPr>
                <w:i/>
                <w:color w:val="000000"/>
                <w:sz w:val="18"/>
                <w:szCs w:val="18"/>
              </w:rPr>
              <w:t xml:space="preserve"> Hippophae rhamnoides </w:t>
            </w:r>
            <w:r w:rsidRPr="00D1290A">
              <w:rPr>
                <w:iCs/>
                <w:color w:val="000000"/>
                <w:sz w:val="18"/>
                <w:szCs w:val="18"/>
              </w:rPr>
              <w:t>(resfríos, quemaduras) y</w:t>
            </w:r>
            <w:r w:rsidRPr="00D1290A">
              <w:rPr>
                <w:i/>
                <w:color w:val="000000"/>
                <w:sz w:val="18"/>
                <w:szCs w:val="18"/>
              </w:rPr>
              <w:t xml:space="preserve"> Mentha spp </w:t>
            </w:r>
            <w:r w:rsidRPr="00D1290A">
              <w:rPr>
                <w:iCs/>
                <w:color w:val="000000"/>
                <w:sz w:val="18"/>
                <w:szCs w:val="18"/>
              </w:rPr>
              <w:t>(sedante, problemas cardiacos, dolor de cabeza)</w:t>
            </w:r>
          </w:p>
        </w:tc>
        <w:tc>
          <w:tcPr>
            <w:tcW w:w="2894" w:type="dxa"/>
            <w:vAlign w:val="center"/>
          </w:tcPr>
          <w:p w14:paraId="3992A17A" w14:textId="77777777" w:rsidR="00DF08CB" w:rsidRPr="00D1290A" w:rsidRDefault="00DF08CB" w:rsidP="00A31E2F">
            <w:pPr>
              <w:jc w:val="left"/>
              <w:rPr>
                <w:color w:val="000000"/>
                <w:sz w:val="18"/>
                <w:szCs w:val="18"/>
              </w:rPr>
            </w:pPr>
            <w:r w:rsidRPr="00D1290A">
              <w:rPr>
                <w:color w:val="000000"/>
                <w:sz w:val="18"/>
                <w:szCs w:val="18"/>
              </w:rPr>
              <w:t>Documentación de uso en veterinaria</w:t>
            </w:r>
          </w:p>
        </w:tc>
        <w:tc>
          <w:tcPr>
            <w:tcW w:w="1869" w:type="dxa"/>
            <w:vAlign w:val="center"/>
          </w:tcPr>
          <w:p w14:paraId="49498E73" w14:textId="77777777" w:rsidR="00DF08CB" w:rsidRPr="00D1290A" w:rsidRDefault="00DF08CB" w:rsidP="00A31E2F">
            <w:pPr>
              <w:jc w:val="left"/>
              <w:rPr>
                <w:color w:val="000000"/>
                <w:sz w:val="18"/>
                <w:szCs w:val="18"/>
              </w:rPr>
            </w:pPr>
            <w:r w:rsidRPr="00D1290A">
              <w:rPr>
                <w:color w:val="000000"/>
                <w:sz w:val="18"/>
                <w:szCs w:val="18"/>
              </w:rPr>
              <w:t>Especies diversas</w:t>
            </w:r>
          </w:p>
        </w:tc>
        <w:tc>
          <w:tcPr>
            <w:tcW w:w="1636" w:type="dxa"/>
            <w:vAlign w:val="center"/>
          </w:tcPr>
          <w:p w14:paraId="25EAB668" w14:textId="77777777" w:rsidR="00DF08CB" w:rsidRPr="00D1290A" w:rsidRDefault="00DF08CB" w:rsidP="00A31E2F">
            <w:pPr>
              <w:jc w:val="left"/>
              <w:rPr>
                <w:rFonts w:cs="Arial"/>
                <w:sz w:val="18"/>
                <w:szCs w:val="18"/>
              </w:rPr>
            </w:pPr>
            <w:r w:rsidRPr="00D1290A">
              <w:rPr>
                <w:rFonts w:cs="Arial"/>
                <w:sz w:val="18"/>
                <w:szCs w:val="18"/>
              </w:rPr>
              <w:t xml:space="preserve">Diversa </w:t>
            </w:r>
          </w:p>
        </w:tc>
      </w:tr>
      <w:tr w:rsidR="00DF08CB" w:rsidRPr="00D1290A" w14:paraId="36F7484B" w14:textId="77777777" w:rsidTr="00A31E2F">
        <w:tc>
          <w:tcPr>
            <w:tcW w:w="843" w:type="dxa"/>
            <w:vMerge/>
            <w:vAlign w:val="center"/>
          </w:tcPr>
          <w:p w14:paraId="494C4950" w14:textId="77777777" w:rsidR="00DF08CB" w:rsidRPr="00D1290A" w:rsidRDefault="00DF08CB" w:rsidP="00A31E2F">
            <w:pPr>
              <w:jc w:val="left"/>
              <w:rPr>
                <w:color w:val="000000"/>
                <w:sz w:val="18"/>
                <w:szCs w:val="18"/>
              </w:rPr>
            </w:pPr>
          </w:p>
        </w:tc>
        <w:tc>
          <w:tcPr>
            <w:tcW w:w="1693" w:type="dxa"/>
            <w:vAlign w:val="center"/>
          </w:tcPr>
          <w:p w14:paraId="04468230" w14:textId="319C03D8" w:rsidR="00DF08CB" w:rsidRPr="00D1290A" w:rsidRDefault="00DF08CB" w:rsidP="00A31E2F">
            <w:pPr>
              <w:jc w:val="left"/>
              <w:rPr>
                <w:color w:val="000000"/>
                <w:sz w:val="18"/>
                <w:szCs w:val="18"/>
              </w:rPr>
            </w:pPr>
            <w:r w:rsidRPr="00D1290A">
              <w:rPr>
                <w:color w:val="000000"/>
                <w:sz w:val="18"/>
                <w:szCs w:val="18"/>
              </w:rPr>
              <w:t>Volpato,</w:t>
            </w:r>
            <w:r>
              <w:rPr>
                <w:color w:val="000000"/>
                <w:sz w:val="18"/>
                <w:szCs w:val="18"/>
              </w:rPr>
              <w:t xml:space="preserve"> Saleh</w:t>
            </w:r>
            <w:r w:rsidRPr="00D1290A">
              <w:rPr>
                <w:color w:val="000000"/>
                <w:sz w:val="18"/>
                <w:szCs w:val="18"/>
              </w:rPr>
              <w:t xml:space="preserve"> y Di Nardo (2015)</w:t>
            </w:r>
          </w:p>
        </w:tc>
        <w:tc>
          <w:tcPr>
            <w:tcW w:w="4061" w:type="dxa"/>
            <w:vAlign w:val="center"/>
          </w:tcPr>
          <w:p w14:paraId="1FFD22E3" w14:textId="77777777" w:rsidR="00DF08CB" w:rsidRPr="00D1290A" w:rsidRDefault="00DF08CB" w:rsidP="00A31E2F">
            <w:pPr>
              <w:jc w:val="left"/>
              <w:rPr>
                <w:i/>
                <w:color w:val="000000"/>
                <w:sz w:val="18"/>
                <w:szCs w:val="18"/>
              </w:rPr>
            </w:pPr>
            <w:r w:rsidRPr="00D1290A">
              <w:rPr>
                <w:i/>
                <w:color w:val="000000"/>
                <w:sz w:val="18"/>
                <w:szCs w:val="18"/>
              </w:rPr>
              <w:t>Hammada scoparia, Euphorbia granulata, Zygophyllum gaetulum y Nucularia perrinii</w:t>
            </w:r>
            <w:r>
              <w:rPr>
                <w:i/>
                <w:color w:val="000000"/>
                <w:sz w:val="18"/>
                <w:szCs w:val="18"/>
              </w:rPr>
              <w:t>.</w:t>
            </w:r>
          </w:p>
        </w:tc>
        <w:tc>
          <w:tcPr>
            <w:tcW w:w="2894" w:type="dxa"/>
            <w:vAlign w:val="center"/>
          </w:tcPr>
          <w:p w14:paraId="4D3021D3" w14:textId="77777777" w:rsidR="00DF08CB" w:rsidRPr="00D1290A" w:rsidRDefault="00DF08CB" w:rsidP="00A31E2F">
            <w:pPr>
              <w:jc w:val="left"/>
              <w:rPr>
                <w:color w:val="000000"/>
                <w:sz w:val="18"/>
                <w:szCs w:val="18"/>
              </w:rPr>
            </w:pPr>
            <w:r w:rsidRPr="00D1290A">
              <w:rPr>
                <w:color w:val="000000"/>
                <w:sz w:val="18"/>
                <w:szCs w:val="18"/>
              </w:rPr>
              <w:t>Sarna, infecciones respiratorias, mastitis, déficit de sal que afecta a animales menores de cuatro años y camellas de ordeña</w:t>
            </w:r>
          </w:p>
        </w:tc>
        <w:tc>
          <w:tcPr>
            <w:tcW w:w="1869" w:type="dxa"/>
            <w:vAlign w:val="center"/>
          </w:tcPr>
          <w:p w14:paraId="4A8E80CE" w14:textId="77777777" w:rsidR="00DF08CB" w:rsidRPr="00D1290A" w:rsidRDefault="00DF08CB" w:rsidP="00A31E2F">
            <w:pPr>
              <w:jc w:val="left"/>
              <w:rPr>
                <w:i/>
                <w:iCs/>
                <w:color w:val="000000"/>
                <w:sz w:val="18"/>
                <w:szCs w:val="18"/>
              </w:rPr>
            </w:pPr>
            <w:r w:rsidRPr="00D1290A">
              <w:rPr>
                <w:i/>
                <w:iCs/>
                <w:color w:val="000000"/>
                <w:sz w:val="18"/>
                <w:szCs w:val="18"/>
              </w:rPr>
              <w:t>Camelus bactrianus</w:t>
            </w:r>
          </w:p>
        </w:tc>
        <w:tc>
          <w:tcPr>
            <w:tcW w:w="1636" w:type="dxa"/>
            <w:vAlign w:val="center"/>
          </w:tcPr>
          <w:p w14:paraId="57F040EA" w14:textId="77777777" w:rsidR="00DF08CB" w:rsidRPr="00D1290A" w:rsidRDefault="00DF08CB" w:rsidP="00A31E2F">
            <w:pPr>
              <w:jc w:val="left"/>
              <w:rPr>
                <w:rFonts w:cs="Arial"/>
                <w:sz w:val="18"/>
                <w:szCs w:val="18"/>
              </w:rPr>
            </w:pPr>
            <w:r w:rsidRPr="00D1290A">
              <w:rPr>
                <w:rFonts w:cs="Arial"/>
                <w:sz w:val="18"/>
                <w:szCs w:val="18"/>
              </w:rPr>
              <w:t xml:space="preserve">Diversa </w:t>
            </w:r>
          </w:p>
        </w:tc>
      </w:tr>
      <w:tr w:rsidR="00DF08CB" w:rsidRPr="00D1290A" w14:paraId="3D3BDF75" w14:textId="77777777" w:rsidTr="00A31E2F">
        <w:tc>
          <w:tcPr>
            <w:tcW w:w="843" w:type="dxa"/>
            <w:vMerge w:val="restart"/>
            <w:vAlign w:val="center"/>
          </w:tcPr>
          <w:p w14:paraId="7118DF0F" w14:textId="55DAF55C" w:rsidR="00DF08CB" w:rsidRPr="00D1290A" w:rsidRDefault="00DF08CB" w:rsidP="00A31E2F">
            <w:pPr>
              <w:jc w:val="left"/>
              <w:rPr>
                <w:color w:val="000000"/>
                <w:sz w:val="18"/>
                <w:szCs w:val="18"/>
              </w:rPr>
            </w:pPr>
            <w:r>
              <w:rPr>
                <w:color w:val="000000"/>
                <w:sz w:val="18"/>
                <w:szCs w:val="18"/>
              </w:rPr>
              <w:t>Asia</w:t>
            </w:r>
          </w:p>
        </w:tc>
        <w:tc>
          <w:tcPr>
            <w:tcW w:w="1693" w:type="dxa"/>
            <w:vAlign w:val="center"/>
          </w:tcPr>
          <w:p w14:paraId="62323A42" w14:textId="6F265AA0" w:rsidR="00DF08CB" w:rsidRPr="00D1290A" w:rsidRDefault="00DF08CB" w:rsidP="00A31E2F">
            <w:pPr>
              <w:jc w:val="left"/>
              <w:rPr>
                <w:color w:val="000000"/>
                <w:sz w:val="18"/>
                <w:szCs w:val="18"/>
              </w:rPr>
            </w:pPr>
            <w:r w:rsidRPr="00D1290A">
              <w:rPr>
                <w:rFonts w:cs="Arial"/>
                <w:sz w:val="18"/>
                <w:szCs w:val="18"/>
              </w:rPr>
              <w:t xml:space="preserve">Usha, Rajasekaran </w:t>
            </w:r>
            <w:r w:rsidR="00BD4A34">
              <w:rPr>
                <w:rFonts w:cs="Arial"/>
                <w:sz w:val="18"/>
                <w:szCs w:val="18"/>
              </w:rPr>
              <w:t>y</w:t>
            </w:r>
            <w:r w:rsidRPr="00D1290A">
              <w:rPr>
                <w:rFonts w:cs="Arial"/>
                <w:sz w:val="18"/>
                <w:szCs w:val="18"/>
              </w:rPr>
              <w:t xml:space="preserve"> Siva (2016)</w:t>
            </w:r>
          </w:p>
        </w:tc>
        <w:tc>
          <w:tcPr>
            <w:tcW w:w="4061" w:type="dxa"/>
            <w:vAlign w:val="center"/>
          </w:tcPr>
          <w:p w14:paraId="3BF1E0E6" w14:textId="54A273C1" w:rsidR="00DF08CB" w:rsidRPr="00D1290A" w:rsidRDefault="00DF08CB" w:rsidP="00A31E2F">
            <w:pPr>
              <w:jc w:val="left"/>
              <w:rPr>
                <w:i/>
                <w:color w:val="000000"/>
                <w:sz w:val="18"/>
                <w:szCs w:val="18"/>
              </w:rPr>
            </w:pPr>
            <w:r w:rsidRPr="00D1290A">
              <w:rPr>
                <w:rFonts w:cs="Arial"/>
                <w:i/>
                <w:iCs/>
                <w:sz w:val="18"/>
                <w:szCs w:val="18"/>
              </w:rPr>
              <w:t>Aloe</w:t>
            </w:r>
            <w:r w:rsidR="002464A0">
              <w:rPr>
                <w:rFonts w:cs="Arial"/>
                <w:i/>
                <w:iCs/>
                <w:sz w:val="18"/>
                <w:szCs w:val="18"/>
              </w:rPr>
              <w:t xml:space="preserve"> </w:t>
            </w:r>
            <w:r w:rsidRPr="00D1290A">
              <w:rPr>
                <w:rFonts w:cs="Arial"/>
                <w:i/>
                <w:iCs/>
                <w:sz w:val="18"/>
                <w:szCs w:val="18"/>
              </w:rPr>
              <w:t>vera, Aristolochia índica, Alpinía officinarum, Curcuma cedoaria, Corallocarpus epigaeus, Glyeyrrhiza glabra, Kedrostis rostrate, Piper longum, Withania somnífera, Abrus precatorus, Allium sativum, Piper nigruam y Adathoda vasica</w:t>
            </w:r>
          </w:p>
        </w:tc>
        <w:tc>
          <w:tcPr>
            <w:tcW w:w="2894" w:type="dxa"/>
            <w:vAlign w:val="center"/>
          </w:tcPr>
          <w:p w14:paraId="494DB91C" w14:textId="551B8033" w:rsidR="00DF08CB" w:rsidRPr="00D1290A" w:rsidRDefault="00DF08CB" w:rsidP="00A31E2F">
            <w:pPr>
              <w:jc w:val="left"/>
              <w:rPr>
                <w:color w:val="000000"/>
                <w:sz w:val="18"/>
                <w:szCs w:val="18"/>
              </w:rPr>
            </w:pPr>
            <w:r w:rsidRPr="00D1290A">
              <w:rPr>
                <w:rFonts w:cs="Arial"/>
                <w:sz w:val="18"/>
                <w:szCs w:val="18"/>
              </w:rPr>
              <w:t>Mastitis, enteritis, heridas y conjuntivitis</w:t>
            </w:r>
          </w:p>
        </w:tc>
        <w:tc>
          <w:tcPr>
            <w:tcW w:w="1869" w:type="dxa"/>
            <w:vAlign w:val="center"/>
          </w:tcPr>
          <w:p w14:paraId="45C3540B" w14:textId="1B11F887" w:rsidR="00DF08CB" w:rsidRPr="00D1290A" w:rsidRDefault="00DF08CB" w:rsidP="00A31E2F">
            <w:pPr>
              <w:jc w:val="left"/>
              <w:rPr>
                <w:i/>
                <w:iCs/>
                <w:color w:val="000000"/>
                <w:sz w:val="18"/>
                <w:szCs w:val="18"/>
              </w:rPr>
            </w:pPr>
            <w:r w:rsidRPr="00D1290A">
              <w:rPr>
                <w:rFonts w:cs="Arial"/>
                <w:sz w:val="18"/>
                <w:szCs w:val="18"/>
              </w:rPr>
              <w:t>Ganado caprino</w:t>
            </w:r>
          </w:p>
        </w:tc>
        <w:tc>
          <w:tcPr>
            <w:tcW w:w="1636" w:type="dxa"/>
            <w:vAlign w:val="center"/>
          </w:tcPr>
          <w:p w14:paraId="717C00E9" w14:textId="1B780EEA" w:rsidR="00DF08CB" w:rsidRPr="00D1290A" w:rsidRDefault="00DF08CB" w:rsidP="00A31E2F">
            <w:pPr>
              <w:jc w:val="left"/>
              <w:rPr>
                <w:rFonts w:cs="Arial"/>
                <w:sz w:val="18"/>
                <w:szCs w:val="18"/>
              </w:rPr>
            </w:pPr>
            <w:r w:rsidRPr="00D1290A">
              <w:rPr>
                <w:rFonts w:cs="Arial"/>
                <w:sz w:val="18"/>
                <w:szCs w:val="18"/>
              </w:rPr>
              <w:t xml:space="preserve">Diversas </w:t>
            </w:r>
          </w:p>
        </w:tc>
      </w:tr>
      <w:tr w:rsidR="00DF08CB" w:rsidRPr="00D1290A" w14:paraId="771E5D31" w14:textId="77777777" w:rsidTr="00A31E2F">
        <w:tc>
          <w:tcPr>
            <w:tcW w:w="843" w:type="dxa"/>
            <w:vMerge/>
            <w:vAlign w:val="center"/>
          </w:tcPr>
          <w:p w14:paraId="11F62DDC" w14:textId="77777777" w:rsidR="00DF08CB" w:rsidRPr="00D1290A" w:rsidRDefault="00DF08CB" w:rsidP="00A31E2F">
            <w:pPr>
              <w:jc w:val="left"/>
              <w:rPr>
                <w:color w:val="000000"/>
                <w:sz w:val="18"/>
                <w:szCs w:val="18"/>
              </w:rPr>
            </w:pPr>
          </w:p>
        </w:tc>
        <w:tc>
          <w:tcPr>
            <w:tcW w:w="1693" w:type="dxa"/>
            <w:vAlign w:val="center"/>
          </w:tcPr>
          <w:p w14:paraId="2C4A16E8" w14:textId="2D6FB1A6" w:rsidR="00DF08CB" w:rsidRPr="00934786" w:rsidRDefault="00DF08CB" w:rsidP="00A31E2F">
            <w:pPr>
              <w:jc w:val="left"/>
              <w:rPr>
                <w:color w:val="000000"/>
                <w:sz w:val="18"/>
                <w:szCs w:val="18"/>
                <w:lang w:val="en-US"/>
              </w:rPr>
            </w:pPr>
            <w:r w:rsidRPr="00F058D9">
              <w:rPr>
                <w:rFonts w:cs="Arial"/>
                <w:sz w:val="18"/>
                <w:szCs w:val="18"/>
                <w:lang w:val="en-US"/>
              </w:rPr>
              <w:t xml:space="preserve">Kanojiya, Shanker, Sudan, Jaiswal, </w:t>
            </w:r>
            <w:r w:rsidR="00BD4A34">
              <w:rPr>
                <w:rFonts w:cs="Arial"/>
                <w:sz w:val="18"/>
                <w:szCs w:val="18"/>
                <w:lang w:val="en-US"/>
              </w:rPr>
              <w:t>y</w:t>
            </w:r>
            <w:r w:rsidRPr="00F058D9">
              <w:rPr>
                <w:rFonts w:cs="Arial"/>
                <w:sz w:val="18"/>
                <w:szCs w:val="18"/>
                <w:lang w:val="en-US"/>
              </w:rPr>
              <w:t xml:space="preserve"> Parashar, (2015)</w:t>
            </w:r>
          </w:p>
        </w:tc>
        <w:tc>
          <w:tcPr>
            <w:tcW w:w="4061" w:type="dxa"/>
            <w:vAlign w:val="center"/>
          </w:tcPr>
          <w:p w14:paraId="315D8EC9" w14:textId="38EB300E" w:rsidR="00DF08CB" w:rsidRPr="00D1290A" w:rsidRDefault="00DF08CB" w:rsidP="00A31E2F">
            <w:pPr>
              <w:jc w:val="left"/>
              <w:rPr>
                <w:i/>
                <w:color w:val="000000"/>
                <w:sz w:val="18"/>
                <w:szCs w:val="18"/>
              </w:rPr>
            </w:pPr>
            <w:r w:rsidRPr="00D1290A">
              <w:rPr>
                <w:rFonts w:cs="Arial"/>
                <w:i/>
                <w:iCs/>
                <w:sz w:val="18"/>
                <w:szCs w:val="18"/>
              </w:rPr>
              <w:t>Allium sativum</w:t>
            </w:r>
          </w:p>
        </w:tc>
        <w:tc>
          <w:tcPr>
            <w:tcW w:w="2894" w:type="dxa"/>
            <w:vAlign w:val="center"/>
          </w:tcPr>
          <w:p w14:paraId="6D3B79F3" w14:textId="319F5AE9" w:rsidR="00DF08CB" w:rsidRPr="00D1290A" w:rsidRDefault="00DF08CB" w:rsidP="00A31E2F">
            <w:pPr>
              <w:jc w:val="left"/>
              <w:rPr>
                <w:color w:val="000000"/>
                <w:sz w:val="18"/>
                <w:szCs w:val="18"/>
              </w:rPr>
            </w:pPr>
            <w:r w:rsidRPr="00D1290A">
              <w:rPr>
                <w:rFonts w:cs="Arial"/>
                <w:sz w:val="18"/>
                <w:szCs w:val="18"/>
              </w:rPr>
              <w:t>Parásitos gastrointestinales</w:t>
            </w:r>
          </w:p>
        </w:tc>
        <w:tc>
          <w:tcPr>
            <w:tcW w:w="1869" w:type="dxa"/>
            <w:vAlign w:val="center"/>
          </w:tcPr>
          <w:p w14:paraId="1DC263AE" w14:textId="496F5D9B" w:rsidR="00DF08CB" w:rsidRPr="00D1290A" w:rsidRDefault="00DF08CB" w:rsidP="00A31E2F">
            <w:pPr>
              <w:jc w:val="left"/>
              <w:rPr>
                <w:i/>
                <w:iCs/>
                <w:color w:val="000000"/>
                <w:sz w:val="18"/>
                <w:szCs w:val="18"/>
              </w:rPr>
            </w:pPr>
            <w:r w:rsidRPr="00D1290A">
              <w:rPr>
                <w:rFonts w:cs="Arial"/>
                <w:sz w:val="18"/>
                <w:szCs w:val="18"/>
              </w:rPr>
              <w:t>Ganado ovino</w:t>
            </w:r>
          </w:p>
        </w:tc>
        <w:tc>
          <w:tcPr>
            <w:tcW w:w="1636" w:type="dxa"/>
            <w:vAlign w:val="center"/>
          </w:tcPr>
          <w:p w14:paraId="4576BC30" w14:textId="5066EFA7" w:rsidR="00DF08CB" w:rsidRPr="00D1290A" w:rsidRDefault="00DF08CB" w:rsidP="00A31E2F">
            <w:pPr>
              <w:jc w:val="left"/>
              <w:rPr>
                <w:rFonts w:cs="Arial"/>
                <w:sz w:val="18"/>
                <w:szCs w:val="18"/>
              </w:rPr>
            </w:pPr>
            <w:r w:rsidRPr="00D1290A">
              <w:rPr>
                <w:rFonts w:cs="Arial"/>
                <w:sz w:val="18"/>
                <w:szCs w:val="18"/>
              </w:rPr>
              <w:t>-</w:t>
            </w:r>
          </w:p>
        </w:tc>
      </w:tr>
      <w:tr w:rsidR="00DF08CB" w:rsidRPr="00D1290A" w14:paraId="61063E36" w14:textId="77777777" w:rsidTr="00A31E2F">
        <w:tc>
          <w:tcPr>
            <w:tcW w:w="843" w:type="dxa"/>
            <w:vMerge/>
            <w:vAlign w:val="center"/>
          </w:tcPr>
          <w:p w14:paraId="3DAD7EF9" w14:textId="77777777" w:rsidR="00DF08CB" w:rsidRPr="00D1290A" w:rsidRDefault="00DF08CB" w:rsidP="00A31E2F">
            <w:pPr>
              <w:jc w:val="left"/>
              <w:rPr>
                <w:color w:val="000000"/>
                <w:sz w:val="18"/>
                <w:szCs w:val="18"/>
              </w:rPr>
            </w:pPr>
          </w:p>
        </w:tc>
        <w:tc>
          <w:tcPr>
            <w:tcW w:w="1693" w:type="dxa"/>
            <w:vAlign w:val="center"/>
          </w:tcPr>
          <w:p w14:paraId="43ECF205" w14:textId="30FEFB28" w:rsidR="00DF08CB" w:rsidRPr="00D1290A" w:rsidRDefault="00DF08CB" w:rsidP="00A31E2F">
            <w:pPr>
              <w:jc w:val="left"/>
              <w:rPr>
                <w:color w:val="000000"/>
                <w:sz w:val="18"/>
                <w:szCs w:val="18"/>
              </w:rPr>
            </w:pPr>
            <w:r w:rsidRPr="00D1290A">
              <w:rPr>
                <w:rFonts w:cs="Arial"/>
                <w:sz w:val="18"/>
                <w:szCs w:val="18"/>
              </w:rPr>
              <w:t>Mooventhan</w:t>
            </w:r>
            <w:r>
              <w:rPr>
                <w:rFonts w:cs="Arial"/>
                <w:sz w:val="18"/>
                <w:szCs w:val="18"/>
              </w:rPr>
              <w:t xml:space="preserve">, </w:t>
            </w:r>
            <w:r w:rsidRPr="00EE61C8">
              <w:rPr>
                <w:rFonts w:cs="Arial"/>
                <w:sz w:val="18"/>
                <w:szCs w:val="18"/>
              </w:rPr>
              <w:t xml:space="preserve">Manimaran, Kumar, Selvan </w:t>
            </w:r>
            <w:r w:rsidR="00BD4A34">
              <w:rPr>
                <w:rFonts w:cs="Arial"/>
                <w:sz w:val="18"/>
                <w:szCs w:val="18"/>
              </w:rPr>
              <w:t>y</w:t>
            </w:r>
            <w:r w:rsidRPr="00EE61C8">
              <w:rPr>
                <w:rFonts w:cs="Arial"/>
                <w:sz w:val="18"/>
                <w:szCs w:val="18"/>
              </w:rPr>
              <w:t xml:space="preserve"> Prakash</w:t>
            </w:r>
            <w:r>
              <w:rPr>
                <w:rFonts w:cs="Arial"/>
                <w:sz w:val="18"/>
                <w:szCs w:val="18"/>
              </w:rPr>
              <w:t>,</w:t>
            </w:r>
            <w:r w:rsidRPr="00D1290A">
              <w:rPr>
                <w:rFonts w:cs="Arial"/>
                <w:sz w:val="18"/>
                <w:szCs w:val="18"/>
              </w:rPr>
              <w:t xml:space="preserve"> (2016)</w:t>
            </w:r>
          </w:p>
        </w:tc>
        <w:tc>
          <w:tcPr>
            <w:tcW w:w="4061" w:type="dxa"/>
            <w:vAlign w:val="center"/>
          </w:tcPr>
          <w:p w14:paraId="740D824E" w14:textId="0B2768B5" w:rsidR="00DF08CB" w:rsidRPr="00D1290A" w:rsidRDefault="00DF08CB" w:rsidP="00A31E2F">
            <w:pPr>
              <w:jc w:val="left"/>
              <w:rPr>
                <w:i/>
                <w:color w:val="000000"/>
                <w:sz w:val="18"/>
                <w:szCs w:val="18"/>
              </w:rPr>
            </w:pPr>
            <w:r w:rsidRPr="00D1290A">
              <w:rPr>
                <w:rFonts w:cs="Arial"/>
                <w:sz w:val="18"/>
                <w:szCs w:val="18"/>
              </w:rPr>
              <w:t>-</w:t>
            </w:r>
          </w:p>
        </w:tc>
        <w:tc>
          <w:tcPr>
            <w:tcW w:w="2894" w:type="dxa"/>
            <w:vAlign w:val="center"/>
          </w:tcPr>
          <w:p w14:paraId="454CD808" w14:textId="01E89F6E" w:rsidR="00DF08CB" w:rsidRPr="00D1290A" w:rsidRDefault="00DF08CB" w:rsidP="00A31E2F">
            <w:pPr>
              <w:jc w:val="left"/>
              <w:rPr>
                <w:color w:val="000000"/>
                <w:sz w:val="18"/>
                <w:szCs w:val="18"/>
              </w:rPr>
            </w:pPr>
            <w:r w:rsidRPr="00D1290A">
              <w:rPr>
                <w:rFonts w:cs="Arial"/>
                <w:sz w:val="18"/>
                <w:szCs w:val="18"/>
              </w:rPr>
              <w:t>Documentar las prácticas tradicionales en tratamiento de mastitis</w:t>
            </w:r>
          </w:p>
        </w:tc>
        <w:tc>
          <w:tcPr>
            <w:tcW w:w="1869" w:type="dxa"/>
            <w:vAlign w:val="center"/>
          </w:tcPr>
          <w:p w14:paraId="300881C0" w14:textId="5438F0DD" w:rsidR="00DF08CB" w:rsidRPr="00D1290A" w:rsidRDefault="00DF08CB" w:rsidP="00A31E2F">
            <w:pPr>
              <w:jc w:val="left"/>
              <w:rPr>
                <w:i/>
                <w:iCs/>
                <w:color w:val="000000"/>
                <w:sz w:val="18"/>
                <w:szCs w:val="18"/>
              </w:rPr>
            </w:pPr>
            <w:r w:rsidRPr="00D1290A">
              <w:rPr>
                <w:rFonts w:cs="Arial"/>
                <w:sz w:val="18"/>
                <w:szCs w:val="18"/>
              </w:rPr>
              <w:t>Animales lecheros</w:t>
            </w:r>
          </w:p>
        </w:tc>
        <w:tc>
          <w:tcPr>
            <w:tcW w:w="1636" w:type="dxa"/>
            <w:vAlign w:val="center"/>
          </w:tcPr>
          <w:p w14:paraId="51666A3B" w14:textId="277D2714" w:rsidR="00DF08CB" w:rsidRPr="00D1290A" w:rsidRDefault="00DF08CB" w:rsidP="00A31E2F">
            <w:pPr>
              <w:jc w:val="left"/>
              <w:rPr>
                <w:rFonts w:cs="Arial"/>
                <w:sz w:val="18"/>
                <w:szCs w:val="18"/>
              </w:rPr>
            </w:pPr>
            <w:r w:rsidRPr="00D1290A">
              <w:rPr>
                <w:rFonts w:cs="Arial"/>
                <w:sz w:val="18"/>
                <w:szCs w:val="18"/>
              </w:rPr>
              <w:t>-</w:t>
            </w:r>
          </w:p>
        </w:tc>
      </w:tr>
      <w:tr w:rsidR="00DF08CB" w:rsidRPr="00D1290A" w14:paraId="7A08A76D" w14:textId="77777777" w:rsidTr="00A31E2F">
        <w:tc>
          <w:tcPr>
            <w:tcW w:w="843" w:type="dxa"/>
            <w:vMerge/>
            <w:vAlign w:val="center"/>
          </w:tcPr>
          <w:p w14:paraId="00FCA937" w14:textId="77777777" w:rsidR="00DF08CB" w:rsidRPr="00D1290A" w:rsidRDefault="00DF08CB" w:rsidP="00A31E2F">
            <w:pPr>
              <w:jc w:val="left"/>
              <w:rPr>
                <w:color w:val="000000"/>
                <w:sz w:val="18"/>
                <w:szCs w:val="18"/>
              </w:rPr>
            </w:pPr>
          </w:p>
        </w:tc>
        <w:tc>
          <w:tcPr>
            <w:tcW w:w="1693" w:type="dxa"/>
            <w:vAlign w:val="center"/>
          </w:tcPr>
          <w:p w14:paraId="77F459D3" w14:textId="607E523D" w:rsidR="00DF08CB" w:rsidRPr="00D1290A" w:rsidRDefault="00DF08CB" w:rsidP="00A31E2F">
            <w:pPr>
              <w:jc w:val="left"/>
              <w:rPr>
                <w:color w:val="000000"/>
                <w:sz w:val="18"/>
                <w:szCs w:val="18"/>
              </w:rPr>
            </w:pPr>
            <w:r w:rsidRPr="00D1290A">
              <w:rPr>
                <w:rFonts w:cs="Arial"/>
                <w:sz w:val="18"/>
                <w:szCs w:val="18"/>
              </w:rPr>
              <w:t xml:space="preserve">Mushtaq </w:t>
            </w:r>
            <w:r w:rsidRPr="00EE61C8">
              <w:rPr>
                <w:rFonts w:cs="Arial"/>
                <w:i/>
                <w:iCs/>
                <w:sz w:val="18"/>
                <w:szCs w:val="18"/>
              </w:rPr>
              <w:t>et al.</w:t>
            </w:r>
            <w:r w:rsidRPr="00D1290A">
              <w:rPr>
                <w:rFonts w:cs="Arial"/>
                <w:sz w:val="18"/>
                <w:szCs w:val="18"/>
              </w:rPr>
              <w:t xml:space="preserve"> (2018)</w:t>
            </w:r>
          </w:p>
        </w:tc>
        <w:tc>
          <w:tcPr>
            <w:tcW w:w="4061" w:type="dxa"/>
            <w:vAlign w:val="center"/>
          </w:tcPr>
          <w:p w14:paraId="7426F25B" w14:textId="36EBEF6E" w:rsidR="00DF08CB" w:rsidRPr="00D1290A" w:rsidRDefault="00DF08CB" w:rsidP="00A31E2F">
            <w:pPr>
              <w:jc w:val="left"/>
              <w:rPr>
                <w:i/>
                <w:color w:val="000000"/>
                <w:sz w:val="18"/>
                <w:szCs w:val="18"/>
              </w:rPr>
            </w:pPr>
            <w:r w:rsidRPr="00D1290A">
              <w:rPr>
                <w:rFonts w:cs="Arial"/>
                <w:i/>
                <w:iCs/>
                <w:sz w:val="18"/>
                <w:szCs w:val="18"/>
              </w:rPr>
              <w:t>Cedrus deodara, Curcuma longa, Glycyrrhiza glabra y Eucalyptus globulus</w:t>
            </w:r>
          </w:p>
        </w:tc>
        <w:tc>
          <w:tcPr>
            <w:tcW w:w="2894" w:type="dxa"/>
            <w:vAlign w:val="center"/>
          </w:tcPr>
          <w:p w14:paraId="152C786F" w14:textId="144D31CB" w:rsidR="00DF08CB" w:rsidRPr="00D1290A" w:rsidRDefault="00DF08CB" w:rsidP="00A31E2F">
            <w:pPr>
              <w:jc w:val="left"/>
              <w:rPr>
                <w:color w:val="000000"/>
                <w:sz w:val="18"/>
                <w:szCs w:val="18"/>
              </w:rPr>
            </w:pPr>
            <w:r w:rsidRPr="00D1290A">
              <w:rPr>
                <w:rFonts w:cs="Arial"/>
                <w:sz w:val="18"/>
                <w:szCs w:val="18"/>
              </w:rPr>
              <w:t>Terapia alternativa a antibióticos en mastitis</w:t>
            </w:r>
          </w:p>
        </w:tc>
        <w:tc>
          <w:tcPr>
            <w:tcW w:w="1869" w:type="dxa"/>
            <w:vAlign w:val="center"/>
          </w:tcPr>
          <w:p w14:paraId="6614F90A" w14:textId="707C029F" w:rsidR="00DF08CB" w:rsidRPr="00D1290A" w:rsidRDefault="00DF08CB" w:rsidP="00A31E2F">
            <w:pPr>
              <w:jc w:val="left"/>
              <w:rPr>
                <w:i/>
                <w:iCs/>
                <w:color w:val="000000"/>
                <w:sz w:val="18"/>
                <w:szCs w:val="18"/>
              </w:rPr>
            </w:pPr>
            <w:r w:rsidRPr="00D1290A">
              <w:rPr>
                <w:rFonts w:cs="Arial"/>
                <w:sz w:val="18"/>
                <w:szCs w:val="18"/>
              </w:rPr>
              <w:t>Ganado bovino</w:t>
            </w:r>
          </w:p>
        </w:tc>
        <w:tc>
          <w:tcPr>
            <w:tcW w:w="1636" w:type="dxa"/>
            <w:vAlign w:val="center"/>
          </w:tcPr>
          <w:p w14:paraId="4DA2CFBF" w14:textId="607D91B5" w:rsidR="00DF08CB" w:rsidRPr="00D1290A" w:rsidRDefault="00DF08CB" w:rsidP="00A31E2F">
            <w:pPr>
              <w:jc w:val="left"/>
              <w:rPr>
                <w:rFonts w:cs="Arial"/>
                <w:sz w:val="18"/>
                <w:szCs w:val="18"/>
              </w:rPr>
            </w:pPr>
            <w:r w:rsidRPr="00D1290A">
              <w:rPr>
                <w:rFonts w:cs="Arial"/>
                <w:sz w:val="18"/>
                <w:szCs w:val="18"/>
              </w:rPr>
              <w:t>-</w:t>
            </w:r>
          </w:p>
        </w:tc>
      </w:tr>
      <w:tr w:rsidR="00DF08CB" w:rsidRPr="00D1290A" w14:paraId="04C40281" w14:textId="77777777" w:rsidTr="00A31E2F">
        <w:tc>
          <w:tcPr>
            <w:tcW w:w="843" w:type="dxa"/>
            <w:vMerge/>
            <w:vAlign w:val="center"/>
          </w:tcPr>
          <w:p w14:paraId="5E910F30" w14:textId="77777777" w:rsidR="00DF08CB" w:rsidRPr="00D1290A" w:rsidRDefault="00DF08CB" w:rsidP="00A31E2F">
            <w:pPr>
              <w:jc w:val="left"/>
              <w:rPr>
                <w:color w:val="000000"/>
                <w:sz w:val="18"/>
                <w:szCs w:val="18"/>
              </w:rPr>
            </w:pPr>
          </w:p>
        </w:tc>
        <w:tc>
          <w:tcPr>
            <w:tcW w:w="1693" w:type="dxa"/>
            <w:vAlign w:val="center"/>
          </w:tcPr>
          <w:p w14:paraId="7E009C2B" w14:textId="40F5FCCE" w:rsidR="00DF08CB" w:rsidRPr="00D1290A" w:rsidRDefault="00DF08CB" w:rsidP="00A31E2F">
            <w:pPr>
              <w:jc w:val="left"/>
              <w:rPr>
                <w:color w:val="000000"/>
                <w:sz w:val="18"/>
                <w:szCs w:val="18"/>
              </w:rPr>
            </w:pPr>
            <w:r w:rsidRPr="00D1290A">
              <w:rPr>
                <w:rFonts w:cs="Arial"/>
                <w:sz w:val="18"/>
                <w:szCs w:val="18"/>
              </w:rPr>
              <w:t xml:space="preserve">Nath </w:t>
            </w:r>
            <w:r w:rsidR="00BD4A34">
              <w:rPr>
                <w:rFonts w:cs="Arial"/>
                <w:sz w:val="18"/>
                <w:szCs w:val="18"/>
              </w:rPr>
              <w:t>y</w:t>
            </w:r>
            <w:r w:rsidRPr="00D1290A">
              <w:rPr>
                <w:rFonts w:cs="Arial"/>
                <w:sz w:val="18"/>
                <w:szCs w:val="18"/>
              </w:rPr>
              <w:t xml:space="preserve"> Joshi (2017)</w:t>
            </w:r>
          </w:p>
        </w:tc>
        <w:tc>
          <w:tcPr>
            <w:tcW w:w="4061" w:type="dxa"/>
            <w:vAlign w:val="center"/>
          </w:tcPr>
          <w:p w14:paraId="787427DC" w14:textId="1244ED37" w:rsidR="00DF08CB" w:rsidRPr="00D1290A" w:rsidRDefault="00DF08CB" w:rsidP="00A31E2F">
            <w:pPr>
              <w:jc w:val="left"/>
              <w:rPr>
                <w:i/>
                <w:color w:val="000000"/>
                <w:sz w:val="18"/>
                <w:szCs w:val="18"/>
              </w:rPr>
            </w:pPr>
            <w:r w:rsidRPr="00D1290A">
              <w:rPr>
                <w:rFonts w:cs="Arial"/>
                <w:i/>
                <w:iCs/>
                <w:sz w:val="18"/>
                <w:szCs w:val="18"/>
              </w:rPr>
              <w:t>Calotropis gigantea</w:t>
            </w:r>
          </w:p>
        </w:tc>
        <w:tc>
          <w:tcPr>
            <w:tcW w:w="2894" w:type="dxa"/>
            <w:vAlign w:val="center"/>
          </w:tcPr>
          <w:p w14:paraId="1B2A2812" w14:textId="794D0D73" w:rsidR="00DF08CB" w:rsidRPr="00D1290A" w:rsidRDefault="00DF08CB" w:rsidP="00A31E2F">
            <w:pPr>
              <w:jc w:val="left"/>
              <w:rPr>
                <w:color w:val="000000"/>
                <w:sz w:val="18"/>
                <w:szCs w:val="18"/>
              </w:rPr>
            </w:pPr>
            <w:r w:rsidRPr="00D1290A">
              <w:rPr>
                <w:rFonts w:cs="Arial"/>
                <w:sz w:val="18"/>
                <w:szCs w:val="18"/>
              </w:rPr>
              <w:t>Anti candidiasis</w:t>
            </w:r>
          </w:p>
        </w:tc>
        <w:tc>
          <w:tcPr>
            <w:tcW w:w="1869" w:type="dxa"/>
            <w:vAlign w:val="center"/>
          </w:tcPr>
          <w:p w14:paraId="3B500BD6" w14:textId="2573ADC0" w:rsidR="00DF08CB" w:rsidRPr="00D1290A" w:rsidRDefault="00A31E2F" w:rsidP="00A31E2F">
            <w:pPr>
              <w:jc w:val="left"/>
              <w:rPr>
                <w:i/>
                <w:iCs/>
                <w:color w:val="000000"/>
                <w:sz w:val="18"/>
                <w:szCs w:val="18"/>
              </w:rPr>
            </w:pPr>
            <w:r>
              <w:rPr>
                <w:i/>
                <w:iCs/>
                <w:color w:val="000000"/>
                <w:sz w:val="18"/>
                <w:szCs w:val="18"/>
              </w:rPr>
              <w:t>-</w:t>
            </w:r>
          </w:p>
        </w:tc>
        <w:tc>
          <w:tcPr>
            <w:tcW w:w="1636" w:type="dxa"/>
            <w:vAlign w:val="center"/>
          </w:tcPr>
          <w:p w14:paraId="08E2EDA8" w14:textId="7ADCC5C8" w:rsidR="00DF08CB" w:rsidRPr="008E4147" w:rsidRDefault="008E4147" w:rsidP="00A31E2F">
            <w:pPr>
              <w:jc w:val="left"/>
              <w:rPr>
                <w:rFonts w:cs="Arial"/>
                <w:sz w:val="18"/>
                <w:szCs w:val="18"/>
              </w:rPr>
            </w:pPr>
            <w:r w:rsidRPr="008E4147">
              <w:rPr>
                <w:rFonts w:cs="Arial"/>
                <w:sz w:val="18"/>
                <w:szCs w:val="18"/>
              </w:rPr>
              <w:t xml:space="preserve">Extracto etílico </w:t>
            </w:r>
          </w:p>
        </w:tc>
      </w:tr>
    </w:tbl>
    <w:p w14:paraId="0B482B1A" w14:textId="38F3DB24" w:rsidR="000C0A3B" w:rsidRDefault="000C0A3B" w:rsidP="00DF08CB"/>
    <w:p w14:paraId="7E2AB556" w14:textId="77777777" w:rsidR="002F6DD4" w:rsidRDefault="002F6DD4" w:rsidP="00DF08CB"/>
    <w:p w14:paraId="2AF003B8" w14:textId="15F8F7D4" w:rsidR="00DF08CB" w:rsidRDefault="00DF08CB" w:rsidP="002F6DD4">
      <w:pPr>
        <w:pStyle w:val="Sinespaciado"/>
      </w:pPr>
      <w:r>
        <w:lastRenderedPageBreak/>
        <w:t xml:space="preserve">Continuación Tabla </w:t>
      </w:r>
      <w:r w:rsidR="004C34CE">
        <w:t>1</w:t>
      </w:r>
      <w:r>
        <w:t>. Aplicación de la etnoveterinaria en el mundo.</w:t>
      </w:r>
    </w:p>
    <w:tbl>
      <w:tblPr>
        <w:tblStyle w:val="Tablaconcuadrcula"/>
        <w:tblW w:w="0" w:type="auto"/>
        <w:tblLook w:val="04A0" w:firstRow="1" w:lastRow="0" w:firstColumn="1" w:lastColumn="0" w:noHBand="0" w:noVBand="1"/>
      </w:tblPr>
      <w:tblGrid>
        <w:gridCol w:w="843"/>
        <w:gridCol w:w="1693"/>
        <w:gridCol w:w="4061"/>
        <w:gridCol w:w="2894"/>
        <w:gridCol w:w="1869"/>
        <w:gridCol w:w="1636"/>
      </w:tblGrid>
      <w:tr w:rsidR="00DF08CB" w:rsidRPr="00D1290A" w14:paraId="770DA19B" w14:textId="77777777" w:rsidTr="00A31E2F">
        <w:tc>
          <w:tcPr>
            <w:tcW w:w="843" w:type="dxa"/>
            <w:vAlign w:val="center"/>
          </w:tcPr>
          <w:p w14:paraId="61C7E676" w14:textId="2B1FE906" w:rsidR="00DF08CB" w:rsidRPr="00D1290A" w:rsidRDefault="00DF08CB" w:rsidP="00A31E2F">
            <w:pPr>
              <w:jc w:val="left"/>
              <w:rPr>
                <w:color w:val="000000"/>
                <w:sz w:val="18"/>
                <w:szCs w:val="18"/>
              </w:rPr>
            </w:pPr>
            <w:r>
              <w:rPr>
                <w:rFonts w:cs="Arial"/>
                <w:b/>
                <w:bCs/>
                <w:sz w:val="18"/>
                <w:szCs w:val="18"/>
              </w:rPr>
              <w:t>País</w:t>
            </w:r>
          </w:p>
        </w:tc>
        <w:tc>
          <w:tcPr>
            <w:tcW w:w="1693" w:type="dxa"/>
            <w:vAlign w:val="center"/>
          </w:tcPr>
          <w:p w14:paraId="4CE11F66" w14:textId="023B51FE" w:rsidR="00DF08CB" w:rsidRPr="00D1290A" w:rsidRDefault="00DF08CB" w:rsidP="00A31E2F">
            <w:pPr>
              <w:jc w:val="left"/>
              <w:rPr>
                <w:rFonts w:cs="Arial"/>
                <w:sz w:val="18"/>
                <w:szCs w:val="18"/>
              </w:rPr>
            </w:pPr>
            <w:r w:rsidRPr="00D1290A">
              <w:rPr>
                <w:rFonts w:cs="Arial"/>
                <w:b/>
                <w:bCs/>
                <w:sz w:val="18"/>
                <w:szCs w:val="18"/>
              </w:rPr>
              <w:t>Autor(es) y año</w:t>
            </w:r>
          </w:p>
        </w:tc>
        <w:tc>
          <w:tcPr>
            <w:tcW w:w="4061" w:type="dxa"/>
            <w:vAlign w:val="center"/>
          </w:tcPr>
          <w:p w14:paraId="737E606C" w14:textId="38C52ED7" w:rsidR="00DF08CB" w:rsidRPr="00D1290A" w:rsidRDefault="00DF08CB" w:rsidP="00A31E2F">
            <w:pPr>
              <w:jc w:val="left"/>
              <w:rPr>
                <w:rFonts w:cs="Arial"/>
                <w:i/>
                <w:iCs/>
                <w:sz w:val="18"/>
                <w:szCs w:val="18"/>
              </w:rPr>
            </w:pPr>
            <w:r w:rsidRPr="00D1290A">
              <w:rPr>
                <w:rFonts w:cs="Arial"/>
                <w:b/>
                <w:bCs/>
                <w:sz w:val="18"/>
                <w:szCs w:val="18"/>
              </w:rPr>
              <w:t xml:space="preserve">Plantas medicinales </w:t>
            </w:r>
          </w:p>
        </w:tc>
        <w:tc>
          <w:tcPr>
            <w:tcW w:w="2894" w:type="dxa"/>
            <w:vAlign w:val="center"/>
          </w:tcPr>
          <w:p w14:paraId="5245FD4E" w14:textId="7FA2BAB8" w:rsidR="00DF08CB" w:rsidRPr="00D1290A" w:rsidRDefault="00DF08CB" w:rsidP="00A31E2F">
            <w:pPr>
              <w:jc w:val="left"/>
              <w:rPr>
                <w:rFonts w:cs="Arial"/>
                <w:sz w:val="18"/>
                <w:szCs w:val="18"/>
              </w:rPr>
            </w:pPr>
            <w:r w:rsidRPr="00D1290A">
              <w:rPr>
                <w:rFonts w:cs="Arial"/>
                <w:b/>
                <w:bCs/>
                <w:sz w:val="18"/>
                <w:szCs w:val="18"/>
              </w:rPr>
              <w:t>Campo de acción</w:t>
            </w:r>
          </w:p>
        </w:tc>
        <w:tc>
          <w:tcPr>
            <w:tcW w:w="1869" w:type="dxa"/>
            <w:vAlign w:val="center"/>
          </w:tcPr>
          <w:p w14:paraId="62136CBB" w14:textId="20E21E61" w:rsidR="00DF08CB" w:rsidRPr="00D1290A" w:rsidRDefault="00DF08CB" w:rsidP="00A31E2F">
            <w:pPr>
              <w:jc w:val="left"/>
              <w:rPr>
                <w:rFonts w:cs="Arial"/>
                <w:sz w:val="18"/>
                <w:szCs w:val="18"/>
              </w:rPr>
            </w:pPr>
            <w:r w:rsidRPr="00D1290A">
              <w:rPr>
                <w:rFonts w:cs="Arial"/>
                <w:b/>
                <w:bCs/>
                <w:sz w:val="18"/>
                <w:szCs w:val="18"/>
              </w:rPr>
              <w:t>Especies veterinarias</w:t>
            </w:r>
          </w:p>
        </w:tc>
        <w:tc>
          <w:tcPr>
            <w:tcW w:w="1636" w:type="dxa"/>
            <w:vAlign w:val="center"/>
          </w:tcPr>
          <w:p w14:paraId="1E3F2225" w14:textId="1DB43AB2" w:rsidR="00DF08CB" w:rsidRPr="00D1290A" w:rsidRDefault="00DF08CB" w:rsidP="00A31E2F">
            <w:pPr>
              <w:jc w:val="left"/>
              <w:rPr>
                <w:rFonts w:cs="Arial"/>
                <w:sz w:val="18"/>
                <w:szCs w:val="18"/>
              </w:rPr>
            </w:pPr>
            <w:r w:rsidRPr="00A87471">
              <w:rPr>
                <w:rFonts w:cs="Arial"/>
                <w:b/>
                <w:bCs/>
                <w:sz w:val="18"/>
                <w:szCs w:val="18"/>
              </w:rPr>
              <w:t xml:space="preserve">Vía de aplicación </w:t>
            </w:r>
          </w:p>
        </w:tc>
      </w:tr>
      <w:tr w:rsidR="00DF08CB" w:rsidRPr="00D1290A" w14:paraId="3885FA74" w14:textId="77777777" w:rsidTr="00A31E2F">
        <w:tc>
          <w:tcPr>
            <w:tcW w:w="843" w:type="dxa"/>
            <w:vMerge w:val="restart"/>
            <w:vAlign w:val="center"/>
          </w:tcPr>
          <w:p w14:paraId="23094628" w14:textId="39EFFAEA" w:rsidR="00DF08CB" w:rsidRPr="00D1290A" w:rsidRDefault="00DF08CB" w:rsidP="00A31E2F">
            <w:pPr>
              <w:jc w:val="left"/>
              <w:rPr>
                <w:color w:val="000000"/>
                <w:sz w:val="18"/>
                <w:szCs w:val="18"/>
              </w:rPr>
            </w:pPr>
            <w:r>
              <w:rPr>
                <w:color w:val="000000"/>
                <w:sz w:val="18"/>
                <w:szCs w:val="18"/>
              </w:rPr>
              <w:t>Asia</w:t>
            </w:r>
          </w:p>
        </w:tc>
        <w:tc>
          <w:tcPr>
            <w:tcW w:w="1693" w:type="dxa"/>
            <w:vAlign w:val="center"/>
          </w:tcPr>
          <w:p w14:paraId="35D52122" w14:textId="37F04B6B" w:rsidR="00DF08CB" w:rsidRPr="00D1290A" w:rsidRDefault="00DF08CB" w:rsidP="00A31E2F">
            <w:pPr>
              <w:jc w:val="left"/>
              <w:rPr>
                <w:color w:val="000000"/>
                <w:sz w:val="18"/>
                <w:szCs w:val="18"/>
              </w:rPr>
            </w:pPr>
            <w:r w:rsidRPr="00D1290A">
              <w:rPr>
                <w:rFonts w:cs="Arial"/>
                <w:sz w:val="18"/>
                <w:szCs w:val="18"/>
              </w:rPr>
              <w:t xml:space="preserve">Nath </w:t>
            </w:r>
            <w:r w:rsidR="00BD4A34">
              <w:rPr>
                <w:rFonts w:cs="Arial"/>
                <w:sz w:val="18"/>
                <w:szCs w:val="18"/>
              </w:rPr>
              <w:t>y</w:t>
            </w:r>
            <w:r w:rsidRPr="00D1290A">
              <w:rPr>
                <w:rFonts w:cs="Arial"/>
                <w:sz w:val="18"/>
                <w:szCs w:val="18"/>
              </w:rPr>
              <w:t xml:space="preserve"> Joshi (2016)</w:t>
            </w:r>
          </w:p>
        </w:tc>
        <w:tc>
          <w:tcPr>
            <w:tcW w:w="4061" w:type="dxa"/>
            <w:vAlign w:val="center"/>
          </w:tcPr>
          <w:p w14:paraId="4C64DC75" w14:textId="033B1FBE" w:rsidR="00DF08CB" w:rsidRPr="00D1290A" w:rsidRDefault="00DF08CB" w:rsidP="00A31E2F">
            <w:pPr>
              <w:jc w:val="left"/>
              <w:rPr>
                <w:i/>
                <w:color w:val="000000"/>
                <w:sz w:val="18"/>
                <w:szCs w:val="18"/>
              </w:rPr>
            </w:pPr>
            <w:r w:rsidRPr="00D1290A">
              <w:rPr>
                <w:rFonts w:cs="Arial"/>
                <w:i/>
                <w:iCs/>
                <w:sz w:val="18"/>
                <w:szCs w:val="18"/>
              </w:rPr>
              <w:t>Garcinia xanthochymus</w:t>
            </w:r>
            <w:r w:rsidRPr="00D1290A">
              <w:rPr>
                <w:rFonts w:cs="Arial"/>
                <w:sz w:val="18"/>
                <w:szCs w:val="18"/>
              </w:rPr>
              <w:t xml:space="preserve"> H. y </w:t>
            </w:r>
            <w:r w:rsidRPr="00D1290A">
              <w:rPr>
                <w:rFonts w:cs="Arial"/>
                <w:i/>
                <w:iCs/>
                <w:sz w:val="18"/>
                <w:szCs w:val="18"/>
              </w:rPr>
              <w:t>Polygonum chinense</w:t>
            </w:r>
            <w:r w:rsidRPr="00D1290A">
              <w:rPr>
                <w:rFonts w:cs="Arial"/>
                <w:sz w:val="18"/>
                <w:szCs w:val="18"/>
              </w:rPr>
              <w:t xml:space="preserve"> L.</w:t>
            </w:r>
          </w:p>
        </w:tc>
        <w:tc>
          <w:tcPr>
            <w:tcW w:w="2894" w:type="dxa"/>
            <w:vAlign w:val="center"/>
          </w:tcPr>
          <w:p w14:paraId="546A5CCE" w14:textId="0E3D65C3" w:rsidR="00DF08CB" w:rsidRPr="00D1290A" w:rsidRDefault="00DF08CB" w:rsidP="00A31E2F">
            <w:pPr>
              <w:jc w:val="left"/>
              <w:rPr>
                <w:color w:val="000000"/>
                <w:sz w:val="18"/>
                <w:szCs w:val="18"/>
              </w:rPr>
            </w:pPr>
            <w:r w:rsidRPr="00D1290A">
              <w:rPr>
                <w:rFonts w:cs="Arial"/>
                <w:sz w:val="18"/>
                <w:szCs w:val="18"/>
              </w:rPr>
              <w:t xml:space="preserve">Antibacterial </w:t>
            </w:r>
          </w:p>
        </w:tc>
        <w:tc>
          <w:tcPr>
            <w:tcW w:w="1869" w:type="dxa"/>
            <w:vAlign w:val="center"/>
          </w:tcPr>
          <w:p w14:paraId="0F771EAF" w14:textId="6475A3FC" w:rsidR="00DF08CB" w:rsidRPr="00D1290A" w:rsidRDefault="00DF08CB" w:rsidP="00A31E2F">
            <w:pPr>
              <w:jc w:val="left"/>
              <w:rPr>
                <w:i/>
                <w:iCs/>
                <w:color w:val="000000"/>
                <w:sz w:val="18"/>
                <w:szCs w:val="18"/>
              </w:rPr>
            </w:pPr>
            <w:r w:rsidRPr="00D1290A">
              <w:rPr>
                <w:rFonts w:cs="Arial"/>
                <w:sz w:val="18"/>
                <w:szCs w:val="18"/>
              </w:rPr>
              <w:t>-</w:t>
            </w:r>
          </w:p>
        </w:tc>
        <w:tc>
          <w:tcPr>
            <w:tcW w:w="1636" w:type="dxa"/>
            <w:vAlign w:val="center"/>
          </w:tcPr>
          <w:p w14:paraId="67E0DCDD" w14:textId="1020E998" w:rsidR="00DF08CB" w:rsidRPr="00D1290A" w:rsidRDefault="00DF08CB" w:rsidP="00A31E2F">
            <w:pPr>
              <w:jc w:val="left"/>
              <w:rPr>
                <w:rFonts w:cs="Arial"/>
                <w:sz w:val="18"/>
                <w:szCs w:val="18"/>
              </w:rPr>
            </w:pPr>
            <w:r w:rsidRPr="00D1290A">
              <w:rPr>
                <w:rFonts w:cs="Arial"/>
                <w:sz w:val="18"/>
                <w:szCs w:val="18"/>
              </w:rPr>
              <w:t>Eficiencia antibacteriana de extractos etanólicos</w:t>
            </w:r>
          </w:p>
        </w:tc>
      </w:tr>
      <w:tr w:rsidR="00DF08CB" w:rsidRPr="00D1290A" w14:paraId="637A0707" w14:textId="77777777" w:rsidTr="00A31E2F">
        <w:tc>
          <w:tcPr>
            <w:tcW w:w="843" w:type="dxa"/>
            <w:vMerge/>
            <w:vAlign w:val="center"/>
          </w:tcPr>
          <w:p w14:paraId="042CDB9E" w14:textId="77777777" w:rsidR="00DF08CB" w:rsidRPr="00D1290A" w:rsidRDefault="00DF08CB" w:rsidP="00A31E2F">
            <w:pPr>
              <w:jc w:val="left"/>
              <w:rPr>
                <w:color w:val="000000"/>
                <w:sz w:val="18"/>
                <w:szCs w:val="18"/>
              </w:rPr>
            </w:pPr>
          </w:p>
        </w:tc>
        <w:tc>
          <w:tcPr>
            <w:tcW w:w="1693" w:type="dxa"/>
            <w:vAlign w:val="center"/>
          </w:tcPr>
          <w:p w14:paraId="47F1F9C4" w14:textId="6925CBBE" w:rsidR="00DF08CB" w:rsidRPr="00D1290A" w:rsidRDefault="00DF08CB" w:rsidP="00A31E2F">
            <w:pPr>
              <w:jc w:val="left"/>
              <w:rPr>
                <w:rFonts w:cs="Arial"/>
                <w:sz w:val="18"/>
                <w:szCs w:val="18"/>
              </w:rPr>
            </w:pPr>
            <w:r w:rsidRPr="00D1290A">
              <w:rPr>
                <w:rFonts w:cs="Arial"/>
                <w:sz w:val="18"/>
                <w:szCs w:val="18"/>
              </w:rPr>
              <w:t>Salpeteur</w:t>
            </w:r>
            <w:r w:rsidR="002464A0">
              <w:rPr>
                <w:rFonts w:cs="Arial"/>
                <w:sz w:val="18"/>
                <w:szCs w:val="18"/>
              </w:rPr>
              <w:t xml:space="preserve"> </w:t>
            </w:r>
            <w:r w:rsidR="002464A0" w:rsidRPr="002A5E29">
              <w:rPr>
                <w:rFonts w:cs="Arial"/>
                <w:i/>
                <w:iCs/>
                <w:sz w:val="18"/>
                <w:szCs w:val="18"/>
              </w:rPr>
              <w:t>et al</w:t>
            </w:r>
            <w:r w:rsidR="002464A0">
              <w:rPr>
                <w:rFonts w:cs="Arial"/>
                <w:sz w:val="18"/>
                <w:szCs w:val="18"/>
              </w:rPr>
              <w:t>.</w:t>
            </w:r>
            <w:r w:rsidRPr="00D1290A">
              <w:rPr>
                <w:rFonts w:cs="Arial"/>
                <w:sz w:val="18"/>
                <w:szCs w:val="18"/>
              </w:rPr>
              <w:t xml:space="preserve"> (2016)</w:t>
            </w:r>
          </w:p>
        </w:tc>
        <w:tc>
          <w:tcPr>
            <w:tcW w:w="4061" w:type="dxa"/>
            <w:vAlign w:val="center"/>
          </w:tcPr>
          <w:p w14:paraId="2907A4FA" w14:textId="509063A8" w:rsidR="00DF08CB" w:rsidRPr="00D1290A" w:rsidRDefault="00DF08CB" w:rsidP="00A31E2F">
            <w:pPr>
              <w:jc w:val="left"/>
              <w:rPr>
                <w:rFonts w:cs="Arial"/>
                <w:i/>
                <w:iCs/>
                <w:sz w:val="18"/>
                <w:szCs w:val="18"/>
              </w:rPr>
            </w:pPr>
            <w:r w:rsidRPr="00D1290A">
              <w:rPr>
                <w:rFonts w:cs="Arial"/>
                <w:sz w:val="18"/>
                <w:szCs w:val="18"/>
              </w:rPr>
              <w:t xml:space="preserve">Diversas </w:t>
            </w:r>
          </w:p>
        </w:tc>
        <w:tc>
          <w:tcPr>
            <w:tcW w:w="2894" w:type="dxa"/>
            <w:vAlign w:val="center"/>
          </w:tcPr>
          <w:p w14:paraId="2550DD51" w14:textId="4E4BF1BB" w:rsidR="00DF08CB" w:rsidRPr="00D1290A" w:rsidRDefault="00DF08CB" w:rsidP="00A31E2F">
            <w:pPr>
              <w:jc w:val="left"/>
              <w:rPr>
                <w:rFonts w:cs="Arial"/>
                <w:sz w:val="18"/>
                <w:szCs w:val="18"/>
              </w:rPr>
            </w:pPr>
            <w:r w:rsidRPr="00D1290A">
              <w:rPr>
                <w:rFonts w:cs="Arial"/>
                <w:sz w:val="18"/>
                <w:szCs w:val="18"/>
              </w:rPr>
              <w:t>Documentación de prácticas etnoveterinaria</w:t>
            </w:r>
          </w:p>
        </w:tc>
        <w:tc>
          <w:tcPr>
            <w:tcW w:w="1869" w:type="dxa"/>
            <w:vAlign w:val="center"/>
          </w:tcPr>
          <w:p w14:paraId="2A4745BE" w14:textId="52857AA2" w:rsidR="00DF08CB" w:rsidRPr="00D1290A" w:rsidRDefault="00DF08CB" w:rsidP="00A31E2F">
            <w:pPr>
              <w:jc w:val="left"/>
              <w:rPr>
                <w:rFonts w:cs="Arial"/>
                <w:sz w:val="18"/>
                <w:szCs w:val="18"/>
              </w:rPr>
            </w:pPr>
            <w:r w:rsidRPr="00D1290A">
              <w:rPr>
                <w:rFonts w:cs="Arial"/>
                <w:sz w:val="18"/>
                <w:szCs w:val="18"/>
              </w:rPr>
              <w:t>Ganado ovino</w:t>
            </w:r>
          </w:p>
        </w:tc>
        <w:tc>
          <w:tcPr>
            <w:tcW w:w="1636" w:type="dxa"/>
            <w:vAlign w:val="center"/>
          </w:tcPr>
          <w:p w14:paraId="0B4B5149" w14:textId="65BE81AD" w:rsidR="00DF08CB" w:rsidRPr="00D1290A" w:rsidRDefault="00DF08CB" w:rsidP="00A31E2F">
            <w:pPr>
              <w:jc w:val="left"/>
              <w:rPr>
                <w:rFonts w:cs="Arial"/>
                <w:sz w:val="18"/>
                <w:szCs w:val="18"/>
              </w:rPr>
            </w:pPr>
            <w:r w:rsidRPr="00D1290A">
              <w:rPr>
                <w:rFonts w:cs="Arial"/>
                <w:sz w:val="18"/>
                <w:szCs w:val="18"/>
              </w:rPr>
              <w:t>-</w:t>
            </w:r>
          </w:p>
        </w:tc>
      </w:tr>
      <w:tr w:rsidR="00DF08CB" w:rsidRPr="00D1290A" w14:paraId="08347764" w14:textId="77777777" w:rsidTr="00A31E2F">
        <w:tc>
          <w:tcPr>
            <w:tcW w:w="843" w:type="dxa"/>
            <w:vMerge/>
            <w:vAlign w:val="center"/>
          </w:tcPr>
          <w:p w14:paraId="5CC19831" w14:textId="77777777" w:rsidR="00DF08CB" w:rsidRPr="00D1290A" w:rsidRDefault="00DF08CB" w:rsidP="00A31E2F">
            <w:pPr>
              <w:jc w:val="left"/>
              <w:rPr>
                <w:color w:val="000000"/>
                <w:sz w:val="18"/>
                <w:szCs w:val="18"/>
              </w:rPr>
            </w:pPr>
          </w:p>
        </w:tc>
        <w:tc>
          <w:tcPr>
            <w:tcW w:w="1693" w:type="dxa"/>
            <w:vAlign w:val="center"/>
          </w:tcPr>
          <w:p w14:paraId="09F869CB" w14:textId="188A26E2" w:rsidR="00DF08CB" w:rsidRPr="00D1290A" w:rsidRDefault="00DF08CB" w:rsidP="00A31E2F">
            <w:pPr>
              <w:jc w:val="left"/>
              <w:rPr>
                <w:rFonts w:cs="Arial"/>
                <w:sz w:val="18"/>
                <w:szCs w:val="18"/>
              </w:rPr>
            </w:pPr>
            <w:r w:rsidRPr="00D1290A">
              <w:rPr>
                <w:rFonts w:cs="Arial"/>
                <w:sz w:val="18"/>
                <w:szCs w:val="18"/>
              </w:rPr>
              <w:t>Aziz</w:t>
            </w:r>
            <w:r>
              <w:rPr>
                <w:rFonts w:cs="Arial"/>
                <w:sz w:val="18"/>
                <w:szCs w:val="18"/>
              </w:rPr>
              <w:t xml:space="preserve">, </w:t>
            </w:r>
            <w:r w:rsidRPr="00F13069">
              <w:rPr>
                <w:rFonts w:cs="Arial"/>
                <w:sz w:val="18"/>
                <w:szCs w:val="18"/>
              </w:rPr>
              <w:t xml:space="preserve">Adnan, Khan </w:t>
            </w:r>
            <w:r w:rsidR="00BD4A34">
              <w:rPr>
                <w:rFonts w:cs="Arial"/>
                <w:sz w:val="18"/>
                <w:szCs w:val="18"/>
              </w:rPr>
              <w:t>y</w:t>
            </w:r>
            <w:r w:rsidRPr="00F13069">
              <w:rPr>
                <w:rFonts w:cs="Arial"/>
                <w:sz w:val="18"/>
                <w:szCs w:val="18"/>
              </w:rPr>
              <w:t xml:space="preserve"> U</w:t>
            </w:r>
            <w:r>
              <w:rPr>
                <w:rFonts w:cs="Arial"/>
                <w:sz w:val="18"/>
                <w:szCs w:val="18"/>
              </w:rPr>
              <w:t>s</w:t>
            </w:r>
            <w:r w:rsidRPr="00F13069">
              <w:rPr>
                <w:rFonts w:cs="Arial"/>
                <w:sz w:val="18"/>
                <w:szCs w:val="18"/>
              </w:rPr>
              <w:t>ufyan</w:t>
            </w:r>
            <w:r w:rsidRPr="00D1290A">
              <w:rPr>
                <w:rFonts w:cs="Arial"/>
                <w:sz w:val="18"/>
                <w:szCs w:val="18"/>
              </w:rPr>
              <w:t xml:space="preserve"> (2017)</w:t>
            </w:r>
          </w:p>
        </w:tc>
        <w:tc>
          <w:tcPr>
            <w:tcW w:w="4061" w:type="dxa"/>
            <w:vAlign w:val="center"/>
          </w:tcPr>
          <w:p w14:paraId="19FF49FE" w14:textId="19A2182D" w:rsidR="00DF08CB" w:rsidRPr="00D1290A" w:rsidRDefault="00DF08CB" w:rsidP="00A31E2F">
            <w:pPr>
              <w:jc w:val="left"/>
              <w:rPr>
                <w:rFonts w:cs="Arial"/>
                <w:i/>
                <w:iCs/>
                <w:sz w:val="18"/>
                <w:szCs w:val="18"/>
              </w:rPr>
            </w:pPr>
            <w:r w:rsidRPr="00D1290A">
              <w:rPr>
                <w:rFonts w:cs="Arial"/>
                <w:i/>
                <w:iCs/>
                <w:sz w:val="18"/>
                <w:szCs w:val="18"/>
              </w:rPr>
              <w:t>Boerhavia erecta, Celtis australis, Chamaecyparis obtusa, Eryngium biehersteinianum, Gossypium arboreum, Narcissus tazetta, Opuntia littoralis y Streblus asper</w:t>
            </w:r>
          </w:p>
        </w:tc>
        <w:tc>
          <w:tcPr>
            <w:tcW w:w="2894" w:type="dxa"/>
            <w:vAlign w:val="center"/>
          </w:tcPr>
          <w:p w14:paraId="71C6666B" w14:textId="7A862639" w:rsidR="00DF08CB" w:rsidRPr="00D1290A" w:rsidRDefault="00DF08CB" w:rsidP="00A31E2F">
            <w:pPr>
              <w:jc w:val="left"/>
              <w:rPr>
                <w:rFonts w:cs="Arial"/>
                <w:sz w:val="18"/>
                <w:szCs w:val="18"/>
              </w:rPr>
            </w:pPr>
            <w:r w:rsidRPr="00D1290A">
              <w:rPr>
                <w:rFonts w:cs="Arial"/>
                <w:sz w:val="18"/>
                <w:szCs w:val="18"/>
              </w:rPr>
              <w:t>Enfermedades gastrointestinales</w:t>
            </w:r>
          </w:p>
        </w:tc>
        <w:tc>
          <w:tcPr>
            <w:tcW w:w="1869" w:type="dxa"/>
            <w:vAlign w:val="center"/>
          </w:tcPr>
          <w:p w14:paraId="63540C35" w14:textId="07755B89" w:rsidR="00DF08CB" w:rsidRPr="00D1290A" w:rsidRDefault="00DF08CB" w:rsidP="00A31E2F">
            <w:pPr>
              <w:jc w:val="left"/>
              <w:rPr>
                <w:rFonts w:cs="Arial"/>
                <w:sz w:val="18"/>
                <w:szCs w:val="18"/>
              </w:rPr>
            </w:pPr>
            <w:r w:rsidRPr="00D1290A">
              <w:rPr>
                <w:rFonts w:cs="Arial"/>
                <w:sz w:val="18"/>
                <w:szCs w:val="18"/>
              </w:rPr>
              <w:t xml:space="preserve">Diversas </w:t>
            </w:r>
          </w:p>
        </w:tc>
        <w:tc>
          <w:tcPr>
            <w:tcW w:w="1636" w:type="dxa"/>
            <w:vAlign w:val="center"/>
          </w:tcPr>
          <w:p w14:paraId="2A65387A" w14:textId="3C454FF1" w:rsidR="00DF08CB" w:rsidRPr="00D1290A" w:rsidRDefault="00DF08CB" w:rsidP="00A31E2F">
            <w:pPr>
              <w:jc w:val="left"/>
              <w:rPr>
                <w:rFonts w:cs="Arial"/>
                <w:sz w:val="18"/>
                <w:szCs w:val="18"/>
              </w:rPr>
            </w:pPr>
            <w:r w:rsidRPr="00D1290A">
              <w:rPr>
                <w:rFonts w:cs="Arial"/>
                <w:sz w:val="18"/>
                <w:szCs w:val="18"/>
              </w:rPr>
              <w:t xml:space="preserve">Diversas </w:t>
            </w:r>
          </w:p>
        </w:tc>
      </w:tr>
      <w:tr w:rsidR="00DF08CB" w:rsidRPr="00D1290A" w14:paraId="64B3A271" w14:textId="77777777" w:rsidTr="00A31E2F">
        <w:tc>
          <w:tcPr>
            <w:tcW w:w="843" w:type="dxa"/>
            <w:vMerge/>
            <w:vAlign w:val="center"/>
          </w:tcPr>
          <w:p w14:paraId="59A0550D" w14:textId="77777777" w:rsidR="00DF08CB" w:rsidRPr="00D1290A" w:rsidRDefault="00DF08CB" w:rsidP="00A31E2F">
            <w:pPr>
              <w:jc w:val="left"/>
              <w:rPr>
                <w:color w:val="000000"/>
                <w:sz w:val="18"/>
                <w:szCs w:val="18"/>
              </w:rPr>
            </w:pPr>
          </w:p>
        </w:tc>
        <w:tc>
          <w:tcPr>
            <w:tcW w:w="1693" w:type="dxa"/>
            <w:vAlign w:val="center"/>
          </w:tcPr>
          <w:p w14:paraId="76EBC649" w14:textId="07026BDF" w:rsidR="00DF08CB" w:rsidRPr="00D1290A" w:rsidRDefault="00DF08CB" w:rsidP="00A31E2F">
            <w:pPr>
              <w:jc w:val="left"/>
              <w:rPr>
                <w:rFonts w:cs="Arial"/>
                <w:sz w:val="18"/>
                <w:szCs w:val="18"/>
              </w:rPr>
            </w:pPr>
            <w:r w:rsidRPr="00D1290A">
              <w:rPr>
                <w:rFonts w:cs="Arial"/>
                <w:sz w:val="18"/>
                <w:szCs w:val="18"/>
              </w:rPr>
              <w:t>Aziz</w:t>
            </w:r>
            <w:r>
              <w:rPr>
                <w:rFonts w:cs="Arial"/>
                <w:sz w:val="18"/>
                <w:szCs w:val="18"/>
              </w:rPr>
              <w:t xml:space="preserve">, </w:t>
            </w:r>
            <w:r w:rsidRPr="00BC7236">
              <w:rPr>
                <w:rFonts w:cs="Arial"/>
                <w:sz w:val="18"/>
                <w:szCs w:val="18"/>
              </w:rPr>
              <w:t>Khan, Adnan</w:t>
            </w:r>
            <w:r>
              <w:rPr>
                <w:rFonts w:cs="Arial"/>
                <w:sz w:val="18"/>
                <w:szCs w:val="18"/>
              </w:rPr>
              <w:t xml:space="preserve"> </w:t>
            </w:r>
            <w:r w:rsidR="00BD4A34">
              <w:rPr>
                <w:rFonts w:cs="Arial"/>
                <w:sz w:val="18"/>
                <w:szCs w:val="18"/>
              </w:rPr>
              <w:t>y</w:t>
            </w:r>
            <w:r w:rsidRPr="00BC7236">
              <w:rPr>
                <w:rFonts w:cs="Arial"/>
                <w:sz w:val="18"/>
                <w:szCs w:val="18"/>
              </w:rPr>
              <w:t xml:space="preserve"> Ullah</w:t>
            </w:r>
            <w:r w:rsidRPr="00D1290A">
              <w:rPr>
                <w:rFonts w:cs="Arial"/>
                <w:sz w:val="18"/>
                <w:szCs w:val="18"/>
              </w:rPr>
              <w:t xml:space="preserve"> (2018)</w:t>
            </w:r>
          </w:p>
        </w:tc>
        <w:tc>
          <w:tcPr>
            <w:tcW w:w="4061" w:type="dxa"/>
            <w:vAlign w:val="center"/>
          </w:tcPr>
          <w:p w14:paraId="4E22D44E" w14:textId="2CF4CB08" w:rsidR="00DF08CB" w:rsidRPr="00D1290A" w:rsidRDefault="00DF08CB" w:rsidP="00A31E2F">
            <w:pPr>
              <w:jc w:val="left"/>
              <w:rPr>
                <w:rFonts w:cs="Arial"/>
                <w:i/>
                <w:iCs/>
                <w:sz w:val="18"/>
                <w:szCs w:val="18"/>
              </w:rPr>
            </w:pPr>
            <w:r w:rsidRPr="00D1290A">
              <w:rPr>
                <w:rFonts w:cs="Arial"/>
                <w:i/>
                <w:iCs/>
                <w:sz w:val="18"/>
                <w:szCs w:val="18"/>
              </w:rPr>
              <w:t xml:space="preserve">Acacia modesta </w:t>
            </w:r>
            <w:r w:rsidRPr="00D1290A">
              <w:rPr>
                <w:rFonts w:cs="Arial"/>
                <w:sz w:val="18"/>
                <w:szCs w:val="18"/>
              </w:rPr>
              <w:t>en enfermedades de la piel y en la purificación de la sangre,</w:t>
            </w:r>
            <w:r w:rsidRPr="00D1290A">
              <w:rPr>
                <w:rFonts w:cs="Arial"/>
                <w:i/>
                <w:iCs/>
                <w:sz w:val="18"/>
                <w:szCs w:val="18"/>
              </w:rPr>
              <w:t xml:space="preserve"> Glycyrrhiza glaza </w:t>
            </w:r>
            <w:r w:rsidRPr="00D1290A">
              <w:rPr>
                <w:rFonts w:cs="Arial"/>
                <w:sz w:val="18"/>
                <w:szCs w:val="18"/>
              </w:rPr>
              <w:t>en incremento de producción leche y aumentar el índice de fertilidad,</w:t>
            </w:r>
            <w:r w:rsidRPr="00D1290A">
              <w:rPr>
                <w:rFonts w:cs="Arial"/>
                <w:i/>
                <w:iCs/>
                <w:sz w:val="18"/>
                <w:szCs w:val="18"/>
              </w:rPr>
              <w:t xml:space="preserve"> Ajuga intergrifolia </w:t>
            </w:r>
            <w:r w:rsidRPr="00D1290A">
              <w:rPr>
                <w:rFonts w:cs="Arial"/>
                <w:sz w:val="18"/>
                <w:szCs w:val="18"/>
              </w:rPr>
              <w:t>en purificación de sangre, vómito y linimentos cutáneos, por mencionar algunos</w:t>
            </w:r>
          </w:p>
        </w:tc>
        <w:tc>
          <w:tcPr>
            <w:tcW w:w="2894" w:type="dxa"/>
            <w:vAlign w:val="center"/>
          </w:tcPr>
          <w:p w14:paraId="2937A2DB" w14:textId="461DB63E" w:rsidR="00DF08CB" w:rsidRPr="00D1290A" w:rsidRDefault="00DF08CB" w:rsidP="00A31E2F">
            <w:pPr>
              <w:jc w:val="left"/>
              <w:rPr>
                <w:rFonts w:cs="Arial"/>
                <w:sz w:val="18"/>
                <w:szCs w:val="18"/>
              </w:rPr>
            </w:pPr>
            <w:r w:rsidRPr="00D1290A">
              <w:rPr>
                <w:rFonts w:cs="Arial"/>
                <w:sz w:val="18"/>
                <w:szCs w:val="18"/>
              </w:rPr>
              <w:t xml:space="preserve">Diversas </w:t>
            </w:r>
          </w:p>
        </w:tc>
        <w:tc>
          <w:tcPr>
            <w:tcW w:w="1869" w:type="dxa"/>
            <w:vAlign w:val="center"/>
          </w:tcPr>
          <w:p w14:paraId="566F8253" w14:textId="7CE5352C" w:rsidR="00DF08CB" w:rsidRPr="00D1290A" w:rsidRDefault="00DF08CB" w:rsidP="00A31E2F">
            <w:pPr>
              <w:jc w:val="left"/>
              <w:rPr>
                <w:rFonts w:cs="Arial"/>
                <w:sz w:val="18"/>
                <w:szCs w:val="18"/>
              </w:rPr>
            </w:pPr>
            <w:r w:rsidRPr="00D1290A">
              <w:rPr>
                <w:rFonts w:cs="Arial"/>
                <w:sz w:val="18"/>
                <w:szCs w:val="18"/>
              </w:rPr>
              <w:t xml:space="preserve">Animales domésticos </w:t>
            </w:r>
          </w:p>
        </w:tc>
        <w:tc>
          <w:tcPr>
            <w:tcW w:w="1636" w:type="dxa"/>
            <w:vAlign w:val="center"/>
          </w:tcPr>
          <w:p w14:paraId="0EE79108" w14:textId="0035D239" w:rsidR="00DF08CB" w:rsidRPr="00D1290A" w:rsidRDefault="00DF08CB" w:rsidP="00A31E2F">
            <w:pPr>
              <w:jc w:val="left"/>
              <w:rPr>
                <w:rFonts w:cs="Arial"/>
                <w:sz w:val="18"/>
                <w:szCs w:val="18"/>
              </w:rPr>
            </w:pPr>
            <w:r w:rsidRPr="00D1290A">
              <w:rPr>
                <w:rFonts w:cs="Arial"/>
                <w:sz w:val="18"/>
                <w:szCs w:val="18"/>
              </w:rPr>
              <w:t xml:space="preserve">Diversas </w:t>
            </w:r>
          </w:p>
        </w:tc>
      </w:tr>
      <w:tr w:rsidR="00DF08CB" w:rsidRPr="00D1290A" w14:paraId="7D184306" w14:textId="77777777" w:rsidTr="00A31E2F">
        <w:tc>
          <w:tcPr>
            <w:tcW w:w="843" w:type="dxa"/>
            <w:vMerge/>
            <w:vAlign w:val="center"/>
          </w:tcPr>
          <w:p w14:paraId="62D777A3" w14:textId="77777777" w:rsidR="00DF08CB" w:rsidRPr="00D1290A" w:rsidRDefault="00DF08CB" w:rsidP="00A31E2F">
            <w:pPr>
              <w:jc w:val="left"/>
              <w:rPr>
                <w:color w:val="000000"/>
                <w:sz w:val="18"/>
                <w:szCs w:val="18"/>
              </w:rPr>
            </w:pPr>
          </w:p>
        </w:tc>
        <w:tc>
          <w:tcPr>
            <w:tcW w:w="1693" w:type="dxa"/>
            <w:vAlign w:val="center"/>
          </w:tcPr>
          <w:p w14:paraId="7F159A1A" w14:textId="02F0ED3B" w:rsidR="00DF08CB" w:rsidRPr="00437D1F" w:rsidRDefault="00DF08CB" w:rsidP="00A31E2F">
            <w:pPr>
              <w:jc w:val="left"/>
              <w:rPr>
                <w:rFonts w:cs="Arial"/>
                <w:sz w:val="18"/>
                <w:szCs w:val="18"/>
                <w:lang w:val="en-US"/>
              </w:rPr>
            </w:pPr>
            <w:r w:rsidRPr="00437D1F">
              <w:rPr>
                <w:rFonts w:cs="Arial"/>
                <w:sz w:val="18"/>
                <w:szCs w:val="18"/>
                <w:lang w:val="en-US"/>
              </w:rPr>
              <w:t xml:space="preserve">Devkota, Chaudhary, Werth </w:t>
            </w:r>
            <w:r w:rsidR="00BD4A34" w:rsidRPr="00437D1F">
              <w:rPr>
                <w:rFonts w:cs="Arial"/>
                <w:sz w:val="18"/>
                <w:szCs w:val="18"/>
                <w:lang w:val="en-US"/>
              </w:rPr>
              <w:t>y</w:t>
            </w:r>
            <w:r w:rsidRPr="00437D1F">
              <w:rPr>
                <w:rFonts w:cs="Arial"/>
                <w:sz w:val="18"/>
                <w:szCs w:val="18"/>
                <w:lang w:val="en-US"/>
              </w:rPr>
              <w:t xml:space="preserve"> Scheidegger (2017)</w:t>
            </w:r>
          </w:p>
        </w:tc>
        <w:tc>
          <w:tcPr>
            <w:tcW w:w="4061" w:type="dxa"/>
            <w:vAlign w:val="center"/>
          </w:tcPr>
          <w:p w14:paraId="7AC5DB3E" w14:textId="5F565619" w:rsidR="00DF08CB" w:rsidRPr="00D1290A" w:rsidRDefault="00DF08CB" w:rsidP="00A31E2F">
            <w:pPr>
              <w:jc w:val="left"/>
              <w:rPr>
                <w:rFonts w:cs="Arial"/>
                <w:i/>
                <w:iCs/>
                <w:sz w:val="18"/>
                <w:szCs w:val="18"/>
              </w:rPr>
            </w:pPr>
            <w:r w:rsidRPr="00D1290A">
              <w:rPr>
                <w:rFonts w:cs="Arial"/>
                <w:sz w:val="18"/>
                <w:szCs w:val="18"/>
              </w:rPr>
              <w:t>Líquenes tales como,</w:t>
            </w:r>
            <w:r w:rsidRPr="00D1290A">
              <w:rPr>
                <w:rFonts w:cs="Arial"/>
                <w:i/>
                <w:iCs/>
                <w:sz w:val="18"/>
                <w:szCs w:val="18"/>
              </w:rPr>
              <w:t xml:space="preserve"> Everniastrum cirrhatum, E. nepalense y Parmotrema cetratum</w:t>
            </w:r>
          </w:p>
        </w:tc>
        <w:tc>
          <w:tcPr>
            <w:tcW w:w="2894" w:type="dxa"/>
            <w:vAlign w:val="center"/>
          </w:tcPr>
          <w:p w14:paraId="1378C6D9" w14:textId="0E31DB6C" w:rsidR="00DF08CB" w:rsidRPr="00D1290A" w:rsidRDefault="00DF08CB" w:rsidP="00A31E2F">
            <w:pPr>
              <w:jc w:val="left"/>
              <w:rPr>
                <w:rFonts w:cs="Arial"/>
                <w:sz w:val="18"/>
                <w:szCs w:val="18"/>
              </w:rPr>
            </w:pPr>
            <w:r w:rsidRPr="00D1290A">
              <w:rPr>
                <w:rFonts w:cs="Arial"/>
                <w:sz w:val="18"/>
                <w:szCs w:val="18"/>
              </w:rPr>
              <w:t>Documentación de conocimiento indígena y su aplicación como antiséptico</w:t>
            </w:r>
          </w:p>
        </w:tc>
        <w:tc>
          <w:tcPr>
            <w:tcW w:w="1869" w:type="dxa"/>
            <w:vAlign w:val="center"/>
          </w:tcPr>
          <w:p w14:paraId="1B7126E9" w14:textId="29BB65A6" w:rsidR="00DF08CB" w:rsidRPr="00D1290A" w:rsidRDefault="00DF08CB" w:rsidP="00A31E2F">
            <w:pPr>
              <w:jc w:val="left"/>
              <w:rPr>
                <w:rFonts w:cs="Arial"/>
                <w:sz w:val="18"/>
                <w:szCs w:val="18"/>
              </w:rPr>
            </w:pPr>
            <w:r w:rsidRPr="00D1290A">
              <w:rPr>
                <w:rFonts w:cs="Arial"/>
                <w:sz w:val="18"/>
                <w:szCs w:val="18"/>
              </w:rPr>
              <w:t>Ganado diverso</w:t>
            </w:r>
          </w:p>
        </w:tc>
        <w:tc>
          <w:tcPr>
            <w:tcW w:w="1636" w:type="dxa"/>
            <w:vAlign w:val="center"/>
          </w:tcPr>
          <w:p w14:paraId="5EEE7556" w14:textId="1537599D" w:rsidR="00DF08CB" w:rsidRPr="00D1290A" w:rsidRDefault="00DF08CB" w:rsidP="00A31E2F">
            <w:pPr>
              <w:jc w:val="left"/>
              <w:rPr>
                <w:rFonts w:cs="Arial"/>
                <w:sz w:val="18"/>
                <w:szCs w:val="18"/>
              </w:rPr>
            </w:pPr>
            <w:r w:rsidRPr="00D1290A">
              <w:rPr>
                <w:rFonts w:cs="Arial"/>
                <w:sz w:val="18"/>
                <w:szCs w:val="18"/>
              </w:rPr>
              <w:t xml:space="preserve">Diversas </w:t>
            </w:r>
          </w:p>
        </w:tc>
      </w:tr>
      <w:tr w:rsidR="00DF08CB" w:rsidRPr="00D1290A" w14:paraId="7CEB8258" w14:textId="77777777" w:rsidTr="00A31E2F">
        <w:tc>
          <w:tcPr>
            <w:tcW w:w="843" w:type="dxa"/>
            <w:vMerge/>
            <w:vAlign w:val="center"/>
          </w:tcPr>
          <w:p w14:paraId="6E7A03A6" w14:textId="77777777" w:rsidR="00DF08CB" w:rsidRPr="00D1290A" w:rsidRDefault="00DF08CB" w:rsidP="00A31E2F">
            <w:pPr>
              <w:jc w:val="left"/>
              <w:rPr>
                <w:color w:val="000000"/>
                <w:sz w:val="18"/>
                <w:szCs w:val="18"/>
              </w:rPr>
            </w:pPr>
          </w:p>
        </w:tc>
        <w:tc>
          <w:tcPr>
            <w:tcW w:w="1693" w:type="dxa"/>
            <w:vAlign w:val="center"/>
          </w:tcPr>
          <w:p w14:paraId="59EAE84C" w14:textId="6FC9B225" w:rsidR="00DF08CB" w:rsidRPr="008E4147" w:rsidRDefault="00DF08CB" w:rsidP="00A31E2F">
            <w:pPr>
              <w:jc w:val="left"/>
              <w:rPr>
                <w:rFonts w:cs="Arial"/>
                <w:sz w:val="18"/>
                <w:szCs w:val="18"/>
                <w:lang w:val="en-US"/>
              </w:rPr>
            </w:pPr>
            <w:r w:rsidRPr="00F058D9">
              <w:rPr>
                <w:rFonts w:cs="Arial"/>
                <w:sz w:val="18"/>
                <w:szCs w:val="18"/>
                <w:lang w:val="en-US"/>
              </w:rPr>
              <w:t xml:space="preserve">Harun, Chaudhry, Shaheen, Ullah </w:t>
            </w:r>
            <w:r w:rsidR="00BD4A34">
              <w:rPr>
                <w:rFonts w:cs="Arial"/>
                <w:sz w:val="18"/>
                <w:szCs w:val="18"/>
                <w:lang w:val="en-US"/>
              </w:rPr>
              <w:t>y</w:t>
            </w:r>
            <w:r w:rsidRPr="00F058D9">
              <w:rPr>
                <w:rFonts w:cs="Arial"/>
                <w:sz w:val="18"/>
                <w:szCs w:val="18"/>
                <w:lang w:val="en-US"/>
              </w:rPr>
              <w:t xml:space="preserve"> Khan (2017)</w:t>
            </w:r>
          </w:p>
        </w:tc>
        <w:tc>
          <w:tcPr>
            <w:tcW w:w="4061" w:type="dxa"/>
            <w:vAlign w:val="center"/>
          </w:tcPr>
          <w:p w14:paraId="23DE8227" w14:textId="39164806" w:rsidR="00DF08CB" w:rsidRPr="00D1290A" w:rsidRDefault="00DF08CB" w:rsidP="00A31E2F">
            <w:pPr>
              <w:jc w:val="left"/>
              <w:rPr>
                <w:rFonts w:cs="Arial"/>
                <w:i/>
                <w:iCs/>
                <w:sz w:val="18"/>
                <w:szCs w:val="18"/>
              </w:rPr>
            </w:pPr>
            <w:r w:rsidRPr="00D1290A">
              <w:rPr>
                <w:rFonts w:cs="Arial"/>
                <w:sz w:val="18"/>
                <w:szCs w:val="18"/>
              </w:rPr>
              <w:t>30 especies gramíneas identificadas</w:t>
            </w:r>
          </w:p>
        </w:tc>
        <w:tc>
          <w:tcPr>
            <w:tcW w:w="2894" w:type="dxa"/>
            <w:vAlign w:val="center"/>
          </w:tcPr>
          <w:p w14:paraId="2A33E424" w14:textId="26D5E33A" w:rsidR="00DF08CB" w:rsidRPr="00D1290A" w:rsidRDefault="00DF08CB" w:rsidP="00A31E2F">
            <w:pPr>
              <w:jc w:val="left"/>
              <w:rPr>
                <w:rFonts w:cs="Arial"/>
                <w:sz w:val="18"/>
                <w:szCs w:val="18"/>
              </w:rPr>
            </w:pPr>
            <w:r w:rsidRPr="00D1290A">
              <w:rPr>
                <w:rFonts w:cs="Arial"/>
                <w:sz w:val="18"/>
                <w:szCs w:val="18"/>
              </w:rPr>
              <w:t>Desarrollo de estrategias sostenible para alimentar al ganado y evaluaron los conocimientos tradicionales indígenas</w:t>
            </w:r>
          </w:p>
        </w:tc>
        <w:tc>
          <w:tcPr>
            <w:tcW w:w="1869" w:type="dxa"/>
            <w:vAlign w:val="center"/>
          </w:tcPr>
          <w:p w14:paraId="23C407FB" w14:textId="767AE1C3" w:rsidR="00DF08CB" w:rsidRPr="00D1290A" w:rsidRDefault="00DF08CB" w:rsidP="00A31E2F">
            <w:pPr>
              <w:jc w:val="left"/>
              <w:rPr>
                <w:rFonts w:cs="Arial"/>
                <w:sz w:val="18"/>
                <w:szCs w:val="18"/>
              </w:rPr>
            </w:pPr>
            <w:r w:rsidRPr="00D1290A">
              <w:rPr>
                <w:rFonts w:cs="Arial"/>
                <w:sz w:val="18"/>
                <w:szCs w:val="18"/>
              </w:rPr>
              <w:t xml:space="preserve">Ganado </w:t>
            </w:r>
          </w:p>
        </w:tc>
        <w:tc>
          <w:tcPr>
            <w:tcW w:w="1636" w:type="dxa"/>
            <w:vAlign w:val="center"/>
          </w:tcPr>
          <w:p w14:paraId="3272E5ED" w14:textId="6333F0CC" w:rsidR="00DF08CB" w:rsidRPr="00D1290A" w:rsidRDefault="00DF08CB" w:rsidP="00A31E2F">
            <w:pPr>
              <w:jc w:val="left"/>
              <w:rPr>
                <w:rFonts w:cs="Arial"/>
                <w:sz w:val="18"/>
                <w:szCs w:val="18"/>
              </w:rPr>
            </w:pPr>
            <w:r w:rsidRPr="00D1290A">
              <w:rPr>
                <w:rFonts w:cs="Arial"/>
                <w:sz w:val="18"/>
                <w:szCs w:val="18"/>
              </w:rPr>
              <w:t xml:space="preserve">Alimentación </w:t>
            </w:r>
          </w:p>
        </w:tc>
      </w:tr>
      <w:tr w:rsidR="00DF08CB" w:rsidRPr="00D1290A" w14:paraId="257EE9FD" w14:textId="77777777" w:rsidTr="00A31E2F">
        <w:tc>
          <w:tcPr>
            <w:tcW w:w="843" w:type="dxa"/>
            <w:vMerge/>
            <w:vAlign w:val="center"/>
          </w:tcPr>
          <w:p w14:paraId="0782D933" w14:textId="77777777" w:rsidR="00DF08CB" w:rsidRPr="00D1290A" w:rsidRDefault="00DF08CB" w:rsidP="00A31E2F">
            <w:pPr>
              <w:jc w:val="left"/>
              <w:rPr>
                <w:color w:val="000000"/>
                <w:sz w:val="18"/>
                <w:szCs w:val="18"/>
              </w:rPr>
            </w:pPr>
          </w:p>
        </w:tc>
        <w:tc>
          <w:tcPr>
            <w:tcW w:w="1693" w:type="dxa"/>
            <w:vAlign w:val="center"/>
          </w:tcPr>
          <w:p w14:paraId="41D31E8B" w14:textId="27C41AC0" w:rsidR="00DF08CB" w:rsidRPr="00D1290A" w:rsidRDefault="00DF08CB" w:rsidP="00A31E2F">
            <w:pPr>
              <w:jc w:val="left"/>
              <w:rPr>
                <w:rFonts w:cs="Arial"/>
                <w:sz w:val="18"/>
                <w:szCs w:val="18"/>
              </w:rPr>
            </w:pPr>
            <w:r w:rsidRPr="00D1290A">
              <w:rPr>
                <w:rFonts w:cs="Arial"/>
                <w:sz w:val="18"/>
                <w:szCs w:val="18"/>
              </w:rPr>
              <w:t>Zaman</w:t>
            </w:r>
            <w:r>
              <w:rPr>
                <w:rFonts w:cs="Arial"/>
                <w:sz w:val="18"/>
                <w:szCs w:val="18"/>
              </w:rPr>
              <w:t xml:space="preserve">, </w:t>
            </w:r>
            <w:r w:rsidRPr="00BC7236">
              <w:rPr>
                <w:rFonts w:cs="Arial"/>
                <w:sz w:val="18"/>
                <w:szCs w:val="18"/>
              </w:rPr>
              <w:t>Iqbal</w:t>
            </w:r>
            <w:r>
              <w:rPr>
                <w:rFonts w:cs="Arial"/>
                <w:sz w:val="18"/>
                <w:szCs w:val="18"/>
              </w:rPr>
              <w:t>,</w:t>
            </w:r>
            <w:r w:rsidRPr="00BC7236">
              <w:rPr>
                <w:rFonts w:cs="Arial"/>
                <w:sz w:val="18"/>
                <w:szCs w:val="18"/>
              </w:rPr>
              <w:t xml:space="preserve"> Sindhu, Abbas </w:t>
            </w:r>
            <w:r w:rsidR="00BD4A34">
              <w:rPr>
                <w:rFonts w:cs="Arial"/>
                <w:sz w:val="18"/>
                <w:szCs w:val="18"/>
              </w:rPr>
              <w:t>y</w:t>
            </w:r>
            <w:r w:rsidRPr="00BC7236">
              <w:rPr>
                <w:rFonts w:cs="Arial"/>
                <w:sz w:val="18"/>
                <w:szCs w:val="18"/>
              </w:rPr>
              <w:t xml:space="preserve"> Qamar</w:t>
            </w:r>
            <w:r w:rsidRPr="00D1290A">
              <w:rPr>
                <w:rFonts w:cs="Arial"/>
                <w:sz w:val="18"/>
                <w:szCs w:val="18"/>
              </w:rPr>
              <w:t xml:space="preserve"> (2017)</w:t>
            </w:r>
          </w:p>
        </w:tc>
        <w:tc>
          <w:tcPr>
            <w:tcW w:w="4061" w:type="dxa"/>
            <w:vAlign w:val="center"/>
          </w:tcPr>
          <w:p w14:paraId="5B4789FE" w14:textId="20C48853" w:rsidR="00DF08CB" w:rsidRPr="00D1290A" w:rsidRDefault="00DF08CB" w:rsidP="00A31E2F">
            <w:pPr>
              <w:jc w:val="left"/>
              <w:rPr>
                <w:rFonts w:cs="Arial"/>
                <w:i/>
                <w:iCs/>
                <w:sz w:val="18"/>
                <w:szCs w:val="18"/>
              </w:rPr>
            </w:pPr>
            <w:r w:rsidRPr="00D1290A">
              <w:rPr>
                <w:rFonts w:cs="Arial"/>
                <w:i/>
                <w:iCs/>
                <w:sz w:val="18"/>
                <w:szCs w:val="18"/>
              </w:rPr>
              <w:t>Acacia ssp, Ananas comosus, Azadirachta indica, Calotropis procera,Embelia ribes y Nigella sativa</w:t>
            </w:r>
          </w:p>
        </w:tc>
        <w:tc>
          <w:tcPr>
            <w:tcW w:w="2894" w:type="dxa"/>
            <w:vAlign w:val="center"/>
          </w:tcPr>
          <w:p w14:paraId="6285CAC2" w14:textId="2EAE98F7" w:rsidR="00DF08CB" w:rsidRPr="00D1290A" w:rsidRDefault="00DF08CB" w:rsidP="00A31E2F">
            <w:pPr>
              <w:jc w:val="left"/>
              <w:rPr>
                <w:rFonts w:cs="Arial"/>
                <w:sz w:val="18"/>
                <w:szCs w:val="18"/>
              </w:rPr>
            </w:pPr>
            <w:r w:rsidRPr="00D1290A">
              <w:rPr>
                <w:color w:val="000000"/>
                <w:sz w:val="18"/>
                <w:szCs w:val="18"/>
              </w:rPr>
              <w:t>Ectoparásitos (garrapatas)</w:t>
            </w:r>
          </w:p>
        </w:tc>
        <w:tc>
          <w:tcPr>
            <w:tcW w:w="1869" w:type="dxa"/>
            <w:vAlign w:val="center"/>
          </w:tcPr>
          <w:p w14:paraId="41C06D7C" w14:textId="7B2F1A23" w:rsidR="00DF08CB" w:rsidRPr="00D1290A" w:rsidRDefault="00DF08CB" w:rsidP="00A31E2F">
            <w:pPr>
              <w:jc w:val="left"/>
              <w:rPr>
                <w:rFonts w:cs="Arial"/>
                <w:sz w:val="18"/>
                <w:szCs w:val="18"/>
              </w:rPr>
            </w:pPr>
            <w:r w:rsidRPr="00D1290A">
              <w:rPr>
                <w:rFonts w:cs="Arial"/>
                <w:sz w:val="18"/>
                <w:szCs w:val="18"/>
              </w:rPr>
              <w:t xml:space="preserve">Ganado </w:t>
            </w:r>
          </w:p>
        </w:tc>
        <w:tc>
          <w:tcPr>
            <w:tcW w:w="1636" w:type="dxa"/>
            <w:vAlign w:val="center"/>
          </w:tcPr>
          <w:p w14:paraId="0E35154D" w14:textId="590AABD2" w:rsidR="00DF08CB" w:rsidRPr="00D1290A" w:rsidRDefault="00DF08CB" w:rsidP="00A31E2F">
            <w:pPr>
              <w:jc w:val="left"/>
              <w:rPr>
                <w:rFonts w:cs="Arial"/>
                <w:sz w:val="18"/>
                <w:szCs w:val="18"/>
              </w:rPr>
            </w:pPr>
            <w:r w:rsidRPr="00D1290A">
              <w:rPr>
                <w:rFonts w:cs="Arial"/>
                <w:sz w:val="18"/>
                <w:szCs w:val="18"/>
              </w:rPr>
              <w:t xml:space="preserve">Cutánea </w:t>
            </w:r>
          </w:p>
        </w:tc>
      </w:tr>
      <w:tr w:rsidR="00DF08CB" w:rsidRPr="00D1290A" w14:paraId="40C1CE42" w14:textId="77777777" w:rsidTr="00A31E2F">
        <w:tc>
          <w:tcPr>
            <w:tcW w:w="843" w:type="dxa"/>
            <w:vAlign w:val="center"/>
          </w:tcPr>
          <w:p w14:paraId="363AF8E4" w14:textId="5FC48FC5" w:rsidR="00DF08CB" w:rsidRPr="00D1290A" w:rsidRDefault="00DF08CB" w:rsidP="00A31E2F">
            <w:pPr>
              <w:jc w:val="left"/>
              <w:rPr>
                <w:color w:val="000000"/>
                <w:sz w:val="18"/>
                <w:szCs w:val="18"/>
              </w:rPr>
            </w:pPr>
            <w:r>
              <w:rPr>
                <w:color w:val="000000"/>
                <w:sz w:val="18"/>
                <w:szCs w:val="18"/>
              </w:rPr>
              <w:t>Europa</w:t>
            </w:r>
          </w:p>
        </w:tc>
        <w:tc>
          <w:tcPr>
            <w:tcW w:w="1693" w:type="dxa"/>
            <w:vAlign w:val="center"/>
          </w:tcPr>
          <w:p w14:paraId="0F6B0717" w14:textId="2942F21F" w:rsidR="00DF08CB" w:rsidRPr="00437D1F" w:rsidRDefault="00DF08CB" w:rsidP="00A31E2F">
            <w:pPr>
              <w:jc w:val="left"/>
              <w:rPr>
                <w:rFonts w:cs="Arial"/>
                <w:sz w:val="18"/>
                <w:szCs w:val="18"/>
                <w:lang w:val="en-US"/>
              </w:rPr>
            </w:pPr>
            <w:r w:rsidRPr="00437D1F">
              <w:rPr>
                <w:rFonts w:cs="Arial"/>
                <w:sz w:val="18"/>
                <w:szCs w:val="18"/>
                <w:lang w:val="en-US"/>
              </w:rPr>
              <w:t xml:space="preserve">Vogl, Vogl-Lukasser </w:t>
            </w:r>
            <w:r w:rsidR="00BD4A34" w:rsidRPr="00437D1F">
              <w:rPr>
                <w:rFonts w:cs="Arial"/>
                <w:sz w:val="18"/>
                <w:szCs w:val="18"/>
                <w:lang w:val="en-US"/>
              </w:rPr>
              <w:t>y</w:t>
            </w:r>
            <w:r w:rsidRPr="00437D1F">
              <w:rPr>
                <w:rFonts w:cs="Arial"/>
                <w:sz w:val="18"/>
                <w:szCs w:val="18"/>
                <w:lang w:val="en-US"/>
              </w:rPr>
              <w:t xml:space="preserve"> Walkenhorst (2016)</w:t>
            </w:r>
          </w:p>
        </w:tc>
        <w:tc>
          <w:tcPr>
            <w:tcW w:w="4061" w:type="dxa"/>
            <w:vAlign w:val="center"/>
          </w:tcPr>
          <w:p w14:paraId="17FBC30B" w14:textId="1A2B4F32" w:rsidR="00DF08CB" w:rsidRPr="006029E4" w:rsidRDefault="00DF08CB" w:rsidP="00A31E2F">
            <w:pPr>
              <w:jc w:val="left"/>
              <w:rPr>
                <w:rFonts w:cs="Arial"/>
                <w:i/>
                <w:iCs/>
                <w:sz w:val="18"/>
                <w:szCs w:val="18"/>
                <w:lang w:val="en-US"/>
              </w:rPr>
            </w:pPr>
            <w:r w:rsidRPr="00355B15">
              <w:rPr>
                <w:rFonts w:cs="Arial"/>
                <w:i/>
                <w:iCs/>
                <w:sz w:val="18"/>
                <w:szCs w:val="18"/>
                <w:lang w:val="en-US"/>
              </w:rPr>
              <w:t xml:space="preserve">Allium sativum, Calendula officinalis, Cannabis sativa, Geranium spp. </w:t>
            </w:r>
            <w:r w:rsidRPr="00355B15">
              <w:rPr>
                <w:rFonts w:cs="Arial"/>
                <w:sz w:val="18"/>
                <w:szCs w:val="18"/>
                <w:lang w:val="en-US"/>
              </w:rPr>
              <w:t>y</w:t>
            </w:r>
            <w:r w:rsidRPr="00355B15">
              <w:rPr>
                <w:rFonts w:cs="Arial"/>
                <w:i/>
                <w:iCs/>
                <w:sz w:val="18"/>
                <w:szCs w:val="18"/>
                <w:lang w:val="en-US"/>
              </w:rPr>
              <w:t xml:space="preserve"> Melissa officinalis</w:t>
            </w:r>
          </w:p>
        </w:tc>
        <w:tc>
          <w:tcPr>
            <w:tcW w:w="2894" w:type="dxa"/>
            <w:vAlign w:val="center"/>
          </w:tcPr>
          <w:p w14:paraId="30762DA0" w14:textId="0A89F38E" w:rsidR="00DF08CB" w:rsidRPr="00D1290A" w:rsidRDefault="00DF08CB" w:rsidP="00A31E2F">
            <w:pPr>
              <w:jc w:val="left"/>
              <w:rPr>
                <w:color w:val="000000"/>
                <w:sz w:val="18"/>
                <w:szCs w:val="18"/>
              </w:rPr>
            </w:pPr>
            <w:r w:rsidRPr="00D1290A">
              <w:rPr>
                <w:rFonts w:cs="Arial"/>
                <w:sz w:val="18"/>
                <w:szCs w:val="18"/>
              </w:rPr>
              <w:t>Originar una gestión sostenible de bienestar, agricultura orgánica y salud animal pues se considera importante para el consumidor</w:t>
            </w:r>
          </w:p>
        </w:tc>
        <w:tc>
          <w:tcPr>
            <w:tcW w:w="1869" w:type="dxa"/>
            <w:vAlign w:val="center"/>
          </w:tcPr>
          <w:p w14:paraId="40C1288B" w14:textId="69513F83" w:rsidR="00DF08CB" w:rsidRPr="00D1290A" w:rsidRDefault="00DF08CB" w:rsidP="00A31E2F">
            <w:pPr>
              <w:jc w:val="left"/>
              <w:rPr>
                <w:rFonts w:cs="Arial"/>
                <w:sz w:val="18"/>
                <w:szCs w:val="18"/>
              </w:rPr>
            </w:pPr>
            <w:r w:rsidRPr="00D1290A">
              <w:rPr>
                <w:rFonts w:cs="Arial"/>
                <w:sz w:val="18"/>
                <w:szCs w:val="18"/>
              </w:rPr>
              <w:t>-</w:t>
            </w:r>
          </w:p>
        </w:tc>
        <w:tc>
          <w:tcPr>
            <w:tcW w:w="1636" w:type="dxa"/>
            <w:vAlign w:val="center"/>
          </w:tcPr>
          <w:p w14:paraId="4D3D3908" w14:textId="6F270D06" w:rsidR="00DF08CB" w:rsidRPr="00D1290A" w:rsidRDefault="006029E4" w:rsidP="00A31E2F">
            <w:pPr>
              <w:jc w:val="left"/>
              <w:rPr>
                <w:rFonts w:cs="Arial"/>
                <w:sz w:val="18"/>
                <w:szCs w:val="18"/>
              </w:rPr>
            </w:pPr>
            <w:r>
              <w:rPr>
                <w:rFonts w:cs="Arial"/>
                <w:sz w:val="18"/>
                <w:szCs w:val="18"/>
              </w:rPr>
              <w:t xml:space="preserve">Alimentación </w:t>
            </w:r>
          </w:p>
        </w:tc>
      </w:tr>
    </w:tbl>
    <w:p w14:paraId="21BCAD0D" w14:textId="77777777" w:rsidR="000C0A3B" w:rsidRDefault="000C0A3B" w:rsidP="004C34CE">
      <w:pPr>
        <w:pStyle w:val="Sinespaciado"/>
      </w:pPr>
    </w:p>
    <w:p w14:paraId="7B5FD13C" w14:textId="77777777" w:rsidR="000C0A3B" w:rsidRDefault="000C0A3B" w:rsidP="004C34CE">
      <w:pPr>
        <w:pStyle w:val="Sinespaciado"/>
      </w:pPr>
    </w:p>
    <w:p w14:paraId="6E940D65" w14:textId="77777777" w:rsidR="002F6DD4" w:rsidRDefault="002F6DD4" w:rsidP="004C34CE">
      <w:pPr>
        <w:pStyle w:val="Sinespaciado"/>
      </w:pPr>
    </w:p>
    <w:p w14:paraId="0D9D1CCC" w14:textId="477BAC76" w:rsidR="004C34CE" w:rsidRPr="004C34CE" w:rsidRDefault="004C34CE" w:rsidP="004C34CE">
      <w:pPr>
        <w:pStyle w:val="Sinespaciado"/>
      </w:pPr>
      <w:r>
        <w:lastRenderedPageBreak/>
        <w:t>Continuación Tabla 1. Aplicación de la etnoveterinaria en el mundo.</w:t>
      </w:r>
    </w:p>
    <w:tbl>
      <w:tblPr>
        <w:tblStyle w:val="Tablaconcuadrcula"/>
        <w:tblW w:w="0" w:type="auto"/>
        <w:tblLook w:val="04A0" w:firstRow="1" w:lastRow="0" w:firstColumn="1" w:lastColumn="0" w:noHBand="0" w:noVBand="1"/>
      </w:tblPr>
      <w:tblGrid>
        <w:gridCol w:w="843"/>
        <w:gridCol w:w="1693"/>
        <w:gridCol w:w="4061"/>
        <w:gridCol w:w="2894"/>
        <w:gridCol w:w="1869"/>
        <w:gridCol w:w="1636"/>
      </w:tblGrid>
      <w:tr w:rsidR="00DF08CB" w:rsidRPr="00D1290A" w14:paraId="7C70E152" w14:textId="77777777" w:rsidTr="00A31E2F">
        <w:tc>
          <w:tcPr>
            <w:tcW w:w="843" w:type="dxa"/>
            <w:vAlign w:val="center"/>
          </w:tcPr>
          <w:p w14:paraId="411965C8" w14:textId="738170EC" w:rsidR="00DF08CB" w:rsidRPr="00D1290A" w:rsidRDefault="00DF08CB" w:rsidP="00A31E2F">
            <w:pPr>
              <w:jc w:val="left"/>
              <w:rPr>
                <w:color w:val="000000"/>
                <w:sz w:val="18"/>
                <w:szCs w:val="18"/>
              </w:rPr>
            </w:pPr>
            <w:r>
              <w:rPr>
                <w:rFonts w:cs="Arial"/>
                <w:b/>
                <w:bCs/>
                <w:sz w:val="18"/>
                <w:szCs w:val="18"/>
              </w:rPr>
              <w:t>País</w:t>
            </w:r>
          </w:p>
        </w:tc>
        <w:tc>
          <w:tcPr>
            <w:tcW w:w="1693" w:type="dxa"/>
            <w:vAlign w:val="center"/>
          </w:tcPr>
          <w:p w14:paraId="0662849F" w14:textId="47D6095E" w:rsidR="00DF08CB" w:rsidRPr="00D1290A" w:rsidRDefault="00DF08CB" w:rsidP="00A31E2F">
            <w:pPr>
              <w:jc w:val="left"/>
              <w:rPr>
                <w:rFonts w:cs="Arial"/>
                <w:sz w:val="18"/>
                <w:szCs w:val="18"/>
              </w:rPr>
            </w:pPr>
            <w:r w:rsidRPr="00D1290A">
              <w:rPr>
                <w:rFonts w:cs="Arial"/>
                <w:b/>
                <w:bCs/>
                <w:sz w:val="18"/>
                <w:szCs w:val="18"/>
              </w:rPr>
              <w:t>Autor(es) y año</w:t>
            </w:r>
          </w:p>
        </w:tc>
        <w:tc>
          <w:tcPr>
            <w:tcW w:w="4061" w:type="dxa"/>
            <w:vAlign w:val="center"/>
          </w:tcPr>
          <w:p w14:paraId="0C868EDF" w14:textId="793229E5" w:rsidR="00DF08CB" w:rsidRPr="00355B15" w:rsidRDefault="00DF08CB" w:rsidP="00A31E2F">
            <w:pPr>
              <w:jc w:val="left"/>
              <w:rPr>
                <w:rFonts w:cs="Arial"/>
                <w:i/>
                <w:iCs/>
                <w:sz w:val="18"/>
                <w:szCs w:val="18"/>
                <w:lang w:val="en-US"/>
              </w:rPr>
            </w:pPr>
            <w:r w:rsidRPr="00D1290A">
              <w:rPr>
                <w:rFonts w:cs="Arial"/>
                <w:b/>
                <w:bCs/>
                <w:sz w:val="18"/>
                <w:szCs w:val="18"/>
              </w:rPr>
              <w:t xml:space="preserve">Plantas medicinales </w:t>
            </w:r>
          </w:p>
        </w:tc>
        <w:tc>
          <w:tcPr>
            <w:tcW w:w="2894" w:type="dxa"/>
            <w:vAlign w:val="center"/>
          </w:tcPr>
          <w:p w14:paraId="2123C2F3" w14:textId="147E32BA" w:rsidR="00DF08CB" w:rsidRPr="00D1290A" w:rsidRDefault="00DF08CB" w:rsidP="00A31E2F">
            <w:pPr>
              <w:jc w:val="left"/>
              <w:rPr>
                <w:rFonts w:cs="Arial"/>
                <w:sz w:val="18"/>
                <w:szCs w:val="18"/>
              </w:rPr>
            </w:pPr>
            <w:r w:rsidRPr="00D1290A">
              <w:rPr>
                <w:rFonts w:cs="Arial"/>
                <w:b/>
                <w:bCs/>
                <w:sz w:val="18"/>
                <w:szCs w:val="18"/>
              </w:rPr>
              <w:t>Campo de acción</w:t>
            </w:r>
          </w:p>
        </w:tc>
        <w:tc>
          <w:tcPr>
            <w:tcW w:w="1869" w:type="dxa"/>
            <w:vAlign w:val="center"/>
          </w:tcPr>
          <w:p w14:paraId="73FAB81F" w14:textId="486CB8DA" w:rsidR="00DF08CB" w:rsidRPr="00D1290A" w:rsidRDefault="00DF08CB" w:rsidP="00A31E2F">
            <w:pPr>
              <w:jc w:val="left"/>
              <w:rPr>
                <w:rFonts w:cs="Arial"/>
                <w:sz w:val="18"/>
                <w:szCs w:val="18"/>
              </w:rPr>
            </w:pPr>
            <w:r w:rsidRPr="00D1290A">
              <w:rPr>
                <w:rFonts w:cs="Arial"/>
                <w:b/>
                <w:bCs/>
                <w:sz w:val="18"/>
                <w:szCs w:val="18"/>
              </w:rPr>
              <w:t>Especies veterinarias</w:t>
            </w:r>
          </w:p>
        </w:tc>
        <w:tc>
          <w:tcPr>
            <w:tcW w:w="1636" w:type="dxa"/>
            <w:vAlign w:val="center"/>
          </w:tcPr>
          <w:p w14:paraId="747660EA" w14:textId="0DFC4E47" w:rsidR="00DF08CB" w:rsidRPr="00D1290A" w:rsidRDefault="00DF08CB" w:rsidP="00A31E2F">
            <w:pPr>
              <w:jc w:val="left"/>
              <w:rPr>
                <w:rFonts w:cs="Arial"/>
                <w:sz w:val="18"/>
                <w:szCs w:val="18"/>
              </w:rPr>
            </w:pPr>
            <w:r w:rsidRPr="00A87471">
              <w:rPr>
                <w:rFonts w:cs="Arial"/>
                <w:b/>
                <w:bCs/>
                <w:sz w:val="18"/>
                <w:szCs w:val="18"/>
              </w:rPr>
              <w:t xml:space="preserve">Vía de aplicación </w:t>
            </w:r>
          </w:p>
        </w:tc>
      </w:tr>
      <w:tr w:rsidR="009B01BE" w:rsidRPr="00D1290A" w14:paraId="7EED0358" w14:textId="77777777" w:rsidTr="00A31E2F">
        <w:tc>
          <w:tcPr>
            <w:tcW w:w="843" w:type="dxa"/>
            <w:vMerge w:val="restart"/>
            <w:vAlign w:val="center"/>
          </w:tcPr>
          <w:p w14:paraId="3468CEBF" w14:textId="146CF06C" w:rsidR="009B01BE" w:rsidRPr="00D1290A" w:rsidRDefault="009B01BE" w:rsidP="00A31E2F">
            <w:pPr>
              <w:jc w:val="left"/>
              <w:rPr>
                <w:color w:val="000000"/>
                <w:sz w:val="18"/>
                <w:szCs w:val="18"/>
              </w:rPr>
            </w:pPr>
            <w:r>
              <w:rPr>
                <w:color w:val="000000"/>
                <w:sz w:val="18"/>
                <w:szCs w:val="18"/>
              </w:rPr>
              <w:t>Europa</w:t>
            </w:r>
          </w:p>
        </w:tc>
        <w:tc>
          <w:tcPr>
            <w:tcW w:w="1693" w:type="dxa"/>
            <w:vAlign w:val="center"/>
          </w:tcPr>
          <w:p w14:paraId="33D03F7E" w14:textId="6A063334" w:rsidR="009B01BE" w:rsidRPr="00D1290A" w:rsidRDefault="009B01BE" w:rsidP="00A31E2F">
            <w:pPr>
              <w:jc w:val="left"/>
              <w:rPr>
                <w:rFonts w:cs="Arial"/>
                <w:sz w:val="18"/>
                <w:szCs w:val="18"/>
              </w:rPr>
            </w:pPr>
            <w:r w:rsidRPr="00D1290A">
              <w:rPr>
                <w:rFonts w:cs="Arial"/>
                <w:sz w:val="18"/>
                <w:szCs w:val="18"/>
              </w:rPr>
              <w:t xml:space="preserve">Ayrle </w:t>
            </w:r>
            <w:r w:rsidRPr="00295CC0">
              <w:rPr>
                <w:rFonts w:cs="Arial"/>
                <w:i/>
                <w:iCs/>
                <w:sz w:val="18"/>
                <w:szCs w:val="18"/>
              </w:rPr>
              <w:t>et al.</w:t>
            </w:r>
            <w:r w:rsidRPr="00D1290A">
              <w:rPr>
                <w:rFonts w:cs="Arial"/>
                <w:sz w:val="18"/>
                <w:szCs w:val="18"/>
              </w:rPr>
              <w:t xml:space="preserve"> (2016)</w:t>
            </w:r>
          </w:p>
        </w:tc>
        <w:tc>
          <w:tcPr>
            <w:tcW w:w="4061" w:type="dxa"/>
            <w:vAlign w:val="center"/>
          </w:tcPr>
          <w:p w14:paraId="572090E6" w14:textId="236D5F18" w:rsidR="009B01BE" w:rsidRPr="00D1290A" w:rsidRDefault="009B01BE" w:rsidP="00A31E2F">
            <w:pPr>
              <w:jc w:val="left"/>
              <w:rPr>
                <w:rFonts w:cs="Arial"/>
                <w:i/>
                <w:iCs/>
                <w:sz w:val="18"/>
                <w:szCs w:val="18"/>
              </w:rPr>
            </w:pPr>
            <w:r w:rsidRPr="00D1290A">
              <w:rPr>
                <w:rFonts w:cs="Arial"/>
                <w:i/>
                <w:iCs/>
                <w:sz w:val="18"/>
                <w:szCs w:val="18"/>
              </w:rPr>
              <w:t>Echinacea purpurea, Thymus vulgaris, Althea officinalis, Origanum vulgare y Glycyrrhiza glabra</w:t>
            </w:r>
          </w:p>
        </w:tc>
        <w:tc>
          <w:tcPr>
            <w:tcW w:w="2894" w:type="dxa"/>
            <w:vAlign w:val="center"/>
          </w:tcPr>
          <w:p w14:paraId="1763B660" w14:textId="35E5F329" w:rsidR="009B01BE" w:rsidRPr="00D1290A" w:rsidRDefault="009B01BE" w:rsidP="00A31E2F">
            <w:pPr>
              <w:jc w:val="left"/>
              <w:rPr>
                <w:color w:val="000000"/>
                <w:sz w:val="18"/>
                <w:szCs w:val="18"/>
              </w:rPr>
            </w:pPr>
            <w:r w:rsidRPr="00D1290A">
              <w:rPr>
                <w:rFonts w:cs="Arial"/>
                <w:sz w:val="18"/>
                <w:szCs w:val="18"/>
              </w:rPr>
              <w:t>Enfermedades gastrointestinales y respiratorias, modulación del sistema inmune e inflamación</w:t>
            </w:r>
          </w:p>
        </w:tc>
        <w:tc>
          <w:tcPr>
            <w:tcW w:w="1869" w:type="dxa"/>
            <w:vAlign w:val="center"/>
          </w:tcPr>
          <w:p w14:paraId="67584D26" w14:textId="51AE44C2" w:rsidR="009B01BE" w:rsidRPr="00D1290A" w:rsidRDefault="009B01BE" w:rsidP="00A31E2F">
            <w:pPr>
              <w:jc w:val="left"/>
              <w:rPr>
                <w:rFonts w:cs="Arial"/>
                <w:sz w:val="18"/>
                <w:szCs w:val="18"/>
              </w:rPr>
            </w:pPr>
            <w:r w:rsidRPr="00D1290A">
              <w:rPr>
                <w:rFonts w:cs="Arial"/>
                <w:sz w:val="18"/>
                <w:szCs w:val="18"/>
              </w:rPr>
              <w:t>Lechones y terneros</w:t>
            </w:r>
          </w:p>
        </w:tc>
        <w:tc>
          <w:tcPr>
            <w:tcW w:w="1636" w:type="dxa"/>
            <w:vAlign w:val="center"/>
          </w:tcPr>
          <w:p w14:paraId="4194A78F" w14:textId="2590B0A7" w:rsidR="009B01BE" w:rsidRPr="00D1290A" w:rsidRDefault="009B01BE" w:rsidP="00A31E2F">
            <w:pPr>
              <w:jc w:val="left"/>
              <w:rPr>
                <w:rFonts w:cs="Arial"/>
                <w:sz w:val="18"/>
                <w:szCs w:val="18"/>
              </w:rPr>
            </w:pPr>
            <w:r w:rsidRPr="00D1290A">
              <w:rPr>
                <w:rFonts w:cs="Arial"/>
                <w:sz w:val="18"/>
                <w:szCs w:val="18"/>
              </w:rPr>
              <w:t>-</w:t>
            </w:r>
          </w:p>
        </w:tc>
      </w:tr>
      <w:tr w:rsidR="009B01BE" w:rsidRPr="00D1290A" w14:paraId="74C3C4E2" w14:textId="77777777" w:rsidTr="00A31E2F">
        <w:tc>
          <w:tcPr>
            <w:tcW w:w="843" w:type="dxa"/>
            <w:vMerge/>
            <w:vAlign w:val="center"/>
          </w:tcPr>
          <w:p w14:paraId="1B205746" w14:textId="77777777" w:rsidR="009B01BE" w:rsidRPr="00D1290A" w:rsidRDefault="009B01BE" w:rsidP="00A31E2F">
            <w:pPr>
              <w:jc w:val="left"/>
              <w:rPr>
                <w:color w:val="000000"/>
                <w:sz w:val="18"/>
                <w:szCs w:val="18"/>
              </w:rPr>
            </w:pPr>
          </w:p>
        </w:tc>
        <w:tc>
          <w:tcPr>
            <w:tcW w:w="1693" w:type="dxa"/>
            <w:vAlign w:val="center"/>
          </w:tcPr>
          <w:p w14:paraId="42C0CA42" w14:textId="084F55D9" w:rsidR="009B01BE" w:rsidRPr="00D1290A" w:rsidRDefault="009B01BE" w:rsidP="00A31E2F">
            <w:pPr>
              <w:jc w:val="left"/>
              <w:rPr>
                <w:rFonts w:cs="Arial"/>
                <w:sz w:val="18"/>
                <w:szCs w:val="18"/>
              </w:rPr>
            </w:pPr>
            <w:r w:rsidRPr="00D1290A">
              <w:rPr>
                <w:rFonts w:cs="Arial"/>
                <w:sz w:val="18"/>
                <w:szCs w:val="18"/>
              </w:rPr>
              <w:t>Bartha</w:t>
            </w:r>
            <w:r>
              <w:rPr>
                <w:rFonts w:cs="Arial"/>
                <w:sz w:val="18"/>
                <w:szCs w:val="18"/>
              </w:rPr>
              <w:t xml:space="preserve">, </w:t>
            </w:r>
            <w:r w:rsidRPr="00684938">
              <w:rPr>
                <w:rFonts w:cs="Arial"/>
                <w:sz w:val="18"/>
                <w:szCs w:val="18"/>
              </w:rPr>
              <w:t>Quave, Balogh</w:t>
            </w:r>
            <w:r>
              <w:rPr>
                <w:rFonts w:cs="Arial"/>
                <w:sz w:val="18"/>
                <w:szCs w:val="18"/>
              </w:rPr>
              <w:t xml:space="preserve"> </w:t>
            </w:r>
            <w:r w:rsidR="00BD4A34">
              <w:rPr>
                <w:rFonts w:cs="Arial"/>
                <w:sz w:val="18"/>
                <w:szCs w:val="18"/>
              </w:rPr>
              <w:t>y</w:t>
            </w:r>
            <w:r w:rsidRPr="00684938">
              <w:rPr>
                <w:rFonts w:cs="Arial"/>
                <w:sz w:val="18"/>
                <w:szCs w:val="18"/>
              </w:rPr>
              <w:t xml:space="preserve"> Papp</w:t>
            </w:r>
            <w:r w:rsidRPr="00D1290A">
              <w:rPr>
                <w:rFonts w:cs="Arial"/>
                <w:sz w:val="18"/>
                <w:szCs w:val="18"/>
              </w:rPr>
              <w:t xml:space="preserve"> (2015)</w:t>
            </w:r>
          </w:p>
        </w:tc>
        <w:tc>
          <w:tcPr>
            <w:tcW w:w="4061" w:type="dxa"/>
            <w:vAlign w:val="center"/>
          </w:tcPr>
          <w:p w14:paraId="791C17CC" w14:textId="342365A3" w:rsidR="009B01BE" w:rsidRPr="00D1290A" w:rsidRDefault="009B01BE" w:rsidP="00A31E2F">
            <w:pPr>
              <w:jc w:val="left"/>
              <w:rPr>
                <w:rFonts w:cs="Arial"/>
                <w:i/>
                <w:iCs/>
                <w:sz w:val="18"/>
                <w:szCs w:val="18"/>
              </w:rPr>
            </w:pPr>
            <w:r w:rsidRPr="00D1290A">
              <w:rPr>
                <w:rFonts w:cs="Arial"/>
                <w:i/>
                <w:iCs/>
                <w:sz w:val="18"/>
                <w:szCs w:val="18"/>
              </w:rPr>
              <w:t>Aristolochia clematitis, Cucurbita pepo, Petroselinum crispum, Quercus robur y Veratrum álbum</w:t>
            </w:r>
          </w:p>
        </w:tc>
        <w:tc>
          <w:tcPr>
            <w:tcW w:w="2894" w:type="dxa"/>
            <w:vAlign w:val="center"/>
          </w:tcPr>
          <w:p w14:paraId="45C9D46F" w14:textId="4CFEF163" w:rsidR="009B01BE" w:rsidRPr="00D1290A" w:rsidRDefault="009B01BE" w:rsidP="00A31E2F">
            <w:pPr>
              <w:jc w:val="left"/>
              <w:rPr>
                <w:color w:val="000000"/>
                <w:sz w:val="18"/>
                <w:szCs w:val="18"/>
              </w:rPr>
            </w:pPr>
            <w:r w:rsidRPr="00D1290A">
              <w:rPr>
                <w:rFonts w:cs="Arial"/>
                <w:sz w:val="18"/>
                <w:szCs w:val="18"/>
              </w:rPr>
              <w:t>Tratamiento de dolencias (diarrea, lesiones cutáneas, dolor de estómago y desordenes respiratorios)</w:t>
            </w:r>
          </w:p>
        </w:tc>
        <w:tc>
          <w:tcPr>
            <w:tcW w:w="1869" w:type="dxa"/>
            <w:vAlign w:val="center"/>
          </w:tcPr>
          <w:p w14:paraId="6AE792BE" w14:textId="6B7F2E44" w:rsidR="009B01BE" w:rsidRPr="00D1290A" w:rsidRDefault="009B01BE" w:rsidP="00A31E2F">
            <w:pPr>
              <w:jc w:val="left"/>
              <w:rPr>
                <w:rFonts w:cs="Arial"/>
                <w:sz w:val="18"/>
                <w:szCs w:val="18"/>
              </w:rPr>
            </w:pPr>
            <w:r w:rsidRPr="00D1290A">
              <w:rPr>
                <w:rFonts w:cs="Arial"/>
                <w:sz w:val="18"/>
                <w:szCs w:val="18"/>
              </w:rPr>
              <w:t>Animales de granja (ganado, cerdos, caballos, borregos)</w:t>
            </w:r>
          </w:p>
        </w:tc>
        <w:tc>
          <w:tcPr>
            <w:tcW w:w="1636" w:type="dxa"/>
            <w:vAlign w:val="center"/>
          </w:tcPr>
          <w:p w14:paraId="50F57CDB" w14:textId="091ED59A" w:rsidR="009B01BE" w:rsidRPr="00D1290A" w:rsidRDefault="009B01BE" w:rsidP="00A31E2F">
            <w:pPr>
              <w:jc w:val="left"/>
              <w:rPr>
                <w:rFonts w:cs="Arial"/>
                <w:sz w:val="18"/>
                <w:szCs w:val="18"/>
              </w:rPr>
            </w:pPr>
            <w:r w:rsidRPr="00D1290A">
              <w:rPr>
                <w:rFonts w:cs="Arial"/>
                <w:sz w:val="18"/>
                <w:szCs w:val="18"/>
              </w:rPr>
              <w:t>-</w:t>
            </w:r>
          </w:p>
        </w:tc>
      </w:tr>
      <w:tr w:rsidR="009B01BE" w:rsidRPr="00D1290A" w14:paraId="27888AE1" w14:textId="77777777" w:rsidTr="00A31E2F">
        <w:tc>
          <w:tcPr>
            <w:tcW w:w="843" w:type="dxa"/>
            <w:vMerge/>
            <w:vAlign w:val="center"/>
          </w:tcPr>
          <w:p w14:paraId="10D75BF1" w14:textId="77777777" w:rsidR="009B01BE" w:rsidRPr="00D1290A" w:rsidRDefault="009B01BE" w:rsidP="00A31E2F">
            <w:pPr>
              <w:jc w:val="left"/>
              <w:rPr>
                <w:color w:val="000000"/>
                <w:sz w:val="18"/>
                <w:szCs w:val="18"/>
              </w:rPr>
            </w:pPr>
          </w:p>
        </w:tc>
        <w:tc>
          <w:tcPr>
            <w:tcW w:w="1693" w:type="dxa"/>
            <w:vAlign w:val="center"/>
          </w:tcPr>
          <w:p w14:paraId="30EEE6EC" w14:textId="0AE74369" w:rsidR="009B01BE" w:rsidRPr="00D1290A" w:rsidRDefault="009B01BE" w:rsidP="00A31E2F">
            <w:pPr>
              <w:jc w:val="left"/>
              <w:rPr>
                <w:rFonts w:cs="Arial"/>
                <w:sz w:val="18"/>
                <w:szCs w:val="18"/>
              </w:rPr>
            </w:pPr>
            <w:r w:rsidRPr="00D1290A">
              <w:rPr>
                <w:rFonts w:cs="Arial"/>
                <w:sz w:val="18"/>
                <w:szCs w:val="18"/>
              </w:rPr>
              <w:t xml:space="preserve">Mayer </w:t>
            </w:r>
            <w:r w:rsidRPr="00684938">
              <w:rPr>
                <w:rFonts w:cs="Arial"/>
                <w:i/>
                <w:iCs/>
                <w:sz w:val="18"/>
                <w:szCs w:val="18"/>
              </w:rPr>
              <w:t>et al</w:t>
            </w:r>
            <w:r w:rsidRPr="00D1290A">
              <w:rPr>
                <w:rFonts w:cs="Arial"/>
                <w:sz w:val="18"/>
                <w:szCs w:val="18"/>
              </w:rPr>
              <w:t>. (2017)</w:t>
            </w:r>
          </w:p>
        </w:tc>
        <w:tc>
          <w:tcPr>
            <w:tcW w:w="4061" w:type="dxa"/>
            <w:vAlign w:val="center"/>
          </w:tcPr>
          <w:p w14:paraId="581DB251" w14:textId="30CCDBE8" w:rsidR="009B01BE" w:rsidRPr="00D1290A" w:rsidRDefault="009B01BE" w:rsidP="00A31E2F">
            <w:pPr>
              <w:jc w:val="left"/>
              <w:rPr>
                <w:rFonts w:cs="Arial"/>
                <w:i/>
                <w:iCs/>
                <w:sz w:val="18"/>
                <w:szCs w:val="18"/>
              </w:rPr>
            </w:pPr>
            <w:r w:rsidRPr="00D1290A">
              <w:rPr>
                <w:rFonts w:cs="Arial"/>
                <w:i/>
                <w:iCs/>
                <w:sz w:val="18"/>
                <w:szCs w:val="18"/>
              </w:rPr>
              <w:t>Arnica montana, Linum usitatissimum, Urtica dioica, Oryza sativa, Hypericum perforatum</w:t>
            </w:r>
            <w:r w:rsidRPr="00D1290A">
              <w:rPr>
                <w:rFonts w:cs="Arial"/>
                <w:sz w:val="18"/>
                <w:szCs w:val="18"/>
              </w:rPr>
              <w:t>, por mencionar algunas</w:t>
            </w:r>
          </w:p>
        </w:tc>
        <w:tc>
          <w:tcPr>
            <w:tcW w:w="2894" w:type="dxa"/>
            <w:vAlign w:val="center"/>
          </w:tcPr>
          <w:p w14:paraId="064EAB51" w14:textId="3E1D263A" w:rsidR="009B01BE" w:rsidRPr="00D1290A" w:rsidRDefault="009B01BE" w:rsidP="00A31E2F">
            <w:pPr>
              <w:jc w:val="left"/>
              <w:rPr>
                <w:rFonts w:cs="Arial"/>
                <w:sz w:val="18"/>
                <w:szCs w:val="18"/>
              </w:rPr>
            </w:pPr>
            <w:r w:rsidRPr="00D1290A">
              <w:rPr>
                <w:rFonts w:cs="Arial"/>
                <w:sz w:val="18"/>
                <w:szCs w:val="18"/>
              </w:rPr>
              <w:t>Tratamiento sostenible para el ganado</w:t>
            </w:r>
          </w:p>
        </w:tc>
        <w:tc>
          <w:tcPr>
            <w:tcW w:w="1869" w:type="dxa"/>
            <w:vAlign w:val="center"/>
          </w:tcPr>
          <w:p w14:paraId="130EE665" w14:textId="7F505BD4" w:rsidR="009B01BE" w:rsidRPr="00D1290A" w:rsidRDefault="009B01BE" w:rsidP="00A31E2F">
            <w:pPr>
              <w:jc w:val="left"/>
              <w:rPr>
                <w:rFonts w:cs="Arial"/>
                <w:sz w:val="18"/>
                <w:szCs w:val="18"/>
              </w:rPr>
            </w:pPr>
            <w:r w:rsidRPr="00D1290A">
              <w:rPr>
                <w:rFonts w:cs="Arial"/>
                <w:sz w:val="18"/>
                <w:szCs w:val="18"/>
              </w:rPr>
              <w:t xml:space="preserve">Ganado </w:t>
            </w:r>
          </w:p>
        </w:tc>
        <w:tc>
          <w:tcPr>
            <w:tcW w:w="1636" w:type="dxa"/>
            <w:vAlign w:val="center"/>
          </w:tcPr>
          <w:p w14:paraId="3DA96B5C" w14:textId="10FC4C46" w:rsidR="009B01BE" w:rsidRPr="00D1290A" w:rsidRDefault="005F2279" w:rsidP="00A31E2F">
            <w:pPr>
              <w:jc w:val="left"/>
              <w:rPr>
                <w:rFonts w:cs="Arial"/>
                <w:sz w:val="18"/>
                <w:szCs w:val="18"/>
              </w:rPr>
            </w:pPr>
            <w:r>
              <w:rPr>
                <w:rFonts w:cs="Arial"/>
                <w:sz w:val="18"/>
                <w:szCs w:val="18"/>
              </w:rPr>
              <w:t>-</w:t>
            </w:r>
          </w:p>
        </w:tc>
      </w:tr>
      <w:tr w:rsidR="009B01BE" w:rsidRPr="00D1290A" w14:paraId="24503C40" w14:textId="77777777" w:rsidTr="00A31E2F">
        <w:tc>
          <w:tcPr>
            <w:tcW w:w="843" w:type="dxa"/>
            <w:vMerge/>
            <w:vAlign w:val="center"/>
          </w:tcPr>
          <w:p w14:paraId="1BD4093B" w14:textId="77777777" w:rsidR="009B01BE" w:rsidRPr="00D1290A" w:rsidRDefault="009B01BE" w:rsidP="00A31E2F">
            <w:pPr>
              <w:jc w:val="left"/>
              <w:rPr>
                <w:color w:val="000000"/>
                <w:sz w:val="18"/>
                <w:szCs w:val="18"/>
              </w:rPr>
            </w:pPr>
          </w:p>
        </w:tc>
        <w:tc>
          <w:tcPr>
            <w:tcW w:w="1693" w:type="dxa"/>
            <w:vAlign w:val="center"/>
          </w:tcPr>
          <w:p w14:paraId="3072E9E9" w14:textId="669D1D5A" w:rsidR="009B01BE" w:rsidRPr="00D1290A" w:rsidRDefault="009B01BE" w:rsidP="00A31E2F">
            <w:pPr>
              <w:jc w:val="left"/>
              <w:rPr>
                <w:rFonts w:cs="Arial"/>
                <w:sz w:val="18"/>
                <w:szCs w:val="18"/>
              </w:rPr>
            </w:pPr>
            <w:r w:rsidRPr="00D1290A">
              <w:rPr>
                <w:rFonts w:cs="Arial"/>
                <w:sz w:val="18"/>
                <w:szCs w:val="18"/>
              </w:rPr>
              <w:t>Pieroni</w:t>
            </w:r>
            <w:r>
              <w:rPr>
                <w:rFonts w:cs="Arial"/>
                <w:sz w:val="18"/>
                <w:szCs w:val="18"/>
              </w:rPr>
              <w:t xml:space="preserve">, </w:t>
            </w:r>
            <w:r w:rsidRPr="00684938">
              <w:rPr>
                <w:rFonts w:cs="Arial"/>
                <w:sz w:val="18"/>
                <w:szCs w:val="18"/>
              </w:rPr>
              <w:t>Ibraliu, Abbasi</w:t>
            </w:r>
            <w:r>
              <w:rPr>
                <w:rFonts w:cs="Arial"/>
                <w:sz w:val="18"/>
                <w:szCs w:val="18"/>
              </w:rPr>
              <w:t xml:space="preserve"> </w:t>
            </w:r>
            <w:r w:rsidR="00BD4A34">
              <w:rPr>
                <w:rFonts w:cs="Arial"/>
                <w:sz w:val="18"/>
                <w:szCs w:val="18"/>
              </w:rPr>
              <w:t>y</w:t>
            </w:r>
            <w:r w:rsidRPr="00684938">
              <w:rPr>
                <w:rFonts w:cs="Arial"/>
                <w:sz w:val="18"/>
                <w:szCs w:val="18"/>
              </w:rPr>
              <w:t xml:space="preserve"> Papajani-Toska</w:t>
            </w:r>
            <w:r w:rsidRPr="00D1290A">
              <w:rPr>
                <w:rFonts w:cs="Arial"/>
                <w:sz w:val="18"/>
                <w:szCs w:val="18"/>
              </w:rPr>
              <w:t xml:space="preserve"> (2015)</w:t>
            </w:r>
          </w:p>
        </w:tc>
        <w:tc>
          <w:tcPr>
            <w:tcW w:w="4061" w:type="dxa"/>
            <w:vAlign w:val="center"/>
          </w:tcPr>
          <w:p w14:paraId="43846271" w14:textId="298D417C" w:rsidR="009B01BE" w:rsidRPr="005F2279" w:rsidRDefault="009B01BE" w:rsidP="00A31E2F">
            <w:pPr>
              <w:jc w:val="left"/>
              <w:rPr>
                <w:rFonts w:cs="Arial"/>
                <w:i/>
                <w:iCs/>
                <w:sz w:val="18"/>
                <w:szCs w:val="18"/>
                <w:lang w:val="en-US"/>
              </w:rPr>
            </w:pPr>
            <w:r w:rsidRPr="00355B15">
              <w:rPr>
                <w:rFonts w:cs="Arial"/>
                <w:i/>
                <w:iCs/>
                <w:sz w:val="18"/>
                <w:szCs w:val="18"/>
                <w:lang w:val="en-US"/>
              </w:rPr>
              <w:t>Chenopodium, Rumex spp. y Ilex aquifolium</w:t>
            </w:r>
          </w:p>
        </w:tc>
        <w:tc>
          <w:tcPr>
            <w:tcW w:w="2894" w:type="dxa"/>
            <w:vAlign w:val="center"/>
          </w:tcPr>
          <w:p w14:paraId="48C157E0" w14:textId="2B15E9CC" w:rsidR="009B01BE" w:rsidRPr="00D1290A" w:rsidRDefault="009B01BE" w:rsidP="00A31E2F">
            <w:pPr>
              <w:jc w:val="left"/>
              <w:rPr>
                <w:rFonts w:cs="Arial"/>
                <w:sz w:val="18"/>
                <w:szCs w:val="18"/>
              </w:rPr>
            </w:pPr>
            <w:r w:rsidRPr="00D1290A">
              <w:rPr>
                <w:rFonts w:cs="Arial"/>
                <w:sz w:val="18"/>
                <w:szCs w:val="18"/>
              </w:rPr>
              <w:t>Como remedio para tos y helmeintiasis</w:t>
            </w:r>
          </w:p>
        </w:tc>
        <w:tc>
          <w:tcPr>
            <w:tcW w:w="1869" w:type="dxa"/>
            <w:vAlign w:val="center"/>
          </w:tcPr>
          <w:p w14:paraId="3C550983" w14:textId="02B6EFFC" w:rsidR="009B01BE" w:rsidRPr="00D1290A" w:rsidRDefault="009B01BE" w:rsidP="00A31E2F">
            <w:pPr>
              <w:jc w:val="left"/>
              <w:rPr>
                <w:rFonts w:cs="Arial"/>
                <w:sz w:val="18"/>
                <w:szCs w:val="18"/>
              </w:rPr>
            </w:pPr>
            <w:r w:rsidRPr="00D1290A">
              <w:rPr>
                <w:rFonts w:cs="Arial"/>
                <w:sz w:val="18"/>
                <w:szCs w:val="18"/>
              </w:rPr>
              <w:t>Datos de referencia para gestión comunitaria de los recursos naturales locales y desarrollo de mercados en pequeña escala</w:t>
            </w:r>
          </w:p>
        </w:tc>
        <w:tc>
          <w:tcPr>
            <w:tcW w:w="1636" w:type="dxa"/>
            <w:vAlign w:val="center"/>
          </w:tcPr>
          <w:p w14:paraId="255AB7F7" w14:textId="3F2144DA" w:rsidR="009B01BE" w:rsidRPr="00D1290A" w:rsidRDefault="009B01BE" w:rsidP="00A31E2F">
            <w:pPr>
              <w:jc w:val="left"/>
              <w:rPr>
                <w:rFonts w:cs="Arial"/>
                <w:sz w:val="18"/>
                <w:szCs w:val="18"/>
              </w:rPr>
            </w:pPr>
            <w:r w:rsidRPr="00D1290A">
              <w:rPr>
                <w:rFonts w:cs="Arial"/>
                <w:sz w:val="18"/>
                <w:szCs w:val="18"/>
              </w:rPr>
              <w:t>-</w:t>
            </w:r>
          </w:p>
        </w:tc>
      </w:tr>
      <w:tr w:rsidR="009B01BE" w:rsidRPr="00D1290A" w14:paraId="622158EC" w14:textId="77777777" w:rsidTr="00A31E2F">
        <w:tc>
          <w:tcPr>
            <w:tcW w:w="843" w:type="dxa"/>
            <w:vMerge/>
            <w:vAlign w:val="center"/>
          </w:tcPr>
          <w:p w14:paraId="632F7553" w14:textId="77777777" w:rsidR="009B01BE" w:rsidRPr="00D1290A" w:rsidRDefault="009B01BE" w:rsidP="00A31E2F">
            <w:pPr>
              <w:jc w:val="left"/>
              <w:rPr>
                <w:color w:val="000000"/>
                <w:sz w:val="18"/>
                <w:szCs w:val="18"/>
              </w:rPr>
            </w:pPr>
          </w:p>
        </w:tc>
        <w:tc>
          <w:tcPr>
            <w:tcW w:w="1693" w:type="dxa"/>
            <w:vAlign w:val="center"/>
          </w:tcPr>
          <w:p w14:paraId="2EB4E584" w14:textId="2DB17F8F" w:rsidR="009B01BE" w:rsidRPr="00D1290A" w:rsidRDefault="009B01BE" w:rsidP="00A31E2F">
            <w:pPr>
              <w:jc w:val="left"/>
              <w:rPr>
                <w:rFonts w:cs="Arial"/>
                <w:sz w:val="18"/>
                <w:szCs w:val="18"/>
              </w:rPr>
            </w:pPr>
            <w:r w:rsidRPr="00D1290A">
              <w:rPr>
                <w:rFonts w:cs="Arial"/>
                <w:sz w:val="18"/>
                <w:szCs w:val="18"/>
              </w:rPr>
              <w:t>Moya y Escudero (2015)</w:t>
            </w:r>
            <w:r>
              <w:rPr>
                <w:rFonts w:cs="Arial"/>
                <w:sz w:val="18"/>
                <w:szCs w:val="18"/>
              </w:rPr>
              <w:t xml:space="preserve"> </w:t>
            </w:r>
          </w:p>
        </w:tc>
        <w:tc>
          <w:tcPr>
            <w:tcW w:w="4061" w:type="dxa"/>
            <w:vAlign w:val="center"/>
          </w:tcPr>
          <w:p w14:paraId="6CD5D629" w14:textId="39608CEA" w:rsidR="009B01BE" w:rsidRPr="00355B15" w:rsidRDefault="009B01BE" w:rsidP="00A31E2F">
            <w:pPr>
              <w:jc w:val="left"/>
              <w:rPr>
                <w:rFonts w:cs="Arial"/>
                <w:i/>
                <w:iCs/>
                <w:sz w:val="18"/>
                <w:szCs w:val="18"/>
                <w:lang w:val="en-US"/>
              </w:rPr>
            </w:pPr>
            <w:r w:rsidRPr="00355B15">
              <w:rPr>
                <w:rFonts w:cs="Arial"/>
                <w:i/>
                <w:iCs/>
                <w:sz w:val="18"/>
                <w:szCs w:val="18"/>
                <w:lang w:val="en-US"/>
              </w:rPr>
              <w:t xml:space="preserve">Allium sativum </w:t>
            </w:r>
            <w:r w:rsidRPr="00355B15">
              <w:rPr>
                <w:rFonts w:cs="Arial"/>
                <w:sz w:val="18"/>
                <w:szCs w:val="18"/>
                <w:lang w:val="en-US"/>
              </w:rPr>
              <w:t>L.,</w:t>
            </w:r>
            <w:r w:rsidRPr="00355B15">
              <w:rPr>
                <w:rFonts w:cs="Arial"/>
                <w:i/>
                <w:iCs/>
                <w:sz w:val="18"/>
                <w:szCs w:val="18"/>
                <w:lang w:val="en-US"/>
              </w:rPr>
              <w:t xml:space="preserve"> Artemisia absinthium L. y Chenopodium ambrosioides</w:t>
            </w:r>
          </w:p>
        </w:tc>
        <w:tc>
          <w:tcPr>
            <w:tcW w:w="2894" w:type="dxa"/>
            <w:vAlign w:val="center"/>
          </w:tcPr>
          <w:p w14:paraId="6285E199" w14:textId="480ABC22" w:rsidR="009B01BE" w:rsidRPr="00D1290A" w:rsidRDefault="009B01BE" w:rsidP="00A31E2F">
            <w:pPr>
              <w:jc w:val="left"/>
              <w:rPr>
                <w:rFonts w:cs="Arial"/>
                <w:sz w:val="18"/>
                <w:szCs w:val="18"/>
              </w:rPr>
            </w:pPr>
            <w:r w:rsidRPr="00D1290A">
              <w:rPr>
                <w:rFonts w:cs="Arial"/>
                <w:sz w:val="18"/>
                <w:szCs w:val="18"/>
              </w:rPr>
              <w:t xml:space="preserve">Endoparasitosis </w:t>
            </w:r>
          </w:p>
        </w:tc>
        <w:tc>
          <w:tcPr>
            <w:tcW w:w="1869" w:type="dxa"/>
            <w:vAlign w:val="center"/>
          </w:tcPr>
          <w:p w14:paraId="452C8A6A" w14:textId="5EE036FF" w:rsidR="009B01BE" w:rsidRPr="00D1290A" w:rsidRDefault="009B01BE" w:rsidP="00A31E2F">
            <w:pPr>
              <w:jc w:val="left"/>
              <w:rPr>
                <w:rFonts w:cs="Arial"/>
                <w:sz w:val="18"/>
                <w:szCs w:val="18"/>
              </w:rPr>
            </w:pPr>
            <w:r w:rsidRPr="00D1290A">
              <w:rPr>
                <w:rFonts w:cs="Arial"/>
                <w:sz w:val="18"/>
                <w:szCs w:val="18"/>
              </w:rPr>
              <w:t>Ganado caprino</w:t>
            </w:r>
          </w:p>
        </w:tc>
        <w:tc>
          <w:tcPr>
            <w:tcW w:w="1636" w:type="dxa"/>
            <w:vAlign w:val="center"/>
          </w:tcPr>
          <w:p w14:paraId="58C6EA8F" w14:textId="5AAABBE3" w:rsidR="009B01BE" w:rsidRPr="00D1290A" w:rsidRDefault="009B01BE" w:rsidP="00A31E2F">
            <w:pPr>
              <w:jc w:val="left"/>
              <w:rPr>
                <w:rFonts w:cs="Arial"/>
                <w:sz w:val="18"/>
                <w:szCs w:val="18"/>
              </w:rPr>
            </w:pPr>
            <w:r w:rsidRPr="00D1290A">
              <w:rPr>
                <w:rFonts w:cs="Arial"/>
                <w:sz w:val="18"/>
                <w:szCs w:val="18"/>
              </w:rPr>
              <w:t>-</w:t>
            </w:r>
          </w:p>
        </w:tc>
      </w:tr>
      <w:tr w:rsidR="009B01BE" w:rsidRPr="00D1290A" w14:paraId="4E4B4217" w14:textId="77777777" w:rsidTr="00A31E2F">
        <w:tc>
          <w:tcPr>
            <w:tcW w:w="843" w:type="dxa"/>
            <w:vMerge/>
            <w:vAlign w:val="center"/>
          </w:tcPr>
          <w:p w14:paraId="41985DF5" w14:textId="77777777" w:rsidR="009B01BE" w:rsidRPr="00D1290A" w:rsidRDefault="009B01BE" w:rsidP="00A31E2F">
            <w:pPr>
              <w:jc w:val="left"/>
              <w:rPr>
                <w:color w:val="000000"/>
                <w:sz w:val="18"/>
                <w:szCs w:val="18"/>
              </w:rPr>
            </w:pPr>
          </w:p>
        </w:tc>
        <w:tc>
          <w:tcPr>
            <w:tcW w:w="1693" w:type="dxa"/>
            <w:vAlign w:val="center"/>
          </w:tcPr>
          <w:p w14:paraId="0D59568D" w14:textId="23A9370C" w:rsidR="009B01BE" w:rsidRPr="00D1290A" w:rsidRDefault="009B01BE" w:rsidP="00A31E2F">
            <w:pPr>
              <w:jc w:val="left"/>
              <w:rPr>
                <w:rFonts w:cs="Arial"/>
                <w:sz w:val="18"/>
                <w:szCs w:val="18"/>
              </w:rPr>
            </w:pPr>
            <w:r w:rsidRPr="00D1290A">
              <w:rPr>
                <w:rFonts w:cs="Arial"/>
                <w:sz w:val="18"/>
                <w:szCs w:val="18"/>
              </w:rPr>
              <w:t>Bartl y Pérez (2015</w:t>
            </w:r>
            <w:r w:rsidR="0004532E">
              <w:rPr>
                <w:rFonts w:cs="Arial"/>
                <w:sz w:val="18"/>
                <w:szCs w:val="18"/>
              </w:rPr>
              <w:t>)</w:t>
            </w:r>
          </w:p>
        </w:tc>
        <w:tc>
          <w:tcPr>
            <w:tcW w:w="4061" w:type="dxa"/>
            <w:vAlign w:val="center"/>
          </w:tcPr>
          <w:p w14:paraId="375A0AD5" w14:textId="32E9A718" w:rsidR="009B01BE" w:rsidRPr="005F2279" w:rsidRDefault="009B01BE" w:rsidP="00A31E2F">
            <w:pPr>
              <w:jc w:val="left"/>
              <w:rPr>
                <w:rFonts w:cs="Arial"/>
                <w:i/>
                <w:iCs/>
                <w:sz w:val="18"/>
                <w:szCs w:val="18"/>
                <w:lang w:val="es-ES"/>
              </w:rPr>
            </w:pPr>
            <w:r w:rsidRPr="00D1290A">
              <w:rPr>
                <w:rFonts w:cs="Arial"/>
                <w:i/>
                <w:iCs/>
                <w:sz w:val="18"/>
                <w:szCs w:val="18"/>
              </w:rPr>
              <w:t>Aloe vera</w:t>
            </w:r>
            <w:r w:rsidRPr="00D1290A">
              <w:rPr>
                <w:rFonts w:cs="Arial"/>
                <w:sz w:val="18"/>
                <w:szCs w:val="18"/>
              </w:rPr>
              <w:t xml:space="preserve"> como antiséptico, lesiones dérmicas e irritación, </w:t>
            </w:r>
            <w:r w:rsidRPr="00D1290A">
              <w:rPr>
                <w:rFonts w:cs="Arial"/>
                <w:i/>
                <w:iCs/>
                <w:sz w:val="18"/>
                <w:szCs w:val="18"/>
              </w:rPr>
              <w:t>Camelia sinesis</w:t>
            </w:r>
            <w:r w:rsidRPr="00D1290A">
              <w:rPr>
                <w:rFonts w:cs="Arial"/>
                <w:sz w:val="18"/>
                <w:szCs w:val="18"/>
              </w:rPr>
              <w:t xml:space="preserve"> en conjuntivitis, </w:t>
            </w:r>
            <w:r w:rsidRPr="00D1290A">
              <w:rPr>
                <w:rFonts w:cs="Arial"/>
                <w:i/>
                <w:iCs/>
                <w:sz w:val="18"/>
                <w:szCs w:val="18"/>
              </w:rPr>
              <w:t>Zea mayz</w:t>
            </w:r>
            <w:r w:rsidRPr="00D1290A">
              <w:rPr>
                <w:rFonts w:cs="Arial"/>
                <w:sz w:val="18"/>
                <w:szCs w:val="18"/>
              </w:rPr>
              <w:t xml:space="preserve"> para moquillo y piedritas en gatos, </w:t>
            </w:r>
            <w:r w:rsidRPr="00D1290A">
              <w:rPr>
                <w:rFonts w:cs="Arial"/>
                <w:i/>
                <w:iCs/>
                <w:sz w:val="18"/>
                <w:szCs w:val="18"/>
              </w:rPr>
              <w:t>Pasiflora caerulea</w:t>
            </w:r>
            <w:r w:rsidRPr="00D1290A">
              <w:rPr>
                <w:rFonts w:cs="Arial"/>
                <w:sz w:val="18"/>
                <w:szCs w:val="18"/>
              </w:rPr>
              <w:t xml:space="preserve"> como tranquilizante</w:t>
            </w:r>
          </w:p>
        </w:tc>
        <w:tc>
          <w:tcPr>
            <w:tcW w:w="2894" w:type="dxa"/>
            <w:vAlign w:val="center"/>
          </w:tcPr>
          <w:p w14:paraId="145E5C48" w14:textId="48BC0847" w:rsidR="009B01BE" w:rsidRPr="00D1290A" w:rsidRDefault="009B01BE" w:rsidP="00A31E2F">
            <w:pPr>
              <w:jc w:val="left"/>
              <w:rPr>
                <w:rFonts w:cs="Arial"/>
                <w:sz w:val="18"/>
                <w:szCs w:val="18"/>
              </w:rPr>
            </w:pPr>
            <w:r w:rsidRPr="00D1290A">
              <w:rPr>
                <w:rFonts w:cs="Arial"/>
                <w:sz w:val="18"/>
                <w:szCs w:val="18"/>
              </w:rPr>
              <w:t>Contrastación entre los saberes del medio urbano con el conocimiento tradicional/no tradicional y científico/local</w:t>
            </w:r>
          </w:p>
        </w:tc>
        <w:tc>
          <w:tcPr>
            <w:tcW w:w="1869" w:type="dxa"/>
            <w:vAlign w:val="center"/>
          </w:tcPr>
          <w:p w14:paraId="0306F3E7" w14:textId="70966D59" w:rsidR="009B01BE" w:rsidRPr="00D1290A" w:rsidRDefault="009B01BE" w:rsidP="00A31E2F">
            <w:pPr>
              <w:jc w:val="left"/>
              <w:rPr>
                <w:rFonts w:cs="Arial"/>
                <w:sz w:val="18"/>
                <w:szCs w:val="18"/>
              </w:rPr>
            </w:pPr>
            <w:r w:rsidRPr="00D1290A">
              <w:rPr>
                <w:rFonts w:cs="Arial"/>
                <w:sz w:val="18"/>
                <w:szCs w:val="18"/>
              </w:rPr>
              <w:t xml:space="preserve">Animales domésticos </w:t>
            </w:r>
          </w:p>
        </w:tc>
        <w:tc>
          <w:tcPr>
            <w:tcW w:w="1636" w:type="dxa"/>
            <w:vAlign w:val="center"/>
          </w:tcPr>
          <w:p w14:paraId="3CC78BCE" w14:textId="55EDDC34" w:rsidR="009B01BE" w:rsidRPr="00D1290A" w:rsidRDefault="009B01BE" w:rsidP="00A31E2F">
            <w:pPr>
              <w:jc w:val="left"/>
              <w:rPr>
                <w:rFonts w:cs="Arial"/>
                <w:sz w:val="18"/>
                <w:szCs w:val="18"/>
              </w:rPr>
            </w:pPr>
            <w:r w:rsidRPr="00D1290A">
              <w:rPr>
                <w:rFonts w:cs="Arial"/>
                <w:sz w:val="18"/>
                <w:szCs w:val="18"/>
              </w:rPr>
              <w:t>Vía oral y cutánea</w:t>
            </w:r>
          </w:p>
        </w:tc>
      </w:tr>
      <w:tr w:rsidR="009B01BE" w:rsidRPr="00D1290A" w14:paraId="2C226786" w14:textId="77777777" w:rsidTr="00A31E2F">
        <w:tc>
          <w:tcPr>
            <w:tcW w:w="843" w:type="dxa"/>
            <w:vMerge/>
            <w:vAlign w:val="center"/>
          </w:tcPr>
          <w:p w14:paraId="1357D7D7" w14:textId="77777777" w:rsidR="009B01BE" w:rsidRPr="00D1290A" w:rsidRDefault="009B01BE" w:rsidP="00A31E2F">
            <w:pPr>
              <w:jc w:val="left"/>
              <w:rPr>
                <w:color w:val="000000"/>
                <w:sz w:val="18"/>
                <w:szCs w:val="18"/>
              </w:rPr>
            </w:pPr>
          </w:p>
        </w:tc>
        <w:tc>
          <w:tcPr>
            <w:tcW w:w="1693" w:type="dxa"/>
            <w:vAlign w:val="center"/>
          </w:tcPr>
          <w:p w14:paraId="2C000203" w14:textId="347BF663" w:rsidR="009B01BE" w:rsidRPr="00D1290A" w:rsidRDefault="009B01BE" w:rsidP="00A31E2F">
            <w:pPr>
              <w:jc w:val="left"/>
              <w:rPr>
                <w:rFonts w:cs="Arial"/>
                <w:sz w:val="18"/>
                <w:szCs w:val="18"/>
              </w:rPr>
            </w:pPr>
            <w:r w:rsidRPr="00D1290A">
              <w:rPr>
                <w:rFonts w:cs="Arial"/>
                <w:sz w:val="18"/>
                <w:szCs w:val="18"/>
              </w:rPr>
              <w:t>Parra</w:t>
            </w:r>
            <w:r>
              <w:rPr>
                <w:rFonts w:cs="Arial"/>
                <w:sz w:val="18"/>
                <w:szCs w:val="18"/>
              </w:rPr>
              <w:t xml:space="preserve">, </w:t>
            </w:r>
            <w:r w:rsidRPr="00F15D3D">
              <w:rPr>
                <w:rFonts w:cs="Arial"/>
                <w:sz w:val="18"/>
                <w:szCs w:val="18"/>
              </w:rPr>
              <w:t>Valenzuela, Soto</w:t>
            </w:r>
            <w:r>
              <w:rPr>
                <w:rFonts w:cs="Arial"/>
                <w:sz w:val="18"/>
                <w:szCs w:val="18"/>
              </w:rPr>
              <w:t xml:space="preserve"> </w:t>
            </w:r>
            <w:r w:rsidR="001C0167">
              <w:rPr>
                <w:rFonts w:cs="Arial"/>
                <w:sz w:val="18"/>
                <w:szCs w:val="18"/>
              </w:rPr>
              <w:t>y</w:t>
            </w:r>
            <w:r w:rsidRPr="00F15D3D">
              <w:rPr>
                <w:rFonts w:cs="Arial"/>
                <w:sz w:val="18"/>
                <w:szCs w:val="18"/>
              </w:rPr>
              <w:t xml:space="preserve"> Modak</w:t>
            </w:r>
            <w:r w:rsidRPr="00D1290A">
              <w:rPr>
                <w:rFonts w:cs="Arial"/>
                <w:sz w:val="18"/>
                <w:szCs w:val="18"/>
              </w:rPr>
              <w:t xml:space="preserve"> (2016)</w:t>
            </w:r>
          </w:p>
        </w:tc>
        <w:tc>
          <w:tcPr>
            <w:tcW w:w="4061" w:type="dxa"/>
            <w:vAlign w:val="center"/>
          </w:tcPr>
          <w:p w14:paraId="1759FBB1" w14:textId="38C0EC85" w:rsidR="009B01BE" w:rsidRPr="00355B15" w:rsidRDefault="009B01BE" w:rsidP="00A31E2F">
            <w:pPr>
              <w:jc w:val="left"/>
              <w:rPr>
                <w:rFonts w:cs="Arial"/>
                <w:i/>
                <w:iCs/>
                <w:sz w:val="18"/>
                <w:szCs w:val="18"/>
                <w:lang w:val="en-US"/>
              </w:rPr>
            </w:pPr>
            <w:r w:rsidRPr="00D1290A">
              <w:rPr>
                <w:rFonts w:cs="Arial"/>
                <w:sz w:val="18"/>
                <w:szCs w:val="18"/>
              </w:rPr>
              <w:t xml:space="preserve">Especie </w:t>
            </w:r>
            <w:r w:rsidRPr="00D1290A">
              <w:rPr>
                <w:rFonts w:cs="Arial"/>
                <w:i/>
                <w:iCs/>
                <w:sz w:val="18"/>
                <w:szCs w:val="18"/>
              </w:rPr>
              <w:t>Heliotropium</w:t>
            </w:r>
          </w:p>
        </w:tc>
        <w:tc>
          <w:tcPr>
            <w:tcW w:w="2894" w:type="dxa"/>
            <w:vAlign w:val="center"/>
          </w:tcPr>
          <w:p w14:paraId="72197D87" w14:textId="5C3E86DA" w:rsidR="009B01BE" w:rsidRPr="00D1290A" w:rsidRDefault="009B01BE" w:rsidP="00A31E2F">
            <w:pPr>
              <w:jc w:val="left"/>
              <w:rPr>
                <w:rFonts w:cs="Arial"/>
                <w:sz w:val="18"/>
                <w:szCs w:val="18"/>
              </w:rPr>
            </w:pPr>
            <w:r w:rsidRPr="00D1290A">
              <w:rPr>
                <w:rFonts w:cs="Arial"/>
                <w:sz w:val="18"/>
                <w:szCs w:val="18"/>
              </w:rPr>
              <w:t xml:space="preserve">Agonista de bacterias patógenas, tales como: </w:t>
            </w:r>
            <w:r w:rsidRPr="00D1290A">
              <w:rPr>
                <w:rFonts w:cs="Arial"/>
                <w:i/>
                <w:iCs/>
                <w:sz w:val="18"/>
                <w:szCs w:val="18"/>
              </w:rPr>
              <w:t>Escherichia coli, Bacillus subtilis y Bacillus cereus</w:t>
            </w:r>
          </w:p>
        </w:tc>
        <w:tc>
          <w:tcPr>
            <w:tcW w:w="1869" w:type="dxa"/>
            <w:vAlign w:val="center"/>
          </w:tcPr>
          <w:p w14:paraId="56F1A824" w14:textId="65C83F8C" w:rsidR="009B01BE" w:rsidRPr="00D1290A" w:rsidRDefault="009B01BE" w:rsidP="00A31E2F">
            <w:pPr>
              <w:jc w:val="left"/>
              <w:rPr>
                <w:rFonts w:cs="Arial"/>
                <w:sz w:val="18"/>
                <w:szCs w:val="18"/>
              </w:rPr>
            </w:pPr>
            <w:r w:rsidRPr="00D1290A">
              <w:rPr>
                <w:rFonts w:cs="Arial"/>
                <w:sz w:val="18"/>
                <w:szCs w:val="18"/>
              </w:rPr>
              <w:t>-</w:t>
            </w:r>
          </w:p>
        </w:tc>
        <w:tc>
          <w:tcPr>
            <w:tcW w:w="1636" w:type="dxa"/>
            <w:vAlign w:val="center"/>
          </w:tcPr>
          <w:p w14:paraId="0FCC4FE9" w14:textId="4E3ABC58" w:rsidR="009B01BE" w:rsidRPr="00D1290A" w:rsidRDefault="009B01BE" w:rsidP="00A31E2F">
            <w:pPr>
              <w:jc w:val="left"/>
              <w:rPr>
                <w:rFonts w:cs="Arial"/>
                <w:sz w:val="18"/>
                <w:szCs w:val="18"/>
              </w:rPr>
            </w:pPr>
            <w:r w:rsidRPr="00D1290A">
              <w:rPr>
                <w:rFonts w:cs="Arial"/>
                <w:sz w:val="18"/>
                <w:szCs w:val="18"/>
              </w:rPr>
              <w:t>-</w:t>
            </w:r>
          </w:p>
        </w:tc>
      </w:tr>
      <w:tr w:rsidR="009B01BE" w:rsidRPr="00D1290A" w14:paraId="090825C7" w14:textId="77777777" w:rsidTr="00A31E2F">
        <w:tc>
          <w:tcPr>
            <w:tcW w:w="843" w:type="dxa"/>
            <w:vMerge/>
            <w:vAlign w:val="center"/>
          </w:tcPr>
          <w:p w14:paraId="7AA104D4" w14:textId="77777777" w:rsidR="009B01BE" w:rsidRPr="00D1290A" w:rsidRDefault="009B01BE" w:rsidP="00A31E2F">
            <w:pPr>
              <w:jc w:val="left"/>
              <w:rPr>
                <w:color w:val="000000"/>
                <w:sz w:val="18"/>
                <w:szCs w:val="18"/>
              </w:rPr>
            </w:pPr>
          </w:p>
        </w:tc>
        <w:tc>
          <w:tcPr>
            <w:tcW w:w="1693" w:type="dxa"/>
            <w:vAlign w:val="center"/>
          </w:tcPr>
          <w:p w14:paraId="0E432537" w14:textId="3E5857AE" w:rsidR="009B01BE" w:rsidRPr="00D1290A" w:rsidRDefault="009B01BE" w:rsidP="00A31E2F">
            <w:pPr>
              <w:jc w:val="left"/>
              <w:rPr>
                <w:rFonts w:cs="Arial"/>
                <w:sz w:val="18"/>
                <w:szCs w:val="18"/>
              </w:rPr>
            </w:pPr>
            <w:r w:rsidRPr="00D1290A">
              <w:rPr>
                <w:rFonts w:cs="Arial"/>
                <w:sz w:val="18"/>
                <w:szCs w:val="18"/>
              </w:rPr>
              <w:t xml:space="preserve">Martínez </w:t>
            </w:r>
            <w:r>
              <w:rPr>
                <w:rFonts w:cs="Arial"/>
                <w:sz w:val="18"/>
                <w:szCs w:val="18"/>
              </w:rPr>
              <w:t xml:space="preserve">y </w:t>
            </w:r>
            <w:r w:rsidRPr="00F15D3D">
              <w:rPr>
                <w:rFonts w:cs="Arial"/>
                <w:sz w:val="18"/>
                <w:szCs w:val="18"/>
              </w:rPr>
              <w:t>Jiménez-Escobar</w:t>
            </w:r>
            <w:r w:rsidRPr="00D1290A">
              <w:rPr>
                <w:rFonts w:cs="Arial"/>
                <w:sz w:val="18"/>
                <w:szCs w:val="18"/>
              </w:rPr>
              <w:t xml:space="preserve"> (2017)</w:t>
            </w:r>
          </w:p>
        </w:tc>
        <w:tc>
          <w:tcPr>
            <w:tcW w:w="4061" w:type="dxa"/>
            <w:vAlign w:val="center"/>
          </w:tcPr>
          <w:p w14:paraId="40F76D8C" w14:textId="5E2894A3" w:rsidR="009B01BE" w:rsidRPr="005F2279" w:rsidRDefault="009B01BE" w:rsidP="00A31E2F">
            <w:pPr>
              <w:jc w:val="left"/>
              <w:rPr>
                <w:rFonts w:cs="Arial"/>
                <w:i/>
                <w:iCs/>
                <w:sz w:val="18"/>
                <w:szCs w:val="18"/>
                <w:lang w:val="es-ES"/>
              </w:rPr>
            </w:pPr>
            <w:r w:rsidRPr="00D1290A">
              <w:rPr>
                <w:rFonts w:cs="Arial"/>
                <w:i/>
                <w:iCs/>
                <w:sz w:val="18"/>
                <w:szCs w:val="18"/>
              </w:rPr>
              <w:t>Acasia aroma, Agave americana, Baccharis coridofolia, Clematis montevidensis, Curcubita spp., Sorghum halepense y Spaeralcea bonariensis</w:t>
            </w:r>
          </w:p>
        </w:tc>
        <w:tc>
          <w:tcPr>
            <w:tcW w:w="2894" w:type="dxa"/>
            <w:vAlign w:val="center"/>
          </w:tcPr>
          <w:p w14:paraId="6F326108" w14:textId="55DB16AB" w:rsidR="009B01BE" w:rsidRPr="00D1290A" w:rsidRDefault="009B01BE" w:rsidP="00A31E2F">
            <w:pPr>
              <w:jc w:val="left"/>
              <w:rPr>
                <w:rFonts w:cs="Arial"/>
                <w:sz w:val="18"/>
                <w:szCs w:val="18"/>
              </w:rPr>
            </w:pPr>
            <w:r w:rsidRPr="00D1290A">
              <w:rPr>
                <w:rFonts w:cs="Arial"/>
                <w:sz w:val="18"/>
                <w:szCs w:val="18"/>
              </w:rPr>
              <w:t>Cicatrizantes, digestivas, antiparasitarias y oxitócicas</w:t>
            </w:r>
          </w:p>
        </w:tc>
        <w:tc>
          <w:tcPr>
            <w:tcW w:w="1869" w:type="dxa"/>
            <w:vAlign w:val="center"/>
          </w:tcPr>
          <w:p w14:paraId="7AC1738D" w14:textId="510175B6" w:rsidR="009B01BE" w:rsidRPr="00D1290A" w:rsidRDefault="009B01BE" w:rsidP="00A31E2F">
            <w:pPr>
              <w:jc w:val="left"/>
              <w:rPr>
                <w:rFonts w:cs="Arial"/>
                <w:sz w:val="18"/>
                <w:szCs w:val="18"/>
              </w:rPr>
            </w:pPr>
            <w:r w:rsidRPr="00D1290A">
              <w:rPr>
                <w:rFonts w:cs="Arial"/>
                <w:sz w:val="18"/>
                <w:szCs w:val="18"/>
              </w:rPr>
              <w:t>-</w:t>
            </w:r>
          </w:p>
        </w:tc>
        <w:tc>
          <w:tcPr>
            <w:tcW w:w="1636" w:type="dxa"/>
            <w:vAlign w:val="center"/>
          </w:tcPr>
          <w:p w14:paraId="6A7AEDF8" w14:textId="400DADEB" w:rsidR="009B01BE" w:rsidRPr="00D1290A" w:rsidRDefault="009B01BE" w:rsidP="00A31E2F">
            <w:pPr>
              <w:jc w:val="left"/>
              <w:rPr>
                <w:rFonts w:cs="Arial"/>
                <w:sz w:val="18"/>
                <w:szCs w:val="18"/>
              </w:rPr>
            </w:pPr>
            <w:r w:rsidRPr="00D1290A">
              <w:rPr>
                <w:rFonts w:cs="Arial"/>
                <w:sz w:val="18"/>
                <w:szCs w:val="18"/>
              </w:rPr>
              <w:t>-</w:t>
            </w:r>
          </w:p>
        </w:tc>
      </w:tr>
      <w:tr w:rsidR="009B01BE" w:rsidRPr="00D1290A" w14:paraId="7ACF803B" w14:textId="77777777" w:rsidTr="00A31E2F">
        <w:tc>
          <w:tcPr>
            <w:tcW w:w="843" w:type="dxa"/>
            <w:vMerge/>
            <w:vAlign w:val="center"/>
          </w:tcPr>
          <w:p w14:paraId="2C6D6397" w14:textId="77777777" w:rsidR="009B01BE" w:rsidRPr="00D1290A" w:rsidRDefault="009B01BE" w:rsidP="00A31E2F">
            <w:pPr>
              <w:jc w:val="left"/>
              <w:rPr>
                <w:color w:val="000000"/>
                <w:sz w:val="18"/>
                <w:szCs w:val="18"/>
              </w:rPr>
            </w:pPr>
          </w:p>
        </w:tc>
        <w:tc>
          <w:tcPr>
            <w:tcW w:w="1693" w:type="dxa"/>
            <w:vAlign w:val="center"/>
          </w:tcPr>
          <w:p w14:paraId="7B927224" w14:textId="12A81500" w:rsidR="009B01BE" w:rsidRPr="00D1290A" w:rsidRDefault="009B01BE" w:rsidP="00A31E2F">
            <w:pPr>
              <w:jc w:val="left"/>
              <w:rPr>
                <w:rFonts w:cs="Arial"/>
                <w:sz w:val="18"/>
                <w:szCs w:val="18"/>
              </w:rPr>
            </w:pPr>
            <w:r w:rsidRPr="00D1290A">
              <w:rPr>
                <w:rFonts w:cs="Arial"/>
                <w:sz w:val="18"/>
                <w:szCs w:val="18"/>
              </w:rPr>
              <w:t>Mesa</w:t>
            </w:r>
            <w:r>
              <w:rPr>
                <w:rFonts w:cs="Arial"/>
                <w:sz w:val="18"/>
                <w:szCs w:val="18"/>
              </w:rPr>
              <w:t xml:space="preserve">, </w:t>
            </w:r>
            <w:r w:rsidRPr="00F15D3D">
              <w:rPr>
                <w:rFonts w:cs="Arial"/>
                <w:sz w:val="18"/>
                <w:szCs w:val="18"/>
              </w:rPr>
              <w:t>Naranjo, Diez,</w:t>
            </w:r>
            <w:r>
              <w:rPr>
                <w:rFonts w:cs="Arial"/>
                <w:sz w:val="18"/>
                <w:szCs w:val="18"/>
              </w:rPr>
              <w:t xml:space="preserve"> </w:t>
            </w:r>
            <w:r w:rsidRPr="00F15D3D">
              <w:rPr>
                <w:rFonts w:cs="Arial"/>
                <w:sz w:val="18"/>
                <w:szCs w:val="18"/>
              </w:rPr>
              <w:t>Ocampo</w:t>
            </w:r>
            <w:r>
              <w:rPr>
                <w:rFonts w:cs="Arial"/>
                <w:sz w:val="18"/>
                <w:szCs w:val="18"/>
              </w:rPr>
              <w:t xml:space="preserve"> </w:t>
            </w:r>
            <w:r w:rsidR="001C0167">
              <w:rPr>
                <w:rFonts w:cs="Arial"/>
                <w:sz w:val="18"/>
                <w:szCs w:val="18"/>
              </w:rPr>
              <w:t>y</w:t>
            </w:r>
            <w:r w:rsidRPr="00F15D3D">
              <w:rPr>
                <w:rFonts w:cs="Arial"/>
                <w:sz w:val="18"/>
                <w:szCs w:val="18"/>
              </w:rPr>
              <w:t xml:space="preserve"> Monsalve</w:t>
            </w:r>
            <w:r w:rsidRPr="00D1290A">
              <w:rPr>
                <w:rFonts w:cs="Arial"/>
                <w:sz w:val="18"/>
                <w:szCs w:val="18"/>
              </w:rPr>
              <w:t xml:space="preserve"> (2017)</w:t>
            </w:r>
          </w:p>
        </w:tc>
        <w:tc>
          <w:tcPr>
            <w:tcW w:w="4061" w:type="dxa"/>
            <w:vAlign w:val="center"/>
          </w:tcPr>
          <w:p w14:paraId="3C31CA8F" w14:textId="15BD5D53" w:rsidR="009B01BE" w:rsidRPr="00355B15" w:rsidRDefault="009B01BE" w:rsidP="00A31E2F">
            <w:pPr>
              <w:jc w:val="left"/>
              <w:rPr>
                <w:rFonts w:cs="Arial"/>
                <w:i/>
                <w:iCs/>
                <w:sz w:val="18"/>
                <w:szCs w:val="18"/>
                <w:lang w:val="en-US"/>
              </w:rPr>
            </w:pPr>
            <w:r w:rsidRPr="00D1290A">
              <w:rPr>
                <w:rFonts w:cs="Arial"/>
                <w:i/>
                <w:iCs/>
                <w:sz w:val="18"/>
                <w:szCs w:val="18"/>
              </w:rPr>
              <w:t>Ambrosia peruviana</w:t>
            </w:r>
          </w:p>
        </w:tc>
        <w:tc>
          <w:tcPr>
            <w:tcW w:w="2894" w:type="dxa"/>
            <w:vAlign w:val="center"/>
          </w:tcPr>
          <w:p w14:paraId="5D34B6F9" w14:textId="1CB1FB77" w:rsidR="009B01BE" w:rsidRPr="00D1290A" w:rsidRDefault="009B01BE" w:rsidP="00A31E2F">
            <w:pPr>
              <w:jc w:val="left"/>
              <w:rPr>
                <w:rFonts w:cs="Arial"/>
                <w:sz w:val="18"/>
                <w:szCs w:val="18"/>
              </w:rPr>
            </w:pPr>
            <w:r w:rsidRPr="00D1290A">
              <w:rPr>
                <w:rFonts w:cs="Arial"/>
                <w:sz w:val="18"/>
                <w:szCs w:val="18"/>
              </w:rPr>
              <w:t xml:space="preserve">Evaluaron la actividad antibacterial y larvicida sobre </w:t>
            </w:r>
            <w:r w:rsidRPr="00D1290A">
              <w:rPr>
                <w:rFonts w:cs="Arial"/>
                <w:i/>
                <w:iCs/>
                <w:sz w:val="18"/>
                <w:szCs w:val="18"/>
              </w:rPr>
              <w:t>Aedes aegypty</w:t>
            </w:r>
          </w:p>
        </w:tc>
        <w:tc>
          <w:tcPr>
            <w:tcW w:w="1869" w:type="dxa"/>
            <w:vAlign w:val="center"/>
          </w:tcPr>
          <w:p w14:paraId="4A5C654B" w14:textId="7308D48D" w:rsidR="009B01BE" w:rsidRPr="00D1290A" w:rsidRDefault="009B01BE" w:rsidP="00A31E2F">
            <w:pPr>
              <w:jc w:val="left"/>
              <w:rPr>
                <w:rFonts w:cs="Arial"/>
                <w:sz w:val="18"/>
                <w:szCs w:val="18"/>
              </w:rPr>
            </w:pPr>
            <w:r w:rsidRPr="00D1290A">
              <w:rPr>
                <w:rFonts w:cs="Arial"/>
                <w:sz w:val="18"/>
                <w:szCs w:val="18"/>
              </w:rPr>
              <w:t>-</w:t>
            </w:r>
          </w:p>
        </w:tc>
        <w:tc>
          <w:tcPr>
            <w:tcW w:w="1636" w:type="dxa"/>
            <w:vAlign w:val="center"/>
          </w:tcPr>
          <w:p w14:paraId="55A6CB3B" w14:textId="34CF1AA3" w:rsidR="009B01BE" w:rsidRPr="00D1290A" w:rsidRDefault="009B01BE" w:rsidP="00A31E2F">
            <w:pPr>
              <w:jc w:val="left"/>
              <w:rPr>
                <w:rFonts w:cs="Arial"/>
                <w:sz w:val="18"/>
                <w:szCs w:val="18"/>
              </w:rPr>
            </w:pPr>
            <w:r w:rsidRPr="00D1290A">
              <w:rPr>
                <w:rFonts w:cs="Arial"/>
                <w:sz w:val="18"/>
                <w:szCs w:val="18"/>
              </w:rPr>
              <w:t>-</w:t>
            </w:r>
          </w:p>
        </w:tc>
      </w:tr>
      <w:tr w:rsidR="009B01BE" w:rsidRPr="00D1290A" w14:paraId="76796AEF" w14:textId="77777777" w:rsidTr="00A31E2F">
        <w:tc>
          <w:tcPr>
            <w:tcW w:w="843" w:type="dxa"/>
            <w:vMerge/>
            <w:vAlign w:val="center"/>
          </w:tcPr>
          <w:p w14:paraId="09413D73" w14:textId="77777777" w:rsidR="009B01BE" w:rsidRPr="00D1290A" w:rsidRDefault="009B01BE" w:rsidP="00A31E2F">
            <w:pPr>
              <w:jc w:val="left"/>
              <w:rPr>
                <w:color w:val="000000"/>
                <w:sz w:val="18"/>
                <w:szCs w:val="18"/>
              </w:rPr>
            </w:pPr>
          </w:p>
        </w:tc>
        <w:tc>
          <w:tcPr>
            <w:tcW w:w="1693" w:type="dxa"/>
            <w:vAlign w:val="center"/>
          </w:tcPr>
          <w:p w14:paraId="26DF1A0E" w14:textId="2B083A74" w:rsidR="009B01BE" w:rsidRPr="00D1290A" w:rsidRDefault="009B01BE" w:rsidP="00A31E2F">
            <w:pPr>
              <w:jc w:val="left"/>
              <w:rPr>
                <w:rFonts w:cs="Arial"/>
                <w:sz w:val="18"/>
                <w:szCs w:val="18"/>
              </w:rPr>
            </w:pPr>
            <w:r w:rsidRPr="00D1290A">
              <w:rPr>
                <w:rFonts w:cs="Arial"/>
                <w:sz w:val="18"/>
                <w:szCs w:val="18"/>
              </w:rPr>
              <w:t>Rodríguez (2017)</w:t>
            </w:r>
          </w:p>
        </w:tc>
        <w:tc>
          <w:tcPr>
            <w:tcW w:w="4061" w:type="dxa"/>
            <w:vAlign w:val="center"/>
          </w:tcPr>
          <w:p w14:paraId="57F7442E" w14:textId="75B72FB5" w:rsidR="009B01BE" w:rsidRPr="00D1290A" w:rsidRDefault="009B01BE" w:rsidP="00A31E2F">
            <w:pPr>
              <w:jc w:val="left"/>
              <w:rPr>
                <w:rFonts w:cs="Arial"/>
                <w:i/>
                <w:iCs/>
                <w:sz w:val="18"/>
                <w:szCs w:val="18"/>
              </w:rPr>
            </w:pPr>
            <w:r w:rsidRPr="00D1290A">
              <w:rPr>
                <w:rFonts w:cs="Arial"/>
                <w:sz w:val="18"/>
                <w:szCs w:val="18"/>
              </w:rPr>
              <w:t>Árboles y arbustos locales</w:t>
            </w:r>
          </w:p>
        </w:tc>
        <w:tc>
          <w:tcPr>
            <w:tcW w:w="2894" w:type="dxa"/>
            <w:vAlign w:val="center"/>
          </w:tcPr>
          <w:p w14:paraId="43FF8249" w14:textId="0FAE1C1B" w:rsidR="009B01BE" w:rsidRPr="00D1290A" w:rsidRDefault="009B01BE" w:rsidP="00A31E2F">
            <w:pPr>
              <w:jc w:val="left"/>
              <w:rPr>
                <w:rFonts w:cs="Arial"/>
                <w:sz w:val="18"/>
                <w:szCs w:val="18"/>
              </w:rPr>
            </w:pPr>
            <w:r w:rsidRPr="00D1290A">
              <w:rPr>
                <w:rFonts w:cs="Arial"/>
                <w:sz w:val="18"/>
                <w:szCs w:val="18"/>
              </w:rPr>
              <w:t>Implementación de los sistemas agroforestales y silvopastoriles como opción forrajera de alimentación animal.</w:t>
            </w:r>
          </w:p>
        </w:tc>
        <w:tc>
          <w:tcPr>
            <w:tcW w:w="1869" w:type="dxa"/>
            <w:vAlign w:val="center"/>
          </w:tcPr>
          <w:p w14:paraId="3C3601BD" w14:textId="2578FA46" w:rsidR="009B01BE" w:rsidRPr="00D1290A" w:rsidRDefault="009B01BE" w:rsidP="00A31E2F">
            <w:pPr>
              <w:jc w:val="left"/>
              <w:rPr>
                <w:rFonts w:cs="Arial"/>
                <w:sz w:val="18"/>
                <w:szCs w:val="18"/>
              </w:rPr>
            </w:pPr>
            <w:r w:rsidRPr="00D1290A">
              <w:rPr>
                <w:rFonts w:cs="Arial"/>
                <w:sz w:val="18"/>
                <w:szCs w:val="18"/>
              </w:rPr>
              <w:t>-</w:t>
            </w:r>
          </w:p>
        </w:tc>
        <w:tc>
          <w:tcPr>
            <w:tcW w:w="1636" w:type="dxa"/>
            <w:vAlign w:val="center"/>
          </w:tcPr>
          <w:p w14:paraId="7EED739E" w14:textId="2D260754" w:rsidR="009B01BE" w:rsidRPr="00D1290A" w:rsidRDefault="009B01BE" w:rsidP="00A31E2F">
            <w:pPr>
              <w:jc w:val="left"/>
              <w:rPr>
                <w:rFonts w:cs="Arial"/>
                <w:sz w:val="18"/>
                <w:szCs w:val="18"/>
              </w:rPr>
            </w:pPr>
            <w:r w:rsidRPr="00D1290A">
              <w:rPr>
                <w:rFonts w:cs="Arial"/>
                <w:sz w:val="18"/>
                <w:szCs w:val="18"/>
              </w:rPr>
              <w:t>-</w:t>
            </w:r>
          </w:p>
        </w:tc>
      </w:tr>
    </w:tbl>
    <w:p w14:paraId="313A111C" w14:textId="7CA93B56" w:rsidR="003C3468" w:rsidRDefault="003C3468" w:rsidP="005F2279">
      <w:pPr>
        <w:pStyle w:val="Sinespaciado"/>
        <w:rPr>
          <w:rFonts w:cs="Arial"/>
        </w:rPr>
        <w:sectPr w:rsidR="003C3468" w:rsidSect="002E60FD">
          <w:pgSz w:w="15840" w:h="12240" w:orient="landscape"/>
          <w:pgMar w:top="1701" w:right="1417" w:bottom="1701" w:left="1417" w:header="708" w:footer="708" w:gutter="0"/>
          <w:cols w:space="708"/>
          <w:docGrid w:linePitch="360"/>
        </w:sectPr>
      </w:pPr>
      <w:r w:rsidRPr="00D1290A">
        <w:rPr>
          <w:sz w:val="18"/>
          <w:szCs w:val="18"/>
        </w:rPr>
        <w:t xml:space="preserve">Fuente: </w:t>
      </w:r>
      <w:r w:rsidR="0091787B">
        <w:rPr>
          <w:sz w:val="18"/>
          <w:szCs w:val="18"/>
        </w:rPr>
        <w:t xml:space="preserve">Elaboración </w:t>
      </w:r>
      <w:r w:rsidRPr="00D1290A">
        <w:rPr>
          <w:sz w:val="18"/>
          <w:szCs w:val="18"/>
        </w:rPr>
        <w:t>propia</w:t>
      </w:r>
      <w:r w:rsidR="0091787B">
        <w:rPr>
          <w:sz w:val="18"/>
          <w:szCs w:val="18"/>
        </w:rPr>
        <w:t xml:space="preserve"> con base </w:t>
      </w:r>
      <w:r w:rsidR="001D67B9">
        <w:rPr>
          <w:sz w:val="18"/>
          <w:szCs w:val="18"/>
        </w:rPr>
        <w:t>en</w:t>
      </w:r>
      <w:r w:rsidR="0091787B">
        <w:rPr>
          <w:sz w:val="18"/>
          <w:szCs w:val="18"/>
        </w:rPr>
        <w:t xml:space="preserve"> los </w:t>
      </w:r>
      <w:r w:rsidR="001D67B9">
        <w:rPr>
          <w:sz w:val="18"/>
          <w:szCs w:val="18"/>
        </w:rPr>
        <w:t>autores citados</w:t>
      </w:r>
      <w:r w:rsidRPr="00D1290A">
        <w:rPr>
          <w:sz w:val="18"/>
          <w:szCs w:val="18"/>
        </w:rPr>
        <w:t>.</w:t>
      </w:r>
    </w:p>
    <w:p w14:paraId="209E69D2" w14:textId="77777777" w:rsidR="00A31E2F" w:rsidRDefault="00A31E2F" w:rsidP="00A31E2F">
      <w:pPr>
        <w:rPr>
          <w:rFonts w:cs="Arial"/>
        </w:rPr>
      </w:pPr>
      <w:r w:rsidRPr="009D5269">
        <w:rPr>
          <w:rFonts w:cs="Arial"/>
          <w:i/>
        </w:rPr>
        <w:lastRenderedPageBreak/>
        <w:t>Caenorhabditis elegans</w:t>
      </w:r>
      <w:r w:rsidRPr="009D5269">
        <w:rPr>
          <w:rFonts w:cs="Arial"/>
        </w:rPr>
        <w:t xml:space="preserve"> como modelo para evaluar el potencial antihelmíntico de extractos de diferentes plantas (</w:t>
      </w:r>
      <w:r w:rsidRPr="009D5269">
        <w:rPr>
          <w:rFonts w:cs="Arial"/>
          <w:i/>
        </w:rPr>
        <w:t>Allium sativium, Mentha piperia, Cayra illionoinensis, Anethum graveolens y Petorselinum crispum</w:t>
      </w:r>
      <w:r w:rsidRPr="009D5269">
        <w:rPr>
          <w:rFonts w:cs="Arial"/>
        </w:rPr>
        <w:t>), ya que este parasito es resistente a diferentes fármacos</w:t>
      </w:r>
      <w:r>
        <w:rPr>
          <w:rFonts w:cs="Arial"/>
        </w:rPr>
        <w:t>, la finalidad del estudio es proponer un modelo experimental con el nematodo y otras plantas medicinales con capacidad antihelmíntica.</w:t>
      </w:r>
    </w:p>
    <w:p w14:paraId="1ED96B60" w14:textId="7D1A71B9" w:rsidR="000C0A3B" w:rsidRDefault="00A31E2F" w:rsidP="00943350">
      <w:pPr>
        <w:rPr>
          <w:rFonts w:cs="Arial"/>
        </w:rPr>
      </w:pPr>
      <w:r>
        <w:rPr>
          <w:rFonts w:cs="Arial"/>
        </w:rPr>
        <w:t xml:space="preserve">También se ha considerado el estudio de opciones diferentes a las habituales, por ejemplo, </w:t>
      </w:r>
      <w:r w:rsidRPr="009D5269">
        <w:rPr>
          <w:rFonts w:cs="Arial"/>
        </w:rPr>
        <w:t>Salinas-Espinoza</w:t>
      </w:r>
      <w:r>
        <w:rPr>
          <w:rFonts w:cs="Arial"/>
        </w:rPr>
        <w:t xml:space="preserve">, </w:t>
      </w:r>
      <w:r w:rsidRPr="009D5269">
        <w:rPr>
          <w:rFonts w:eastAsia="Times New Roman" w:cs="Arial"/>
          <w:szCs w:val="24"/>
          <w:lang w:eastAsia="es-MX"/>
        </w:rPr>
        <w:t>Vásquez-Dávila, Romero-Santill</w:t>
      </w:r>
      <w:r>
        <w:rPr>
          <w:rFonts w:eastAsia="Times New Roman"/>
        </w:rPr>
        <w:t>á</w:t>
      </w:r>
      <w:r w:rsidRPr="009D5269">
        <w:rPr>
          <w:rFonts w:eastAsia="Times New Roman" w:cs="Arial"/>
          <w:szCs w:val="24"/>
          <w:lang w:eastAsia="es-MX"/>
        </w:rPr>
        <w:t>n</w:t>
      </w:r>
      <w:r>
        <w:rPr>
          <w:rFonts w:eastAsia="Times New Roman" w:cs="Arial"/>
          <w:szCs w:val="24"/>
          <w:lang w:eastAsia="es-MX"/>
        </w:rPr>
        <w:t xml:space="preserve"> y </w:t>
      </w:r>
      <w:r w:rsidRPr="009D5269">
        <w:rPr>
          <w:rFonts w:eastAsia="Times New Roman" w:cs="Arial"/>
          <w:szCs w:val="24"/>
          <w:lang w:eastAsia="es-MX"/>
        </w:rPr>
        <w:t>Manzanero-Medina</w:t>
      </w:r>
      <w:r w:rsidRPr="009D5269">
        <w:rPr>
          <w:rFonts w:cs="Arial"/>
        </w:rPr>
        <w:t xml:space="preserve"> (2017), documentaron los recursos y prácticas relacionados con la medicina veterinaria tradicional para cabras y ovejas de pastoreo de dos localidades de la Mixteca de Oaxaca, en las que utilizan plantas medicinales locales, </w:t>
      </w:r>
      <w:r>
        <w:rPr>
          <w:rFonts w:cs="Arial"/>
        </w:rPr>
        <w:t>como</w:t>
      </w:r>
      <w:r w:rsidRPr="009D5269">
        <w:rPr>
          <w:rFonts w:cs="Arial"/>
        </w:rPr>
        <w:t xml:space="preserve"> </w:t>
      </w:r>
      <w:r>
        <w:rPr>
          <w:rFonts w:cs="Arial"/>
        </w:rPr>
        <w:t>(</w:t>
      </w:r>
      <w:r w:rsidRPr="009D5269">
        <w:rPr>
          <w:rFonts w:cs="Arial"/>
          <w:i/>
        </w:rPr>
        <w:t>Mentha spicata, Matricaria recutita, Origanum vulgare, Allium cepa, Allium sativum, Piper auritum, Aloe vera, Pittocaulon praecox, Phragmites australis, Physalis ixocarpa y Agave spp</w:t>
      </w:r>
      <w:r w:rsidRPr="009D5269">
        <w:rPr>
          <w:rFonts w:cs="Arial"/>
        </w:rPr>
        <w:t>,</w:t>
      </w:r>
      <w:r>
        <w:rPr>
          <w:rFonts w:cs="Arial"/>
        </w:rPr>
        <w:t>)</w:t>
      </w:r>
      <w:r w:rsidRPr="009D5269">
        <w:rPr>
          <w:rFonts w:cs="Arial"/>
        </w:rPr>
        <w:t xml:space="preserve"> </w:t>
      </w:r>
      <w:r>
        <w:rPr>
          <w:rFonts w:cs="Arial"/>
        </w:rPr>
        <w:t xml:space="preserve">y </w:t>
      </w:r>
      <w:r w:rsidRPr="009D5269">
        <w:rPr>
          <w:rFonts w:cs="Arial"/>
        </w:rPr>
        <w:t xml:space="preserve">remedios caseros </w:t>
      </w:r>
      <w:r>
        <w:rPr>
          <w:rFonts w:cs="Arial"/>
        </w:rPr>
        <w:t>(</w:t>
      </w:r>
      <w:r w:rsidRPr="009D5269">
        <w:rPr>
          <w:rFonts w:cs="Arial"/>
        </w:rPr>
        <w:t>aceite comestible, vinagre blanco, sal y azúcar</w:t>
      </w:r>
      <w:r>
        <w:rPr>
          <w:rFonts w:cs="Arial"/>
        </w:rPr>
        <w:t>)</w:t>
      </w:r>
      <w:r w:rsidRPr="009D5269">
        <w:rPr>
          <w:rFonts w:cs="Arial"/>
        </w:rPr>
        <w:t xml:space="preserve"> en</w:t>
      </w:r>
      <w:r w:rsidR="00943350">
        <w:rPr>
          <w:rFonts w:cs="Arial"/>
        </w:rPr>
        <w:t xml:space="preserve"> </w:t>
      </w:r>
      <w:r w:rsidR="000C0A3B" w:rsidRPr="009D5269">
        <w:rPr>
          <w:rFonts w:cs="Arial"/>
        </w:rPr>
        <w:t>el tratamiento de dolor abdominal, retención de placenta, fracturas, conjuntivitis y ofidismo</w:t>
      </w:r>
      <w:r w:rsidR="000C0A3B">
        <w:rPr>
          <w:rFonts w:cs="Arial"/>
        </w:rPr>
        <w:t>.</w:t>
      </w:r>
    </w:p>
    <w:p w14:paraId="2F2B951F" w14:textId="3B6C20DB" w:rsidR="003C3468" w:rsidRDefault="003C3468" w:rsidP="00943350">
      <w:pPr>
        <w:rPr>
          <w:rFonts w:cs="Arial"/>
        </w:rPr>
      </w:pPr>
      <w:r>
        <w:rPr>
          <w:rFonts w:cs="Arial"/>
        </w:rPr>
        <w:t xml:space="preserve">La pertinencia de complementar la alimentación de animales de traspatio con la interacción entre los conocimientos tradicionales </w:t>
      </w:r>
      <w:r w:rsidRPr="007D338A">
        <w:t>(Haverkort</w:t>
      </w:r>
      <w:r>
        <w:t xml:space="preserve">, </w:t>
      </w:r>
      <w:r w:rsidRPr="007139ED">
        <w:rPr>
          <w:i/>
          <w:iCs/>
        </w:rPr>
        <w:t>et al.</w:t>
      </w:r>
      <w:r w:rsidRPr="007D338A">
        <w:t>, 2013)</w:t>
      </w:r>
      <w:r>
        <w:t xml:space="preserve"> y la ciencia normal (Kuhn</w:t>
      </w:r>
      <w:r w:rsidRPr="00F97763">
        <w:t xml:space="preserve">, </w:t>
      </w:r>
      <w:r>
        <w:t>2004</w:t>
      </w:r>
      <w:r w:rsidRPr="00F97763">
        <w:t>)</w:t>
      </w:r>
      <w:r>
        <w:t xml:space="preserve"> se evidencia en los estudios realizados por</w:t>
      </w:r>
      <w:r w:rsidRPr="009D5269">
        <w:rPr>
          <w:rFonts w:cs="Arial"/>
        </w:rPr>
        <w:t xml:space="preserve"> Chávez</w:t>
      </w:r>
      <w:r>
        <w:rPr>
          <w:rFonts w:cs="Arial"/>
        </w:rPr>
        <w:t>, White, Moctezuma y Herrera</w:t>
      </w:r>
      <w:r w:rsidR="00C37CAD">
        <w:rPr>
          <w:rFonts w:cs="Arial"/>
        </w:rPr>
        <w:t xml:space="preserve"> </w:t>
      </w:r>
      <w:r w:rsidRPr="009D5269">
        <w:rPr>
          <w:rFonts w:cs="Arial"/>
        </w:rPr>
        <w:t xml:space="preserve">(2017) </w:t>
      </w:r>
      <w:r>
        <w:rPr>
          <w:rFonts w:cs="Arial"/>
        </w:rPr>
        <w:t xml:space="preserve">quienes </w:t>
      </w:r>
      <w:r w:rsidRPr="009D5269">
        <w:rPr>
          <w:rFonts w:cs="Arial"/>
        </w:rPr>
        <w:t xml:space="preserve">documentaron las prácticas curativas </w:t>
      </w:r>
      <w:r w:rsidR="00C37CAD">
        <w:rPr>
          <w:rFonts w:cs="Arial"/>
        </w:rPr>
        <w:t>de</w:t>
      </w:r>
      <w:r w:rsidR="00C37CAD" w:rsidRPr="009D5269">
        <w:rPr>
          <w:rFonts w:cs="Arial"/>
        </w:rPr>
        <w:t xml:space="preserve"> </w:t>
      </w:r>
      <w:r w:rsidRPr="009D5269">
        <w:rPr>
          <w:rFonts w:cs="Arial"/>
        </w:rPr>
        <w:t xml:space="preserve">53 plantas medicinales identificadas de utilidad (algunas de ellas son: </w:t>
      </w:r>
      <w:r w:rsidRPr="009D5269">
        <w:rPr>
          <w:rFonts w:cs="Arial"/>
          <w:i/>
        </w:rPr>
        <w:t>Ocimun basilium, Verbena bipinnatifida, abougainvilea glabra, aprunus serótina, Equisetum sp., Gnaphalium oxyphylium y Schinus molle)</w:t>
      </w:r>
      <w:r w:rsidRPr="009D5269">
        <w:rPr>
          <w:rFonts w:cs="Arial"/>
        </w:rPr>
        <w:t xml:space="preserve"> en una comunidad rural del Estado de México, </w:t>
      </w:r>
      <w:r w:rsidR="009A21E8">
        <w:rPr>
          <w:rFonts w:cs="Arial"/>
        </w:rPr>
        <w:t>donde la</w:t>
      </w:r>
      <w:r w:rsidRPr="009D5269">
        <w:rPr>
          <w:rFonts w:cs="Arial"/>
        </w:rPr>
        <w:t xml:space="preserve"> herbolaria </w:t>
      </w:r>
      <w:r w:rsidR="009A21E8">
        <w:rPr>
          <w:rFonts w:cs="Arial"/>
        </w:rPr>
        <w:t>se valora como</w:t>
      </w:r>
      <w:r w:rsidRPr="009D5269">
        <w:rPr>
          <w:rFonts w:cs="Arial"/>
        </w:rPr>
        <w:t xml:space="preserve"> un botiquín </w:t>
      </w:r>
      <w:r w:rsidRPr="00A2200A">
        <w:rPr>
          <w:rFonts w:cs="Arial"/>
        </w:rPr>
        <w:t>bio-cultural</w:t>
      </w:r>
      <w:r w:rsidRPr="009D5269">
        <w:rPr>
          <w:rFonts w:cs="Arial"/>
        </w:rPr>
        <w:t>, la pervivencia de la cosmovisión mesoamericana para tratar enfermedades de cuerpo y espíritu, y por consecuencia, proporcionar una atención integral del paciente</w:t>
      </w:r>
      <w:r w:rsidR="009A21E8">
        <w:rPr>
          <w:rFonts w:cs="Arial"/>
        </w:rPr>
        <w:t xml:space="preserve"> </w:t>
      </w:r>
      <w:r w:rsidR="00CB622D">
        <w:rPr>
          <w:rFonts w:cs="Arial"/>
        </w:rPr>
        <w:t>que busca en este tipo de tratamientos la mejora de la salud</w:t>
      </w:r>
      <w:r>
        <w:rPr>
          <w:rFonts w:cs="Arial"/>
        </w:rPr>
        <w:t>.</w:t>
      </w:r>
    </w:p>
    <w:p w14:paraId="36049145" w14:textId="39B26E51" w:rsidR="003C3468" w:rsidRDefault="003C3468" w:rsidP="00943350">
      <w:pPr>
        <w:rPr>
          <w:rFonts w:cs="Arial"/>
        </w:rPr>
      </w:pPr>
      <w:r>
        <w:rPr>
          <w:rFonts w:cs="Arial"/>
        </w:rPr>
        <w:lastRenderedPageBreak/>
        <w:t xml:space="preserve">Algo semejante ocurre con la publicación de </w:t>
      </w:r>
      <w:r w:rsidRPr="009D5269">
        <w:rPr>
          <w:rFonts w:cs="Arial"/>
        </w:rPr>
        <w:t xml:space="preserve">Camacho-Escobar </w:t>
      </w:r>
      <w:r w:rsidRPr="009D5269">
        <w:rPr>
          <w:i/>
          <w:color w:val="000000"/>
        </w:rPr>
        <w:t>et al.</w:t>
      </w:r>
      <w:r w:rsidRPr="009D5269">
        <w:rPr>
          <w:rFonts w:cs="Arial"/>
        </w:rPr>
        <w:t xml:space="preserve"> (2007), </w:t>
      </w:r>
      <w:r w:rsidR="00C37CAD">
        <w:rPr>
          <w:rFonts w:cs="Arial"/>
        </w:rPr>
        <w:t xml:space="preserve">quienes </w:t>
      </w:r>
      <w:r>
        <w:rPr>
          <w:rFonts w:cs="Arial"/>
        </w:rPr>
        <w:t>estudiaron</w:t>
      </w:r>
      <w:r w:rsidR="00C37CAD">
        <w:rPr>
          <w:rFonts w:cs="Arial"/>
        </w:rPr>
        <w:t xml:space="preserve"> el</w:t>
      </w:r>
      <w:r w:rsidRPr="009D5269">
        <w:rPr>
          <w:rFonts w:cs="Arial"/>
        </w:rPr>
        <w:t xml:space="preserve"> sistema</w:t>
      </w:r>
      <w:r>
        <w:rPr>
          <w:rFonts w:cs="Arial"/>
        </w:rPr>
        <w:t xml:space="preserve"> productivo de guajolotes</w:t>
      </w:r>
      <w:r w:rsidRPr="009D5269">
        <w:rPr>
          <w:rFonts w:cs="Arial"/>
        </w:rPr>
        <w:t xml:space="preserve"> de traspatio en </w:t>
      </w:r>
      <w:r w:rsidR="00C37CAD">
        <w:rPr>
          <w:rFonts w:cs="Arial"/>
        </w:rPr>
        <w:t xml:space="preserve">el </w:t>
      </w:r>
      <w:r w:rsidRPr="009D5269">
        <w:rPr>
          <w:rFonts w:cs="Arial"/>
        </w:rPr>
        <w:t xml:space="preserve">que utilizan la medicina tradicional mediante diferentes vegetales, tales como: </w:t>
      </w:r>
      <w:r w:rsidRPr="009D5269">
        <w:rPr>
          <w:rFonts w:cs="Arial"/>
          <w:i/>
        </w:rPr>
        <w:t>Allium sativum, Citrus limón y Allium linnaeus</w:t>
      </w:r>
      <w:r w:rsidRPr="009D5269">
        <w:rPr>
          <w:rFonts w:cs="Arial"/>
        </w:rPr>
        <w:t xml:space="preserve"> en enfermedades como: síndrome respiratorio, síndrome digestivo, viruela aviar y enfermedad de Newcastle, tratamientos a los que el animal se ha adaptado satisfactoriamente</w:t>
      </w:r>
      <w:r>
        <w:rPr>
          <w:rFonts w:cs="Arial"/>
        </w:rPr>
        <w:t>.</w:t>
      </w:r>
    </w:p>
    <w:p w14:paraId="6845C7B9" w14:textId="2561E253" w:rsidR="003C3468" w:rsidRDefault="003C3468" w:rsidP="00943350">
      <w:pPr>
        <w:rPr>
          <w:rFonts w:cs="Arial"/>
        </w:rPr>
      </w:pPr>
      <w:r>
        <w:rPr>
          <w:rFonts w:cs="Arial"/>
        </w:rPr>
        <w:t xml:space="preserve">En el caso de </w:t>
      </w:r>
      <w:r w:rsidRPr="009D5269">
        <w:rPr>
          <w:rFonts w:cs="Arial"/>
        </w:rPr>
        <w:t xml:space="preserve">Sánchez-Casanova </w:t>
      </w:r>
      <w:r w:rsidRPr="009D5269">
        <w:rPr>
          <w:i/>
          <w:color w:val="000000"/>
        </w:rPr>
        <w:t>et al.</w:t>
      </w:r>
      <w:r>
        <w:rPr>
          <w:rFonts w:cs="Arial"/>
        </w:rPr>
        <w:t xml:space="preserve"> (2015) identificaron que</w:t>
      </w:r>
      <w:r w:rsidRPr="009D5269">
        <w:rPr>
          <w:rFonts w:cs="Arial"/>
        </w:rPr>
        <w:t xml:space="preserve"> el ambiente tropical de la zona favorece el desarrollo de enfermedades dérmicas en los caballos de carga y en ocasiones el costo e inaccesibilidad de los tratamientos alópatas hace que se redescubran las prácticas tradicionales, siendo el </w:t>
      </w:r>
      <w:r>
        <w:rPr>
          <w:rFonts w:cs="Arial"/>
          <w:i/>
        </w:rPr>
        <w:t>Aloe v</w:t>
      </w:r>
      <w:r w:rsidRPr="009D5269">
        <w:rPr>
          <w:rFonts w:cs="Arial"/>
          <w:i/>
        </w:rPr>
        <w:t>era L</w:t>
      </w:r>
      <w:r w:rsidRPr="009D5269">
        <w:rPr>
          <w:rFonts w:cs="Arial"/>
        </w:rPr>
        <w:t>. e</w:t>
      </w:r>
      <w:r w:rsidR="00943350">
        <w:rPr>
          <w:rFonts w:cs="Arial"/>
        </w:rPr>
        <w:t>l</w:t>
      </w:r>
      <w:r w:rsidRPr="009D5269">
        <w:rPr>
          <w:rFonts w:cs="Arial"/>
        </w:rPr>
        <w:t xml:space="preserve"> más utilizado en esta zona</w:t>
      </w:r>
      <w:r>
        <w:rPr>
          <w:rFonts w:cs="Arial"/>
        </w:rPr>
        <w:t>. E</w:t>
      </w:r>
      <w:r w:rsidRPr="009D5269">
        <w:rPr>
          <w:rFonts w:cs="Arial"/>
        </w:rPr>
        <w:t>st</w:t>
      </w:r>
      <w:r>
        <w:rPr>
          <w:rFonts w:cs="Arial"/>
        </w:rPr>
        <w:t>e estudio tiene</w:t>
      </w:r>
      <w:r w:rsidRPr="009D5269">
        <w:rPr>
          <w:rFonts w:cs="Arial"/>
        </w:rPr>
        <w:t xml:space="preserve"> como finalidad fomentar la cría de animales de traspatio que colaboren a la economía y alimentación de quienes la realizan, sin la complementación de compuestos químicos que fomenten el crecimiento acelerado del animal o la mejora en la salud según sea el caso.</w:t>
      </w:r>
    </w:p>
    <w:p w14:paraId="580C053B" w14:textId="5399E504" w:rsidR="003C3468" w:rsidRPr="009D5269" w:rsidRDefault="003C3468" w:rsidP="00943350">
      <w:pPr>
        <w:rPr>
          <w:rFonts w:cs="Arial"/>
        </w:rPr>
      </w:pPr>
      <w:r>
        <w:rPr>
          <w:rFonts w:cs="Arial"/>
        </w:rPr>
        <w:t>La utilización de compuestos químicos como promotores de crecimiento aumentan la ganancia diaria de peso, en consecuencia, fomentan el aumento de hormonas catabólicas que reducen la masa muscular incrementando la masa grasa, enmascaran posibles enfermedades, estimulan la producción intensiva y desarrollan resistencia bacteriana, esta última puede ser trasferida a los seres humanos y aumenta el riesgo de ambientes laborales por contaminación de antibióticos (Errecalde, 2004, Ardo</w:t>
      </w:r>
      <w:r w:rsidR="00DC45CB">
        <w:rPr>
          <w:rFonts w:cs="Arial"/>
        </w:rPr>
        <w:t>i</w:t>
      </w:r>
      <w:r>
        <w:rPr>
          <w:rFonts w:cs="Arial"/>
        </w:rPr>
        <w:t xml:space="preserve">nio, </w:t>
      </w:r>
      <w:r w:rsidRPr="006275D4">
        <w:rPr>
          <w:rFonts w:cs="Arial"/>
          <w:i/>
          <w:iCs/>
        </w:rPr>
        <w:t>et al</w:t>
      </w:r>
      <w:r>
        <w:rPr>
          <w:rFonts w:cs="Arial"/>
        </w:rPr>
        <w:t xml:space="preserve">., 2018; Rivera-Alegría, </w:t>
      </w:r>
      <w:r w:rsidRPr="006275D4">
        <w:rPr>
          <w:rFonts w:cs="Arial"/>
          <w:i/>
          <w:iCs/>
        </w:rPr>
        <w:t>et al</w:t>
      </w:r>
      <w:r>
        <w:rPr>
          <w:rFonts w:cs="Arial"/>
        </w:rPr>
        <w:t>., 2018).</w:t>
      </w:r>
    </w:p>
    <w:p w14:paraId="6031A064" w14:textId="7FC60CCA" w:rsidR="003C3468" w:rsidRDefault="003C3468" w:rsidP="00943350">
      <w:r>
        <w:t xml:space="preserve">El uso de estos promotores de crecimiento </w:t>
      </w:r>
      <w:r w:rsidR="00943350">
        <w:t>aparece en</w:t>
      </w:r>
      <w:r>
        <w:t xml:space="preserve"> 1960 cuando se reporta la introducción de antibióticos en piensos, a su vez el Comité Swann en 1969 recomienda imponer restricciones y solo permit</w:t>
      </w:r>
      <w:r w:rsidR="00C37CAD">
        <w:t>e</w:t>
      </w:r>
      <w:r>
        <w:t xml:space="preserve"> aquellos que no son usados en medicina humana y veterinaria (Aarestrup, </w:t>
      </w:r>
      <w:r w:rsidRPr="006275D4">
        <w:rPr>
          <w:i/>
          <w:iCs/>
        </w:rPr>
        <w:t>et al.</w:t>
      </w:r>
      <w:r>
        <w:t xml:space="preserve">, 2000) estas recomendaciones se hacen para Europa. Estados Unidos por su parte, trata de condicionar su uso sin grandes éxitos. </w:t>
      </w:r>
    </w:p>
    <w:p w14:paraId="6AE3151C" w14:textId="70C2CC62" w:rsidR="003C3468" w:rsidRDefault="003C3468" w:rsidP="00943350">
      <w:r>
        <w:lastRenderedPageBreak/>
        <w:t xml:space="preserve">El programa conjunto </w:t>
      </w:r>
      <w:r w:rsidR="008978B3">
        <w:t xml:space="preserve">entre la </w:t>
      </w:r>
      <w:r w:rsidR="008978B3">
        <w:rPr>
          <w:rFonts w:cs="Arial"/>
        </w:rPr>
        <w:t>Organización de la Naciones Unidas para la Alimentación y la Agricultura</w:t>
      </w:r>
      <w:r w:rsidR="008978B3">
        <w:t xml:space="preserve"> y la Organización Mundial de la Salud</w:t>
      </w:r>
      <w:r w:rsidR="00B66836">
        <w:t xml:space="preserve"> </w:t>
      </w:r>
      <w:r w:rsidR="00B66836">
        <w:rPr>
          <w:rFonts w:eastAsia="Times New Roman" w:cs="Arial"/>
          <w:szCs w:val="24"/>
          <w:lang w:eastAsia="es-MX"/>
        </w:rPr>
        <w:t xml:space="preserve">(FAO, por sus siglas en </w:t>
      </w:r>
      <w:r w:rsidR="00991893">
        <w:rPr>
          <w:rFonts w:eastAsia="Times New Roman" w:cs="Arial"/>
          <w:szCs w:val="24"/>
          <w:lang w:eastAsia="es-MX"/>
        </w:rPr>
        <w:t>inglés</w:t>
      </w:r>
      <w:r w:rsidR="00B66836">
        <w:rPr>
          <w:rFonts w:eastAsia="Times New Roman" w:cs="Arial"/>
          <w:szCs w:val="24"/>
          <w:lang w:eastAsia="es-MX"/>
        </w:rPr>
        <w:t>)</w:t>
      </w:r>
      <w:r w:rsidR="008978B3">
        <w:t xml:space="preserve"> (</w:t>
      </w:r>
      <w:r>
        <w:t>FAO/OMS</w:t>
      </w:r>
      <w:r w:rsidR="008978B3">
        <w:t>, 2001)</w:t>
      </w:r>
      <w:r>
        <w:t xml:space="preserve"> sobre normas alimentarias publica el </w:t>
      </w:r>
      <w:bookmarkStart w:id="3" w:name="_Hlk61735768"/>
      <w:r>
        <w:t>Documento de Debate sobre la Resistencia Antimicrobiana y el Empleo de Antimicrobianos en la Producción Animal</w:t>
      </w:r>
      <w:bookmarkEnd w:id="3"/>
      <w:r>
        <w:t>, en el cual</w:t>
      </w:r>
      <w:r w:rsidR="00040A3D">
        <w:t xml:space="preserve">, organismos como </w:t>
      </w:r>
      <w:r w:rsidR="00AB57FC">
        <w:t xml:space="preserve">la </w:t>
      </w:r>
      <w:r w:rsidR="00040A3D">
        <w:t xml:space="preserve">Organización Mundial de la Salud, </w:t>
      </w:r>
      <w:r w:rsidR="00AB57FC">
        <w:t xml:space="preserve">el </w:t>
      </w:r>
      <w:r w:rsidR="00040A3D">
        <w:t>Grupo Especial de Expertos en Resistencia Antimicrobiana de la OIE,</w:t>
      </w:r>
      <w:r w:rsidR="00AB57FC">
        <w:t xml:space="preserve"> el</w:t>
      </w:r>
      <w:r w:rsidR="00040A3D">
        <w:t xml:space="preserve"> Comité del CODEX sobre la Higiene de Alimentos, </w:t>
      </w:r>
      <w:r w:rsidR="00AB57FC">
        <w:t xml:space="preserve">el </w:t>
      </w:r>
      <w:r w:rsidR="00040A3D">
        <w:t xml:space="preserve">Comité del CODEX sobre Residuos de Medicamentos Veterinarios en los Alimentos y </w:t>
      </w:r>
      <w:r w:rsidR="00AB57FC">
        <w:t xml:space="preserve">el </w:t>
      </w:r>
      <w:r w:rsidR="00040A3D">
        <w:t>Grupo de Estudio Intergubernamental Especial del CODEX sobre el Alimento para Animales</w:t>
      </w:r>
      <w:r w:rsidR="00AB57FC" w:rsidRPr="00AB57FC">
        <w:t xml:space="preserve"> </w:t>
      </w:r>
      <w:r w:rsidR="00AB57FC">
        <w:t>analizan las diferentes actividades clave en relación a la resistencia microbiana</w:t>
      </w:r>
      <w:r w:rsidR="00040A3D">
        <w:t xml:space="preserve">. </w:t>
      </w:r>
      <w:r w:rsidR="00AB57FC">
        <w:t>Este d</w:t>
      </w:r>
      <w:r w:rsidR="00040A3D">
        <w:t xml:space="preserve">ocumento tiene la finalidad de establecer </w:t>
      </w:r>
      <w:r w:rsidR="000671D3">
        <w:t>una propuesta para aminorar y contener la resistencia microbiana.</w:t>
      </w:r>
    </w:p>
    <w:p w14:paraId="24ADCBE2" w14:textId="5A680007" w:rsidR="003C3468" w:rsidRDefault="003C3468" w:rsidP="00943350">
      <w:r>
        <w:t xml:space="preserve">En México, el Instituto Nacional de Salud Pública, </w:t>
      </w:r>
      <w:r w:rsidR="00AB57FC">
        <w:t xml:space="preserve">la </w:t>
      </w:r>
      <w:r>
        <w:t xml:space="preserve">Alianza de Uso Prudente de Antibióticos, </w:t>
      </w:r>
      <w:r w:rsidR="00AB57FC">
        <w:t xml:space="preserve">la </w:t>
      </w:r>
      <w:r>
        <w:t xml:space="preserve">Fundación Mexicana para la Salud Capitulo Peninsular, </w:t>
      </w:r>
      <w:r w:rsidR="00AB57FC">
        <w:t xml:space="preserve">la </w:t>
      </w:r>
      <w:r>
        <w:t xml:space="preserve">Facultad de Medicina Veterinaria y Zootecnia (UNAM) y </w:t>
      </w:r>
      <w:r w:rsidR="00AB57FC">
        <w:t xml:space="preserve">la </w:t>
      </w:r>
      <w:r>
        <w:t xml:space="preserve">Asociación Mexicana de Infectología y Microbiología Clínica A. C. publican el documento denominado </w:t>
      </w:r>
      <w:r w:rsidR="00AB57FC">
        <w:t>r</w:t>
      </w:r>
      <w:r>
        <w:t>egulación y promoción para el uso adecuado de antibióticos en México</w:t>
      </w:r>
      <w:r w:rsidR="00AB57FC">
        <w:t>,</w:t>
      </w:r>
      <w:r>
        <w:t xml:space="preserve"> propuestas para la acción, donde hacen una revisión a profundidad desde una postura interdisciplinaria para generar propuestas de sistemas de vigilancia sobre la resistencia bacteriana en ámbitos médicos y veterinarios (Dreser, Zaidi y Peredo, 2010). </w:t>
      </w:r>
    </w:p>
    <w:p w14:paraId="3A73688E" w14:textId="267A98C0" w:rsidR="003C3468" w:rsidRDefault="003C3468" w:rsidP="00943350">
      <w:r>
        <w:t xml:space="preserve">Dentro de este marco, se genera una tendencia de producción cárnica sin promotores de crecimiento, “en condiciones similares </w:t>
      </w:r>
      <w:r w:rsidR="00166817">
        <w:t xml:space="preserve">a </w:t>
      </w:r>
      <w:r>
        <w:t>las de Dinamarca” (Errecalde, 2004) y se refiere a las medidas profilácticas implementadas en las que los antibióticos solo se utilizan cuando son necesarios</w:t>
      </w:r>
      <w:r w:rsidR="00AB57FC">
        <w:t xml:space="preserve"> y se</w:t>
      </w:r>
      <w:r>
        <w:t xml:space="preserve"> </w:t>
      </w:r>
      <w:r w:rsidR="00AB57FC">
        <w:t>e</w:t>
      </w:r>
      <w:r w:rsidR="00573A20">
        <w:t xml:space="preserve">mplea </w:t>
      </w:r>
      <w:r>
        <w:t>la herbolaria como complemento alimentario</w:t>
      </w:r>
      <w:r w:rsidR="00AB57FC">
        <w:t>,</w:t>
      </w:r>
      <w:r>
        <w:t xml:space="preserve"> demostra</w:t>
      </w:r>
      <w:r w:rsidR="00AB57FC">
        <w:t>n</w:t>
      </w:r>
      <w:r>
        <w:t>do que puede estimular de forma eficaz el sistema inmune, lo que genera una producción con tendencia a la sustentabilidad.</w:t>
      </w:r>
    </w:p>
    <w:p w14:paraId="374C7217" w14:textId="10825252" w:rsidR="003C3468" w:rsidRDefault="003C3468" w:rsidP="00943350">
      <w:r>
        <w:lastRenderedPageBreak/>
        <w:t xml:space="preserve">Otro de los beneficios que tiene el uso de la herbolaria en la producción de cárnicos es la mejora de parámetros productivos (tabla </w:t>
      </w:r>
      <w:r w:rsidR="00F04B83">
        <w:t>2</w:t>
      </w:r>
      <w:r>
        <w:t xml:space="preserve">) o </w:t>
      </w:r>
      <w:r w:rsidR="00AB57FC">
        <w:t xml:space="preserve">el </w:t>
      </w:r>
      <w:r>
        <w:t>alarga</w:t>
      </w:r>
      <w:r w:rsidR="00AB57FC">
        <w:t>miento</w:t>
      </w:r>
      <w:r>
        <w:t xml:space="preserve"> </w:t>
      </w:r>
      <w:r w:rsidR="00AB57FC">
        <w:t>d</w:t>
      </w:r>
      <w:r>
        <w:t>el tiempo de vida de anaquel por medio de la complementación y/o suplementación de aceites esenciales en aves de corral y ganado ovino por mencionar algunos.</w:t>
      </w:r>
    </w:p>
    <w:p w14:paraId="6FFC49F8" w14:textId="744A7DF7" w:rsidR="003C3468" w:rsidRDefault="003C3468" w:rsidP="003C3468">
      <w:pPr>
        <w:pStyle w:val="Sinespaciado"/>
      </w:pPr>
      <w:r>
        <w:t xml:space="preserve">Tabla </w:t>
      </w:r>
      <w:r w:rsidR="00F04B83">
        <w:t>2</w:t>
      </w:r>
      <w:r>
        <w:t xml:space="preserve">. </w:t>
      </w:r>
      <w:r w:rsidR="00991893">
        <w:t>Uso de la h</w:t>
      </w:r>
      <w:r>
        <w:t>erbolaria en la mejora de parámetros productivos.</w:t>
      </w:r>
    </w:p>
    <w:tbl>
      <w:tblPr>
        <w:tblStyle w:val="Tablaconcuadrcula"/>
        <w:tblW w:w="0" w:type="auto"/>
        <w:tblLook w:val="04A0" w:firstRow="1" w:lastRow="0" w:firstColumn="1" w:lastColumn="0" w:noHBand="0" w:noVBand="1"/>
      </w:tblPr>
      <w:tblGrid>
        <w:gridCol w:w="1696"/>
        <w:gridCol w:w="2718"/>
        <w:gridCol w:w="1251"/>
        <w:gridCol w:w="3163"/>
      </w:tblGrid>
      <w:tr w:rsidR="003C3468" w:rsidRPr="00A82984" w14:paraId="412362D5" w14:textId="77777777" w:rsidTr="002E60FD">
        <w:tc>
          <w:tcPr>
            <w:tcW w:w="1696" w:type="dxa"/>
          </w:tcPr>
          <w:p w14:paraId="3CAEA854" w14:textId="77777777" w:rsidR="003C3468" w:rsidRPr="00A82984" w:rsidRDefault="003C3468" w:rsidP="002E60FD">
            <w:pPr>
              <w:rPr>
                <w:b/>
                <w:bCs/>
                <w:sz w:val="22"/>
              </w:rPr>
            </w:pPr>
            <w:r w:rsidRPr="00A82984">
              <w:rPr>
                <w:b/>
                <w:bCs/>
                <w:sz w:val="22"/>
              </w:rPr>
              <w:t>Autor(es) y año</w:t>
            </w:r>
          </w:p>
        </w:tc>
        <w:tc>
          <w:tcPr>
            <w:tcW w:w="2718" w:type="dxa"/>
          </w:tcPr>
          <w:p w14:paraId="137C7476" w14:textId="77777777" w:rsidR="003C3468" w:rsidRPr="00A82984" w:rsidRDefault="003C3468" w:rsidP="002E60FD">
            <w:pPr>
              <w:rPr>
                <w:b/>
                <w:bCs/>
                <w:sz w:val="22"/>
              </w:rPr>
            </w:pPr>
            <w:r w:rsidRPr="00A82984">
              <w:rPr>
                <w:b/>
                <w:bCs/>
                <w:sz w:val="22"/>
              </w:rPr>
              <w:t xml:space="preserve">Herbolaria </w:t>
            </w:r>
          </w:p>
        </w:tc>
        <w:tc>
          <w:tcPr>
            <w:tcW w:w="1251" w:type="dxa"/>
          </w:tcPr>
          <w:p w14:paraId="288C9375" w14:textId="77777777" w:rsidR="003C3468" w:rsidRPr="00A82984" w:rsidRDefault="003C3468" w:rsidP="002E60FD">
            <w:pPr>
              <w:rPr>
                <w:b/>
                <w:bCs/>
                <w:sz w:val="22"/>
              </w:rPr>
            </w:pPr>
            <w:r w:rsidRPr="00A82984">
              <w:rPr>
                <w:b/>
                <w:bCs/>
                <w:sz w:val="22"/>
              </w:rPr>
              <w:t xml:space="preserve">Especie </w:t>
            </w:r>
          </w:p>
        </w:tc>
        <w:tc>
          <w:tcPr>
            <w:tcW w:w="3163" w:type="dxa"/>
          </w:tcPr>
          <w:p w14:paraId="3401B902" w14:textId="77777777" w:rsidR="003C3468" w:rsidRPr="00A82984" w:rsidRDefault="003C3468" w:rsidP="002E60FD">
            <w:pPr>
              <w:rPr>
                <w:b/>
                <w:bCs/>
                <w:sz w:val="22"/>
              </w:rPr>
            </w:pPr>
            <w:r w:rsidRPr="00A82984">
              <w:rPr>
                <w:b/>
                <w:bCs/>
                <w:sz w:val="22"/>
              </w:rPr>
              <w:t xml:space="preserve">Resultados </w:t>
            </w:r>
          </w:p>
        </w:tc>
      </w:tr>
      <w:tr w:rsidR="003C3468" w:rsidRPr="00A82984" w14:paraId="1EA3902C" w14:textId="77777777" w:rsidTr="00542D9F">
        <w:tc>
          <w:tcPr>
            <w:tcW w:w="1696" w:type="dxa"/>
            <w:vAlign w:val="center"/>
          </w:tcPr>
          <w:p w14:paraId="05936ECF" w14:textId="7BCFB7A3" w:rsidR="003C3468" w:rsidRPr="00A82984" w:rsidRDefault="003C3468" w:rsidP="00542D9F">
            <w:pPr>
              <w:jc w:val="left"/>
              <w:rPr>
                <w:sz w:val="22"/>
              </w:rPr>
            </w:pPr>
            <w:r w:rsidRPr="00A82984">
              <w:rPr>
                <w:rFonts w:cs="Arial"/>
                <w:sz w:val="22"/>
              </w:rPr>
              <w:t xml:space="preserve">Lee </w:t>
            </w:r>
            <w:r w:rsidRPr="00A82984">
              <w:rPr>
                <w:i/>
                <w:color w:val="000000"/>
                <w:sz w:val="22"/>
              </w:rPr>
              <w:t>et al.</w:t>
            </w:r>
            <w:r w:rsidRPr="00A82984">
              <w:rPr>
                <w:rFonts w:cs="Arial"/>
                <w:sz w:val="22"/>
              </w:rPr>
              <w:t xml:space="preserve"> (2004)</w:t>
            </w:r>
          </w:p>
        </w:tc>
        <w:tc>
          <w:tcPr>
            <w:tcW w:w="2718" w:type="dxa"/>
          </w:tcPr>
          <w:p w14:paraId="040E9E1F" w14:textId="77777777" w:rsidR="003C3468" w:rsidRPr="00A82984" w:rsidRDefault="003C3468" w:rsidP="002E60FD">
            <w:pPr>
              <w:rPr>
                <w:sz w:val="22"/>
              </w:rPr>
            </w:pPr>
            <w:r w:rsidRPr="00A82984">
              <w:rPr>
                <w:sz w:val="22"/>
              </w:rPr>
              <w:t>Aceites esenciales de mezclas poliherbales con presencia de terpenos y fenilpropenos.</w:t>
            </w:r>
          </w:p>
        </w:tc>
        <w:tc>
          <w:tcPr>
            <w:tcW w:w="1251" w:type="dxa"/>
            <w:vAlign w:val="center"/>
          </w:tcPr>
          <w:p w14:paraId="3FD4B11A" w14:textId="77777777" w:rsidR="003C3468" w:rsidRPr="00A82984" w:rsidRDefault="003C3468" w:rsidP="00542D9F">
            <w:pPr>
              <w:jc w:val="left"/>
              <w:rPr>
                <w:sz w:val="22"/>
              </w:rPr>
            </w:pPr>
            <w:r w:rsidRPr="00A82984">
              <w:rPr>
                <w:sz w:val="22"/>
              </w:rPr>
              <w:t>Aves de corral</w:t>
            </w:r>
          </w:p>
        </w:tc>
        <w:tc>
          <w:tcPr>
            <w:tcW w:w="3163" w:type="dxa"/>
          </w:tcPr>
          <w:p w14:paraId="5D9B01DE" w14:textId="77777777" w:rsidR="003C3468" w:rsidRPr="00A82984" w:rsidRDefault="003C3468" w:rsidP="002E60FD">
            <w:pPr>
              <w:rPr>
                <w:sz w:val="22"/>
              </w:rPr>
            </w:pPr>
            <w:r w:rsidRPr="00A82984">
              <w:rPr>
                <w:sz w:val="22"/>
              </w:rPr>
              <w:t>Acción extendida desde la microflora hasta la actividad hipocolesterolemica.</w:t>
            </w:r>
          </w:p>
        </w:tc>
      </w:tr>
      <w:tr w:rsidR="003C3468" w:rsidRPr="00A82984" w14:paraId="039B35E9" w14:textId="77777777" w:rsidTr="00542D9F">
        <w:tc>
          <w:tcPr>
            <w:tcW w:w="1696" w:type="dxa"/>
            <w:vAlign w:val="center"/>
          </w:tcPr>
          <w:p w14:paraId="03DE9864" w14:textId="6AC4DADA" w:rsidR="003C3468" w:rsidRPr="00A82984" w:rsidRDefault="003C3468" w:rsidP="00542D9F">
            <w:pPr>
              <w:jc w:val="left"/>
              <w:rPr>
                <w:sz w:val="22"/>
              </w:rPr>
            </w:pPr>
            <w:r w:rsidRPr="00A82984">
              <w:rPr>
                <w:sz w:val="22"/>
              </w:rPr>
              <w:t xml:space="preserve">Lee </w:t>
            </w:r>
            <w:r w:rsidRPr="00A82984">
              <w:rPr>
                <w:i/>
                <w:iCs/>
                <w:sz w:val="22"/>
              </w:rPr>
              <w:t>et al.</w:t>
            </w:r>
            <w:r w:rsidRPr="00A82984">
              <w:rPr>
                <w:sz w:val="22"/>
              </w:rPr>
              <w:t xml:space="preserve"> (2003),</w:t>
            </w:r>
          </w:p>
        </w:tc>
        <w:tc>
          <w:tcPr>
            <w:tcW w:w="2718" w:type="dxa"/>
          </w:tcPr>
          <w:p w14:paraId="0D88F4D8" w14:textId="77777777" w:rsidR="003C3468" w:rsidRPr="00A82984" w:rsidRDefault="003C3468" w:rsidP="002E60FD">
            <w:pPr>
              <w:rPr>
                <w:sz w:val="22"/>
              </w:rPr>
            </w:pPr>
            <w:r w:rsidRPr="00A82984">
              <w:rPr>
                <w:sz w:val="22"/>
              </w:rPr>
              <w:t>Efectos de timol, cinamaldehido y una preparación comercial de componentes del aceite esencial</w:t>
            </w:r>
          </w:p>
        </w:tc>
        <w:tc>
          <w:tcPr>
            <w:tcW w:w="1251" w:type="dxa"/>
          </w:tcPr>
          <w:p w14:paraId="5A25C501" w14:textId="77777777" w:rsidR="003C3468" w:rsidRPr="00A82984" w:rsidRDefault="003C3468" w:rsidP="002E60FD">
            <w:pPr>
              <w:rPr>
                <w:sz w:val="22"/>
              </w:rPr>
            </w:pPr>
            <w:r w:rsidRPr="00A82984">
              <w:rPr>
                <w:sz w:val="22"/>
              </w:rPr>
              <w:t>Pollos hebras de engorda</w:t>
            </w:r>
          </w:p>
        </w:tc>
        <w:tc>
          <w:tcPr>
            <w:tcW w:w="3163" w:type="dxa"/>
          </w:tcPr>
          <w:p w14:paraId="76039C97" w14:textId="77777777" w:rsidR="003C3468" w:rsidRPr="00A82984" w:rsidRDefault="003C3468" w:rsidP="002E60FD">
            <w:pPr>
              <w:rPr>
                <w:sz w:val="22"/>
              </w:rPr>
            </w:pPr>
            <w:r w:rsidRPr="00A82984">
              <w:rPr>
                <w:sz w:val="22"/>
              </w:rPr>
              <w:t>No hubo diferencias significativas en el metabolismo de las aves</w:t>
            </w:r>
          </w:p>
        </w:tc>
      </w:tr>
      <w:tr w:rsidR="003C3468" w:rsidRPr="00A82984" w14:paraId="764B1BC8" w14:textId="77777777" w:rsidTr="00542D9F">
        <w:tc>
          <w:tcPr>
            <w:tcW w:w="1696" w:type="dxa"/>
          </w:tcPr>
          <w:p w14:paraId="746FD23B" w14:textId="68CF564D" w:rsidR="003C3468" w:rsidRPr="00A82984" w:rsidRDefault="003C3468" w:rsidP="002E60FD">
            <w:pPr>
              <w:rPr>
                <w:sz w:val="22"/>
                <w:lang w:val="en-US"/>
              </w:rPr>
            </w:pPr>
            <w:r w:rsidRPr="00A82984">
              <w:rPr>
                <w:sz w:val="22"/>
                <w:lang w:val="en-US"/>
              </w:rPr>
              <w:t xml:space="preserve">Botsoglou, Chistaki, Fletouris, Florou-Paneri </w:t>
            </w:r>
            <w:r w:rsidR="00991893" w:rsidRPr="00A82984">
              <w:rPr>
                <w:sz w:val="22"/>
                <w:lang w:val="en-US"/>
              </w:rPr>
              <w:t>y</w:t>
            </w:r>
            <w:r w:rsidRPr="00A82984">
              <w:rPr>
                <w:sz w:val="22"/>
                <w:lang w:val="en-US"/>
              </w:rPr>
              <w:t xml:space="preserve"> Spais</w:t>
            </w:r>
            <w:r w:rsidR="00991893" w:rsidRPr="00A82984">
              <w:rPr>
                <w:sz w:val="22"/>
                <w:lang w:val="en-US"/>
              </w:rPr>
              <w:t>,</w:t>
            </w:r>
            <w:r w:rsidRPr="00A82984">
              <w:rPr>
                <w:sz w:val="22"/>
                <w:lang w:val="en-US"/>
              </w:rPr>
              <w:t xml:space="preserve"> (2002)</w:t>
            </w:r>
          </w:p>
        </w:tc>
        <w:tc>
          <w:tcPr>
            <w:tcW w:w="2718" w:type="dxa"/>
            <w:vAlign w:val="center"/>
          </w:tcPr>
          <w:p w14:paraId="00E1102F" w14:textId="77777777" w:rsidR="003C3468" w:rsidRPr="00A82984" w:rsidRDefault="003C3468" w:rsidP="00542D9F">
            <w:pPr>
              <w:jc w:val="left"/>
              <w:rPr>
                <w:sz w:val="22"/>
              </w:rPr>
            </w:pPr>
            <w:r w:rsidRPr="00A82984">
              <w:rPr>
                <w:sz w:val="22"/>
              </w:rPr>
              <w:t>Aceite esencial de orégano</w:t>
            </w:r>
          </w:p>
        </w:tc>
        <w:tc>
          <w:tcPr>
            <w:tcW w:w="1251" w:type="dxa"/>
            <w:vAlign w:val="center"/>
          </w:tcPr>
          <w:p w14:paraId="55367A2B" w14:textId="77777777" w:rsidR="003C3468" w:rsidRPr="00A82984" w:rsidRDefault="003C3468" w:rsidP="00542D9F">
            <w:pPr>
              <w:jc w:val="left"/>
              <w:rPr>
                <w:sz w:val="22"/>
              </w:rPr>
            </w:pPr>
            <w:r w:rsidRPr="00A82984">
              <w:rPr>
                <w:sz w:val="22"/>
              </w:rPr>
              <w:t>Aves de corral</w:t>
            </w:r>
          </w:p>
        </w:tc>
        <w:tc>
          <w:tcPr>
            <w:tcW w:w="3163" w:type="dxa"/>
          </w:tcPr>
          <w:p w14:paraId="25F9AC13" w14:textId="77777777" w:rsidR="003C3468" w:rsidRPr="00A82984" w:rsidRDefault="003C3468" w:rsidP="002E60FD">
            <w:pPr>
              <w:rPr>
                <w:sz w:val="22"/>
              </w:rPr>
            </w:pPr>
            <w:r w:rsidRPr="00A82984">
              <w:rPr>
                <w:sz w:val="22"/>
              </w:rPr>
              <w:t>Se determinó la susceptibilidad de la pechuga y muslo de pollo tanto crudo como cocido en la oxidación lipídica durante el almacenamiento refrigerado por nueve días</w:t>
            </w:r>
          </w:p>
        </w:tc>
      </w:tr>
      <w:tr w:rsidR="003C3468" w:rsidRPr="00A82984" w14:paraId="10A9F3C8" w14:textId="77777777" w:rsidTr="00542D9F">
        <w:tc>
          <w:tcPr>
            <w:tcW w:w="1696" w:type="dxa"/>
          </w:tcPr>
          <w:p w14:paraId="3A75C16A" w14:textId="752EC5A0" w:rsidR="003C3468" w:rsidRPr="00A82984" w:rsidRDefault="003C3468" w:rsidP="002E60FD">
            <w:pPr>
              <w:rPr>
                <w:sz w:val="22"/>
              </w:rPr>
            </w:pPr>
            <w:r w:rsidRPr="00A82984">
              <w:rPr>
                <w:sz w:val="22"/>
              </w:rPr>
              <w:t xml:space="preserve">Hernández, Madrid, García, Orego </w:t>
            </w:r>
            <w:r w:rsidR="00991893" w:rsidRPr="00A82984">
              <w:rPr>
                <w:sz w:val="22"/>
              </w:rPr>
              <w:t>y</w:t>
            </w:r>
            <w:r w:rsidRPr="00A82984">
              <w:rPr>
                <w:sz w:val="22"/>
              </w:rPr>
              <w:t xml:space="preserve"> Megías</w:t>
            </w:r>
            <w:r w:rsidR="00991893" w:rsidRPr="00A82984">
              <w:rPr>
                <w:sz w:val="22"/>
              </w:rPr>
              <w:t>,</w:t>
            </w:r>
            <w:r w:rsidRPr="00A82984">
              <w:rPr>
                <w:sz w:val="22"/>
              </w:rPr>
              <w:t xml:space="preserve"> (2004)</w:t>
            </w:r>
          </w:p>
        </w:tc>
        <w:tc>
          <w:tcPr>
            <w:tcW w:w="2718" w:type="dxa"/>
          </w:tcPr>
          <w:p w14:paraId="5289DFCA" w14:textId="77777777" w:rsidR="003C3468" w:rsidRPr="00A82984" w:rsidRDefault="003C3468" w:rsidP="002E60FD">
            <w:pPr>
              <w:rPr>
                <w:sz w:val="22"/>
              </w:rPr>
            </w:pPr>
            <w:r w:rsidRPr="00A82984">
              <w:rPr>
                <w:sz w:val="22"/>
              </w:rPr>
              <w:t xml:space="preserve">Dos mezclas de aceites esenciales: </w:t>
            </w:r>
            <w:r w:rsidRPr="00A82984">
              <w:rPr>
                <w:i/>
                <w:iCs/>
                <w:sz w:val="22"/>
              </w:rPr>
              <w:t>Origanum vulgare</w:t>
            </w:r>
            <w:r w:rsidRPr="00A82984">
              <w:rPr>
                <w:sz w:val="22"/>
              </w:rPr>
              <w:t xml:space="preserve">, </w:t>
            </w:r>
            <w:r w:rsidRPr="00A82984">
              <w:rPr>
                <w:i/>
                <w:iCs/>
                <w:sz w:val="22"/>
              </w:rPr>
              <w:t>Cinnamomum verum</w:t>
            </w:r>
            <w:r w:rsidRPr="00A82984">
              <w:rPr>
                <w:sz w:val="22"/>
              </w:rPr>
              <w:t xml:space="preserve"> y </w:t>
            </w:r>
            <w:r w:rsidRPr="00A82984">
              <w:rPr>
                <w:i/>
                <w:iCs/>
                <w:sz w:val="22"/>
              </w:rPr>
              <w:t>Piper nigrum</w:t>
            </w:r>
            <w:r w:rsidRPr="00A82984">
              <w:rPr>
                <w:sz w:val="22"/>
              </w:rPr>
              <w:t xml:space="preserve"> y la segunda: </w:t>
            </w:r>
            <w:r w:rsidRPr="00A82984">
              <w:rPr>
                <w:i/>
                <w:iCs/>
                <w:sz w:val="22"/>
              </w:rPr>
              <w:t>Salvia officinalis</w:t>
            </w:r>
            <w:r w:rsidRPr="00A82984">
              <w:rPr>
                <w:sz w:val="22"/>
              </w:rPr>
              <w:t xml:space="preserve">, </w:t>
            </w:r>
            <w:r w:rsidRPr="00A82984">
              <w:rPr>
                <w:i/>
                <w:iCs/>
                <w:sz w:val="22"/>
              </w:rPr>
              <w:t>Thimus vulgaris</w:t>
            </w:r>
            <w:r w:rsidRPr="00A82984">
              <w:rPr>
                <w:sz w:val="22"/>
              </w:rPr>
              <w:t xml:space="preserve"> y </w:t>
            </w:r>
            <w:r w:rsidRPr="00A82984">
              <w:rPr>
                <w:i/>
                <w:iCs/>
                <w:sz w:val="22"/>
              </w:rPr>
              <w:t>Rosmarinus officinalis</w:t>
            </w:r>
            <w:r w:rsidRPr="00A82984">
              <w:rPr>
                <w:sz w:val="22"/>
              </w:rPr>
              <w:t xml:space="preserve"> </w:t>
            </w:r>
          </w:p>
        </w:tc>
        <w:tc>
          <w:tcPr>
            <w:tcW w:w="1251" w:type="dxa"/>
            <w:vAlign w:val="center"/>
          </w:tcPr>
          <w:p w14:paraId="0E5B31E3" w14:textId="77777777" w:rsidR="003C3468" w:rsidRPr="00A82984" w:rsidRDefault="003C3468" w:rsidP="00542D9F">
            <w:pPr>
              <w:jc w:val="left"/>
              <w:rPr>
                <w:sz w:val="22"/>
              </w:rPr>
            </w:pPr>
            <w:r w:rsidRPr="00A82984">
              <w:rPr>
                <w:sz w:val="22"/>
              </w:rPr>
              <w:t>Pollos de engorda</w:t>
            </w:r>
          </w:p>
        </w:tc>
        <w:tc>
          <w:tcPr>
            <w:tcW w:w="3163" w:type="dxa"/>
            <w:vAlign w:val="center"/>
          </w:tcPr>
          <w:p w14:paraId="5B957B59" w14:textId="77777777" w:rsidR="003C3468" w:rsidRPr="00A82984" w:rsidRDefault="003C3468" w:rsidP="00542D9F">
            <w:pPr>
              <w:jc w:val="left"/>
              <w:rPr>
                <w:sz w:val="22"/>
              </w:rPr>
            </w:pPr>
            <w:r w:rsidRPr="00A82984">
              <w:rPr>
                <w:sz w:val="22"/>
              </w:rPr>
              <w:t>Los cambios no son estadísticamente significativos</w:t>
            </w:r>
          </w:p>
        </w:tc>
      </w:tr>
      <w:tr w:rsidR="003C3468" w:rsidRPr="00A82984" w14:paraId="2C45C029" w14:textId="77777777" w:rsidTr="00542D9F">
        <w:tc>
          <w:tcPr>
            <w:tcW w:w="1696" w:type="dxa"/>
          </w:tcPr>
          <w:p w14:paraId="62F9E917" w14:textId="1E607C6B" w:rsidR="003C3468" w:rsidRPr="00A82984" w:rsidRDefault="003C3468" w:rsidP="002E60FD">
            <w:pPr>
              <w:rPr>
                <w:sz w:val="22"/>
              </w:rPr>
            </w:pPr>
            <w:r w:rsidRPr="00A82984">
              <w:rPr>
                <w:sz w:val="22"/>
              </w:rPr>
              <w:t xml:space="preserve">Nieto, Díaz, Bañón </w:t>
            </w:r>
            <w:r w:rsidR="00991893" w:rsidRPr="00A82984">
              <w:rPr>
                <w:sz w:val="22"/>
              </w:rPr>
              <w:t>y</w:t>
            </w:r>
            <w:r w:rsidRPr="00A82984">
              <w:rPr>
                <w:sz w:val="22"/>
              </w:rPr>
              <w:t xml:space="preserve"> Garrido</w:t>
            </w:r>
            <w:r w:rsidR="00991893" w:rsidRPr="00A82984">
              <w:rPr>
                <w:sz w:val="22"/>
              </w:rPr>
              <w:t>,</w:t>
            </w:r>
            <w:r w:rsidRPr="00A82984">
              <w:rPr>
                <w:sz w:val="22"/>
              </w:rPr>
              <w:t xml:space="preserve"> (2010a)</w:t>
            </w:r>
          </w:p>
        </w:tc>
        <w:tc>
          <w:tcPr>
            <w:tcW w:w="2718" w:type="dxa"/>
          </w:tcPr>
          <w:p w14:paraId="2870025B" w14:textId="77777777" w:rsidR="003C3468" w:rsidRPr="00A82984" w:rsidRDefault="003C3468" w:rsidP="002E60FD">
            <w:pPr>
              <w:rPr>
                <w:sz w:val="22"/>
              </w:rPr>
            </w:pPr>
            <w:r w:rsidRPr="00A82984">
              <w:rPr>
                <w:sz w:val="22"/>
              </w:rPr>
              <w:t xml:space="preserve">Destilado de hojas de </w:t>
            </w:r>
            <w:r w:rsidRPr="00A82984">
              <w:rPr>
                <w:i/>
                <w:iCs/>
                <w:sz w:val="22"/>
              </w:rPr>
              <w:t>Rosmarinus officinalis</w:t>
            </w:r>
          </w:p>
        </w:tc>
        <w:tc>
          <w:tcPr>
            <w:tcW w:w="1251" w:type="dxa"/>
            <w:vAlign w:val="center"/>
          </w:tcPr>
          <w:p w14:paraId="6C171F38" w14:textId="77777777" w:rsidR="003C3468" w:rsidRPr="00A82984" w:rsidRDefault="003C3468" w:rsidP="00542D9F">
            <w:pPr>
              <w:jc w:val="left"/>
              <w:rPr>
                <w:sz w:val="22"/>
              </w:rPr>
            </w:pPr>
            <w:r w:rsidRPr="00A82984">
              <w:rPr>
                <w:sz w:val="22"/>
              </w:rPr>
              <w:t>Ovejas gestantes</w:t>
            </w:r>
          </w:p>
        </w:tc>
        <w:tc>
          <w:tcPr>
            <w:tcW w:w="3163" w:type="dxa"/>
            <w:vAlign w:val="center"/>
          </w:tcPr>
          <w:p w14:paraId="4E159018" w14:textId="77777777" w:rsidR="003C3468" w:rsidRPr="00A82984" w:rsidRDefault="003C3468" w:rsidP="00542D9F">
            <w:pPr>
              <w:jc w:val="left"/>
              <w:rPr>
                <w:sz w:val="22"/>
              </w:rPr>
            </w:pPr>
            <w:r w:rsidRPr="00A82984">
              <w:rPr>
                <w:sz w:val="22"/>
              </w:rPr>
              <w:t>Sin resultados significativos</w:t>
            </w:r>
          </w:p>
        </w:tc>
      </w:tr>
      <w:tr w:rsidR="003C3468" w:rsidRPr="00A82984" w14:paraId="143BBA63" w14:textId="77777777" w:rsidTr="002E60FD">
        <w:tc>
          <w:tcPr>
            <w:tcW w:w="1696" w:type="dxa"/>
          </w:tcPr>
          <w:p w14:paraId="0AE9BDC3" w14:textId="7691E0EC" w:rsidR="003C3468" w:rsidRPr="00A82984" w:rsidRDefault="003C3468" w:rsidP="002E60FD">
            <w:pPr>
              <w:rPr>
                <w:sz w:val="22"/>
              </w:rPr>
            </w:pPr>
            <w:r w:rsidRPr="00A82984">
              <w:rPr>
                <w:sz w:val="22"/>
              </w:rPr>
              <w:t xml:space="preserve">Nieto, Díaz, Bañón </w:t>
            </w:r>
            <w:r w:rsidR="00991893" w:rsidRPr="00A82984">
              <w:rPr>
                <w:sz w:val="22"/>
              </w:rPr>
              <w:t>y</w:t>
            </w:r>
            <w:r w:rsidRPr="00A82984">
              <w:rPr>
                <w:sz w:val="22"/>
              </w:rPr>
              <w:t xml:space="preserve"> Garrido</w:t>
            </w:r>
            <w:r w:rsidR="00991893" w:rsidRPr="00A82984">
              <w:rPr>
                <w:sz w:val="22"/>
              </w:rPr>
              <w:t>,</w:t>
            </w:r>
            <w:r w:rsidRPr="00A82984">
              <w:rPr>
                <w:sz w:val="22"/>
              </w:rPr>
              <w:t xml:space="preserve"> (2010b)</w:t>
            </w:r>
          </w:p>
        </w:tc>
        <w:tc>
          <w:tcPr>
            <w:tcW w:w="2718" w:type="dxa"/>
          </w:tcPr>
          <w:p w14:paraId="4421A5A6" w14:textId="77777777" w:rsidR="003C3468" w:rsidRPr="00A82984" w:rsidRDefault="003C3468" w:rsidP="002E60FD">
            <w:pPr>
              <w:rPr>
                <w:sz w:val="22"/>
              </w:rPr>
            </w:pPr>
            <w:r w:rsidRPr="00A82984">
              <w:rPr>
                <w:sz w:val="22"/>
              </w:rPr>
              <w:t xml:space="preserve">Inclusión de hojas de </w:t>
            </w:r>
            <w:r w:rsidRPr="00A82984">
              <w:rPr>
                <w:i/>
                <w:iCs/>
                <w:sz w:val="22"/>
              </w:rPr>
              <w:t>Thimus vulgaris</w:t>
            </w:r>
          </w:p>
        </w:tc>
        <w:tc>
          <w:tcPr>
            <w:tcW w:w="1251" w:type="dxa"/>
          </w:tcPr>
          <w:p w14:paraId="59DCB9E7" w14:textId="77777777" w:rsidR="003C3468" w:rsidRPr="00A82984" w:rsidRDefault="003C3468" w:rsidP="002E60FD">
            <w:pPr>
              <w:rPr>
                <w:sz w:val="22"/>
              </w:rPr>
            </w:pPr>
            <w:r w:rsidRPr="00A82984">
              <w:rPr>
                <w:sz w:val="22"/>
              </w:rPr>
              <w:t>Ovejas gestantes</w:t>
            </w:r>
          </w:p>
        </w:tc>
        <w:tc>
          <w:tcPr>
            <w:tcW w:w="3163" w:type="dxa"/>
          </w:tcPr>
          <w:p w14:paraId="03D4C2A4" w14:textId="77777777" w:rsidR="003C3468" w:rsidRPr="00A82984" w:rsidRDefault="003C3468" w:rsidP="002E60FD">
            <w:pPr>
              <w:rPr>
                <w:sz w:val="22"/>
              </w:rPr>
            </w:pPr>
            <w:r w:rsidRPr="00A82984">
              <w:rPr>
                <w:sz w:val="22"/>
              </w:rPr>
              <w:t>El deterioro bacteriano y la estabilidad oxidativa de la carne en atmosfera modificada, sin significación</w:t>
            </w:r>
          </w:p>
        </w:tc>
      </w:tr>
    </w:tbl>
    <w:p w14:paraId="526A3344" w14:textId="2F0EE7E9" w:rsidR="003C3468" w:rsidRPr="00D1290A" w:rsidRDefault="003C3468" w:rsidP="003C3468">
      <w:pPr>
        <w:pStyle w:val="Sinespaciado"/>
        <w:rPr>
          <w:sz w:val="18"/>
          <w:szCs w:val="18"/>
        </w:rPr>
      </w:pPr>
      <w:r w:rsidRPr="00D1290A">
        <w:rPr>
          <w:sz w:val="18"/>
          <w:szCs w:val="18"/>
        </w:rPr>
        <w:t xml:space="preserve">Fuente: </w:t>
      </w:r>
      <w:r w:rsidR="009E7F14">
        <w:rPr>
          <w:sz w:val="18"/>
          <w:szCs w:val="18"/>
        </w:rPr>
        <w:t xml:space="preserve">Elaboración </w:t>
      </w:r>
      <w:r w:rsidRPr="00D1290A">
        <w:rPr>
          <w:sz w:val="18"/>
          <w:szCs w:val="18"/>
        </w:rPr>
        <w:t>propia</w:t>
      </w:r>
      <w:r w:rsidR="009E7F14">
        <w:rPr>
          <w:sz w:val="18"/>
          <w:szCs w:val="18"/>
        </w:rPr>
        <w:t xml:space="preserve"> con base en los autores citados.</w:t>
      </w:r>
    </w:p>
    <w:p w14:paraId="4F3DA699" w14:textId="6269187B" w:rsidR="003C3468" w:rsidRDefault="003C3468" w:rsidP="003C3468">
      <w:pPr>
        <w:pStyle w:val="Sinespaciado"/>
        <w:rPr>
          <w:sz w:val="20"/>
          <w:szCs w:val="20"/>
        </w:rPr>
      </w:pPr>
    </w:p>
    <w:p w14:paraId="0F17F869" w14:textId="77777777" w:rsidR="00A82984" w:rsidRDefault="00A82984" w:rsidP="00542D9F">
      <w:pPr>
        <w:rPr>
          <w:b/>
        </w:rPr>
      </w:pPr>
    </w:p>
    <w:p w14:paraId="3FC5DCFA" w14:textId="77777777" w:rsidR="00A82984" w:rsidRDefault="00A82984" w:rsidP="00542D9F">
      <w:pPr>
        <w:rPr>
          <w:b/>
        </w:rPr>
      </w:pPr>
    </w:p>
    <w:p w14:paraId="62AEAA13" w14:textId="25A1805B" w:rsidR="004001B3" w:rsidRPr="00542D9F" w:rsidRDefault="004410D7" w:rsidP="00542D9F">
      <w:pPr>
        <w:rPr>
          <w:b/>
        </w:rPr>
      </w:pPr>
      <w:r w:rsidRPr="00542D9F">
        <w:rPr>
          <w:b/>
        </w:rPr>
        <w:lastRenderedPageBreak/>
        <w:t xml:space="preserve">3.2 </w:t>
      </w:r>
      <w:r w:rsidR="004001B3" w:rsidRPr="00542D9F">
        <w:rPr>
          <w:b/>
        </w:rPr>
        <w:t>SUSTENTABILIDAD</w:t>
      </w:r>
    </w:p>
    <w:p w14:paraId="61BF745E" w14:textId="77777777" w:rsidR="004001B3" w:rsidRDefault="004001B3" w:rsidP="00542D9F">
      <w:r>
        <w:t>La sostenibilidad es un término que ha sido utilizado en diferentes momentos de la historia; los grupos originarios lo han incluido en la cosmovisión de su población, y otros han hecho referencia de la explotación de los recursos naturales por el desarrollo económico (García y Vergara, 2000), en el Informe Brundtland se estructura un concepto, que es aceptado por diversas instituciones internacionales bajo la postura de desarrollo sostenible en el que se involucra a “la humanidad para la satisfacción de las necesidades del presente sin comprometer la capacidad de las futuras generaciones para satisfacer las propias” (Organización de las Naciones Unidas, 1987, p.23).</w:t>
      </w:r>
    </w:p>
    <w:p w14:paraId="08E01DBB" w14:textId="77777777" w:rsidR="004001B3" w:rsidRDefault="004001B3" w:rsidP="00542D9F">
      <w:r>
        <w:t xml:space="preserve">Para llegar a la meta del Informe Brundtland, se establecen relaciones entre </w:t>
      </w:r>
      <w:bookmarkStart w:id="4" w:name="_Hlk46436141"/>
      <w:r>
        <w:t>el desarrollo económico y el medio ambiente siendo el intermediario el Estado, como regulador y difusor de los recursos naturales y la calidad ambiental</w:t>
      </w:r>
      <w:bookmarkEnd w:id="4"/>
      <w:r>
        <w:t xml:space="preserve">. De acuerdo con el modelo económico presente, la sobreexplotación del ambiente y el aumento de la pobreza, son predominantes, lo que rompe con la solidaridad intergeneracional. En el aspecto social, el crecimiento poblacional es determinado por la disponibilidad de los recursos necesarios para la subsistencia de los seres humanos (Gómez, 2015). </w:t>
      </w:r>
    </w:p>
    <w:p w14:paraId="18E151C6" w14:textId="575BAF03" w:rsidR="004001B3" w:rsidRDefault="004001B3" w:rsidP="00542D9F">
      <w:r w:rsidRPr="009D5269">
        <w:t>El paradigma de la s</w:t>
      </w:r>
      <w:r>
        <w:t>o</w:t>
      </w:r>
      <w:r w:rsidRPr="009D5269">
        <w:t>sten</w:t>
      </w:r>
      <w:r>
        <w:t>i</w:t>
      </w:r>
      <w:r w:rsidRPr="009D5269">
        <w:t xml:space="preserve">bilidad supone </w:t>
      </w:r>
      <w:r>
        <w:t>un</w:t>
      </w:r>
      <w:r w:rsidRPr="009D5269">
        <w:t xml:space="preserve"> crecimiento definido como incremento monetario del producto y constituye un componente intrínseco de la insustentabilidad actual; por otro lado, para que exista el desarrollo es necesario, más que la simple acumulación de bienes y de servicios</w:t>
      </w:r>
      <w:r w:rsidR="00CE113C">
        <w:t>,</w:t>
      </w:r>
      <w:r>
        <w:t xml:space="preserve"> </w:t>
      </w:r>
      <w:r w:rsidRPr="009D5269">
        <w:t>incluyen dimensiones sociales, estéticas y de satisfacción de necesidades materiales y espirituales (</w:t>
      </w:r>
      <w:r w:rsidRPr="00BE0D43">
        <w:t>Guimar</w:t>
      </w:r>
      <w:r w:rsidRPr="00BE0D43">
        <w:rPr>
          <w:rFonts w:cs="Arial"/>
        </w:rPr>
        <w:t>ã</w:t>
      </w:r>
      <w:r w:rsidRPr="00BE0D43">
        <w:t>es</w:t>
      </w:r>
      <w:r w:rsidRPr="009D5269">
        <w:t>, 2003)</w:t>
      </w:r>
      <w:r>
        <w:t>.</w:t>
      </w:r>
    </w:p>
    <w:p w14:paraId="170ACD4F" w14:textId="718588F5" w:rsidR="004001B3" w:rsidRDefault="004001B3" w:rsidP="00542D9F">
      <w:pPr>
        <w:rPr>
          <w:rFonts w:cs="Arial"/>
        </w:rPr>
      </w:pPr>
      <w:r>
        <w:t xml:space="preserve">Forma parte de </w:t>
      </w:r>
      <w:bookmarkStart w:id="5" w:name="_Hlk53854011"/>
      <w:r>
        <w:t xml:space="preserve">un modelo dominante de desarrollo sustentable y es coincidente con el concepto de </w:t>
      </w:r>
      <w:r w:rsidR="00542D9F">
        <w:t>s</w:t>
      </w:r>
      <w:r>
        <w:t>ostenibilidad débil (</w:t>
      </w:r>
      <w:r w:rsidRPr="00BE0D43">
        <w:t>García</w:t>
      </w:r>
      <w:r w:rsidRPr="001F582B">
        <w:t xml:space="preserve"> </w:t>
      </w:r>
      <w:r>
        <w:t>y</w:t>
      </w:r>
      <w:r w:rsidRPr="001F582B">
        <w:t xml:space="preserve"> Vergara,</w:t>
      </w:r>
      <w:r>
        <w:t xml:space="preserve"> </w:t>
      </w:r>
      <w:r w:rsidRPr="001F582B">
        <w:t>2000</w:t>
      </w:r>
      <w:r>
        <w:t xml:space="preserve">; </w:t>
      </w:r>
      <w:r w:rsidRPr="00BE0D43">
        <w:t>Gudynas</w:t>
      </w:r>
      <w:r>
        <w:t>, 2003</w:t>
      </w:r>
      <w:r w:rsidRPr="001F582B">
        <w:t>)</w:t>
      </w:r>
      <w:r>
        <w:t xml:space="preserve"> concepto que es incompatible entre el crecimiento económico y la conservación de </w:t>
      </w:r>
      <w:r>
        <w:lastRenderedPageBreak/>
        <w:t xml:space="preserve">la naturaleza bajo el paradigma mecanicista y reduccionista </w:t>
      </w:r>
      <w:r w:rsidRPr="00621264">
        <w:rPr>
          <w:rFonts w:cs="Arial"/>
        </w:rPr>
        <w:t xml:space="preserve">propio del modelo económico actual.   </w:t>
      </w:r>
      <w:bookmarkEnd w:id="5"/>
      <w:r w:rsidRPr="00621264">
        <w:rPr>
          <w:rFonts w:cs="Arial"/>
        </w:rPr>
        <w:t xml:space="preserve"> </w:t>
      </w:r>
    </w:p>
    <w:p w14:paraId="22EAEA12" w14:textId="0F7BC299" w:rsidR="00B56CC7" w:rsidRPr="00B56CC7" w:rsidRDefault="00B56CC7" w:rsidP="00542D9F">
      <w:r w:rsidRPr="00426733">
        <w:t xml:space="preserve">Los términos de sostenibilidad y sustentabilidad se utilizan de manera indistinta, aunque existen postras que hacen que se diferencien una de la otra. La sostenibilidad es la respuesta al concepto del Informe Brundtland. En cambio, la sustentabilidad desde </w:t>
      </w:r>
      <w:r w:rsidR="001B6861">
        <w:t xml:space="preserve">la postura de </w:t>
      </w:r>
      <w:r w:rsidRPr="00426733">
        <w:t>las corrientes latinoamericanas</w:t>
      </w:r>
      <w:r w:rsidR="001B6861">
        <w:t xml:space="preserve"> (Leff, 2006</w:t>
      </w:r>
      <w:r w:rsidR="00463EE5">
        <w:t>)</w:t>
      </w:r>
      <w:r>
        <w:t>,</w:t>
      </w:r>
      <w:r w:rsidRPr="00426733">
        <w:t xml:space="preserve"> se posiciona desde </w:t>
      </w:r>
      <w:r w:rsidR="0034641C">
        <w:t>la</w:t>
      </w:r>
      <w:r w:rsidRPr="00426733">
        <w:t xml:space="preserve"> ética frente a la vida</w:t>
      </w:r>
      <w:r w:rsidR="0034641C">
        <w:t>,</w:t>
      </w:r>
      <w:r w:rsidRPr="00426733">
        <w:t xml:space="preserve"> con valores de solidaridad de la humanidad para con el planeta, siendo el objetivo la refundación de la racionalidad productiva</w:t>
      </w:r>
      <w:r w:rsidR="00463EE5">
        <w:t xml:space="preserve"> (Leff, 2006) </w:t>
      </w:r>
      <w:r w:rsidRPr="00426733">
        <w:t>económicamente sustentable condicionada por principios ecológicos, morales y culturales.</w:t>
      </w:r>
      <w:r w:rsidR="00463EE5">
        <w:t xml:space="preserve"> Por lo que busca nuevos modos de producción fundamentado en el reconocimiento de la capacidad de la naturaleza y cultura</w:t>
      </w:r>
      <w:r w:rsidR="00075C77">
        <w:t>, y no solo de la explotación de recursos naturales como generadores de ingresos (</w:t>
      </w:r>
      <w:r w:rsidR="00075C77" w:rsidRPr="0034641C">
        <w:rPr>
          <w:color w:val="000000"/>
        </w:rPr>
        <w:t xml:space="preserve">Rivera-Hernández, Blanco-Orozco, Alcántara-Salinas, Houbron </w:t>
      </w:r>
      <w:r w:rsidR="00075C77">
        <w:rPr>
          <w:color w:val="000000"/>
        </w:rPr>
        <w:t>y</w:t>
      </w:r>
      <w:r w:rsidR="00075C77" w:rsidRPr="0034641C">
        <w:rPr>
          <w:color w:val="000000"/>
        </w:rPr>
        <w:t xml:space="preserve"> Pérez-Sato, 2017).</w:t>
      </w:r>
    </w:p>
    <w:p w14:paraId="147301E7" w14:textId="19DB1045" w:rsidR="004001B3" w:rsidRDefault="004001B3" w:rsidP="00542D9F">
      <w:pPr>
        <w:pStyle w:val="NormalWeb"/>
        <w:spacing w:line="360" w:lineRule="auto"/>
        <w:jc w:val="both"/>
        <w:rPr>
          <w:rFonts w:ascii="Arial" w:hAnsi="Arial" w:cs="Arial"/>
        </w:rPr>
      </w:pPr>
      <w:bookmarkStart w:id="6" w:name="_Hlk53865467"/>
      <w:r>
        <w:rPr>
          <w:rFonts w:ascii="Arial" w:hAnsi="Arial" w:cs="Arial"/>
        </w:rPr>
        <w:t>La s</w:t>
      </w:r>
      <w:r w:rsidRPr="00621264">
        <w:rPr>
          <w:rFonts w:ascii="Arial" w:hAnsi="Arial" w:cs="Arial"/>
        </w:rPr>
        <w:t>ustentab</w:t>
      </w:r>
      <w:r>
        <w:rPr>
          <w:rFonts w:ascii="Arial" w:hAnsi="Arial" w:cs="Arial"/>
        </w:rPr>
        <w:t>ilidad</w:t>
      </w:r>
      <w:r w:rsidRPr="00621264">
        <w:rPr>
          <w:rFonts w:ascii="Arial" w:hAnsi="Arial" w:cs="Arial"/>
        </w:rPr>
        <w:t xml:space="preserve"> no puede ser simplificad</w:t>
      </w:r>
      <w:r>
        <w:rPr>
          <w:rFonts w:ascii="Arial" w:hAnsi="Arial" w:cs="Arial"/>
        </w:rPr>
        <w:t>a</w:t>
      </w:r>
      <w:r w:rsidRPr="00621264">
        <w:rPr>
          <w:rFonts w:ascii="Arial" w:hAnsi="Arial" w:cs="Arial"/>
        </w:rPr>
        <w:t xml:space="preserve"> </w:t>
      </w:r>
      <w:r>
        <w:rPr>
          <w:rFonts w:ascii="Arial" w:hAnsi="Arial" w:cs="Arial"/>
        </w:rPr>
        <w:t>por</w:t>
      </w:r>
      <w:r w:rsidRPr="00621264">
        <w:rPr>
          <w:rFonts w:ascii="Arial" w:hAnsi="Arial" w:cs="Arial"/>
        </w:rPr>
        <w:t xml:space="preserve"> una ciencia </w:t>
      </w:r>
      <w:bookmarkStart w:id="7" w:name="_Hlk46437684"/>
      <w:r w:rsidRPr="00621264">
        <w:rPr>
          <w:rFonts w:ascii="Arial" w:hAnsi="Arial" w:cs="Arial"/>
        </w:rPr>
        <w:t xml:space="preserve">dominante, eurocéntrica y hegemónica. </w:t>
      </w:r>
      <w:bookmarkEnd w:id="7"/>
      <w:r w:rsidRPr="00621264">
        <w:rPr>
          <w:rFonts w:ascii="Arial" w:hAnsi="Arial" w:cs="Arial"/>
        </w:rPr>
        <w:t xml:space="preserve">La intervención de múltiples conocimientos, como </w:t>
      </w:r>
      <w:bookmarkStart w:id="8" w:name="_Hlk46438062"/>
      <w:r w:rsidRPr="00621264">
        <w:rPr>
          <w:rFonts w:ascii="Arial" w:hAnsi="Arial" w:cs="Arial"/>
        </w:rPr>
        <w:t>la sabiduría de los pueblos indígenas originarios, que no forman parte de las ciencias occidentales modernas</w:t>
      </w:r>
      <w:r>
        <w:t>,</w:t>
      </w:r>
      <w:r>
        <w:rPr>
          <w:rFonts w:ascii="Arial" w:hAnsi="Arial" w:cs="Arial"/>
        </w:rPr>
        <w:t xml:space="preserve"> las cuales pueden ser denominadas </w:t>
      </w:r>
      <w:r w:rsidRPr="00412DB4">
        <w:rPr>
          <w:rFonts w:ascii="Arial" w:hAnsi="Arial" w:cs="Arial"/>
          <w:i/>
          <w:iCs/>
        </w:rPr>
        <w:t>ciencias endógenas</w:t>
      </w:r>
      <w:r>
        <w:rPr>
          <w:rFonts w:ascii="Arial" w:hAnsi="Arial" w:cs="Arial"/>
        </w:rPr>
        <w:t xml:space="preserve">, </w:t>
      </w:r>
      <w:r w:rsidRPr="00412DB4">
        <w:rPr>
          <w:rFonts w:ascii="Arial" w:hAnsi="Arial" w:cs="Arial"/>
          <w:i/>
          <w:iCs/>
        </w:rPr>
        <w:t>ciencias indígenas</w:t>
      </w:r>
      <w:r>
        <w:rPr>
          <w:rFonts w:ascii="Arial" w:hAnsi="Arial" w:cs="Arial"/>
        </w:rPr>
        <w:t xml:space="preserve"> o </w:t>
      </w:r>
      <w:r w:rsidRPr="00412DB4">
        <w:rPr>
          <w:rFonts w:ascii="Arial" w:hAnsi="Arial" w:cs="Arial"/>
          <w:i/>
          <w:iCs/>
        </w:rPr>
        <w:t>conocimientos tradicionales</w:t>
      </w:r>
      <w:r>
        <w:rPr>
          <w:rFonts w:ascii="Arial" w:hAnsi="Arial" w:cs="Arial"/>
        </w:rPr>
        <w:t xml:space="preserve"> (</w:t>
      </w:r>
      <w:r w:rsidRPr="001F4193">
        <w:rPr>
          <w:rFonts w:ascii="Arial" w:hAnsi="Arial" w:cs="Arial"/>
        </w:rPr>
        <w:t>Argueta y Pérez, 2019;</w:t>
      </w:r>
      <w:r>
        <w:rPr>
          <w:rFonts w:ascii="Arial" w:hAnsi="Arial" w:cs="Arial"/>
        </w:rPr>
        <w:t xml:space="preserve"> </w:t>
      </w:r>
      <w:r w:rsidRPr="00BE0D43">
        <w:rPr>
          <w:rFonts w:ascii="Arial" w:hAnsi="Arial" w:cs="Arial"/>
        </w:rPr>
        <w:t>Have</w:t>
      </w:r>
      <w:r>
        <w:rPr>
          <w:rFonts w:ascii="Arial" w:hAnsi="Arial" w:cs="Arial"/>
        </w:rPr>
        <w:t>r</w:t>
      </w:r>
      <w:r w:rsidRPr="00BE0D43">
        <w:rPr>
          <w:rFonts w:ascii="Arial" w:hAnsi="Arial" w:cs="Arial"/>
        </w:rPr>
        <w:t>kort</w:t>
      </w:r>
      <w:r>
        <w:rPr>
          <w:rFonts w:ascii="Arial" w:hAnsi="Arial" w:cs="Arial"/>
        </w:rPr>
        <w:t>, Delgado, Millar y Shankar, 2016).</w:t>
      </w:r>
      <w:bookmarkEnd w:id="8"/>
      <w:r w:rsidR="00AD2993">
        <w:rPr>
          <w:rFonts w:ascii="Arial" w:hAnsi="Arial" w:cs="Arial"/>
        </w:rPr>
        <w:t xml:space="preserve"> Forman parte de la transmisión del conocimiento empírico aplicado</w:t>
      </w:r>
      <w:r w:rsidR="00712D81">
        <w:rPr>
          <w:rFonts w:ascii="Arial" w:hAnsi="Arial" w:cs="Arial"/>
        </w:rPr>
        <w:t xml:space="preserve"> en la relación entre la naturaleza, economía y sociedad.</w:t>
      </w:r>
    </w:p>
    <w:p w14:paraId="1B1CC938" w14:textId="2AE41B03" w:rsidR="004001B3" w:rsidRDefault="004001B3" w:rsidP="00542D9F">
      <w:pPr>
        <w:pStyle w:val="NormalWeb"/>
        <w:spacing w:line="360" w:lineRule="auto"/>
        <w:jc w:val="both"/>
        <w:rPr>
          <w:rFonts w:ascii="Arial" w:hAnsi="Arial" w:cs="Arial"/>
        </w:rPr>
      </w:pPr>
      <w:r>
        <w:rPr>
          <w:rFonts w:ascii="Arial" w:hAnsi="Arial" w:cs="Arial"/>
        </w:rPr>
        <w:t>Las ciencias endógenas son una herramienta para</w:t>
      </w:r>
      <w:r w:rsidRPr="009D5269">
        <w:t xml:space="preserve"> </w:t>
      </w:r>
      <w:r w:rsidRPr="005E2068">
        <w:rPr>
          <w:rFonts w:ascii="Arial" w:hAnsi="Arial" w:cs="Arial"/>
        </w:rPr>
        <w:t xml:space="preserve">tratar de alcanzar </w:t>
      </w:r>
      <w:r w:rsidR="00A47779">
        <w:rPr>
          <w:rFonts w:ascii="Arial" w:hAnsi="Arial" w:cs="Arial"/>
        </w:rPr>
        <w:t>a la</w:t>
      </w:r>
      <w:r w:rsidRPr="005E2068">
        <w:rPr>
          <w:rFonts w:ascii="Arial" w:hAnsi="Arial" w:cs="Arial"/>
        </w:rPr>
        <w:t xml:space="preserve"> sustentabilidad</w:t>
      </w:r>
      <w:r>
        <w:rPr>
          <w:rFonts w:ascii="Arial" w:hAnsi="Arial" w:cs="Arial"/>
        </w:rPr>
        <w:t xml:space="preserve"> por</w:t>
      </w:r>
      <w:r w:rsidRPr="005E2068">
        <w:rPr>
          <w:rFonts w:ascii="Arial" w:hAnsi="Arial" w:cs="Arial"/>
        </w:rPr>
        <w:t xml:space="preserve"> </w:t>
      </w:r>
      <w:r>
        <w:rPr>
          <w:rFonts w:ascii="Arial" w:hAnsi="Arial" w:cs="Arial"/>
        </w:rPr>
        <w:t>l</w:t>
      </w:r>
      <w:r w:rsidRPr="005E2068">
        <w:rPr>
          <w:rFonts w:ascii="Arial" w:hAnsi="Arial" w:cs="Arial"/>
        </w:rPr>
        <w:t xml:space="preserve">as nociones </w:t>
      </w:r>
      <w:r>
        <w:rPr>
          <w:rFonts w:ascii="Arial" w:hAnsi="Arial" w:cs="Arial"/>
        </w:rPr>
        <w:t xml:space="preserve">ideológicas </w:t>
      </w:r>
      <w:r w:rsidRPr="005E2068">
        <w:rPr>
          <w:rFonts w:ascii="Arial" w:hAnsi="Arial" w:cs="Arial"/>
        </w:rPr>
        <w:t xml:space="preserve">de </w:t>
      </w:r>
      <w:r w:rsidRPr="00972335">
        <w:rPr>
          <w:rFonts w:ascii="Arial" w:hAnsi="Arial" w:cs="Arial"/>
        </w:rPr>
        <w:t>permanencia</w:t>
      </w:r>
      <w:r w:rsidRPr="005E2068">
        <w:rPr>
          <w:rFonts w:ascii="Arial" w:hAnsi="Arial" w:cs="Arial"/>
        </w:rPr>
        <w:t xml:space="preserve"> </w:t>
      </w:r>
      <w:r>
        <w:rPr>
          <w:rFonts w:ascii="Arial" w:hAnsi="Arial" w:cs="Arial"/>
        </w:rPr>
        <w:t>d</w:t>
      </w:r>
      <w:r w:rsidRPr="005E2068">
        <w:rPr>
          <w:rFonts w:ascii="Arial" w:hAnsi="Arial" w:cs="Arial"/>
        </w:rPr>
        <w:t xml:space="preserve">el entorno socioambiental y de </w:t>
      </w:r>
      <w:r w:rsidRPr="00972335">
        <w:rPr>
          <w:rFonts w:ascii="Arial" w:hAnsi="Arial" w:cs="Arial"/>
        </w:rPr>
        <w:t>equidad</w:t>
      </w:r>
      <w:r w:rsidRPr="005E2068">
        <w:rPr>
          <w:rFonts w:ascii="Arial" w:hAnsi="Arial" w:cs="Arial"/>
        </w:rPr>
        <w:t xml:space="preserve"> referida a la justa distribución intra e intergeneracional de costos y beneficios, redefin</w:t>
      </w:r>
      <w:r>
        <w:rPr>
          <w:rFonts w:ascii="Arial" w:hAnsi="Arial" w:cs="Arial"/>
        </w:rPr>
        <w:t>ido</w:t>
      </w:r>
      <w:r w:rsidRPr="005E2068">
        <w:rPr>
          <w:rFonts w:ascii="Arial" w:hAnsi="Arial" w:cs="Arial"/>
        </w:rPr>
        <w:t xml:space="preserve"> continuamente como producto del devenir social y de su interacción con el medio ambiente (</w:t>
      </w:r>
      <w:r w:rsidRPr="00BE0D43">
        <w:rPr>
          <w:rFonts w:ascii="Arial" w:hAnsi="Arial" w:cs="Arial"/>
        </w:rPr>
        <w:t>Macías</w:t>
      </w:r>
      <w:r>
        <w:rPr>
          <w:rFonts w:ascii="Arial" w:hAnsi="Arial" w:cs="Arial"/>
        </w:rPr>
        <w:t xml:space="preserve"> y Téllez</w:t>
      </w:r>
      <w:r w:rsidRPr="005E2068">
        <w:rPr>
          <w:rFonts w:ascii="Arial" w:hAnsi="Arial" w:cs="Arial"/>
        </w:rPr>
        <w:t>, 2006)</w:t>
      </w:r>
      <w:r>
        <w:rPr>
          <w:rFonts w:ascii="Arial" w:hAnsi="Arial" w:cs="Arial"/>
        </w:rPr>
        <w:t xml:space="preserve">. Pueden ser </w:t>
      </w:r>
      <w:r w:rsidRPr="005E2068">
        <w:rPr>
          <w:rFonts w:ascii="Arial" w:hAnsi="Arial" w:cs="Arial"/>
        </w:rPr>
        <w:t>aplicable</w:t>
      </w:r>
      <w:r>
        <w:rPr>
          <w:rFonts w:ascii="Arial" w:hAnsi="Arial" w:cs="Arial"/>
        </w:rPr>
        <w:t>s</w:t>
      </w:r>
      <w:r w:rsidRPr="005E2068">
        <w:rPr>
          <w:rFonts w:ascii="Arial" w:hAnsi="Arial" w:cs="Arial"/>
        </w:rPr>
        <w:t xml:space="preserve"> a diferentes escalas (familiar y/o comunidad)</w:t>
      </w:r>
      <w:r w:rsidR="00542D9F">
        <w:rPr>
          <w:rFonts w:ascii="Arial" w:hAnsi="Arial" w:cs="Arial"/>
        </w:rPr>
        <w:t>,</w:t>
      </w:r>
      <w:r w:rsidRPr="005E2068">
        <w:rPr>
          <w:rFonts w:ascii="Arial" w:hAnsi="Arial" w:cs="Arial"/>
        </w:rPr>
        <w:t xml:space="preserve"> mantener un balance dinámico entre la demanda de equidad, prosperidad y una mejor calidad de vida en </w:t>
      </w:r>
      <w:r w:rsidRPr="005E2068">
        <w:rPr>
          <w:rFonts w:ascii="Arial" w:hAnsi="Arial" w:cs="Arial"/>
        </w:rPr>
        <w:lastRenderedPageBreak/>
        <w:t>una armonía entre el entorno a través de la sincronía entre la actualidad y en un tiempo más o menos definido (López, 2008).</w:t>
      </w:r>
    </w:p>
    <w:bookmarkEnd w:id="6"/>
    <w:p w14:paraId="3A603C11" w14:textId="0A4DDB2F" w:rsidR="004001B3" w:rsidRDefault="004001B3" w:rsidP="00542D9F">
      <w:pPr>
        <w:pStyle w:val="NormalWeb"/>
        <w:spacing w:line="360" w:lineRule="auto"/>
        <w:jc w:val="both"/>
        <w:rPr>
          <w:rFonts w:ascii="Arial" w:hAnsi="Arial" w:cs="Arial"/>
        </w:rPr>
      </w:pPr>
      <w:r w:rsidRPr="00DB54B9">
        <w:rPr>
          <w:rFonts w:ascii="Arial" w:hAnsi="Arial" w:cs="Arial"/>
        </w:rPr>
        <w:t xml:space="preserve">Es necesario generar un nuevo modelo civilizatorio, una </w:t>
      </w:r>
      <w:r w:rsidRPr="000E3D69">
        <w:rPr>
          <w:rFonts w:ascii="Arial" w:hAnsi="Arial" w:cs="Arial"/>
        </w:rPr>
        <w:t>modernidad alternativa</w:t>
      </w:r>
      <w:r w:rsidRPr="00DB54B9">
        <w:rPr>
          <w:rFonts w:ascii="Arial" w:hAnsi="Arial" w:cs="Arial"/>
        </w:rPr>
        <w:t>, cuya configuración no es solamente asunto técnico, económico, informático o educativo (</w:t>
      </w:r>
      <w:r w:rsidRPr="00BE0D43">
        <w:rPr>
          <w:rFonts w:ascii="Arial" w:hAnsi="Arial" w:cs="Arial"/>
        </w:rPr>
        <w:t>Toledo</w:t>
      </w:r>
      <w:r w:rsidR="00363705">
        <w:rPr>
          <w:rFonts w:ascii="Arial" w:hAnsi="Arial" w:cs="Arial"/>
        </w:rPr>
        <w:t xml:space="preserve"> y Ortiz-Espejel</w:t>
      </w:r>
      <w:r w:rsidRPr="00DB54B9">
        <w:rPr>
          <w:rFonts w:ascii="Arial" w:hAnsi="Arial" w:cs="Arial"/>
        </w:rPr>
        <w:t>, 201</w:t>
      </w:r>
      <w:r>
        <w:rPr>
          <w:rFonts w:ascii="Arial" w:hAnsi="Arial" w:cs="Arial"/>
        </w:rPr>
        <w:t>4</w:t>
      </w:r>
      <w:r w:rsidRPr="00DB54B9">
        <w:rPr>
          <w:rFonts w:ascii="Arial" w:hAnsi="Arial" w:cs="Arial"/>
        </w:rPr>
        <w:t>)</w:t>
      </w:r>
      <w:r>
        <w:rPr>
          <w:rFonts w:ascii="Arial" w:hAnsi="Arial" w:cs="Arial"/>
        </w:rPr>
        <w:t>. Dirigido a lo que Leff (</w:t>
      </w:r>
      <w:r w:rsidR="00363705">
        <w:rPr>
          <w:rFonts w:ascii="Arial" w:hAnsi="Arial" w:cs="Arial"/>
        </w:rPr>
        <w:t>2004</w:t>
      </w:r>
      <w:r>
        <w:rPr>
          <w:rFonts w:ascii="Arial" w:hAnsi="Arial" w:cs="Arial"/>
        </w:rPr>
        <w:t>) denomina racionalidad ambiental, e</w:t>
      </w:r>
      <w:r w:rsidRPr="00160560">
        <w:rPr>
          <w:rFonts w:ascii="Arial" w:hAnsi="Arial" w:cs="Arial"/>
        </w:rPr>
        <w:t xml:space="preserve">n el cual los recursos ambientales se convierten en potenciales capaces de reconstruir el proceso económico dentro de una racionalidad productiva, planeando </w:t>
      </w:r>
      <w:r w:rsidR="00363705">
        <w:rPr>
          <w:rFonts w:ascii="Arial" w:hAnsi="Arial" w:cs="Arial"/>
        </w:rPr>
        <w:t xml:space="preserve">como </w:t>
      </w:r>
      <w:r w:rsidRPr="00160560">
        <w:rPr>
          <w:rFonts w:ascii="Arial" w:hAnsi="Arial" w:cs="Arial"/>
        </w:rPr>
        <w:t>un proyecto social basado en la productividad de la naturaleza</w:t>
      </w:r>
      <w:r w:rsidR="00363705">
        <w:rPr>
          <w:rFonts w:ascii="Arial" w:hAnsi="Arial" w:cs="Arial"/>
        </w:rPr>
        <w:t>,</w:t>
      </w:r>
      <w:r w:rsidRPr="00160560">
        <w:rPr>
          <w:rFonts w:ascii="Arial" w:hAnsi="Arial" w:cs="Arial"/>
        </w:rPr>
        <w:t xml:space="preserve"> las autonomías culturales</w:t>
      </w:r>
      <w:r w:rsidR="00363705">
        <w:rPr>
          <w:rFonts w:ascii="Arial" w:hAnsi="Arial" w:cs="Arial"/>
        </w:rPr>
        <w:t xml:space="preserve"> y con beneficios a la comunidad</w:t>
      </w:r>
      <w:r>
        <w:rPr>
          <w:rFonts w:ascii="Arial" w:hAnsi="Arial" w:cs="Arial"/>
        </w:rPr>
        <w:t>.</w:t>
      </w:r>
      <w:r w:rsidR="00D65F39">
        <w:rPr>
          <w:rFonts w:ascii="Arial" w:hAnsi="Arial" w:cs="Arial"/>
        </w:rPr>
        <w:t xml:space="preserve"> Con la intervención activa de la comunidad </w:t>
      </w:r>
      <w:r w:rsidR="00EE1BD5">
        <w:rPr>
          <w:rFonts w:ascii="Arial" w:hAnsi="Arial" w:cs="Arial"/>
        </w:rPr>
        <w:t>en la calidad de vida mediante la identidad cultural y el sentido de la existencia.</w:t>
      </w:r>
    </w:p>
    <w:p w14:paraId="18ED2009" w14:textId="77777777" w:rsidR="004001B3" w:rsidRDefault="004001B3" w:rsidP="00542D9F">
      <w:r>
        <w:t>L</w:t>
      </w:r>
      <w:r w:rsidRPr="009D5269">
        <w:t>a inserción de nuevos paradigmas en los que se postula la preservación de la sociodiversidad</w:t>
      </w:r>
      <w:r>
        <w:t>,</w:t>
      </w:r>
      <w:r w:rsidRPr="009D5269">
        <w:t xml:space="preserve"> además de la biodiversidad, manteni</w:t>
      </w:r>
      <w:r>
        <w:t>endo</w:t>
      </w:r>
      <w:r w:rsidRPr="009D5269">
        <w:t xml:space="preserve"> el sistema de valores, prácticas y símbolos de identidad que permiten la reproducción del tejido social y </w:t>
      </w:r>
      <w:r>
        <w:t>su</w:t>
      </w:r>
      <w:r w:rsidRPr="009D5269">
        <w:t xml:space="preserve"> integración a través de</w:t>
      </w:r>
      <w:r>
        <w:t>l</w:t>
      </w:r>
      <w:r w:rsidRPr="009D5269">
        <w:t xml:space="preserve"> tiempo; incluye</w:t>
      </w:r>
      <w:r>
        <w:t>ndo</w:t>
      </w:r>
      <w:r w:rsidRPr="009D5269">
        <w:t xml:space="preserve"> la promoción de derechos constitucionales de las minorías y la incorporación de estas en políticas concretas de educación, demarcación y autonomía territorial, religiosidad y salud (Guimar</w:t>
      </w:r>
      <w:r w:rsidRPr="009D5269">
        <w:rPr>
          <w:rFonts w:cs="Arial"/>
        </w:rPr>
        <w:t>ã</w:t>
      </w:r>
      <w:r w:rsidRPr="009D5269">
        <w:t>es, 2003).</w:t>
      </w:r>
    </w:p>
    <w:p w14:paraId="5BF2B429" w14:textId="67DE4AA0" w:rsidR="004001B3" w:rsidRDefault="004001B3" w:rsidP="00542D9F">
      <w:r>
        <w:t xml:space="preserve">En relación con </w:t>
      </w:r>
      <w:bookmarkStart w:id="9" w:name="_Hlk46449814"/>
      <w:r>
        <w:t xml:space="preserve">los </w:t>
      </w:r>
      <w:r w:rsidRPr="008D2D66">
        <w:rPr>
          <w:i/>
          <w:iCs/>
        </w:rPr>
        <w:t>sistemas de saberes indígenas</w:t>
      </w:r>
      <w:r>
        <w:t xml:space="preserve"> (</w:t>
      </w:r>
      <w:r w:rsidRPr="00BE0D43">
        <w:t>Argueta</w:t>
      </w:r>
      <w:r>
        <w:t xml:space="preserve">, 2016; </w:t>
      </w:r>
      <w:r w:rsidRPr="00BE0D43">
        <w:t>Have</w:t>
      </w:r>
      <w:r>
        <w:t>r</w:t>
      </w:r>
      <w:r w:rsidRPr="00BE0D43">
        <w:t>kort</w:t>
      </w:r>
      <w:r w:rsidRPr="00D96821">
        <w:t xml:space="preserve">, </w:t>
      </w:r>
      <w:r w:rsidRPr="00F92279">
        <w:rPr>
          <w:i/>
          <w:iCs/>
        </w:rPr>
        <w:t>et. al</w:t>
      </w:r>
      <w:r w:rsidRPr="00D96821">
        <w:t>.,2016</w:t>
      </w:r>
      <w:r>
        <w:t xml:space="preserve">) o </w:t>
      </w:r>
      <w:r w:rsidRPr="008D2D66">
        <w:rPr>
          <w:i/>
          <w:iCs/>
        </w:rPr>
        <w:t>articulación de las ciencias</w:t>
      </w:r>
      <w:r>
        <w:t xml:space="preserve"> (</w:t>
      </w:r>
      <w:r w:rsidRPr="00BE0D43">
        <w:t>Leff</w:t>
      </w:r>
      <w:r>
        <w:t>, 2000), ambos conceptos convergen en reencontrar el conocimiento que ha sido desestimado pero que se generan, producen y se reproducen dentro de espacios comunales u originarios; para generar un dialogo bajo una complementariedad con bases claras, igualitarias y sin subordinación</w:t>
      </w:r>
      <w:bookmarkEnd w:id="9"/>
      <w:r>
        <w:t>, entre la ciencia tradicional con la ciencia normal (</w:t>
      </w:r>
      <w:r w:rsidRPr="00BE0D43">
        <w:t>Kuh</w:t>
      </w:r>
      <w:r w:rsidR="00670293">
        <w:t>n</w:t>
      </w:r>
      <w:r>
        <w:t>, 1975) y así contribuir a la solución de problemas de alimentación, salud, conservación de la biodiversidad y vida social.</w:t>
      </w:r>
    </w:p>
    <w:p w14:paraId="08F68042" w14:textId="0BA48A6C" w:rsidR="004001B3" w:rsidRDefault="004001B3" w:rsidP="00542D9F">
      <w:r>
        <w:t>Para lograr una complementariedad</w:t>
      </w:r>
      <w:r w:rsidR="00865C97">
        <w:t xml:space="preserve"> y complejidad</w:t>
      </w:r>
      <w:r>
        <w:t xml:space="preserve">, la ciencia tendrá que aventurarse a replantear y cuestionar las estructuras de pensamiento </w:t>
      </w:r>
      <w:r>
        <w:lastRenderedPageBreak/>
        <w:t>prestablecidas por la capitalización (Morin, 198</w:t>
      </w:r>
      <w:r w:rsidR="00E35F0B">
        <w:t>4</w:t>
      </w:r>
      <w:r>
        <w:t>) de verdades adquiridas y comprobables de la ciencia normal (Kuh</w:t>
      </w:r>
      <w:r w:rsidR="00865C97">
        <w:t>n</w:t>
      </w:r>
      <w:r>
        <w:t>, 1975). Al traspasar los l</w:t>
      </w:r>
      <w:r w:rsidR="00BE7D79">
        <w:t>í</w:t>
      </w:r>
      <w:r>
        <w:t xml:space="preserve">mites establecidos por la simplificación, será necesario desarrollar una forma de pensamiento </w:t>
      </w:r>
      <w:r w:rsidRPr="00937C5B">
        <w:t xml:space="preserve">recursivo, </w:t>
      </w:r>
      <w:r>
        <w:t xml:space="preserve">con la </w:t>
      </w:r>
      <w:r w:rsidRPr="00937C5B">
        <w:t>capa</w:t>
      </w:r>
      <w:r>
        <w:t>cidad</w:t>
      </w:r>
      <w:r w:rsidRPr="00937C5B">
        <w:t xml:space="preserve"> de </w:t>
      </w:r>
      <w:r>
        <w:t>determinar</w:t>
      </w:r>
      <w:r w:rsidRPr="00937C5B">
        <w:t xml:space="preserve"> bucles de retroalimentación en términos de conceptos</w:t>
      </w:r>
      <w:r>
        <w:t>,</w:t>
      </w:r>
      <w:r w:rsidRPr="00937C5B">
        <w:t xml:space="preserve"> tales como totalidad/parte, observador/observado</w:t>
      </w:r>
      <w:r>
        <w:t xml:space="preserve"> y</w:t>
      </w:r>
      <w:r w:rsidRPr="00937C5B">
        <w:t xml:space="preserve"> sistema/ecosistema, de tal forma que permanecen simultáneamente complementarias y antagonistas (</w:t>
      </w:r>
      <w:r w:rsidRPr="00BE0D43">
        <w:t>Morin</w:t>
      </w:r>
      <w:r w:rsidRPr="00937C5B">
        <w:t>, 199</w:t>
      </w:r>
      <w:r w:rsidR="00E35F0B">
        <w:t>4</w:t>
      </w:r>
      <w:r w:rsidRPr="00937C5B">
        <w:t>).</w:t>
      </w:r>
      <w:r>
        <w:t xml:space="preserve"> Dando paso a la complejidad y transdisciplinariedad necesarias para la reconsideración de la ciencia.</w:t>
      </w:r>
    </w:p>
    <w:p w14:paraId="73A32503" w14:textId="25267FFD" w:rsidR="004001B3" w:rsidRDefault="004001B3" w:rsidP="00542D9F">
      <w:r>
        <w:t xml:space="preserve">Para Morin (1999) la complejidad </w:t>
      </w:r>
      <w:r w:rsidR="00E773AD">
        <w:t>“</w:t>
      </w:r>
      <w:r>
        <w:t xml:space="preserve">busca las relaciones e inter-retro-acciones entre todo fenómeno y su contexto, las relaciones recíprocas entre el todo y las partes: cómo una modificación local repercute sobre el todo y cómo una modificación del todo repercute sobre las partes” (p. 27).   </w:t>
      </w:r>
    </w:p>
    <w:p w14:paraId="54CFD767" w14:textId="153995A2" w:rsidR="004001B3" w:rsidRDefault="004001B3" w:rsidP="00542D9F">
      <w:r>
        <w:t xml:space="preserve">De acuerdo con </w:t>
      </w:r>
      <w:r w:rsidRPr="009D5269">
        <w:t xml:space="preserve">Muro </w:t>
      </w:r>
      <w:r>
        <w:t>(</w:t>
      </w:r>
      <w:r w:rsidRPr="009D5269">
        <w:t>2011)</w:t>
      </w:r>
      <w:r>
        <w:t xml:space="preserve">, la complejidad se caracteriza por </w:t>
      </w:r>
      <w:r w:rsidRPr="009D5269">
        <w:t>sistemas configurados por subsistemas que interactúan entre ellos, cada uno generando sus propias formas de organización</w:t>
      </w:r>
      <w:r>
        <w:t xml:space="preserve">, la </w:t>
      </w:r>
      <w:r w:rsidRPr="009D5269">
        <w:t xml:space="preserve">interacción depende de la dinámica particular de </w:t>
      </w:r>
      <w:r>
        <w:t>cada</w:t>
      </w:r>
      <w:r w:rsidRPr="009D5269">
        <w:t xml:space="preserve"> subsistema, y un cambio en éstos puede transformar el tipo de consecuencias esperadas, lo cual dificulta la predicción de hacia dónde va</w:t>
      </w:r>
      <w:r w:rsidR="00BE7D79">
        <w:t>n</w:t>
      </w:r>
      <w:r w:rsidRPr="009D5269">
        <w:t xml:space="preserve"> a evolucionar los hechos o los fenómenos</w:t>
      </w:r>
      <w:r>
        <w:t>.</w:t>
      </w:r>
    </w:p>
    <w:p w14:paraId="4487793D" w14:textId="5E7B9F6F" w:rsidR="004001B3" w:rsidRPr="009D5269" w:rsidRDefault="004001B3" w:rsidP="00542D9F">
      <w:r w:rsidRPr="009D5269">
        <w:t>E</w:t>
      </w:r>
      <w:r>
        <w:t>n cuanto a la</w:t>
      </w:r>
      <w:r w:rsidRPr="009D5269">
        <w:t xml:space="preserve"> transdisciplinariedad, </w:t>
      </w:r>
      <w:r>
        <w:t xml:space="preserve">es conveniente que al replantear a la ciencia se integren, en un contexto más amplio y con mayor sentido, áreas de conocimiento que aporten a una creciente racionalidad y pensamiento complejo (Osorio, 2012; Martínez, 2007). </w:t>
      </w:r>
      <w:r w:rsidR="00BE7D79">
        <w:t>Lo cual p</w:t>
      </w:r>
      <w:r>
        <w:t xml:space="preserve">ermite analizar de manera sistemática y holística a la sustentabilidad, complementándose con diferentes disciplinas para obtener distintos niveles de realidad enriqueciéndose y así facilitar el entendimiento de la complejidad (Max-Neef, 2016). En la Carta de la Transdisciplinariedad en el artículo </w:t>
      </w:r>
      <w:r w:rsidR="00E773AD">
        <w:t>tercero</w:t>
      </w:r>
      <w:r w:rsidR="00BE7D79">
        <w:t xml:space="preserve"> se menciona</w:t>
      </w:r>
      <w:r>
        <w:t>, “…</w:t>
      </w:r>
      <w:r w:rsidRPr="0099726C">
        <w:rPr>
          <w:i/>
          <w:iCs/>
        </w:rPr>
        <w:t>es complementaria al enfoque disciplinario…no busca el dominio de muchas disciplinas, sino la ape</w:t>
      </w:r>
      <w:r>
        <w:rPr>
          <w:i/>
          <w:iCs/>
        </w:rPr>
        <w:t>r</w:t>
      </w:r>
      <w:r w:rsidRPr="0099726C">
        <w:rPr>
          <w:i/>
          <w:iCs/>
        </w:rPr>
        <w:t>tura de todas las disciplinas a aquellos que las atraviesan y las trascienden</w:t>
      </w:r>
      <w:r>
        <w:t xml:space="preserve">” (Anes, </w:t>
      </w:r>
      <w:r w:rsidRPr="0099726C">
        <w:rPr>
          <w:i/>
          <w:iCs/>
        </w:rPr>
        <w:t>et al</w:t>
      </w:r>
      <w:r>
        <w:t>., 1994</w:t>
      </w:r>
      <w:r w:rsidR="00DA565E">
        <w:t>, p.2</w:t>
      </w:r>
      <w:r>
        <w:t xml:space="preserve">). Muro (2011) lo explica de </w:t>
      </w:r>
      <w:r w:rsidR="00111C25">
        <w:t xml:space="preserve">una </w:t>
      </w:r>
      <w:r>
        <w:lastRenderedPageBreak/>
        <w:t>manera</w:t>
      </w:r>
      <w:r w:rsidR="00111C25">
        <w:t xml:space="preserve"> más sencilla, pero sin perder la esencia</w:t>
      </w:r>
      <w:r w:rsidRPr="009D5269">
        <w:t xml:space="preserve"> </w:t>
      </w:r>
      <w:r w:rsidR="00111C25">
        <w:t>“</w:t>
      </w:r>
      <w:r w:rsidRPr="00CA4065">
        <w:rPr>
          <w:i/>
          <w:iCs/>
        </w:rPr>
        <w:t>entre, a través de, y más allá de las disciplinas</w:t>
      </w:r>
      <w:r w:rsidR="00111C25">
        <w:t>”</w:t>
      </w:r>
      <w:r w:rsidRPr="009D5269">
        <w:t xml:space="preserve">.   </w:t>
      </w:r>
    </w:p>
    <w:p w14:paraId="1C42E571" w14:textId="745C5BCE" w:rsidR="004001B3" w:rsidRPr="00B94A1A" w:rsidRDefault="004001B3" w:rsidP="00542D9F">
      <w:bookmarkStart w:id="10" w:name="_Hlk528452997"/>
      <w:r>
        <w:t>La sustentabilidad es un objeto de estudio que necesita ser abordado mediante la</w:t>
      </w:r>
      <w:r w:rsidRPr="009D5269">
        <w:t xml:space="preserve"> complejidad, transdisciplinariedad y multidimensionalidad</w:t>
      </w:r>
      <w:r>
        <w:t xml:space="preserve">. Los sistemas de producción agropecuarios están estrechamente ligados a los conocimientos del productor, estableciendo la interacción entre la biodiversidad agrícola y la cultura del ser </w:t>
      </w:r>
      <w:r w:rsidRPr="00F524F8">
        <w:t>humano</w:t>
      </w:r>
      <w:r>
        <w:t xml:space="preserve"> (</w:t>
      </w:r>
      <w:r w:rsidRPr="00F524F8">
        <w:rPr>
          <w:rFonts w:eastAsia="Times New Roman" w:cs="Arial"/>
          <w:szCs w:val="24"/>
          <w:lang w:eastAsia="es-MX"/>
        </w:rPr>
        <w:t>Altieri</w:t>
      </w:r>
      <w:r>
        <w:rPr>
          <w:rFonts w:eastAsia="Times New Roman" w:cs="Arial"/>
          <w:szCs w:val="24"/>
          <w:lang w:eastAsia="es-MX"/>
        </w:rPr>
        <w:t xml:space="preserve"> y</w:t>
      </w:r>
      <w:r w:rsidRPr="00F524F8">
        <w:rPr>
          <w:rFonts w:eastAsia="Times New Roman" w:cs="Arial"/>
          <w:szCs w:val="24"/>
          <w:lang w:eastAsia="es-MX"/>
        </w:rPr>
        <w:t xml:space="preserve"> Nicholls,</w:t>
      </w:r>
      <w:r>
        <w:rPr>
          <w:rFonts w:eastAsia="Times New Roman" w:cs="Arial"/>
          <w:szCs w:val="24"/>
          <w:lang w:eastAsia="es-MX"/>
        </w:rPr>
        <w:t xml:space="preserve"> </w:t>
      </w:r>
      <w:r w:rsidRPr="00F524F8">
        <w:rPr>
          <w:rFonts w:eastAsia="Times New Roman" w:cs="Arial"/>
          <w:szCs w:val="24"/>
          <w:lang w:eastAsia="es-MX"/>
        </w:rPr>
        <w:t>2000).</w:t>
      </w:r>
      <w:r>
        <w:rPr>
          <w:rFonts w:eastAsia="Times New Roman" w:cs="Arial"/>
          <w:szCs w:val="24"/>
          <w:lang w:eastAsia="es-MX"/>
        </w:rPr>
        <w:t xml:space="preserve"> </w:t>
      </w:r>
      <w:r>
        <w:t xml:space="preserve">En los sistemas de producción, </w:t>
      </w:r>
      <w:r w:rsidR="008137A2">
        <w:t xml:space="preserve">parte de </w:t>
      </w:r>
      <w:r>
        <w:t>la complejidad es</w:t>
      </w:r>
      <w:r w:rsidR="008137A2">
        <w:t xml:space="preserve"> </w:t>
      </w:r>
      <w:r>
        <w:t xml:space="preserve">el conocimiento tradicional </w:t>
      </w:r>
      <w:r w:rsidR="000379F3">
        <w:t xml:space="preserve">debido a </w:t>
      </w:r>
      <w:r>
        <w:t xml:space="preserve">las prácticas y la naturaleza experimental </w:t>
      </w:r>
      <w:r w:rsidR="000379F3">
        <w:t>realizadas en el mismo</w:t>
      </w:r>
      <w:r>
        <w:t xml:space="preserve"> (Argueta, 2016)</w:t>
      </w:r>
      <w:r w:rsidR="00670C65">
        <w:t xml:space="preserve">, </w:t>
      </w:r>
      <w:r w:rsidR="00FC73C3">
        <w:t>sin excluir las modificaciones del sistema productivo o las modificaciones del mercado</w:t>
      </w:r>
      <w:r>
        <w:t xml:space="preserve">. </w:t>
      </w:r>
    </w:p>
    <w:p w14:paraId="4D68D014" w14:textId="16501AFC" w:rsidR="004001B3" w:rsidRDefault="004001B3" w:rsidP="00542D9F">
      <w:pPr>
        <w:rPr>
          <w:rFonts w:eastAsia="Times New Roman" w:cs="Arial"/>
          <w:szCs w:val="24"/>
          <w:lang w:eastAsia="es-MX"/>
        </w:rPr>
      </w:pPr>
      <w:r>
        <w:t>De la complejidad en los sistemas de producción agropecuaria destacan algunas características estructurales y funcionales (</w:t>
      </w:r>
      <w:r w:rsidRPr="00F524F8">
        <w:rPr>
          <w:rFonts w:eastAsia="Times New Roman" w:cs="Arial"/>
          <w:szCs w:val="24"/>
          <w:lang w:eastAsia="es-MX"/>
        </w:rPr>
        <w:t>Altieri</w:t>
      </w:r>
      <w:r>
        <w:rPr>
          <w:rFonts w:eastAsia="Times New Roman" w:cs="Arial"/>
          <w:szCs w:val="24"/>
          <w:lang w:eastAsia="es-MX"/>
        </w:rPr>
        <w:t xml:space="preserve"> y</w:t>
      </w:r>
      <w:r w:rsidRPr="00F524F8">
        <w:rPr>
          <w:rFonts w:eastAsia="Times New Roman" w:cs="Arial"/>
          <w:szCs w:val="24"/>
          <w:lang w:eastAsia="es-MX"/>
        </w:rPr>
        <w:t xml:space="preserve"> Nicholls,</w:t>
      </w:r>
      <w:r>
        <w:rPr>
          <w:rFonts w:eastAsia="Times New Roman" w:cs="Arial"/>
          <w:szCs w:val="24"/>
          <w:lang w:eastAsia="es-MX"/>
        </w:rPr>
        <w:t xml:space="preserve"> </w:t>
      </w:r>
      <w:r w:rsidRPr="00F524F8">
        <w:rPr>
          <w:rFonts w:eastAsia="Times New Roman" w:cs="Arial"/>
          <w:szCs w:val="24"/>
          <w:lang w:eastAsia="es-MX"/>
        </w:rPr>
        <w:t>2000)</w:t>
      </w:r>
      <w:r>
        <w:t xml:space="preserve">. En lo ambiental, </w:t>
      </w:r>
      <w:r w:rsidRPr="00C61377">
        <w:t>la combinación de un gran número de especies</w:t>
      </w:r>
      <w:r>
        <w:t xml:space="preserve"> en el cultivo manteniendo la biodiversidad local</w:t>
      </w:r>
      <w:r w:rsidRPr="00C61377">
        <w:t xml:space="preserve"> en tiempo y espacio determinado</w:t>
      </w:r>
      <w:r>
        <w:t xml:space="preserve">, </w:t>
      </w:r>
      <w:r w:rsidRPr="00C61377">
        <w:t>la explotación en una variedad de microambientes</w:t>
      </w:r>
      <w:r>
        <w:t xml:space="preserve"> en</w:t>
      </w:r>
      <w:r w:rsidRPr="00C61377">
        <w:t xml:space="preserve"> un campo o región</w:t>
      </w:r>
      <w:r>
        <w:t xml:space="preserve">, </w:t>
      </w:r>
      <w:r w:rsidRPr="00C61377">
        <w:t>mantienen ciclos cerrados de materiales</w:t>
      </w:r>
      <w:r>
        <w:t>, subproductos</w:t>
      </w:r>
      <w:r w:rsidRPr="00C61377">
        <w:t xml:space="preserve"> y desechos a través de prácticas efectivas de reciclado</w:t>
      </w:r>
      <w:r>
        <w:t xml:space="preserve">, </w:t>
      </w:r>
      <w:r w:rsidR="00BE7D79">
        <w:t xml:space="preserve">que </w:t>
      </w:r>
      <w:r>
        <w:t>d</w:t>
      </w:r>
      <w:r w:rsidRPr="008F0BE5">
        <w:t xml:space="preserve">elimitan los insumos </w:t>
      </w:r>
      <w:r>
        <w:t>exter</w:t>
      </w:r>
      <w:r w:rsidRPr="008F0BE5">
        <w:t xml:space="preserve">nos </w:t>
      </w:r>
      <w:r>
        <w:t>pues cuentan con más energía humana y animal y cuentan con las variedades endémicas de cultivos para el consumo local, por lo que la influencia de factores no económicos en la toma de decisiones es sustancial</w:t>
      </w:r>
      <w:r w:rsidRPr="00F524F8">
        <w:rPr>
          <w:rFonts w:eastAsia="Times New Roman" w:cs="Arial"/>
          <w:szCs w:val="24"/>
          <w:lang w:eastAsia="es-MX"/>
        </w:rPr>
        <w:t>.</w:t>
      </w:r>
      <w:r>
        <w:rPr>
          <w:rFonts w:eastAsia="Times New Roman" w:cs="Arial"/>
          <w:szCs w:val="24"/>
          <w:lang w:eastAsia="es-MX"/>
        </w:rPr>
        <w:t xml:space="preserve"> </w:t>
      </w:r>
    </w:p>
    <w:p w14:paraId="490379AA" w14:textId="77777777" w:rsidR="004001B3" w:rsidRDefault="004001B3" w:rsidP="00542D9F">
      <w:pPr>
        <w:rPr>
          <w:rFonts w:eastAsia="Times New Roman" w:cs="Arial"/>
          <w:szCs w:val="24"/>
          <w:lang w:eastAsia="es-MX"/>
        </w:rPr>
      </w:pPr>
      <w:r>
        <w:rPr>
          <w:rFonts w:eastAsia="Times New Roman" w:cs="Arial"/>
          <w:szCs w:val="24"/>
          <w:lang w:eastAsia="es-MX"/>
        </w:rPr>
        <w:t xml:space="preserve">El enfoque experimental es implementado en la selección de semillas para ambientes específicos, en la prueba de nuevos métodos de cultivo para superar las limitaciones biológicas o socioeconómicas particulares </w:t>
      </w:r>
      <w:r>
        <w:t>(</w:t>
      </w:r>
      <w:r w:rsidRPr="00F524F8">
        <w:rPr>
          <w:rFonts w:eastAsia="Times New Roman" w:cs="Arial"/>
          <w:szCs w:val="24"/>
          <w:lang w:eastAsia="es-MX"/>
        </w:rPr>
        <w:t>Altieri</w:t>
      </w:r>
      <w:r>
        <w:rPr>
          <w:rFonts w:eastAsia="Times New Roman" w:cs="Arial"/>
          <w:szCs w:val="24"/>
          <w:lang w:eastAsia="es-MX"/>
        </w:rPr>
        <w:t xml:space="preserve"> y</w:t>
      </w:r>
      <w:r w:rsidRPr="00F524F8">
        <w:rPr>
          <w:rFonts w:eastAsia="Times New Roman" w:cs="Arial"/>
          <w:szCs w:val="24"/>
          <w:lang w:eastAsia="es-MX"/>
        </w:rPr>
        <w:t xml:space="preserve"> Nicholls,</w:t>
      </w:r>
      <w:r>
        <w:rPr>
          <w:rFonts w:eastAsia="Times New Roman" w:cs="Arial"/>
          <w:szCs w:val="24"/>
          <w:lang w:eastAsia="es-MX"/>
        </w:rPr>
        <w:t xml:space="preserve"> </w:t>
      </w:r>
      <w:r w:rsidRPr="00F524F8">
        <w:rPr>
          <w:rFonts w:eastAsia="Times New Roman" w:cs="Arial"/>
          <w:szCs w:val="24"/>
          <w:lang w:eastAsia="es-MX"/>
        </w:rPr>
        <w:t>2000)</w:t>
      </w:r>
      <w:r>
        <w:rPr>
          <w:rFonts w:eastAsia="Times New Roman" w:cs="Arial"/>
          <w:szCs w:val="24"/>
          <w:lang w:eastAsia="es-MX"/>
        </w:rPr>
        <w:t xml:space="preserve"> y buscando alternativas de complementación en nutrición animal con acceso y disponibilidad local.</w:t>
      </w:r>
    </w:p>
    <w:p w14:paraId="255F45E7" w14:textId="560D9A0A" w:rsidR="004001B3" w:rsidRDefault="00FC73C3" w:rsidP="00542D9F">
      <w:pPr>
        <w:rPr>
          <w:rFonts w:eastAsia="Times New Roman" w:cs="Arial"/>
          <w:szCs w:val="24"/>
          <w:lang w:eastAsia="es-MX"/>
        </w:rPr>
      </w:pPr>
      <w:r>
        <w:rPr>
          <w:rFonts w:eastAsia="Times New Roman" w:cs="Arial"/>
          <w:szCs w:val="24"/>
          <w:lang w:eastAsia="es-MX"/>
        </w:rPr>
        <w:t>L</w:t>
      </w:r>
      <w:r w:rsidR="004001B3">
        <w:rPr>
          <w:rFonts w:eastAsia="Times New Roman" w:cs="Arial"/>
          <w:szCs w:val="24"/>
          <w:lang w:eastAsia="es-MX"/>
        </w:rPr>
        <w:t xml:space="preserve">o económico puede ser </w:t>
      </w:r>
      <w:r w:rsidR="004001B3" w:rsidRPr="00932C51">
        <w:rPr>
          <w:rFonts w:eastAsia="Times New Roman" w:cs="Arial"/>
          <w:szCs w:val="24"/>
          <w:lang w:eastAsia="es-MX"/>
        </w:rPr>
        <w:t xml:space="preserve">amortiguador de </w:t>
      </w:r>
      <w:r w:rsidR="004001B3">
        <w:rPr>
          <w:rFonts w:eastAsia="Times New Roman" w:cs="Arial"/>
          <w:szCs w:val="24"/>
          <w:lang w:eastAsia="es-MX"/>
        </w:rPr>
        <w:t>variabilidades</w:t>
      </w:r>
      <w:r w:rsidR="00676422">
        <w:rPr>
          <w:rFonts w:eastAsia="Times New Roman" w:cs="Arial"/>
          <w:szCs w:val="24"/>
          <w:lang w:eastAsia="es-MX"/>
        </w:rPr>
        <w:t xml:space="preserve"> del mercado,</w:t>
      </w:r>
      <w:r w:rsidR="004001B3" w:rsidRPr="00932C51">
        <w:rPr>
          <w:rFonts w:eastAsia="Times New Roman" w:cs="Arial"/>
          <w:szCs w:val="24"/>
          <w:lang w:eastAsia="es-MX"/>
        </w:rPr>
        <w:t xml:space="preserve"> como el alza</w:t>
      </w:r>
      <w:r w:rsidR="004001B3">
        <w:rPr>
          <w:rFonts w:eastAsia="Times New Roman" w:cs="Arial"/>
          <w:szCs w:val="24"/>
          <w:lang w:eastAsia="es-MX"/>
        </w:rPr>
        <w:t xml:space="preserve"> </w:t>
      </w:r>
      <w:r w:rsidR="004001B3" w:rsidRPr="00932C51">
        <w:rPr>
          <w:rFonts w:eastAsia="Times New Roman" w:cs="Arial"/>
          <w:szCs w:val="24"/>
          <w:lang w:eastAsia="es-MX"/>
        </w:rPr>
        <w:t>internacional</w:t>
      </w:r>
      <w:r w:rsidR="004001B3">
        <w:rPr>
          <w:rFonts w:eastAsia="Times New Roman" w:cs="Arial"/>
          <w:szCs w:val="24"/>
          <w:lang w:eastAsia="es-MX"/>
        </w:rPr>
        <w:t xml:space="preserve"> o nacional </w:t>
      </w:r>
      <w:r w:rsidR="004001B3" w:rsidRPr="00932C51">
        <w:rPr>
          <w:rFonts w:eastAsia="Times New Roman" w:cs="Arial"/>
          <w:szCs w:val="24"/>
          <w:lang w:eastAsia="es-MX"/>
        </w:rPr>
        <w:t xml:space="preserve">de precios </w:t>
      </w:r>
      <w:r w:rsidR="004001B3">
        <w:rPr>
          <w:rFonts w:eastAsia="Times New Roman" w:cs="Arial"/>
          <w:szCs w:val="24"/>
          <w:lang w:eastAsia="es-MX"/>
        </w:rPr>
        <w:t>en</w:t>
      </w:r>
      <w:r w:rsidR="004001B3" w:rsidRPr="00932C51">
        <w:rPr>
          <w:rFonts w:eastAsia="Times New Roman" w:cs="Arial"/>
          <w:szCs w:val="24"/>
          <w:lang w:eastAsia="es-MX"/>
        </w:rPr>
        <w:t xml:space="preserve"> los alimentos</w:t>
      </w:r>
      <w:r w:rsidR="004001B3">
        <w:rPr>
          <w:rFonts w:eastAsia="Times New Roman" w:cs="Arial"/>
          <w:szCs w:val="24"/>
          <w:lang w:eastAsia="es-MX"/>
        </w:rPr>
        <w:t xml:space="preserve">, </w:t>
      </w:r>
      <w:r w:rsidR="00BE7D79">
        <w:rPr>
          <w:rFonts w:eastAsia="Times New Roman" w:cs="Arial"/>
          <w:szCs w:val="24"/>
          <w:lang w:eastAsia="es-MX"/>
        </w:rPr>
        <w:t xml:space="preserve">que </w:t>
      </w:r>
      <w:r w:rsidR="004001B3">
        <w:rPr>
          <w:rFonts w:eastAsia="Times New Roman" w:cs="Arial"/>
          <w:szCs w:val="24"/>
          <w:lang w:eastAsia="es-MX"/>
        </w:rPr>
        <w:t>permiten establecer relaciones comerciales locales o regionales (Argueta, 2016) y mantienen una seguridad alimentaria intrafamiliar</w:t>
      </w:r>
      <w:r w:rsidR="00676422">
        <w:rPr>
          <w:rFonts w:eastAsia="Times New Roman" w:cs="Arial"/>
          <w:szCs w:val="24"/>
          <w:lang w:eastAsia="es-MX"/>
        </w:rPr>
        <w:t xml:space="preserve"> y colaboran con el desarrollo </w:t>
      </w:r>
      <w:r w:rsidR="00EF47AD">
        <w:rPr>
          <w:rFonts w:eastAsia="Times New Roman" w:cs="Arial"/>
          <w:szCs w:val="24"/>
          <w:lang w:eastAsia="es-MX"/>
        </w:rPr>
        <w:t>endógeno</w:t>
      </w:r>
      <w:r w:rsidR="004001B3">
        <w:rPr>
          <w:rFonts w:eastAsia="Times New Roman" w:cs="Arial"/>
          <w:szCs w:val="24"/>
          <w:lang w:eastAsia="es-MX"/>
        </w:rPr>
        <w:t xml:space="preserve">. </w:t>
      </w:r>
    </w:p>
    <w:p w14:paraId="53096BE9" w14:textId="63C22BA3" w:rsidR="004001B3" w:rsidRDefault="004001B3" w:rsidP="00542D9F">
      <w:pPr>
        <w:rPr>
          <w:rFonts w:eastAsia="Times New Roman" w:cs="Arial"/>
          <w:szCs w:val="24"/>
          <w:lang w:eastAsia="es-MX"/>
        </w:rPr>
      </w:pPr>
      <w:r>
        <w:rPr>
          <w:rFonts w:eastAsia="Times New Roman" w:cs="Arial"/>
          <w:szCs w:val="24"/>
          <w:lang w:eastAsia="es-MX"/>
        </w:rPr>
        <w:lastRenderedPageBreak/>
        <w:t xml:space="preserve">En </w:t>
      </w:r>
      <w:r w:rsidR="00676422">
        <w:rPr>
          <w:rFonts w:eastAsia="Times New Roman" w:cs="Arial"/>
          <w:szCs w:val="24"/>
          <w:lang w:eastAsia="es-MX"/>
        </w:rPr>
        <w:t xml:space="preserve">cuanto a </w:t>
      </w:r>
      <w:r>
        <w:rPr>
          <w:rFonts w:eastAsia="Times New Roman" w:cs="Arial"/>
          <w:szCs w:val="24"/>
          <w:lang w:eastAsia="es-MX"/>
        </w:rPr>
        <w:t>lo social, suelen ser sistemas de producción agropecuaria divers</w:t>
      </w:r>
      <w:r w:rsidR="000F23E7">
        <w:rPr>
          <w:rFonts w:eastAsia="Times New Roman" w:cs="Arial"/>
          <w:szCs w:val="24"/>
          <w:lang w:eastAsia="es-MX"/>
        </w:rPr>
        <w:t>o</w:t>
      </w:r>
      <w:r>
        <w:rPr>
          <w:rFonts w:eastAsia="Times New Roman" w:cs="Arial"/>
          <w:szCs w:val="24"/>
          <w:lang w:eastAsia="es-MX"/>
        </w:rPr>
        <w:t>s y complej</w:t>
      </w:r>
      <w:r w:rsidR="000F23E7">
        <w:rPr>
          <w:rFonts w:eastAsia="Times New Roman" w:cs="Arial"/>
          <w:szCs w:val="24"/>
          <w:lang w:eastAsia="es-MX"/>
        </w:rPr>
        <w:t>o</w:t>
      </w:r>
      <w:r>
        <w:rPr>
          <w:rFonts w:eastAsia="Times New Roman" w:cs="Arial"/>
          <w:szCs w:val="24"/>
          <w:lang w:eastAsia="es-MX"/>
        </w:rPr>
        <w:t>s haciendo difícil agruparl</w:t>
      </w:r>
      <w:r w:rsidR="000F23E7">
        <w:rPr>
          <w:rFonts w:eastAsia="Times New Roman" w:cs="Arial"/>
          <w:szCs w:val="24"/>
          <w:lang w:eastAsia="es-MX"/>
        </w:rPr>
        <w:t>o</w:t>
      </w:r>
      <w:r>
        <w:rPr>
          <w:rFonts w:eastAsia="Times New Roman" w:cs="Arial"/>
          <w:szCs w:val="24"/>
          <w:lang w:eastAsia="es-MX"/>
        </w:rPr>
        <w:t>s para su estudio y pudieran presentar relaciones conflictivas, jerárquicas, contradictorias y de poder al interior de este (Argueta, 20</w:t>
      </w:r>
      <w:r w:rsidR="00676422">
        <w:rPr>
          <w:rFonts w:eastAsia="Times New Roman" w:cs="Arial"/>
          <w:szCs w:val="24"/>
          <w:lang w:eastAsia="es-MX"/>
        </w:rPr>
        <w:t>1</w:t>
      </w:r>
      <w:r>
        <w:rPr>
          <w:rFonts w:eastAsia="Times New Roman" w:cs="Arial"/>
          <w:szCs w:val="24"/>
          <w:lang w:eastAsia="es-MX"/>
        </w:rPr>
        <w:t>6). No necesariamente serán campesinas, algunas se especializan en una especie haciendo que sean vulnerables a las fluctuaciones económicas y de trasmisión del conocimiento intra o intergeneracional (Vilain, 2008).</w:t>
      </w:r>
      <w:r w:rsidR="00676422">
        <w:rPr>
          <w:rFonts w:eastAsia="Times New Roman" w:cs="Arial"/>
          <w:szCs w:val="24"/>
          <w:lang w:eastAsia="es-MX"/>
        </w:rPr>
        <w:t xml:space="preserve"> </w:t>
      </w:r>
      <w:r>
        <w:rPr>
          <w:rFonts w:eastAsia="Times New Roman" w:cs="Arial"/>
          <w:szCs w:val="24"/>
          <w:lang w:eastAsia="es-MX"/>
        </w:rPr>
        <w:t xml:space="preserve"> </w:t>
      </w:r>
    </w:p>
    <w:p w14:paraId="2B7D9DF1" w14:textId="452FC36E" w:rsidR="004001B3" w:rsidRDefault="004001B3" w:rsidP="00542D9F">
      <w:pPr>
        <w:rPr>
          <w:rFonts w:eastAsia="Times New Roman" w:cs="Arial"/>
          <w:szCs w:val="24"/>
          <w:lang w:eastAsia="es-MX"/>
        </w:rPr>
      </w:pPr>
      <w:r>
        <w:rPr>
          <w:rFonts w:eastAsia="Times New Roman" w:cs="Arial"/>
          <w:szCs w:val="24"/>
          <w:lang w:eastAsia="es-MX"/>
        </w:rPr>
        <w:t>Las relaciones sociales que establece el productor</w:t>
      </w:r>
      <w:r w:rsidR="00EF47AD">
        <w:rPr>
          <w:rFonts w:eastAsia="Times New Roman" w:cs="Arial"/>
          <w:szCs w:val="24"/>
          <w:lang w:eastAsia="es-MX"/>
        </w:rPr>
        <w:t xml:space="preserve"> con </w:t>
      </w:r>
      <w:r w:rsidR="000D1C74">
        <w:rPr>
          <w:rFonts w:eastAsia="Times New Roman" w:cs="Arial"/>
          <w:szCs w:val="24"/>
          <w:lang w:eastAsia="es-MX"/>
        </w:rPr>
        <w:t>el</w:t>
      </w:r>
      <w:r w:rsidR="00EF47AD">
        <w:rPr>
          <w:rFonts w:eastAsia="Times New Roman" w:cs="Arial"/>
          <w:szCs w:val="24"/>
          <w:lang w:eastAsia="es-MX"/>
        </w:rPr>
        <w:t xml:space="preserve"> entorno</w:t>
      </w:r>
      <w:r>
        <w:rPr>
          <w:rFonts w:eastAsia="Times New Roman" w:cs="Arial"/>
          <w:szCs w:val="24"/>
          <w:lang w:eastAsia="es-MX"/>
        </w:rPr>
        <w:t xml:space="preserve"> fortalecen los aspectos ambiental, económico y experimental, esto se observa por la alta presencia de los sistemas de producción agropecuarias en América Latina y el Caribe. De acuerdo con la FAO, en Centroamérica y México existen 7</w:t>
      </w:r>
      <w:r w:rsidR="00BE7D79">
        <w:rPr>
          <w:rFonts w:eastAsia="Times New Roman" w:cs="Arial"/>
          <w:szCs w:val="24"/>
          <w:lang w:eastAsia="es-MX"/>
        </w:rPr>
        <w:t>,</w:t>
      </w:r>
      <w:r>
        <w:rPr>
          <w:rFonts w:eastAsia="Times New Roman" w:cs="Arial"/>
          <w:szCs w:val="24"/>
          <w:lang w:eastAsia="es-MX"/>
        </w:rPr>
        <w:t>486</w:t>
      </w:r>
      <w:r w:rsidR="00BE7D79">
        <w:rPr>
          <w:rFonts w:eastAsia="Times New Roman" w:cs="Arial"/>
          <w:szCs w:val="24"/>
          <w:lang w:eastAsia="es-MX"/>
        </w:rPr>
        <w:t>,</w:t>
      </w:r>
      <w:r>
        <w:rPr>
          <w:rFonts w:eastAsia="Times New Roman" w:cs="Arial"/>
          <w:szCs w:val="24"/>
          <w:lang w:eastAsia="es-MX"/>
        </w:rPr>
        <w:t>831 de sistemas de producción agropecuaria de las cuales 78.6% son unidades agrícolas familiares, lo que equivale a 5</w:t>
      </w:r>
      <w:r w:rsidR="00BE7D79">
        <w:rPr>
          <w:rFonts w:eastAsia="Times New Roman" w:cs="Arial"/>
          <w:szCs w:val="24"/>
          <w:lang w:eastAsia="es-MX"/>
        </w:rPr>
        <w:t>,</w:t>
      </w:r>
      <w:r>
        <w:rPr>
          <w:rFonts w:eastAsia="Times New Roman" w:cs="Arial"/>
          <w:szCs w:val="24"/>
          <w:lang w:eastAsia="es-MX"/>
        </w:rPr>
        <w:t>883</w:t>
      </w:r>
      <w:r w:rsidR="00BE7D79">
        <w:rPr>
          <w:rFonts w:eastAsia="Times New Roman" w:cs="Arial"/>
          <w:szCs w:val="24"/>
          <w:lang w:eastAsia="es-MX"/>
        </w:rPr>
        <w:t>,</w:t>
      </w:r>
      <w:r>
        <w:rPr>
          <w:rFonts w:eastAsia="Times New Roman" w:cs="Arial"/>
          <w:szCs w:val="24"/>
          <w:lang w:eastAsia="es-MX"/>
        </w:rPr>
        <w:t>205 (Leporati, Salcedo, Jara, Boero y Muñoz, 2014). Lo anterior permite observar la alta aceptación que tienen estos sistemas de producción agropecuarios dentro de la sociedad latinoamericana.</w:t>
      </w:r>
    </w:p>
    <w:p w14:paraId="0D20E74B" w14:textId="45053B3A" w:rsidR="004001B3" w:rsidRDefault="000D1C74" w:rsidP="00542D9F">
      <w:bookmarkStart w:id="11" w:name="_Hlk528453024"/>
      <w:bookmarkEnd w:id="10"/>
      <w:r>
        <w:t>Debido a las diferentes relaciones que se establecen en la complejidad es adecuado que el abordaje de los sistema</w:t>
      </w:r>
      <w:r w:rsidR="005305E7">
        <w:t>s</w:t>
      </w:r>
      <w:r>
        <w:t xml:space="preserve"> de producción agropecuaria sea </w:t>
      </w:r>
      <w:r w:rsidR="004001B3" w:rsidRPr="009D5269">
        <w:t>multidimensional</w:t>
      </w:r>
      <w:r>
        <w:t>. Ya que</w:t>
      </w:r>
      <w:r w:rsidR="004001B3" w:rsidRPr="009D5269">
        <w:t xml:space="preserve"> los acercamientos unívocos a la realidad son parciales y </w:t>
      </w:r>
      <w:r w:rsidR="005305E7">
        <w:t xml:space="preserve">la </w:t>
      </w:r>
      <w:r w:rsidR="004001B3" w:rsidRPr="009D5269">
        <w:t xml:space="preserve">intencionalidad </w:t>
      </w:r>
      <w:r w:rsidR="005305E7">
        <w:t xml:space="preserve">de la multidimensionalidad </w:t>
      </w:r>
      <w:r w:rsidR="004001B3" w:rsidRPr="009D5269">
        <w:t>es superar ese inconveniente</w:t>
      </w:r>
      <w:r w:rsidR="005305E7">
        <w:t>.</w:t>
      </w:r>
      <w:r w:rsidR="004001B3" w:rsidRPr="009D5269">
        <w:t xml:space="preserve"> </w:t>
      </w:r>
      <w:r w:rsidR="005305E7">
        <w:t>L</w:t>
      </w:r>
      <w:r w:rsidR="004001B3" w:rsidRPr="009D5269">
        <w:t>a comprensión e interpretación de l</w:t>
      </w:r>
      <w:r w:rsidR="00796AE6">
        <w:t>os sistemas</w:t>
      </w:r>
      <w:r w:rsidR="004001B3" w:rsidRPr="009D5269">
        <w:t xml:space="preserve"> conformad</w:t>
      </w:r>
      <w:r w:rsidR="00796AE6">
        <w:t>o</w:t>
      </w:r>
      <w:r w:rsidR="004001B3" w:rsidRPr="009D5269">
        <w:t>s por lo objetivo y lo subjetivo, lo macro y lo micro, lo individual y lo colectivo, la estructura y la acción, el enfoque de géneros, lo tradicional y lo moderno, y el inseparable vínculo entre sociedad y naturaleza (Muro, 2011)</w:t>
      </w:r>
      <w:r w:rsidR="00796AE6">
        <w:t xml:space="preserve"> permite que el abordaje de la realidad sea integral </w:t>
      </w:r>
      <w:r w:rsidR="00791E83">
        <w:t>y complej</w:t>
      </w:r>
      <w:r w:rsidR="00F753D3">
        <w:t>o</w:t>
      </w:r>
      <w:r w:rsidR="00791E83">
        <w:t>.</w:t>
      </w:r>
      <w:bookmarkEnd w:id="11"/>
    </w:p>
    <w:p w14:paraId="4255D953" w14:textId="4D37A6C7" w:rsidR="004001B3" w:rsidRPr="000509DE" w:rsidRDefault="00BE7D79" w:rsidP="00542D9F">
      <w:pPr>
        <w:rPr>
          <w:rFonts w:cs="Arial"/>
          <w:szCs w:val="24"/>
        </w:rPr>
      </w:pPr>
      <w:r>
        <w:t>En l</w:t>
      </w:r>
      <w:r w:rsidR="004001B3">
        <w:t xml:space="preserve">a reconsideración de la ciencia es conveniente la intervención de los actores sociales, como los individuos que habitan en la zona de estudio, que fungen como depositarios, continuadores, practicantes y forman parte de </w:t>
      </w:r>
      <w:r w:rsidR="004001B3" w:rsidRPr="009D5269">
        <w:rPr>
          <w:rFonts w:cs="Arial"/>
          <w:szCs w:val="24"/>
        </w:rPr>
        <w:t>la base del tejido social</w:t>
      </w:r>
      <w:r w:rsidR="004001B3">
        <w:rPr>
          <w:rFonts w:cs="Arial"/>
          <w:szCs w:val="24"/>
        </w:rPr>
        <w:t xml:space="preserve">. Quienes al </w:t>
      </w:r>
      <w:r w:rsidR="004001B3" w:rsidRPr="009D5269">
        <w:rPr>
          <w:rFonts w:cs="Arial"/>
          <w:szCs w:val="24"/>
        </w:rPr>
        <w:t>pone</w:t>
      </w:r>
      <w:r w:rsidR="004001B3">
        <w:rPr>
          <w:rFonts w:cs="Arial"/>
          <w:szCs w:val="24"/>
        </w:rPr>
        <w:t>r</w:t>
      </w:r>
      <w:r w:rsidR="004001B3" w:rsidRPr="009D5269">
        <w:rPr>
          <w:rFonts w:cs="Arial"/>
          <w:szCs w:val="24"/>
        </w:rPr>
        <w:t xml:space="preserve"> en práctica los principios básicos de la sustentabilidad</w:t>
      </w:r>
      <w:r w:rsidR="004001B3">
        <w:rPr>
          <w:rFonts w:cs="Arial"/>
          <w:szCs w:val="24"/>
        </w:rPr>
        <w:t>,</w:t>
      </w:r>
      <w:r w:rsidR="004001B3" w:rsidRPr="009D5269">
        <w:rPr>
          <w:rFonts w:cs="Arial"/>
          <w:szCs w:val="24"/>
        </w:rPr>
        <w:t xml:space="preserve"> implementa</w:t>
      </w:r>
      <w:r w:rsidR="004001B3">
        <w:rPr>
          <w:rFonts w:cs="Arial"/>
          <w:szCs w:val="24"/>
        </w:rPr>
        <w:t>n</w:t>
      </w:r>
      <w:r w:rsidR="004001B3" w:rsidRPr="009D5269">
        <w:rPr>
          <w:rFonts w:cs="Arial"/>
          <w:szCs w:val="24"/>
        </w:rPr>
        <w:t xml:space="preserve"> acciones en relación con la alimentación, la salud, la </w:t>
      </w:r>
      <w:r w:rsidR="004001B3">
        <w:rPr>
          <w:rFonts w:cs="Arial"/>
          <w:szCs w:val="24"/>
        </w:rPr>
        <w:t>tierra</w:t>
      </w:r>
      <w:r w:rsidR="004001B3" w:rsidRPr="009D5269">
        <w:rPr>
          <w:rFonts w:cs="Arial"/>
          <w:szCs w:val="24"/>
        </w:rPr>
        <w:t>, el agua</w:t>
      </w:r>
      <w:r w:rsidR="004001B3">
        <w:rPr>
          <w:rFonts w:cs="Arial"/>
          <w:szCs w:val="24"/>
        </w:rPr>
        <w:t xml:space="preserve"> y</w:t>
      </w:r>
      <w:r w:rsidR="004001B3" w:rsidRPr="009D5269">
        <w:rPr>
          <w:rFonts w:cs="Arial"/>
          <w:szCs w:val="24"/>
        </w:rPr>
        <w:t xml:space="preserve"> la energía</w:t>
      </w:r>
      <w:r w:rsidR="004001B3">
        <w:rPr>
          <w:rFonts w:cs="Arial"/>
          <w:szCs w:val="24"/>
        </w:rPr>
        <w:t xml:space="preserve"> </w:t>
      </w:r>
      <w:r w:rsidR="004001B3" w:rsidRPr="009D5269">
        <w:rPr>
          <w:rFonts w:cs="Arial"/>
          <w:szCs w:val="24"/>
        </w:rPr>
        <w:t>(</w:t>
      </w:r>
      <w:r w:rsidR="004001B3" w:rsidRPr="00BE0D43">
        <w:rPr>
          <w:rFonts w:cs="Arial"/>
          <w:szCs w:val="24"/>
        </w:rPr>
        <w:t>Toledo</w:t>
      </w:r>
      <w:r w:rsidR="004001B3" w:rsidRPr="009D5269">
        <w:rPr>
          <w:rFonts w:cs="Arial"/>
          <w:szCs w:val="24"/>
        </w:rPr>
        <w:t xml:space="preserve"> </w:t>
      </w:r>
      <w:r w:rsidR="004001B3">
        <w:rPr>
          <w:rFonts w:cs="Arial"/>
          <w:szCs w:val="24"/>
        </w:rPr>
        <w:t>y</w:t>
      </w:r>
      <w:r w:rsidR="004001B3" w:rsidRPr="009D5269">
        <w:rPr>
          <w:rFonts w:cs="Arial"/>
          <w:szCs w:val="24"/>
        </w:rPr>
        <w:t xml:space="preserve"> Ortiz-Espejel, 2014).</w:t>
      </w:r>
      <w:r w:rsidR="004001B3">
        <w:rPr>
          <w:rFonts w:cs="Arial"/>
          <w:szCs w:val="24"/>
        </w:rPr>
        <w:t xml:space="preserve"> Lo anterior,</w:t>
      </w:r>
      <w:r w:rsidR="004001B3" w:rsidRPr="009D5269">
        <w:rPr>
          <w:rFonts w:cs="Arial"/>
          <w:szCs w:val="24"/>
        </w:rPr>
        <w:t xml:space="preserve"> </w:t>
      </w:r>
      <w:r w:rsidR="004001B3">
        <w:rPr>
          <w:rFonts w:cs="Arial"/>
          <w:szCs w:val="24"/>
        </w:rPr>
        <w:t>es una opción de</w:t>
      </w:r>
      <w:r w:rsidR="004001B3" w:rsidRPr="009D5269">
        <w:rPr>
          <w:rFonts w:cs="Arial"/>
          <w:szCs w:val="24"/>
        </w:rPr>
        <w:t xml:space="preserve"> </w:t>
      </w:r>
      <w:r w:rsidR="004001B3" w:rsidRPr="009D5269">
        <w:rPr>
          <w:rFonts w:cs="Arial"/>
          <w:szCs w:val="24"/>
        </w:rPr>
        <w:lastRenderedPageBreak/>
        <w:t>concien</w:t>
      </w:r>
      <w:r w:rsidR="004001B3">
        <w:rPr>
          <w:rFonts w:cs="Arial"/>
          <w:szCs w:val="24"/>
        </w:rPr>
        <w:t>tización</w:t>
      </w:r>
      <w:r w:rsidR="004001B3" w:rsidRPr="009D5269">
        <w:rPr>
          <w:rFonts w:cs="Arial"/>
          <w:szCs w:val="24"/>
        </w:rPr>
        <w:t xml:space="preserve"> ecológica y social </w:t>
      </w:r>
      <w:r w:rsidR="004001B3">
        <w:rPr>
          <w:rFonts w:cs="Arial"/>
          <w:szCs w:val="24"/>
        </w:rPr>
        <w:t>hacia</w:t>
      </w:r>
      <w:r w:rsidR="004001B3" w:rsidRPr="009D5269">
        <w:rPr>
          <w:rFonts w:cs="Arial"/>
          <w:szCs w:val="24"/>
        </w:rPr>
        <w:t xml:space="preserve"> un cambio de actitudes </w:t>
      </w:r>
      <w:r w:rsidR="004001B3">
        <w:rPr>
          <w:rFonts w:cs="Arial"/>
          <w:szCs w:val="24"/>
        </w:rPr>
        <w:t>con la finalidad</w:t>
      </w:r>
      <w:r w:rsidR="004001B3" w:rsidRPr="009D5269">
        <w:rPr>
          <w:rFonts w:cs="Arial"/>
          <w:szCs w:val="24"/>
        </w:rPr>
        <w:t xml:space="preserve"> de la adopción de una nueva filosofía por y para la vida</w:t>
      </w:r>
      <w:r w:rsidR="004001B3">
        <w:rPr>
          <w:rFonts w:cs="Arial"/>
          <w:szCs w:val="24"/>
        </w:rPr>
        <w:t xml:space="preserve">. </w:t>
      </w:r>
    </w:p>
    <w:p w14:paraId="727F1E04" w14:textId="3285B0F3" w:rsidR="004001B3" w:rsidRDefault="004001B3" w:rsidP="00542D9F">
      <w:r>
        <w:t xml:space="preserve">El estudio de la sustentabilidad puede ser abordado desde diferentes posturas acorde al objeto de estudio </w:t>
      </w:r>
      <w:r w:rsidRPr="009D5269">
        <w:rPr>
          <w:rFonts w:cs="Arial"/>
          <w:szCs w:val="24"/>
        </w:rPr>
        <w:t>(</w:t>
      </w:r>
      <w:r w:rsidRPr="00BE0D43">
        <w:rPr>
          <w:rFonts w:cs="Arial"/>
          <w:szCs w:val="24"/>
        </w:rPr>
        <w:t>Toledo</w:t>
      </w:r>
      <w:r w:rsidRPr="009D5269">
        <w:rPr>
          <w:rFonts w:cs="Arial"/>
          <w:szCs w:val="24"/>
        </w:rPr>
        <w:t xml:space="preserve"> </w:t>
      </w:r>
      <w:r>
        <w:rPr>
          <w:rFonts w:cs="Arial"/>
          <w:szCs w:val="24"/>
        </w:rPr>
        <w:t>y</w:t>
      </w:r>
      <w:r w:rsidRPr="009D5269">
        <w:rPr>
          <w:rFonts w:cs="Arial"/>
          <w:szCs w:val="24"/>
        </w:rPr>
        <w:t xml:space="preserve"> Ortiz-Espejel, 2014)</w:t>
      </w:r>
      <w:r w:rsidR="00DB07F6">
        <w:rPr>
          <w:rFonts w:cs="Arial"/>
          <w:szCs w:val="24"/>
        </w:rPr>
        <w:t>, las cuales</w:t>
      </w:r>
      <w:r>
        <w:rPr>
          <w:rFonts w:cs="Arial"/>
          <w:szCs w:val="24"/>
        </w:rPr>
        <w:t xml:space="preserve"> dependerán del tipo de investigación, cualitativa o cuantitativa</w:t>
      </w:r>
      <w:r>
        <w:t>. E</w:t>
      </w:r>
      <w:r w:rsidRPr="009D5269">
        <w:t>n est</w:t>
      </w:r>
      <w:r>
        <w:t>a</w:t>
      </w:r>
      <w:r w:rsidRPr="009D5269">
        <w:t xml:space="preserve"> </w:t>
      </w:r>
      <w:r>
        <w:t>investigación</w:t>
      </w:r>
      <w:r w:rsidRPr="009D5269">
        <w:t xml:space="preserve"> se consideran las dimensiones </w:t>
      </w:r>
      <w:r w:rsidRPr="00147E7F">
        <w:rPr>
          <w:bCs/>
        </w:rPr>
        <w:t>agroecología, socio-territorial y economía</w:t>
      </w:r>
      <w:r w:rsidRPr="009D5269">
        <w:t xml:space="preserve"> (Vilain, 2008)</w:t>
      </w:r>
      <w:r>
        <w:t xml:space="preserve"> como</w:t>
      </w:r>
      <w:r w:rsidRPr="009D5269">
        <w:t xml:space="preserve"> campos de acción de la sustentabilidad (Figura 1</w:t>
      </w:r>
      <w:r>
        <w:t>.</w:t>
      </w:r>
      <w:r w:rsidRPr="009D5269">
        <w:t xml:space="preserve"> Representación de la mul</w:t>
      </w:r>
      <w:r>
        <w:t xml:space="preserve">tidimensional de la </w:t>
      </w:r>
      <w:r w:rsidRPr="009D5269">
        <w:t>suste</w:t>
      </w:r>
      <w:r>
        <w:t>ntabilidad</w:t>
      </w:r>
      <w:r w:rsidRPr="009D5269">
        <w:t>)</w:t>
      </w:r>
      <w:r>
        <w:t xml:space="preserve">. </w:t>
      </w:r>
    </w:p>
    <w:p w14:paraId="11AF69A1" w14:textId="77777777" w:rsidR="004001B3" w:rsidRDefault="004001B3" w:rsidP="004001B3">
      <w:pPr>
        <w:spacing w:line="480" w:lineRule="auto"/>
      </w:pPr>
      <w:r>
        <w:rPr>
          <w:noProof/>
          <w:lang w:eastAsia="es-MX"/>
        </w:rPr>
        <w:drawing>
          <wp:inline distT="0" distB="0" distL="0" distR="0" wp14:anchorId="256B6EED" wp14:editId="258B4C98">
            <wp:extent cx="5612130" cy="3154045"/>
            <wp:effectExtent l="0" t="0" r="7620" b="8255"/>
            <wp:docPr id="2" name="Imagen 2" descr="Imagen que contiene c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56061E9.tmp"/>
                    <pic:cNvPicPr/>
                  </pic:nvPicPr>
                  <pic:blipFill>
                    <a:blip r:embed="rId12">
                      <a:extLst>
                        <a:ext uri="{28A0092B-C50C-407E-A947-70E740481C1C}">
                          <a14:useLocalDpi xmlns:a14="http://schemas.microsoft.com/office/drawing/2010/main" val="0"/>
                        </a:ext>
                      </a:extLst>
                    </a:blip>
                    <a:stretch>
                      <a:fillRect/>
                    </a:stretch>
                  </pic:blipFill>
                  <pic:spPr>
                    <a:xfrm>
                      <a:off x="0" y="0"/>
                      <a:ext cx="5612130" cy="3154045"/>
                    </a:xfrm>
                    <a:prstGeom prst="rect">
                      <a:avLst/>
                    </a:prstGeom>
                  </pic:spPr>
                </pic:pic>
              </a:graphicData>
            </a:graphic>
          </wp:inline>
        </w:drawing>
      </w:r>
    </w:p>
    <w:p w14:paraId="117407CE" w14:textId="77777777" w:rsidR="004001B3" w:rsidRPr="009D5269" w:rsidRDefault="004001B3" w:rsidP="0046765C">
      <w:pPr>
        <w:pStyle w:val="Sinespaciado"/>
        <w:spacing w:after="240"/>
      </w:pPr>
      <w:r w:rsidRPr="009D5269">
        <w:t>Figura 1</w:t>
      </w:r>
      <w:r>
        <w:t xml:space="preserve">. </w:t>
      </w:r>
      <w:r w:rsidRPr="009D5269">
        <w:t xml:space="preserve"> </w:t>
      </w:r>
      <w:r>
        <w:t>Representación</w:t>
      </w:r>
      <w:r w:rsidRPr="009D5269">
        <w:t xml:space="preserve"> de la multidimensional de la</w:t>
      </w:r>
      <w:r>
        <w:t xml:space="preserve"> sustentabilidad, m</w:t>
      </w:r>
      <w:r w:rsidRPr="009D5269">
        <w:t>odificado de Sarandón, 2011.</w:t>
      </w:r>
    </w:p>
    <w:p w14:paraId="11C7E4E9" w14:textId="475761AB" w:rsidR="003D6E8F" w:rsidRDefault="003D6E8F" w:rsidP="0046765C">
      <w:r w:rsidRPr="00514940">
        <w:t xml:space="preserve">Existen diversas </w:t>
      </w:r>
      <w:r>
        <w:t>metodologías</w:t>
      </w:r>
      <w:r w:rsidRPr="00514940">
        <w:t xml:space="preserve"> de evaluación de la sustentabilidad</w:t>
      </w:r>
      <w:r w:rsidR="004A2CB7">
        <w:t xml:space="preserve"> (tabla </w:t>
      </w:r>
      <w:r w:rsidR="003B2DB1">
        <w:t>3</w:t>
      </w:r>
      <w:r w:rsidR="004A2CB7">
        <w:t>)</w:t>
      </w:r>
      <w:r w:rsidRPr="00514940">
        <w:t xml:space="preserve">, tales como </w:t>
      </w:r>
      <w:r w:rsidR="0046765C">
        <w:t xml:space="preserve">el </w:t>
      </w:r>
      <w:r w:rsidRPr="00514940">
        <w:t xml:space="preserve">Análisis de Ciclo de Vida (ECV) (Comisión Nacional del Medio Ambiente, 2001), </w:t>
      </w:r>
      <w:r w:rsidR="0046765C">
        <w:t xml:space="preserve">el </w:t>
      </w:r>
      <w:r w:rsidRPr="00514940">
        <w:t xml:space="preserve">Marco para la Evaluación de Sistemas de Manejo de Recursos Naturales incorporando Indicadores de Sustentabilidad (MESMIS) (Mesera, Astier y López-Ridaura, 2000), </w:t>
      </w:r>
      <w:r w:rsidR="0046765C">
        <w:t xml:space="preserve">la </w:t>
      </w:r>
      <w:r w:rsidRPr="00514940">
        <w:t xml:space="preserve">Evaluación de la Sostenibilidad para la Agricultura y la Alimentación (SAFA) (FAO, 2014) </w:t>
      </w:r>
      <w:r w:rsidR="0046765C">
        <w:t>y los</w:t>
      </w:r>
      <w:r w:rsidRPr="00514940">
        <w:t xml:space="preserve"> Indicadores de la Sostenibilidad de </w:t>
      </w:r>
      <w:r w:rsidRPr="00514940">
        <w:lastRenderedPageBreak/>
        <w:t>Explotaciones Agrícolas (</w:t>
      </w:r>
      <w:r w:rsidR="00404C35" w:rsidRPr="009F5793">
        <w:rPr>
          <w:iCs/>
          <w:lang w:val="es-ES"/>
        </w:rPr>
        <w:t>Indicateurs de Durabilité des Exploitations Agricoles,</w:t>
      </w:r>
      <w:r w:rsidR="00404C35" w:rsidRPr="00514940">
        <w:t xml:space="preserve"> </w:t>
      </w:r>
      <w:r w:rsidRPr="00514940">
        <w:t>IDEA) (Vilain, 2008), las cuales se han utilizado para evaluar la sustentabilidad de sistemas de producción en México.</w:t>
      </w:r>
    </w:p>
    <w:p w14:paraId="71E714C0" w14:textId="129C1594" w:rsidR="0046765C" w:rsidRDefault="0046765C" w:rsidP="0046765C">
      <w:pPr>
        <w:pStyle w:val="Sinespaciado"/>
      </w:pPr>
      <w:r>
        <w:t xml:space="preserve">Tabla </w:t>
      </w:r>
      <w:r w:rsidR="003B2DB1">
        <w:t>3</w:t>
      </w:r>
      <w:r>
        <w:t xml:space="preserve"> Metodologías para la evaluación de la sustentabilidad</w:t>
      </w:r>
    </w:p>
    <w:tbl>
      <w:tblPr>
        <w:tblStyle w:val="Tablaconcuadrcula"/>
        <w:tblW w:w="0" w:type="auto"/>
        <w:tblLook w:val="04A0" w:firstRow="1" w:lastRow="0" w:firstColumn="1" w:lastColumn="0" w:noHBand="0" w:noVBand="1"/>
      </w:tblPr>
      <w:tblGrid>
        <w:gridCol w:w="1630"/>
        <w:gridCol w:w="4910"/>
        <w:gridCol w:w="2288"/>
      </w:tblGrid>
      <w:tr w:rsidR="0046765C" w:rsidRPr="0046765C" w14:paraId="355260BD" w14:textId="77777777" w:rsidTr="005D48C2">
        <w:tc>
          <w:tcPr>
            <w:tcW w:w="1537" w:type="dxa"/>
          </w:tcPr>
          <w:p w14:paraId="4913F38C" w14:textId="77777777" w:rsidR="0046765C" w:rsidRPr="0046765C" w:rsidRDefault="0046765C" w:rsidP="005D48C2">
            <w:pPr>
              <w:spacing w:line="276" w:lineRule="auto"/>
              <w:rPr>
                <w:b/>
                <w:bCs/>
                <w:color w:val="000000" w:themeColor="text1"/>
                <w:szCs w:val="24"/>
              </w:rPr>
            </w:pPr>
            <w:r w:rsidRPr="0046765C">
              <w:rPr>
                <w:b/>
                <w:bCs/>
                <w:color w:val="000000" w:themeColor="text1"/>
                <w:szCs w:val="24"/>
              </w:rPr>
              <w:t xml:space="preserve">Metodología </w:t>
            </w:r>
          </w:p>
        </w:tc>
        <w:tc>
          <w:tcPr>
            <w:tcW w:w="4979" w:type="dxa"/>
          </w:tcPr>
          <w:p w14:paraId="1D732DFC" w14:textId="77777777" w:rsidR="0046765C" w:rsidRPr="0046765C" w:rsidRDefault="0046765C" w:rsidP="005D48C2">
            <w:pPr>
              <w:spacing w:line="276" w:lineRule="auto"/>
              <w:rPr>
                <w:b/>
                <w:bCs/>
                <w:color w:val="000000" w:themeColor="text1"/>
                <w:szCs w:val="24"/>
              </w:rPr>
            </w:pPr>
            <w:r w:rsidRPr="0046765C">
              <w:rPr>
                <w:b/>
                <w:bCs/>
                <w:color w:val="000000" w:themeColor="text1"/>
                <w:szCs w:val="24"/>
              </w:rPr>
              <w:t xml:space="preserve">Objetivo </w:t>
            </w:r>
          </w:p>
        </w:tc>
        <w:tc>
          <w:tcPr>
            <w:tcW w:w="2312" w:type="dxa"/>
          </w:tcPr>
          <w:p w14:paraId="66B7D424" w14:textId="77777777" w:rsidR="0046765C" w:rsidRPr="0046765C" w:rsidRDefault="0046765C" w:rsidP="005D48C2">
            <w:pPr>
              <w:spacing w:line="276" w:lineRule="auto"/>
              <w:rPr>
                <w:b/>
                <w:bCs/>
                <w:color w:val="000000" w:themeColor="text1"/>
                <w:szCs w:val="24"/>
              </w:rPr>
            </w:pPr>
            <w:r w:rsidRPr="0046765C">
              <w:rPr>
                <w:b/>
                <w:bCs/>
                <w:color w:val="000000" w:themeColor="text1"/>
                <w:szCs w:val="24"/>
              </w:rPr>
              <w:t>Autor</w:t>
            </w:r>
          </w:p>
        </w:tc>
      </w:tr>
      <w:tr w:rsidR="0046765C" w:rsidRPr="0046765C" w14:paraId="6A585269" w14:textId="77777777" w:rsidTr="005D48C2">
        <w:tc>
          <w:tcPr>
            <w:tcW w:w="1537" w:type="dxa"/>
          </w:tcPr>
          <w:p w14:paraId="34560F93" w14:textId="77777777" w:rsidR="0046765C" w:rsidRPr="0046765C" w:rsidRDefault="0046765C" w:rsidP="005D48C2">
            <w:pPr>
              <w:spacing w:line="276" w:lineRule="auto"/>
              <w:rPr>
                <w:szCs w:val="24"/>
              </w:rPr>
            </w:pPr>
            <w:r w:rsidRPr="0046765C">
              <w:rPr>
                <w:szCs w:val="24"/>
              </w:rPr>
              <w:t>ECV</w:t>
            </w:r>
          </w:p>
        </w:tc>
        <w:tc>
          <w:tcPr>
            <w:tcW w:w="4979" w:type="dxa"/>
          </w:tcPr>
          <w:p w14:paraId="64A036DE" w14:textId="77777777" w:rsidR="0046765C" w:rsidRPr="0046765C" w:rsidRDefault="0046765C" w:rsidP="005D48C2">
            <w:pPr>
              <w:spacing w:line="276" w:lineRule="auto"/>
              <w:rPr>
                <w:szCs w:val="24"/>
              </w:rPr>
            </w:pPr>
            <w:r w:rsidRPr="0046765C">
              <w:rPr>
                <w:szCs w:val="24"/>
              </w:rPr>
              <w:t xml:space="preserve">Estudiar los procesos productivos e identificar posibles mejoras con el fin de minimizar la contaminación y los residuos y se realiza mediante dos categorías, límites de ciclo de vida abierto y límites de ciclo de vida de cerrado. Se evalúa con base a la ISO 14000. </w:t>
            </w:r>
          </w:p>
        </w:tc>
        <w:tc>
          <w:tcPr>
            <w:tcW w:w="2312" w:type="dxa"/>
          </w:tcPr>
          <w:p w14:paraId="7165D2E3" w14:textId="77777777" w:rsidR="0046765C" w:rsidRPr="0046765C" w:rsidRDefault="0046765C" w:rsidP="005D48C2">
            <w:pPr>
              <w:spacing w:line="276" w:lineRule="auto"/>
              <w:rPr>
                <w:szCs w:val="24"/>
              </w:rPr>
            </w:pPr>
            <w:r w:rsidRPr="0046765C">
              <w:rPr>
                <w:szCs w:val="24"/>
              </w:rPr>
              <w:t>Comisión Nacional del Medio Ambiente, 2001</w:t>
            </w:r>
          </w:p>
        </w:tc>
      </w:tr>
      <w:tr w:rsidR="0046765C" w:rsidRPr="0046765C" w14:paraId="7BA9B5F4" w14:textId="77777777" w:rsidTr="005D48C2">
        <w:tc>
          <w:tcPr>
            <w:tcW w:w="1537" w:type="dxa"/>
          </w:tcPr>
          <w:p w14:paraId="595E8166" w14:textId="77777777" w:rsidR="0046765C" w:rsidRPr="0046765C" w:rsidRDefault="0046765C" w:rsidP="005D48C2">
            <w:pPr>
              <w:spacing w:line="276" w:lineRule="auto"/>
              <w:rPr>
                <w:szCs w:val="24"/>
              </w:rPr>
            </w:pPr>
            <w:r w:rsidRPr="0046765C">
              <w:rPr>
                <w:szCs w:val="24"/>
              </w:rPr>
              <w:t>MESMIS</w:t>
            </w:r>
          </w:p>
        </w:tc>
        <w:tc>
          <w:tcPr>
            <w:tcW w:w="4979" w:type="dxa"/>
          </w:tcPr>
          <w:p w14:paraId="19971E8B" w14:textId="77777777" w:rsidR="0046765C" w:rsidRPr="0046765C" w:rsidRDefault="0046765C" w:rsidP="005D48C2">
            <w:pPr>
              <w:spacing w:line="276" w:lineRule="auto"/>
              <w:rPr>
                <w:szCs w:val="24"/>
              </w:rPr>
            </w:pPr>
            <w:r w:rsidRPr="0046765C">
              <w:rPr>
                <w:szCs w:val="24"/>
              </w:rPr>
              <w:t>Tiene varios objetivos en conjunto ayudan a evaluar la sustentabilidad de sistemas de manejo de recursos naturales haciendo énfasis en el contexto de los productores campesinos y en al ámbito local, aplicable desde la parcela hasta la comunidad. Es un proceso de análisis y retroalimentación con cuatro tareas fundamentales, investigar-capacitar-aplicar-documentar.</w:t>
            </w:r>
          </w:p>
        </w:tc>
        <w:tc>
          <w:tcPr>
            <w:tcW w:w="2312" w:type="dxa"/>
          </w:tcPr>
          <w:p w14:paraId="557B70F8" w14:textId="77777777" w:rsidR="0046765C" w:rsidRPr="0046765C" w:rsidRDefault="0046765C" w:rsidP="005D48C2">
            <w:pPr>
              <w:spacing w:line="276" w:lineRule="auto"/>
              <w:rPr>
                <w:szCs w:val="24"/>
              </w:rPr>
            </w:pPr>
            <w:r w:rsidRPr="0046765C">
              <w:rPr>
                <w:szCs w:val="24"/>
              </w:rPr>
              <w:t>Mesera, Astier y López-Ridaura, 2000</w:t>
            </w:r>
          </w:p>
        </w:tc>
      </w:tr>
      <w:tr w:rsidR="0046765C" w:rsidRPr="0046765C" w14:paraId="5BE27EAC" w14:textId="77777777" w:rsidTr="005D48C2">
        <w:tc>
          <w:tcPr>
            <w:tcW w:w="1537" w:type="dxa"/>
          </w:tcPr>
          <w:p w14:paraId="38B64601" w14:textId="77777777" w:rsidR="0046765C" w:rsidRPr="0046765C" w:rsidRDefault="0046765C" w:rsidP="005D48C2">
            <w:pPr>
              <w:spacing w:line="276" w:lineRule="auto"/>
              <w:rPr>
                <w:szCs w:val="24"/>
              </w:rPr>
            </w:pPr>
            <w:r w:rsidRPr="0046765C">
              <w:rPr>
                <w:szCs w:val="24"/>
              </w:rPr>
              <w:t>SAFA</w:t>
            </w:r>
          </w:p>
        </w:tc>
        <w:tc>
          <w:tcPr>
            <w:tcW w:w="4979" w:type="dxa"/>
          </w:tcPr>
          <w:p w14:paraId="43A871A6" w14:textId="77777777" w:rsidR="0046765C" w:rsidRPr="0046765C" w:rsidRDefault="0046765C" w:rsidP="005D48C2">
            <w:pPr>
              <w:spacing w:line="276" w:lineRule="auto"/>
              <w:rPr>
                <w:szCs w:val="24"/>
              </w:rPr>
            </w:pPr>
            <w:r w:rsidRPr="0046765C">
              <w:rPr>
                <w:szCs w:val="24"/>
              </w:rPr>
              <w:t>Es una referencia internacional para evaluar compensaciones y sinergias de cuatro dimensiones de la sostenibilidad (buena gobernanza, integridad ambiental, resiliencia económica y bienestar social). Estos son medidos y verificables a través de indicadores aplicables a las cadenas de suministro de alimentos y agricultura.</w:t>
            </w:r>
          </w:p>
        </w:tc>
        <w:tc>
          <w:tcPr>
            <w:tcW w:w="2312" w:type="dxa"/>
          </w:tcPr>
          <w:p w14:paraId="301CCC9D" w14:textId="77777777" w:rsidR="0046765C" w:rsidRPr="0046765C" w:rsidRDefault="0046765C" w:rsidP="005D48C2">
            <w:pPr>
              <w:spacing w:line="276" w:lineRule="auto"/>
              <w:rPr>
                <w:szCs w:val="24"/>
              </w:rPr>
            </w:pPr>
            <w:r w:rsidRPr="0046765C">
              <w:rPr>
                <w:szCs w:val="24"/>
              </w:rPr>
              <w:t>FAO, 2014</w:t>
            </w:r>
          </w:p>
        </w:tc>
      </w:tr>
      <w:tr w:rsidR="0046765C" w:rsidRPr="0046765C" w14:paraId="6F8E926D" w14:textId="77777777" w:rsidTr="005D48C2">
        <w:tc>
          <w:tcPr>
            <w:tcW w:w="1537" w:type="dxa"/>
          </w:tcPr>
          <w:p w14:paraId="1B226BF2" w14:textId="77777777" w:rsidR="0046765C" w:rsidRPr="0046765C" w:rsidRDefault="0046765C" w:rsidP="005D48C2">
            <w:pPr>
              <w:spacing w:line="276" w:lineRule="auto"/>
              <w:rPr>
                <w:szCs w:val="24"/>
              </w:rPr>
            </w:pPr>
            <w:r w:rsidRPr="0046765C">
              <w:rPr>
                <w:szCs w:val="24"/>
              </w:rPr>
              <w:t>Método IDEA</w:t>
            </w:r>
          </w:p>
        </w:tc>
        <w:tc>
          <w:tcPr>
            <w:tcW w:w="4979" w:type="dxa"/>
          </w:tcPr>
          <w:p w14:paraId="1293E621" w14:textId="77777777" w:rsidR="0046765C" w:rsidRPr="0046765C" w:rsidRDefault="0046765C" w:rsidP="005D48C2">
            <w:pPr>
              <w:spacing w:line="276" w:lineRule="auto"/>
              <w:rPr>
                <w:szCs w:val="24"/>
              </w:rPr>
            </w:pPr>
            <w:r w:rsidRPr="0046765C">
              <w:rPr>
                <w:szCs w:val="24"/>
              </w:rPr>
              <w:t>Es una herramienta de vocación pedagógica y pretende identificar, por medio de la reflexión del productor en compañía del especialista, las debilidades técnicas y las vías de mejoramiento que promueven la acción a nivel local y la toma de decisiones.</w:t>
            </w:r>
          </w:p>
        </w:tc>
        <w:tc>
          <w:tcPr>
            <w:tcW w:w="2312" w:type="dxa"/>
          </w:tcPr>
          <w:p w14:paraId="4EF030D7" w14:textId="77777777" w:rsidR="0046765C" w:rsidRPr="0046765C" w:rsidRDefault="0046765C" w:rsidP="005D48C2">
            <w:pPr>
              <w:spacing w:line="276" w:lineRule="auto"/>
              <w:rPr>
                <w:szCs w:val="24"/>
              </w:rPr>
            </w:pPr>
            <w:r w:rsidRPr="0046765C">
              <w:rPr>
                <w:szCs w:val="24"/>
              </w:rPr>
              <w:t>Vilain, 2008</w:t>
            </w:r>
          </w:p>
        </w:tc>
      </w:tr>
    </w:tbl>
    <w:p w14:paraId="4B945622" w14:textId="77777777" w:rsidR="0046765C" w:rsidRPr="00985315" w:rsidRDefault="0046765C" w:rsidP="0046765C">
      <w:pPr>
        <w:pStyle w:val="Sinespaciado"/>
        <w:rPr>
          <w:sz w:val="18"/>
          <w:szCs w:val="16"/>
        </w:rPr>
      </w:pPr>
      <w:r w:rsidRPr="00985315">
        <w:rPr>
          <w:sz w:val="18"/>
          <w:szCs w:val="16"/>
        </w:rPr>
        <w:t>Fuente Elaboración propia con base en los autores citados</w:t>
      </w:r>
    </w:p>
    <w:p w14:paraId="103F9295" w14:textId="77777777" w:rsidR="0046765C" w:rsidRDefault="0046765C" w:rsidP="0046765C"/>
    <w:p w14:paraId="059F91D2" w14:textId="0E89E763" w:rsidR="0046765C" w:rsidRDefault="0046765C" w:rsidP="0046765C">
      <w:r>
        <w:lastRenderedPageBreak/>
        <w:t xml:space="preserve">Para este estudio se eligió el método IDEA (Vilain, 2008) por la compatibilidad de las dimensiones preestablecidas en el manual mismo con algunas de las propuestas por </w:t>
      </w:r>
      <w:r w:rsidRPr="009D5269">
        <w:t xml:space="preserve">Toledo </w:t>
      </w:r>
      <w:r>
        <w:t>y</w:t>
      </w:r>
      <w:r w:rsidRPr="009D5269">
        <w:t xml:space="preserve"> Ortiz-Espejel (2014)</w:t>
      </w:r>
      <w:r>
        <w:t xml:space="preserve"> en </w:t>
      </w:r>
      <w:r w:rsidRPr="00391ED6">
        <w:t>México, regiones que caminan hacia la sustentabilidad</w:t>
      </w:r>
      <w:r>
        <w:t>, donde se proponen doce dimensiones para la evaluación de esta</w:t>
      </w:r>
      <w:r w:rsidRPr="00391ED6">
        <w:t>.</w:t>
      </w:r>
      <w:r>
        <w:t xml:space="preserve"> Las consideradas para este estudio son tres, agroecológica, socio-territorial y económica.</w:t>
      </w:r>
    </w:p>
    <w:p w14:paraId="55A9E161" w14:textId="5C659EE5" w:rsidR="0046765C" w:rsidRDefault="0046765C" w:rsidP="0046765C">
      <w:r>
        <w:t>El método IDEA es útil en diferentes sistemas como los policultivos-ganadería, la silvicultura, la viticultura o la producción de cereales. No es recomendable para evaluar la sustentabilidad de sistemas productivos protegidos y muy especializados, como pueden ser la apicultura, horticultura y floricultura bajo invernadero. Considera al sistema agropecuario sustentable como económicamente viable, ambientalmente racional y socialmente equitativo. Propone tres dimensiones: agroecológica (tres componentes y 18 indicadores), socio-territorial (tres componentes y 18 indicadores) y económica (tres componentes y seis indicadores) (Vilain, 2008)</w:t>
      </w:r>
    </w:p>
    <w:p w14:paraId="5EB6E81B" w14:textId="77777777" w:rsidR="0046765C" w:rsidRDefault="0046765C" w:rsidP="0046765C">
      <w:r>
        <w:t>Para conceptualizar cada una de las dimensiones consideradas para este estudio se consideraron autores como Toledo, Ortiz-Espejel, Macías, Téllez Altieri, Vilain, Leff y Sarandón.</w:t>
      </w:r>
    </w:p>
    <w:p w14:paraId="29F33C43" w14:textId="77777777" w:rsidR="0046765C" w:rsidRDefault="0046765C" w:rsidP="0046765C">
      <w:r>
        <w:t xml:space="preserve">Existen diferentes conceptos de la agroecología, uno de ellos es el planteado por </w:t>
      </w:r>
      <w:r w:rsidRPr="009D5269">
        <w:t xml:space="preserve">Toledo </w:t>
      </w:r>
      <w:r>
        <w:rPr>
          <w:rFonts w:cs="Arial"/>
          <w:szCs w:val="24"/>
        </w:rPr>
        <w:t>y</w:t>
      </w:r>
      <w:r w:rsidRPr="009D5269">
        <w:rPr>
          <w:rFonts w:cs="Arial"/>
          <w:szCs w:val="24"/>
        </w:rPr>
        <w:t xml:space="preserve"> Ortiz-Espejel, (2014)</w:t>
      </w:r>
      <w:r>
        <w:t xml:space="preserve"> quienes lo caracterizan como </w:t>
      </w:r>
      <w:r w:rsidRPr="009D5269">
        <w:t>sistemas agropecuarios ambientalmente amigables, con o sin certificación y basados en el uso de la energía solar, directa o indirecta, reciclaje de basura, desechos, agua, residuos sólidos y energía</w:t>
      </w:r>
      <w:r>
        <w:t xml:space="preserve">. Algunos autores como Macías y Téllez (2006) y </w:t>
      </w:r>
      <w:r w:rsidRPr="003D6ED0">
        <w:t>Altieri (2004)</w:t>
      </w:r>
      <w:r>
        <w:t>, coinciden al considerarla como el conjunto de conocimientos, técnicas implementadas y desarrolladas por los agricultores haciendo énfasis en la capacidad de experimentar, evaluar y ampliar la capacidad de innovación entre agricultores dentro del extensionismo horizontal y a</w:t>
      </w:r>
      <w:r w:rsidRPr="00837B63">
        <w:t>rraigados en la r</w:t>
      </w:r>
      <w:r>
        <w:t>acion</w:t>
      </w:r>
      <w:r w:rsidRPr="00837B63">
        <w:t>alidad ecológica de la agricultura tradicional</w:t>
      </w:r>
      <w:r>
        <w:t xml:space="preserve">. </w:t>
      </w:r>
    </w:p>
    <w:p w14:paraId="1C8D1893" w14:textId="77777777" w:rsidR="004001B3" w:rsidRDefault="004001B3" w:rsidP="0046765C">
      <w:r>
        <w:lastRenderedPageBreak/>
        <w:t xml:space="preserve">Por su parte, </w:t>
      </w:r>
      <w:r w:rsidRPr="00CF0B81">
        <w:t>Holt-Gim</w:t>
      </w:r>
      <w:r>
        <w:t>é</w:t>
      </w:r>
      <w:r w:rsidRPr="00CF0B81">
        <w:t xml:space="preserve">nez </w:t>
      </w:r>
      <w:r>
        <w:t>(</w:t>
      </w:r>
      <w:r w:rsidRPr="00CF0B81">
        <w:t>2006</w:t>
      </w:r>
      <w:r>
        <w:t xml:space="preserve">) estima integrar los </w:t>
      </w:r>
      <w:r w:rsidRPr="0068290A">
        <w:t>procesos sociales basados en la participación de la comunidad</w:t>
      </w:r>
      <w:r>
        <w:t xml:space="preserve"> </w:t>
      </w:r>
      <w:r w:rsidRPr="0068290A">
        <w:t>considerá</w:t>
      </w:r>
      <w:r>
        <w:t xml:space="preserve">ndolos una </w:t>
      </w:r>
      <w:r w:rsidRPr="0068290A">
        <w:t>estrategia</w:t>
      </w:r>
      <w:r>
        <w:t xml:space="preserve"> en</w:t>
      </w:r>
      <w:r w:rsidRPr="0068290A">
        <w:t xml:space="preserve"> el desarrollo de los recursos humanos </w:t>
      </w:r>
      <w:r>
        <w:t>aumentando, así,</w:t>
      </w:r>
      <w:r w:rsidRPr="0068290A">
        <w:t xml:space="preserve"> las opciones</w:t>
      </w:r>
      <w:r>
        <w:t xml:space="preserve"> alimentarias</w:t>
      </w:r>
      <w:r w:rsidRPr="0068290A">
        <w:t xml:space="preserve"> </w:t>
      </w:r>
      <w:r>
        <w:t>en</w:t>
      </w:r>
      <w:r w:rsidRPr="0068290A">
        <w:t xml:space="preserve"> la población rural</w:t>
      </w:r>
      <w:r>
        <w:t>,</w:t>
      </w:r>
      <w:r w:rsidRPr="0068290A">
        <w:t xml:space="preserve"> y especialmente</w:t>
      </w:r>
      <w:r>
        <w:t>, d</w:t>
      </w:r>
      <w:r w:rsidRPr="0068290A">
        <w:t>e los campesinos de escasos recursos</w:t>
      </w:r>
      <w:r>
        <w:t xml:space="preserve">. </w:t>
      </w:r>
    </w:p>
    <w:p w14:paraId="6BF48469" w14:textId="05BF075C" w:rsidR="004001B3" w:rsidRDefault="004001B3" w:rsidP="0046765C">
      <w:r>
        <w:t xml:space="preserve">A la agroecología se le considera un paradigma alternativo, por ser un conjunto de prácticas que conlleva una diversificación agrícola dirigida a la promoción de interacciones biológicas y sinérgicas benéficas entre los componentes del agroecosistema y permite la regeneración de la fertilización del suelo y el mantenimiento de la productividad y la protección de los cultivos </w:t>
      </w:r>
      <w:r w:rsidRPr="00CF0B81">
        <w:t>(Altieri, 200</w:t>
      </w:r>
      <w:r w:rsidR="00C5713E">
        <w:t>4</w:t>
      </w:r>
      <w:r w:rsidRPr="00CF0B81">
        <w:t>).</w:t>
      </w:r>
      <w:r>
        <w:t xml:space="preserve"> </w:t>
      </w:r>
    </w:p>
    <w:p w14:paraId="1E889526" w14:textId="23DCD111" w:rsidR="004001B3" w:rsidRDefault="004001B3" w:rsidP="0046765C">
      <w:r>
        <w:t xml:space="preserve">Algunos de sus principios básicos son la diversificación de las especies de plantas y los recursos genéticos de los agroecosistemas en un tiempo y espacio determinados </w:t>
      </w:r>
      <w:r w:rsidRPr="00E1177C">
        <w:t>(</w:t>
      </w:r>
      <w:r>
        <w:t>Francis</w:t>
      </w:r>
      <w:r w:rsidRPr="00CF0B81">
        <w:t>,</w:t>
      </w:r>
      <w:r>
        <w:t xml:space="preserve"> </w:t>
      </w:r>
      <w:r w:rsidRPr="00BF27B8">
        <w:rPr>
          <w:i/>
          <w:iCs/>
        </w:rPr>
        <w:t>et al.,</w:t>
      </w:r>
      <w:r w:rsidRPr="00CF0B81">
        <w:t xml:space="preserve"> </w:t>
      </w:r>
      <w:r>
        <w:t>2003</w:t>
      </w:r>
      <w:r w:rsidRPr="00CF0B81">
        <w:t>)</w:t>
      </w:r>
      <w:r w:rsidR="00DB07F6">
        <w:t>;</w:t>
      </w:r>
      <w:r>
        <w:t xml:space="preserve"> para </w:t>
      </w:r>
      <w:r w:rsidRPr="002A20AD">
        <w:t>asegurar la adecuada conservación y restauración de los recursos naturales y tratar de promover sistemas tecnológicos que propicien el uso eficiente y sinérgico de ellos</w:t>
      </w:r>
      <w:r>
        <w:t xml:space="preserve"> (Macías y Téllez, 2006).</w:t>
      </w:r>
    </w:p>
    <w:p w14:paraId="78CEA6F2" w14:textId="7115F5D1" w:rsidR="004001B3" w:rsidRDefault="004001B3" w:rsidP="0046765C">
      <w:r>
        <w:t xml:space="preserve">Según Vilain (2008) la dimensión agroecológica tiene por objetivo la optimización de los factores de producción orientados hacia una nueva rentabilidad, disminuyendo la vulnerabilidad económica y manteniendo estabilidad agronómica, ecológica y sanitaria.   </w:t>
      </w:r>
    </w:p>
    <w:p w14:paraId="72843EF8" w14:textId="3BC0AA03" w:rsidR="00446669" w:rsidRDefault="00446669" w:rsidP="0046765C">
      <w:r>
        <w:t>En relación con este estudio se considerará a la dimensión agroecológica, como las prácticas que se realizan al interior de las unidades productivas de traspatio que permiten mantener y reintegrar al sistema productivo interacciones biológicas y sinérgicas benéficas entre los componentes del agroecosistema, así como la promoción de estrategias innovadoras que fomenten la restauración de los recursos naturales y mejoren la eficiencia del sistema mismo.</w:t>
      </w:r>
    </w:p>
    <w:p w14:paraId="2AE79172" w14:textId="1FD6B030" w:rsidR="004001B3" w:rsidRDefault="004001B3" w:rsidP="0046765C">
      <w:r w:rsidRPr="009D5269">
        <w:t xml:space="preserve">La dimensión </w:t>
      </w:r>
      <w:r w:rsidRPr="00D00CF0">
        <w:rPr>
          <w:bCs/>
        </w:rPr>
        <w:t>socio-territorial</w:t>
      </w:r>
      <w:r>
        <w:rPr>
          <w:bCs/>
        </w:rPr>
        <w:t xml:space="preserve"> concentra a la sociedad en un territorio</w:t>
      </w:r>
      <w:r w:rsidRPr="009D5269">
        <w:t>,</w:t>
      </w:r>
      <w:r>
        <w:t xml:space="preserve"> </w:t>
      </w:r>
      <w:r w:rsidRPr="009D5269">
        <w:t>Toledo</w:t>
      </w:r>
      <w:r>
        <w:t xml:space="preserve"> y </w:t>
      </w:r>
      <w:r w:rsidRPr="009D5269">
        <w:t xml:space="preserve">Ortiz-Espejel </w:t>
      </w:r>
      <w:r>
        <w:t>(</w:t>
      </w:r>
      <w:r w:rsidRPr="009D5269">
        <w:t>2014) defin</w:t>
      </w:r>
      <w:r>
        <w:t>en</w:t>
      </w:r>
      <w:r w:rsidRPr="009D5269">
        <w:t xml:space="preserve"> a</w:t>
      </w:r>
      <w:r>
        <w:t>l</w:t>
      </w:r>
      <w:r w:rsidRPr="009D5269">
        <w:t xml:space="preserve"> territori</w:t>
      </w:r>
      <w:r>
        <w:t>o</w:t>
      </w:r>
      <w:r w:rsidRPr="009D5269">
        <w:t xml:space="preserve"> </w:t>
      </w:r>
      <w:r>
        <w:t>como el espacio donde</w:t>
      </w:r>
      <w:r w:rsidRPr="009D5269">
        <w:t xml:space="preserve"> el poder social o ciudadano</w:t>
      </w:r>
      <w:r>
        <w:t xml:space="preserve"> se</w:t>
      </w:r>
      <w:r w:rsidRPr="009D5269">
        <w:t xml:space="preserve"> agrupa</w:t>
      </w:r>
      <w:r>
        <w:t xml:space="preserve"> en</w:t>
      </w:r>
      <w:r w:rsidRPr="009D5269">
        <w:t xml:space="preserve"> comunidades, asociaciones, cooperativas, sindicatos</w:t>
      </w:r>
      <w:r>
        <w:t xml:space="preserve"> y</w:t>
      </w:r>
      <w:r w:rsidRPr="009D5269">
        <w:t xml:space="preserve"> </w:t>
      </w:r>
      <w:r w:rsidRPr="009D5269">
        <w:lastRenderedPageBreak/>
        <w:t xml:space="preserve">organizaciones profesionales. </w:t>
      </w:r>
      <w:r>
        <w:t xml:space="preserve">Macias y Téllez (2006) </w:t>
      </w:r>
      <w:r w:rsidR="00DB07F6">
        <w:t xml:space="preserve">lo vislumbran </w:t>
      </w:r>
      <w:r>
        <w:t xml:space="preserve">como el promotor de la diversidad y pluralismo cultural al intentar reducir las desigualdades entre y al interior de las comunidades. Por su parte, Serrano (2003) propone </w:t>
      </w:r>
      <w:r w:rsidR="00DB07F6">
        <w:t xml:space="preserve">que </w:t>
      </w:r>
      <w:r>
        <w:t xml:space="preserve">los individuos </w:t>
      </w:r>
      <w:r w:rsidRPr="009D5269">
        <w:t>que habitan en un espacio físico se interrelacionan con éste y entre ellos, ya sea para el crecimiento o el decrecimiento de algún espacio con respecto a otro</w:t>
      </w:r>
      <w:r w:rsidR="00DB07F6">
        <w:t>.</w:t>
      </w:r>
      <w:r w:rsidRPr="009D5269">
        <w:t xml:space="preserve"> </w:t>
      </w:r>
      <w:r w:rsidR="00DB07F6">
        <w:t>B</w:t>
      </w:r>
      <w:r w:rsidRPr="009D5269">
        <w:t>ajo este enfoque</w:t>
      </w:r>
      <w:r>
        <w:t xml:space="preserve"> </w:t>
      </w:r>
      <w:r w:rsidRPr="009D5269">
        <w:t xml:space="preserve">el espacio actúa </w:t>
      </w:r>
      <w:r>
        <w:t>desde dos puntos de vista, como</w:t>
      </w:r>
      <w:r w:rsidRPr="009D5269">
        <w:t xml:space="preserve"> sujeto por las condiciones, recursos naturales </w:t>
      </w:r>
      <w:r>
        <w:t>e</w:t>
      </w:r>
      <w:r w:rsidRPr="009D5269">
        <w:t xml:space="preserve"> infraestructura que pose</w:t>
      </w:r>
      <w:r>
        <w:t>e</w:t>
      </w:r>
      <w:r w:rsidRPr="009D5269">
        <w:t xml:space="preserve"> el espacio</w:t>
      </w:r>
      <w:r>
        <w:t>,</w:t>
      </w:r>
      <w:r w:rsidRPr="009D5269">
        <w:t xml:space="preserve"> y objeto por la actividad propia de los individuos que lo habitan.</w:t>
      </w:r>
    </w:p>
    <w:p w14:paraId="482B9DD2" w14:textId="77777777" w:rsidR="00D20FFD" w:rsidRDefault="004001B3" w:rsidP="0046765C">
      <w:r>
        <w:t xml:space="preserve">Leff (2004), relaciona al territorio con la sustentabilidad como el lugar donde convergen los tiempos de </w:t>
      </w:r>
      <w:r w:rsidR="00DB07F6">
        <w:t>esta</w:t>
      </w:r>
      <w:r>
        <w:t>, los procesos de restauración y productividad ecológica, de innovación y asimilación tecnológica de reconstrucción de identidades culturales.</w:t>
      </w:r>
    </w:p>
    <w:p w14:paraId="36747328" w14:textId="7679666E" w:rsidR="004001B3" w:rsidRDefault="004001B3" w:rsidP="0046765C">
      <w:r w:rsidRPr="009D5269">
        <w:t xml:space="preserve">El </w:t>
      </w:r>
      <w:r>
        <w:t>m</w:t>
      </w:r>
      <w:r w:rsidRPr="00786AD5">
        <w:t>étodo</w:t>
      </w:r>
      <w:r>
        <w:t xml:space="preserve"> </w:t>
      </w:r>
      <w:r w:rsidRPr="00786AD5">
        <w:t>ID</w:t>
      </w:r>
      <w:r>
        <w:t xml:space="preserve">EA </w:t>
      </w:r>
      <w:r w:rsidRPr="009D5269">
        <w:t xml:space="preserve">(Vilain, 2008), </w:t>
      </w:r>
      <w:r>
        <w:t xml:space="preserve">valora a </w:t>
      </w:r>
      <w:r w:rsidRPr="009D5269">
        <w:t xml:space="preserve">la dimensión social </w:t>
      </w:r>
      <w:r>
        <w:t>mediante</w:t>
      </w:r>
      <w:r w:rsidRPr="009D5269">
        <w:t xml:space="preserve"> indicadores agrupados en tres grandes componentes: la calidad del producto y del territorio, los empleos y servicios, la ética y el desarrollo humano. Con la finalidad de evaluar la calidad de vida del agricultor y la importancia de los servicios mercantiles y no mercantiles que se ofrecen al territorio y a la sociedad</w:t>
      </w:r>
      <w:r>
        <w:t>.</w:t>
      </w:r>
    </w:p>
    <w:p w14:paraId="0630993A" w14:textId="1172EB9D" w:rsidR="00446669" w:rsidRDefault="00446669" w:rsidP="0046765C">
      <w:r>
        <w:t>En la dimensión socio-territorial y para fines de este estudio se abordará desde las interacciones que se establecen entre el productor y el espacio físico que habita, la percepción propia de las condiciones de vida, las relaciones con otros productores y las actividades que se realizan al interior del sistema productivo de traspatio.</w:t>
      </w:r>
    </w:p>
    <w:p w14:paraId="2C728825" w14:textId="37DCBAB6" w:rsidR="004001B3" w:rsidRPr="00AD7EEB" w:rsidRDefault="00DB07F6" w:rsidP="0046765C">
      <w:r>
        <w:t>La</w:t>
      </w:r>
      <w:r w:rsidRPr="009D5269">
        <w:t xml:space="preserve"> </w:t>
      </w:r>
      <w:r w:rsidR="004001B3" w:rsidRPr="009D5269">
        <w:t>dimensión</w:t>
      </w:r>
      <w:r w:rsidR="00D05EF0">
        <w:t xml:space="preserve"> económica,</w:t>
      </w:r>
      <w:r w:rsidR="004001B3" w:rsidRPr="009D5269">
        <w:t xml:space="preserve"> </w:t>
      </w:r>
      <w:r>
        <w:rPr>
          <w:bCs/>
        </w:rPr>
        <w:t xml:space="preserve">la cual </w:t>
      </w:r>
      <w:r w:rsidR="004001B3">
        <w:rPr>
          <w:bCs/>
        </w:rPr>
        <w:t>toma relevancia por las prácticas productivas y comerciales que se realizan mediante la diversidad, solidaridad y equidad de los participantes (Toledo y Ortiz-Espejel</w:t>
      </w:r>
      <w:r w:rsidR="004001B3" w:rsidRPr="009D5269">
        <w:t>,</w:t>
      </w:r>
      <w:r w:rsidR="004001B3">
        <w:t xml:space="preserve"> 2004). </w:t>
      </w:r>
      <w:r w:rsidR="004001B3">
        <w:rPr>
          <w:rFonts w:eastAsia="Times New Roman" w:cs="Arial"/>
          <w:szCs w:val="24"/>
          <w:lang w:eastAsia="es-MX"/>
        </w:rPr>
        <w:t xml:space="preserve">De acuerdo con </w:t>
      </w:r>
      <w:r w:rsidR="004001B3" w:rsidRPr="009D5269">
        <w:t>Macías</w:t>
      </w:r>
      <w:r w:rsidR="004001B3">
        <w:t xml:space="preserve"> y Téllez (</w:t>
      </w:r>
      <w:r w:rsidR="004001B3" w:rsidRPr="009D5269">
        <w:t>2006</w:t>
      </w:r>
      <w:r w:rsidR="004001B3">
        <w:t>)</w:t>
      </w:r>
      <w:r w:rsidR="004001B3">
        <w:rPr>
          <w:rFonts w:eastAsia="Times New Roman" w:cs="Arial"/>
          <w:szCs w:val="24"/>
          <w:lang w:eastAsia="es-MX"/>
        </w:rPr>
        <w:t xml:space="preserve"> </w:t>
      </w:r>
      <w:r w:rsidR="004001B3" w:rsidRPr="009D5269">
        <w:t>genera</w:t>
      </w:r>
      <w:r w:rsidR="004001B3">
        <w:t xml:space="preserve"> </w:t>
      </w:r>
      <w:r w:rsidR="004001B3" w:rsidRPr="009D5269">
        <w:t>las estructuras productivas que proporcion</w:t>
      </w:r>
      <w:r w:rsidR="004001B3">
        <w:t>a</w:t>
      </w:r>
      <w:r w:rsidR="004001B3" w:rsidRPr="009D5269">
        <w:t>n los bienes y servicios para la sociedad, garantizando el empleo</w:t>
      </w:r>
      <w:r w:rsidR="004001B3">
        <w:t xml:space="preserve"> y</w:t>
      </w:r>
      <w:r w:rsidR="004001B3" w:rsidRPr="009D5269">
        <w:t xml:space="preserve"> mejora las capacidades de desarrollo de los seres humanos.</w:t>
      </w:r>
      <w:r w:rsidR="004001B3">
        <w:t xml:space="preserve"> </w:t>
      </w:r>
    </w:p>
    <w:p w14:paraId="40DDB946" w14:textId="1BA3D2E0" w:rsidR="004001B3" w:rsidRDefault="004001B3" w:rsidP="0046765C">
      <w:r>
        <w:rPr>
          <w:rFonts w:eastAsia="Times New Roman" w:cs="Arial"/>
          <w:szCs w:val="24"/>
          <w:lang w:eastAsia="es-MX"/>
        </w:rPr>
        <w:lastRenderedPageBreak/>
        <w:t xml:space="preserve">Por otra parte, </w:t>
      </w:r>
      <w:r>
        <w:t xml:space="preserve">Vilain (2008) considera </w:t>
      </w:r>
      <w:r w:rsidR="00D05EF0">
        <w:t>a la dimensión económica como</w:t>
      </w:r>
      <w:r w:rsidRPr="009D5269">
        <w:t xml:space="preserve"> una condición de base del desarrollo</w:t>
      </w:r>
      <w:r>
        <w:t>, las explotaciones agropecuarias ecológicamente sanas y prácticas socio-territoriales sustentables deben ser económicamente estables, de lo contrario serán insostenibles a largo plazo para el productor.</w:t>
      </w:r>
    </w:p>
    <w:p w14:paraId="1519975C" w14:textId="5681B7E2" w:rsidR="004001B3" w:rsidRPr="009D5269" w:rsidRDefault="00D26607" w:rsidP="0046765C">
      <w:r>
        <w:t>E</w:t>
      </w:r>
      <w:r w:rsidR="00F12329">
        <w:t>n este punto es</w:t>
      </w:r>
      <w:r>
        <w:t xml:space="preserve"> conveniente</w:t>
      </w:r>
      <w:r w:rsidR="00F12329">
        <w:t xml:space="preserve"> retomar </w:t>
      </w:r>
      <w:r w:rsidR="003C5BB5">
        <w:t xml:space="preserve">la postura de la sustentabilidad desde las corrientes latinoamericanas, </w:t>
      </w:r>
      <w:r w:rsidR="00CE2210">
        <w:t xml:space="preserve">donde se plantean nuevos modos de producción fundado en los potenciales de la naturaleza (Rivera-Hernández, </w:t>
      </w:r>
      <w:r w:rsidR="00CE2210" w:rsidRPr="00BC101F">
        <w:rPr>
          <w:i/>
          <w:iCs/>
        </w:rPr>
        <w:t>et al</w:t>
      </w:r>
      <w:r w:rsidR="00CE2210">
        <w:t xml:space="preserve">., 2017) pues </w:t>
      </w:r>
      <w:r w:rsidR="006F6D20">
        <w:t>complementa</w:t>
      </w:r>
      <w:r w:rsidR="00CE2210">
        <w:t xml:space="preserve"> al concepto de</w:t>
      </w:r>
      <w:r w:rsidR="004001B3" w:rsidRPr="00BE0D43">
        <w:t xml:space="preserve"> sistema agrícola sustentable</w:t>
      </w:r>
      <w:r w:rsidR="00CE2210">
        <w:t xml:space="preserve"> (Sarandón, 2011)</w:t>
      </w:r>
      <w:r w:rsidR="004001B3" w:rsidRPr="00BE0D43">
        <w:t xml:space="preserve"> como aquel que es capaz de mantener en el tiempo un flujo de bienes y servicios que satisfagan las necesidades alimenticias, socioeconómicas y culturales de la población, dentro de los límites biofísicos que establece el correcto funcionamiento de los sistemas naturales (agroecosistemas) que lo soportan. </w:t>
      </w:r>
    </w:p>
    <w:p w14:paraId="7EB8BBB8" w14:textId="7AF44465" w:rsidR="00BC101F" w:rsidRDefault="004001B3" w:rsidP="0046765C">
      <w:r w:rsidRPr="009D5269">
        <w:t xml:space="preserve">Para lograr </w:t>
      </w:r>
      <w:r>
        <w:t>las meta</w:t>
      </w:r>
      <w:r w:rsidRPr="009D5269">
        <w:t>s a medio y largo plazo</w:t>
      </w:r>
      <w:r>
        <w:t xml:space="preserve"> de un sistema agrícola sustentable Caporal y Costabeber (2011) consideran </w:t>
      </w:r>
      <w:r w:rsidRPr="009D5269">
        <w:t>necesario la transición agroecológica</w:t>
      </w:r>
      <w:r>
        <w:t xml:space="preserve"> </w:t>
      </w:r>
      <w:r w:rsidR="007E7F37">
        <w:t xml:space="preserve">de las producciones agrícolas </w:t>
      </w:r>
      <w:r>
        <w:t>para</w:t>
      </w:r>
      <w:r w:rsidRPr="009D5269">
        <w:t xml:space="preserve"> reducir los efectos entrópicos inherentes a la transformación de los ecosistemas naturales </w:t>
      </w:r>
      <w:r>
        <w:t>evitando así</w:t>
      </w:r>
      <w:r w:rsidRPr="009D5269">
        <w:t xml:space="preserve"> el despilfarro de recursos naturales necesarios para mantener </w:t>
      </w:r>
      <w:r>
        <w:t xml:space="preserve">el futuro de </w:t>
      </w:r>
      <w:r w:rsidRPr="009D5269">
        <w:t>los ciclos productivos</w:t>
      </w:r>
      <w:r>
        <w:t>, conserva</w:t>
      </w:r>
      <w:r w:rsidR="00D91C9B">
        <w:t>ndo</w:t>
      </w:r>
      <w:r w:rsidRPr="009D5269">
        <w:t xml:space="preserve"> un carácter localmente definido necesario</w:t>
      </w:r>
      <w:r>
        <w:t xml:space="preserve"> para</w:t>
      </w:r>
      <w:r w:rsidRPr="009D5269">
        <w:t xml:space="preserve"> que la extensión rural trabaje de forma participativa</w:t>
      </w:r>
      <w:r w:rsidR="007E7F37">
        <w:t>,</w:t>
      </w:r>
      <w:r w:rsidRPr="009D5269">
        <w:t xml:space="preserve"> en conjunto con los agricultores haciendo uso de los conocimientos disponibles entre ellos y </w:t>
      </w:r>
      <w:r>
        <w:t>colabor</w:t>
      </w:r>
      <w:r w:rsidRPr="009D5269">
        <w:t xml:space="preserve">ar </w:t>
      </w:r>
      <w:r>
        <w:t>con e</w:t>
      </w:r>
      <w:r w:rsidRPr="009D5269">
        <w:t>l productor en los procesos de aprendizaje para una transformación profunda de relaciones sociales sin afectar a las generaciones futuras.</w:t>
      </w:r>
    </w:p>
    <w:p w14:paraId="07F0D39A" w14:textId="77777777" w:rsidR="00BC101F" w:rsidRDefault="00BC101F">
      <w:pPr>
        <w:spacing w:before="0" w:beforeAutospacing="0" w:after="160" w:afterAutospacing="0"/>
      </w:pPr>
      <w:r>
        <w:br w:type="page"/>
      </w:r>
    </w:p>
    <w:p w14:paraId="04A2D7DF" w14:textId="6AB4E25F" w:rsidR="004001B3" w:rsidRPr="00BC101F" w:rsidRDefault="004001B3" w:rsidP="00BC101F">
      <w:pPr>
        <w:rPr>
          <w:b/>
        </w:rPr>
      </w:pPr>
      <w:r w:rsidRPr="00BC101F">
        <w:rPr>
          <w:b/>
        </w:rPr>
        <w:lastRenderedPageBreak/>
        <w:t>3.</w:t>
      </w:r>
      <w:r w:rsidR="004410D7" w:rsidRPr="00BC101F">
        <w:rPr>
          <w:b/>
        </w:rPr>
        <w:t>3</w:t>
      </w:r>
      <w:r w:rsidRPr="00BC101F">
        <w:rPr>
          <w:b/>
        </w:rPr>
        <w:t xml:space="preserve"> C</w:t>
      </w:r>
      <w:r w:rsidR="004410D7" w:rsidRPr="00BC101F">
        <w:rPr>
          <w:b/>
        </w:rPr>
        <w:t>UNICULTURA</w:t>
      </w:r>
    </w:p>
    <w:p w14:paraId="76403EF4" w14:textId="77777777" w:rsidR="004001B3" w:rsidRPr="009D5269" w:rsidRDefault="004001B3" w:rsidP="00BC101F">
      <w:pPr>
        <w:rPr>
          <w:i/>
        </w:rPr>
      </w:pPr>
      <w:r w:rsidRPr="009D5269">
        <w:rPr>
          <w:i/>
        </w:rPr>
        <w:t>Antecedentes de la cunicultura en México</w:t>
      </w:r>
    </w:p>
    <w:p w14:paraId="19BC18A5" w14:textId="77777777" w:rsidR="004001B3" w:rsidRPr="009D5269" w:rsidRDefault="004001B3" w:rsidP="00BC101F">
      <w:r w:rsidRPr="009D5269">
        <w:t>En México</w:t>
      </w:r>
      <w:r>
        <w:t>,</w:t>
      </w:r>
      <w:r w:rsidRPr="009D5269">
        <w:t xml:space="preserve"> los primeros reportes de la relación entre el hombre y los conejos datan de las culturas prehispánicas antes de la llegada de los conquistadores</w:t>
      </w:r>
      <w:r>
        <w:t>,</w:t>
      </w:r>
      <w:r w:rsidRPr="009D5269">
        <w:t xml:space="preserve"> el conejo silvestre</w:t>
      </w:r>
      <w:r>
        <w:t xml:space="preserve"> </w:t>
      </w:r>
      <w:r w:rsidRPr="009D5269">
        <w:t xml:space="preserve">conocido como zacatuche, conejo de los volcanes o teporingo, principalmente del género </w:t>
      </w:r>
      <w:r w:rsidRPr="009D5269">
        <w:rPr>
          <w:i/>
        </w:rPr>
        <w:t>Sylvilagus</w:t>
      </w:r>
      <w:r w:rsidRPr="009D5269">
        <w:t xml:space="preserve"> (Agromejor, 2016)</w:t>
      </w:r>
      <w:r>
        <w:t>.</w:t>
      </w:r>
      <w:r w:rsidRPr="009D5269">
        <w:t xml:space="preserve"> </w:t>
      </w:r>
      <w:r>
        <w:t>E</w:t>
      </w:r>
      <w:r w:rsidRPr="009D5269">
        <w:t>xisten vestigios en la ci</w:t>
      </w:r>
      <w:r>
        <w:t>u</w:t>
      </w:r>
      <w:r w:rsidRPr="009D5269">
        <w:t>dad de Teotihuacán de la crianza</w:t>
      </w:r>
      <w:r>
        <w:t xml:space="preserve"> dentro de los espacios humanos</w:t>
      </w:r>
      <w:r w:rsidRPr="009D5269">
        <w:t xml:space="preserve"> de variedades silvestres de conejos </w:t>
      </w:r>
      <w:r>
        <w:t>(Valadez,</w:t>
      </w:r>
      <w:r w:rsidRPr="009D5269">
        <w:t xml:space="preserve"> 2016).</w:t>
      </w:r>
    </w:p>
    <w:p w14:paraId="600A2B1C" w14:textId="568B903B" w:rsidR="004001B3" w:rsidRDefault="00A82984" w:rsidP="00BC101F">
      <w:pPr>
        <w:rPr>
          <w:szCs w:val="24"/>
        </w:rPr>
      </w:pPr>
      <w:r w:rsidRPr="009D5269">
        <w:t>La cosmovisión de las culturas prehispánicas no solo se limitaba</w:t>
      </w:r>
      <w:r w:rsidR="004001B3" w:rsidRPr="009D5269">
        <w:t xml:space="preserve"> a ver al conejo como una fuente de alimento, en la Cultura Azteca </w:t>
      </w:r>
      <w:r w:rsidR="004001B3" w:rsidRPr="00D40329">
        <w:rPr>
          <w:i/>
          <w:iCs/>
        </w:rPr>
        <w:t>Tochtly</w:t>
      </w:r>
      <w:r w:rsidR="004001B3" w:rsidRPr="009D5269">
        <w:t xml:space="preserve"> (conejo en náhuatl) </w:t>
      </w:r>
      <w:r w:rsidR="004001B3">
        <w:t xml:space="preserve">es el octavo de los 20 signos centrales del calendario. </w:t>
      </w:r>
      <w:r w:rsidR="00363705" w:rsidRPr="009D5269">
        <w:t>E</w:t>
      </w:r>
      <w:r w:rsidR="004001B3" w:rsidRPr="009D5269">
        <w:t xml:space="preserve">ra símbolo de la fertilidad y de las grandes cosechas </w:t>
      </w:r>
      <w:r w:rsidR="004001B3" w:rsidRPr="00654E82">
        <w:t>(L</w:t>
      </w:r>
      <w:r w:rsidR="004001B3">
        <w:t>ebas, Coudert</w:t>
      </w:r>
      <w:r w:rsidR="00CB1623">
        <w:t>,</w:t>
      </w:r>
      <w:r w:rsidR="004001B3">
        <w:t xml:space="preserve"> De Rochambeau</w:t>
      </w:r>
      <w:r w:rsidR="00CB1623">
        <w:t xml:space="preserve"> y Thébault</w:t>
      </w:r>
      <w:r w:rsidR="004001B3">
        <w:t>, 1996</w:t>
      </w:r>
      <w:r w:rsidR="004001B3" w:rsidRPr="00654E82">
        <w:t>).</w:t>
      </w:r>
      <w:r w:rsidR="004001B3" w:rsidRPr="009D5269">
        <w:t xml:space="preserve"> </w:t>
      </w:r>
    </w:p>
    <w:p w14:paraId="0124C1B8" w14:textId="5824C087" w:rsidR="004001B3" w:rsidRDefault="004001B3" w:rsidP="00BC101F">
      <w:pPr>
        <w:rPr>
          <w:szCs w:val="24"/>
        </w:rPr>
      </w:pPr>
      <w:r>
        <w:rPr>
          <w:szCs w:val="24"/>
        </w:rPr>
        <w:t xml:space="preserve">A partir de la década de los 40´s, se diseñan programas dirigidos al mejoramiento agrícola destinados a América Latina en general, principalmente del maíz y trigo, y son la base para lo que ahora se denomina como “Revolución Verde”. La cual, mediante agrónomos, se civilizaría al campesino de pies descalzos y conocedor de la naturaleza, para que la dominara y obtuviera progreso mediante su explotación (Ceccon, 2008; Pichardo, 2006).  </w:t>
      </w:r>
    </w:p>
    <w:p w14:paraId="7E839CFB" w14:textId="1E99B792" w:rsidR="00036813" w:rsidRDefault="00036813" w:rsidP="00BC101F">
      <w:pPr>
        <w:rPr>
          <w:szCs w:val="24"/>
        </w:rPr>
      </w:pPr>
      <w:r>
        <w:rPr>
          <w:szCs w:val="24"/>
        </w:rPr>
        <w:t>La revolución verde</w:t>
      </w:r>
      <w:r w:rsidR="0022659C">
        <w:rPr>
          <w:szCs w:val="24"/>
        </w:rPr>
        <w:t xml:space="preserve"> en la cunicultura</w:t>
      </w:r>
      <w:r>
        <w:rPr>
          <w:szCs w:val="24"/>
        </w:rPr>
        <w:t xml:space="preserve"> se reflejó al evolucionar el manejo de las explotaciones, </w:t>
      </w:r>
      <w:r w:rsidR="00D27A08">
        <w:rPr>
          <w:szCs w:val="24"/>
        </w:rPr>
        <w:t xml:space="preserve">en Europa </w:t>
      </w:r>
      <w:r>
        <w:rPr>
          <w:szCs w:val="24"/>
        </w:rPr>
        <w:t xml:space="preserve">en la década de los 70´s se aplican mejoras adaptables a las dimensiones de la granja. Se realizan mediante dos modificaciones significativas, </w:t>
      </w:r>
      <w:r w:rsidR="0022659C">
        <w:rPr>
          <w:szCs w:val="24"/>
        </w:rPr>
        <w:t>el alojamiento</w:t>
      </w:r>
      <w:r w:rsidR="00BE5860">
        <w:rPr>
          <w:szCs w:val="24"/>
        </w:rPr>
        <w:t>,</w:t>
      </w:r>
      <w:r w:rsidR="0022659C">
        <w:rPr>
          <w:szCs w:val="24"/>
        </w:rPr>
        <w:t xml:space="preserve"> cambio a jaulas metálicas equipadas con comederos tolva y bebederos automáticos y alimentación mediante nutrimentos balanceados</w:t>
      </w:r>
      <w:r w:rsidR="00F25356">
        <w:rPr>
          <w:szCs w:val="24"/>
        </w:rPr>
        <w:t xml:space="preserve"> (Roca, 2010). Antes de existir los nutrimentos balanceados, el productor proporcionaba</w:t>
      </w:r>
      <w:r w:rsidR="00C306A4">
        <w:rPr>
          <w:szCs w:val="24"/>
        </w:rPr>
        <w:t xml:space="preserve"> el alimento a partir de los recursos disponibles y los resultados se observa</w:t>
      </w:r>
      <w:r w:rsidR="008C3017">
        <w:rPr>
          <w:szCs w:val="24"/>
        </w:rPr>
        <w:t>ban</w:t>
      </w:r>
      <w:r w:rsidR="00C306A4">
        <w:rPr>
          <w:szCs w:val="24"/>
        </w:rPr>
        <w:t xml:space="preserve"> como una evaluación empírica.</w:t>
      </w:r>
      <w:r w:rsidR="00535B3B">
        <w:rPr>
          <w:szCs w:val="24"/>
        </w:rPr>
        <w:t xml:space="preserve"> Es hasta la década de los 80´s</w:t>
      </w:r>
      <w:r w:rsidR="00D27A08">
        <w:rPr>
          <w:szCs w:val="24"/>
        </w:rPr>
        <w:t>, en Francia</w:t>
      </w:r>
      <w:r w:rsidR="00535B3B">
        <w:rPr>
          <w:szCs w:val="24"/>
        </w:rPr>
        <w:t xml:space="preserve"> cuando se realizan estudios de nutrición cunícola considerando las </w:t>
      </w:r>
      <w:r w:rsidR="00535B3B">
        <w:rPr>
          <w:szCs w:val="24"/>
        </w:rPr>
        <w:lastRenderedPageBreak/>
        <w:t>necesidades alimentarias</w:t>
      </w:r>
      <w:r w:rsidR="008C3017">
        <w:rPr>
          <w:szCs w:val="24"/>
        </w:rPr>
        <w:t>, aspecto físico del pienso y el tamaño del granulado (Gurri y Castelló, 1992).</w:t>
      </w:r>
      <w:r w:rsidR="00FF2EA1">
        <w:rPr>
          <w:szCs w:val="24"/>
        </w:rPr>
        <w:t xml:space="preserve"> Unificando las </w:t>
      </w:r>
      <w:r w:rsidR="00D27A08">
        <w:rPr>
          <w:szCs w:val="24"/>
        </w:rPr>
        <w:t>fórmulas</w:t>
      </w:r>
      <w:r w:rsidR="00FF2EA1">
        <w:rPr>
          <w:szCs w:val="24"/>
        </w:rPr>
        <w:t xml:space="preserve"> </w:t>
      </w:r>
      <w:r w:rsidR="00D27A08">
        <w:rPr>
          <w:szCs w:val="24"/>
        </w:rPr>
        <w:t xml:space="preserve">alimentarias con las </w:t>
      </w:r>
      <w:r w:rsidR="005647A0">
        <w:rPr>
          <w:szCs w:val="24"/>
        </w:rPr>
        <w:t>experimentadas en Francia.</w:t>
      </w:r>
    </w:p>
    <w:p w14:paraId="7A285C93" w14:textId="3F4A3A31" w:rsidR="004001B3" w:rsidRPr="009D5269" w:rsidRDefault="004001B3" w:rsidP="00BC101F">
      <w:r>
        <w:t>E</w:t>
      </w:r>
      <w:r w:rsidRPr="009D5269">
        <w:t>n la década de los 70´s con la implementación de programas para impulsar el desarrollo y mejora de las condiciones de vida de la gente ubicada en las zonas marginadas del país (Agromejor, 2016)</w:t>
      </w:r>
      <w:r w:rsidR="00BE5860">
        <w:t>,</w:t>
      </w:r>
      <w:r w:rsidRPr="009D5269">
        <w:t xml:space="preserve"> </w:t>
      </w:r>
      <w:r w:rsidR="00BE5860">
        <w:t>s</w:t>
      </w:r>
      <w:r w:rsidRPr="009D5269">
        <w:t>e instrumentaron programas de extensionismo pecuario en los que se proporcionaban los llamados “paquetes familiares”, los cuales consistían en grupos de conejos reproductores (1 macho + 3 hembras) proporcionados a las familias de bajos recursos económicos dentro del ámbito rural</w:t>
      </w:r>
      <w:r>
        <w:t xml:space="preserve"> destinados para autoconsumo y se </w:t>
      </w:r>
      <w:r w:rsidRPr="009D5269">
        <w:t xml:space="preserve">proporcionaba apoyo técnico </w:t>
      </w:r>
      <w:r w:rsidRPr="009D5269">
        <w:rPr>
          <w:szCs w:val="24"/>
        </w:rPr>
        <w:t>(</w:t>
      </w:r>
      <w:r w:rsidR="00B71170">
        <w:rPr>
          <w:szCs w:val="24"/>
        </w:rPr>
        <w:t xml:space="preserve">SAGARPA, 2015; </w:t>
      </w:r>
      <w:r w:rsidR="004774A1">
        <w:t>FAO, 2009</w:t>
      </w:r>
      <w:r w:rsidRPr="009D5269">
        <w:t>).</w:t>
      </w:r>
      <w:r w:rsidR="008C3017">
        <w:t xml:space="preserve"> Programas que tuvieron buena aceptación por parte de la población.</w:t>
      </w:r>
    </w:p>
    <w:p w14:paraId="79745E19" w14:textId="265898BF" w:rsidR="004001B3" w:rsidRPr="009D5269" w:rsidRDefault="004001B3" w:rsidP="00BC101F">
      <w:r w:rsidRPr="009D5269">
        <w:t xml:space="preserve">Una década después y a pesar de que la implementación del programa con los llamados “paquetes familiares” y con una producción sostenida, por un descuido y/o corrupción en las aduanas se introdujo un virus proveniente de China denominado Enfermedad Hemorrágica Viral (VHD), lo que llevo a erradicar la población animal; </w:t>
      </w:r>
      <w:r>
        <w:t>en consecuencia,</w:t>
      </w:r>
      <w:r w:rsidRPr="009D5269">
        <w:t xml:space="preserve"> la aceptación de la población decreci</w:t>
      </w:r>
      <w:r>
        <w:t>ó</w:t>
      </w:r>
      <w:r w:rsidRPr="009D5269">
        <w:t xml:space="preserve"> y el consumo de la carne prácticamente desapareció (</w:t>
      </w:r>
      <w:r w:rsidRPr="00654E82">
        <w:t>L</w:t>
      </w:r>
      <w:r>
        <w:t xml:space="preserve">ebas, </w:t>
      </w:r>
      <w:r w:rsidR="00057EA2" w:rsidRPr="00190B24">
        <w:rPr>
          <w:i/>
          <w:iCs/>
        </w:rPr>
        <w:t>et al</w:t>
      </w:r>
      <w:r w:rsidR="00057EA2">
        <w:t>.</w:t>
      </w:r>
      <w:r>
        <w:t>, 1996</w:t>
      </w:r>
      <w:r w:rsidRPr="009D5269">
        <w:t>).</w:t>
      </w:r>
    </w:p>
    <w:p w14:paraId="004AE3A4" w14:textId="07BFB9E3" w:rsidR="004001B3" w:rsidRPr="009D5269" w:rsidRDefault="004001B3" w:rsidP="00BC101F">
      <w:r w:rsidRPr="009D5269">
        <w:t xml:space="preserve">A partir del año 2000 </w:t>
      </w:r>
      <w:r>
        <w:t>a</w:t>
      </w:r>
      <w:r w:rsidRPr="009D5269">
        <w:t xml:space="preserve"> la actualidad la producción se ha incrementado, a través de créditos y estímulos económicos encaminados a la producción, explotación y comercialización; para proporcionar una fuente de ingresos y alimentos a la población (Agromejor, 2016).</w:t>
      </w:r>
    </w:p>
    <w:p w14:paraId="540BB61C" w14:textId="614ADB8E" w:rsidR="004001B3" w:rsidRPr="009D5269" w:rsidRDefault="004001B3" w:rsidP="00BC101F">
      <w:pPr>
        <w:rPr>
          <w:i/>
        </w:rPr>
      </w:pPr>
      <w:r w:rsidRPr="009D5269">
        <w:rPr>
          <w:i/>
        </w:rPr>
        <w:t xml:space="preserve">Producción mundial </w:t>
      </w:r>
    </w:p>
    <w:p w14:paraId="60563E77" w14:textId="66B8437C" w:rsidR="004001B3" w:rsidRDefault="004001B3" w:rsidP="00BC101F">
      <w:r w:rsidRPr="009D5269">
        <w:t>A nivel mundial</w:t>
      </w:r>
      <w:r>
        <w:t>,</w:t>
      </w:r>
      <w:r w:rsidRPr="009D5269">
        <w:t xml:space="preserve"> </w:t>
      </w:r>
      <w:r>
        <w:t xml:space="preserve">los países con mayor producción de carne en el periodo 2015-2019, reportados por FAOSTAT (2020), son China (906 662.6 toneladas), República Popular Democrática de Corea (155 539.4 ton), Egipto (60 138.2 ton), España (56 688.5 ton), Francia (47 581 ton), Italia (38 104.8 ton) y Alemania (33 128.67 ton). </w:t>
      </w:r>
      <w:r w:rsidR="00257FC4">
        <w:t xml:space="preserve">En </w:t>
      </w:r>
      <w:r w:rsidR="00257FC4">
        <w:lastRenderedPageBreak/>
        <w:t>l</w:t>
      </w:r>
      <w:r>
        <w:t xml:space="preserve">a </w:t>
      </w:r>
      <w:r w:rsidR="00BE5860">
        <w:t xml:space="preserve">orden a la </w:t>
      </w:r>
      <w:r>
        <w:t>proporción de producción de carne de conejo por región durante el mismo periodo</w:t>
      </w:r>
      <w:r w:rsidRPr="00A61367">
        <w:rPr>
          <w:rFonts w:cs="Arial"/>
          <w:shd w:val="clear" w:color="auto" w:fill="FFFFFF"/>
        </w:rPr>
        <w:t xml:space="preserve"> </w:t>
      </w:r>
      <w:r w:rsidR="00BE5860">
        <w:rPr>
          <w:rFonts w:cs="Arial"/>
          <w:shd w:val="clear" w:color="auto" w:fill="FFFFFF"/>
        </w:rPr>
        <w:t>los primeros lugares son ocupados por</w:t>
      </w:r>
      <w:r w:rsidRPr="00A61367">
        <w:rPr>
          <w:rFonts w:cs="Arial"/>
          <w:shd w:val="clear" w:color="auto" w:fill="FFFFFF"/>
        </w:rPr>
        <w:t xml:space="preserve"> Asia (</w:t>
      </w:r>
      <w:r>
        <w:rPr>
          <w:rFonts w:cs="Arial"/>
          <w:shd w:val="clear" w:color="auto" w:fill="FFFFFF"/>
        </w:rPr>
        <w:t>75.8</w:t>
      </w:r>
      <w:r w:rsidRPr="00A61367">
        <w:rPr>
          <w:rFonts w:cs="Arial"/>
          <w:shd w:val="clear" w:color="auto" w:fill="FFFFFF"/>
        </w:rPr>
        <w:t>%), Europa (</w:t>
      </w:r>
      <w:r>
        <w:rPr>
          <w:rFonts w:cs="Arial"/>
          <w:shd w:val="clear" w:color="auto" w:fill="FFFFFF"/>
        </w:rPr>
        <w:t>16.9</w:t>
      </w:r>
      <w:r w:rsidRPr="00A61367">
        <w:rPr>
          <w:rFonts w:cs="Arial"/>
          <w:shd w:val="clear" w:color="auto" w:fill="FFFFFF"/>
        </w:rPr>
        <w:t>%), África (</w:t>
      </w:r>
      <w:r>
        <w:rPr>
          <w:rFonts w:cs="Arial"/>
          <w:shd w:val="clear" w:color="auto" w:fill="FFFFFF"/>
        </w:rPr>
        <w:t>6.2</w:t>
      </w:r>
      <w:r w:rsidRPr="00A61367">
        <w:rPr>
          <w:rFonts w:cs="Arial"/>
          <w:shd w:val="clear" w:color="auto" w:fill="FFFFFF"/>
        </w:rPr>
        <w:t xml:space="preserve">%) y </w:t>
      </w:r>
      <w:r>
        <w:rPr>
          <w:rFonts w:cs="Arial"/>
          <w:shd w:val="clear" w:color="auto" w:fill="FFFFFF"/>
        </w:rPr>
        <w:t>A</w:t>
      </w:r>
      <w:r w:rsidRPr="00A61367">
        <w:rPr>
          <w:rFonts w:cs="Arial"/>
          <w:shd w:val="clear" w:color="auto" w:fill="FFFFFF"/>
        </w:rPr>
        <w:t>mérica</w:t>
      </w:r>
      <w:r>
        <w:rPr>
          <w:rFonts w:cs="Arial"/>
          <w:shd w:val="clear" w:color="auto" w:fill="FFFFFF"/>
        </w:rPr>
        <w:t>s</w:t>
      </w:r>
      <w:r w:rsidRPr="00A61367">
        <w:rPr>
          <w:rFonts w:cs="Arial"/>
          <w:shd w:val="clear" w:color="auto" w:fill="FFFFFF"/>
        </w:rPr>
        <w:t xml:space="preserve"> (</w:t>
      </w:r>
      <w:r>
        <w:rPr>
          <w:rFonts w:cs="Arial"/>
          <w:shd w:val="clear" w:color="auto" w:fill="FFFFFF"/>
        </w:rPr>
        <w:t>1.1</w:t>
      </w:r>
      <w:r w:rsidRPr="00A61367">
        <w:rPr>
          <w:rFonts w:cs="Arial"/>
          <w:shd w:val="clear" w:color="auto" w:fill="FFFFFF"/>
        </w:rPr>
        <w:t xml:space="preserve">%), </w:t>
      </w:r>
      <w:r>
        <w:rPr>
          <w:rFonts w:cs="Arial"/>
          <w:shd w:val="clear" w:color="auto" w:fill="FFFFFF"/>
        </w:rPr>
        <w:t>observa</w:t>
      </w:r>
      <w:r w:rsidR="00BE5860">
        <w:rPr>
          <w:rFonts w:cs="Arial"/>
          <w:shd w:val="clear" w:color="auto" w:fill="FFFFFF"/>
        </w:rPr>
        <w:t>ndo</w:t>
      </w:r>
      <w:r>
        <w:rPr>
          <w:rFonts w:cs="Arial"/>
          <w:shd w:val="clear" w:color="auto" w:fill="FFFFFF"/>
        </w:rPr>
        <w:t xml:space="preserve"> que </w:t>
      </w:r>
      <w:r w:rsidRPr="009D5269">
        <w:t xml:space="preserve">China </w:t>
      </w:r>
      <w:r w:rsidR="00257FC4">
        <w:t xml:space="preserve">ocupo </w:t>
      </w:r>
      <w:r w:rsidRPr="009D5269">
        <w:t>el primer lugar en producción</w:t>
      </w:r>
      <w:r>
        <w:t>.</w:t>
      </w:r>
    </w:p>
    <w:p w14:paraId="06585806" w14:textId="0BE85291" w:rsidR="004001B3" w:rsidRPr="009D5269" w:rsidRDefault="004001B3" w:rsidP="00BC101F">
      <w:pPr>
        <w:rPr>
          <w:i/>
        </w:rPr>
      </w:pPr>
      <w:r w:rsidRPr="009D5269">
        <w:rPr>
          <w:i/>
        </w:rPr>
        <w:t xml:space="preserve">Producción </w:t>
      </w:r>
      <w:r>
        <w:rPr>
          <w:i/>
        </w:rPr>
        <w:t>en México</w:t>
      </w:r>
    </w:p>
    <w:p w14:paraId="0635A2D1" w14:textId="0FD5C93B" w:rsidR="004001B3" w:rsidRPr="009D5269" w:rsidRDefault="004001B3" w:rsidP="00BC101F">
      <w:r w:rsidRPr="009D5269">
        <w:t>En México en 1990, se hizo un primer esfuerzo de promoción en zonas rurales</w:t>
      </w:r>
      <w:r>
        <w:t xml:space="preserve"> de pequeña escala y familiares</w:t>
      </w:r>
      <w:r w:rsidRPr="009D5269">
        <w:t xml:space="preserve">, lo que permitió que se produjeran más de 10 000 toneladas anuales, </w:t>
      </w:r>
      <w:r>
        <w:t xml:space="preserve">debido a la </w:t>
      </w:r>
      <w:r w:rsidRPr="009D5269">
        <w:t>enfermedad hemorrágica viral (VHD)</w:t>
      </w:r>
      <w:r>
        <w:t xml:space="preserve"> se diezm</w:t>
      </w:r>
      <w:r w:rsidR="00257FC4">
        <w:t>o</w:t>
      </w:r>
      <w:r>
        <w:t xml:space="preserve"> la actividad </w:t>
      </w:r>
      <w:r w:rsidRPr="009D5269">
        <w:t>(</w:t>
      </w:r>
      <w:r w:rsidRPr="00654E82">
        <w:t>L</w:t>
      </w:r>
      <w:r>
        <w:t xml:space="preserve">ebas, </w:t>
      </w:r>
      <w:r w:rsidR="00057EA2" w:rsidRPr="00C13C98">
        <w:rPr>
          <w:i/>
          <w:iCs/>
        </w:rPr>
        <w:t>et al.</w:t>
      </w:r>
      <w:r>
        <w:t>, 1996</w:t>
      </w:r>
      <w:r w:rsidRPr="009D5269">
        <w:t xml:space="preserve">). </w:t>
      </w:r>
    </w:p>
    <w:p w14:paraId="52B3EE16" w14:textId="5F3A7544" w:rsidR="004001B3" w:rsidRPr="009D5269" w:rsidRDefault="004001B3" w:rsidP="00BC101F">
      <w:bookmarkStart w:id="12" w:name="_Hlk46457145"/>
      <w:r>
        <w:t>En 2014, se consumió 12</w:t>
      </w:r>
      <w:r w:rsidR="00057EA2">
        <w:t>,</w:t>
      </w:r>
      <w:r>
        <w:t xml:space="preserve">498 ton de carne </w:t>
      </w:r>
      <w:r w:rsidR="00257FC4">
        <w:t>con</w:t>
      </w:r>
      <w:r>
        <w:t xml:space="preserve"> un valor estimado de 870 millones de pesos (SENASICA, 2016). L</w:t>
      </w:r>
      <w:r w:rsidRPr="009D5269">
        <w:t xml:space="preserve">a producción de conejos se incorporó a políticas alimentarias, tales como </w:t>
      </w:r>
      <w:r>
        <w:t>C</w:t>
      </w:r>
      <w:r w:rsidRPr="009D5269">
        <w:t xml:space="preserve">ombate contra la pobreza y </w:t>
      </w:r>
      <w:r>
        <w:t>C</w:t>
      </w:r>
      <w:r w:rsidRPr="009D5269">
        <w:t>ruzada contra el hambre</w:t>
      </w:r>
      <w:bookmarkEnd w:id="12"/>
      <w:r>
        <w:t xml:space="preserve"> (SAGARPA, 2015)</w:t>
      </w:r>
      <w:r w:rsidRPr="009D5269">
        <w:t>. Los estados con mayor producción son: Puebla, Tlaxcala, Morelos, Ciudad de México, Michoacán, Guanajuato, Querétaro, Hidalgo, Jalisco y Estado de México (SAGARPA, 201</w:t>
      </w:r>
      <w:r w:rsidR="00E12905">
        <w:t>5</w:t>
      </w:r>
      <w:r w:rsidRPr="009D5269">
        <w:t>)</w:t>
      </w:r>
      <w:r>
        <w:t>.</w:t>
      </w:r>
      <w:r w:rsidRPr="009D5269">
        <w:t xml:space="preserve"> </w:t>
      </w:r>
    </w:p>
    <w:p w14:paraId="5BC1AABE" w14:textId="3E96DF7E" w:rsidR="004001B3" w:rsidRDefault="004001B3" w:rsidP="00BC101F">
      <w:pPr>
        <w:rPr>
          <w:rFonts w:cs="Arial"/>
          <w:szCs w:val="24"/>
        </w:rPr>
      </w:pPr>
      <w:r>
        <w:t>S</w:t>
      </w:r>
      <w:r w:rsidRPr="009D5269">
        <w:t xml:space="preserve">egún datos </w:t>
      </w:r>
      <w:r>
        <w:t>d</w:t>
      </w:r>
      <w:r w:rsidRPr="009D5269">
        <w:t>e</w:t>
      </w:r>
      <w:r>
        <w:t xml:space="preserve"> la </w:t>
      </w:r>
      <w:bookmarkStart w:id="13" w:name="_Hlk60939869"/>
      <w:r w:rsidRPr="009D5269">
        <w:rPr>
          <w:rFonts w:cs="Arial"/>
          <w:szCs w:val="24"/>
        </w:rPr>
        <w:t>Secretaria de Agricultura, Ganadería, Desarrollo Rural, Pesca y Alimentación</w:t>
      </w:r>
      <w:bookmarkEnd w:id="13"/>
      <w:r w:rsidRPr="009D5269">
        <w:rPr>
          <w:rFonts w:cs="Arial"/>
          <w:szCs w:val="24"/>
        </w:rPr>
        <w:t xml:space="preserve"> (SAGARPA) </w:t>
      </w:r>
      <w:r>
        <w:rPr>
          <w:rFonts w:cs="Arial"/>
          <w:szCs w:val="24"/>
        </w:rPr>
        <w:t xml:space="preserve">en </w:t>
      </w:r>
      <w:r w:rsidRPr="009D5269">
        <w:rPr>
          <w:rFonts w:cs="Arial"/>
          <w:szCs w:val="24"/>
        </w:rPr>
        <w:t xml:space="preserve">2015, el </w:t>
      </w:r>
      <w:r>
        <w:rPr>
          <w:rFonts w:cs="Arial"/>
          <w:szCs w:val="24"/>
        </w:rPr>
        <w:t>E</w:t>
      </w:r>
      <w:r w:rsidRPr="009D5269">
        <w:rPr>
          <w:rFonts w:cs="Arial"/>
          <w:szCs w:val="24"/>
        </w:rPr>
        <w:t>stado</w:t>
      </w:r>
      <w:r>
        <w:rPr>
          <w:rFonts w:cs="Arial"/>
          <w:szCs w:val="24"/>
        </w:rPr>
        <w:t xml:space="preserve"> de México</w:t>
      </w:r>
      <w:r w:rsidRPr="009D5269">
        <w:rPr>
          <w:rFonts w:cs="Arial"/>
          <w:szCs w:val="24"/>
        </w:rPr>
        <w:t xml:space="preserve"> contaba con un inventario de 65 mil vientres y una producción aproximada de 54</w:t>
      </w:r>
      <w:r w:rsidR="0051445F">
        <w:rPr>
          <w:rFonts w:cs="Arial"/>
          <w:szCs w:val="24"/>
        </w:rPr>
        <w:t>,</w:t>
      </w:r>
      <w:r w:rsidRPr="009D5269">
        <w:rPr>
          <w:rFonts w:cs="Arial"/>
          <w:szCs w:val="24"/>
        </w:rPr>
        <w:t>600 toneladas de carne</w:t>
      </w:r>
      <w:r>
        <w:rPr>
          <w:rFonts w:cs="Arial"/>
          <w:szCs w:val="24"/>
        </w:rPr>
        <w:t xml:space="preserve">, a esta </w:t>
      </w:r>
      <w:r w:rsidRPr="009D5269">
        <w:rPr>
          <w:rFonts w:cs="Arial"/>
          <w:szCs w:val="24"/>
        </w:rPr>
        <w:t>actividad se dedicaban 1</w:t>
      </w:r>
      <w:r w:rsidR="0051445F">
        <w:rPr>
          <w:rFonts w:cs="Arial"/>
          <w:szCs w:val="24"/>
        </w:rPr>
        <w:t>,</w:t>
      </w:r>
      <w:r w:rsidRPr="009D5269">
        <w:rPr>
          <w:rFonts w:cs="Arial"/>
          <w:szCs w:val="24"/>
        </w:rPr>
        <w:t>500 familias</w:t>
      </w:r>
      <w:r w:rsidR="00BE5860">
        <w:rPr>
          <w:rFonts w:cs="Arial"/>
          <w:szCs w:val="24"/>
        </w:rPr>
        <w:t>.</w:t>
      </w:r>
      <w:r>
        <w:rPr>
          <w:rFonts w:cs="Arial"/>
          <w:szCs w:val="24"/>
        </w:rPr>
        <w:t xml:space="preserve"> </w:t>
      </w:r>
      <w:r w:rsidR="00BE5860">
        <w:rPr>
          <w:rFonts w:cs="Arial"/>
          <w:szCs w:val="24"/>
        </w:rPr>
        <w:t>L</w:t>
      </w:r>
      <w:r>
        <w:rPr>
          <w:rFonts w:cs="Arial"/>
          <w:szCs w:val="24"/>
        </w:rPr>
        <w:t xml:space="preserve">os municipios que </w:t>
      </w:r>
      <w:r w:rsidRPr="009D5269">
        <w:rPr>
          <w:rFonts w:cs="Arial"/>
          <w:szCs w:val="24"/>
        </w:rPr>
        <w:t>encabezan la lista de producción de car</w:t>
      </w:r>
      <w:r>
        <w:rPr>
          <w:rFonts w:cs="Arial"/>
          <w:szCs w:val="24"/>
        </w:rPr>
        <w:t>ne son</w:t>
      </w:r>
      <w:r w:rsidRPr="009D5269">
        <w:rPr>
          <w:rFonts w:cs="Arial"/>
          <w:szCs w:val="24"/>
        </w:rPr>
        <w:t xml:space="preserve"> Jilotepec y Atlacomulco</w:t>
      </w:r>
      <w:r>
        <w:rPr>
          <w:rFonts w:cs="Arial"/>
          <w:szCs w:val="24"/>
        </w:rPr>
        <w:t xml:space="preserve"> ubicados</w:t>
      </w:r>
      <w:r w:rsidRPr="009D5269">
        <w:rPr>
          <w:rFonts w:cs="Arial"/>
          <w:szCs w:val="24"/>
        </w:rPr>
        <w:t xml:space="preserve"> en la zona del Valle de Toluca</w:t>
      </w:r>
      <w:r>
        <w:rPr>
          <w:rFonts w:cs="Arial"/>
          <w:szCs w:val="24"/>
        </w:rPr>
        <w:t xml:space="preserve"> y</w:t>
      </w:r>
      <w:r w:rsidRPr="009D5269">
        <w:rPr>
          <w:rFonts w:cs="Arial"/>
          <w:szCs w:val="24"/>
        </w:rPr>
        <w:t xml:space="preserve"> Amecameca</w:t>
      </w:r>
      <w:r>
        <w:rPr>
          <w:rFonts w:cs="Arial"/>
          <w:szCs w:val="24"/>
        </w:rPr>
        <w:t xml:space="preserve"> de Juárez</w:t>
      </w:r>
      <w:r w:rsidRPr="009D5269">
        <w:rPr>
          <w:rFonts w:cs="Arial"/>
          <w:szCs w:val="24"/>
        </w:rPr>
        <w:t>, Texcoco</w:t>
      </w:r>
      <w:r>
        <w:rPr>
          <w:rFonts w:cs="Arial"/>
          <w:szCs w:val="24"/>
        </w:rPr>
        <w:t xml:space="preserve"> de Mora</w:t>
      </w:r>
      <w:r w:rsidRPr="009D5269">
        <w:rPr>
          <w:rFonts w:cs="Arial"/>
          <w:szCs w:val="24"/>
        </w:rPr>
        <w:t xml:space="preserve"> y Teotihuacán</w:t>
      </w:r>
      <w:r>
        <w:rPr>
          <w:rFonts w:cs="Arial"/>
          <w:szCs w:val="24"/>
        </w:rPr>
        <w:t xml:space="preserve"> de Arista situados</w:t>
      </w:r>
      <w:r w:rsidRPr="009D5269">
        <w:rPr>
          <w:rFonts w:cs="Arial"/>
          <w:szCs w:val="24"/>
        </w:rPr>
        <w:t xml:space="preserve"> en la zona Oriente del Estado de México.</w:t>
      </w:r>
    </w:p>
    <w:p w14:paraId="2FC01251" w14:textId="205141E7" w:rsidR="004001B3" w:rsidRPr="009D5269" w:rsidRDefault="004001B3" w:rsidP="00BC101F">
      <w:pPr>
        <w:rPr>
          <w:rFonts w:cs="Arial"/>
          <w:szCs w:val="24"/>
        </w:rPr>
      </w:pPr>
      <w:r w:rsidRPr="009D5269">
        <w:rPr>
          <w:rFonts w:cs="Arial"/>
          <w:szCs w:val="24"/>
        </w:rPr>
        <w:t>En la zona oriente del Estado de México</w:t>
      </w:r>
      <w:r>
        <w:rPr>
          <w:rFonts w:cs="Arial"/>
          <w:szCs w:val="24"/>
        </w:rPr>
        <w:t>,</w:t>
      </w:r>
      <w:r w:rsidRPr="009D5269">
        <w:rPr>
          <w:rFonts w:cs="Arial"/>
          <w:szCs w:val="24"/>
        </w:rPr>
        <w:t xml:space="preserve"> la carne de conejo </w:t>
      </w:r>
      <w:r w:rsidR="0051445F" w:rsidRPr="009D5269">
        <w:rPr>
          <w:rFonts w:cs="Arial"/>
          <w:szCs w:val="24"/>
        </w:rPr>
        <w:t xml:space="preserve">se </w:t>
      </w:r>
      <w:r w:rsidR="0051445F">
        <w:rPr>
          <w:rFonts w:cs="Arial"/>
          <w:szCs w:val="24"/>
        </w:rPr>
        <w:t>comercializa</w:t>
      </w:r>
      <w:r w:rsidR="0051445F" w:rsidRPr="009D5269">
        <w:rPr>
          <w:rFonts w:cs="Arial"/>
          <w:szCs w:val="24"/>
        </w:rPr>
        <w:t xml:space="preserve"> </w:t>
      </w:r>
      <w:r w:rsidR="0051445F">
        <w:rPr>
          <w:rFonts w:cs="Arial"/>
          <w:szCs w:val="24"/>
        </w:rPr>
        <w:t>principalmente en el</w:t>
      </w:r>
      <w:r w:rsidRPr="009D5269">
        <w:rPr>
          <w:rFonts w:cs="Arial"/>
          <w:szCs w:val="24"/>
        </w:rPr>
        <w:t xml:space="preserve"> corredor turístico, ubica</w:t>
      </w:r>
      <w:r>
        <w:rPr>
          <w:rFonts w:cs="Arial"/>
          <w:szCs w:val="24"/>
        </w:rPr>
        <w:t>do</w:t>
      </w:r>
      <w:r w:rsidRPr="009D5269">
        <w:rPr>
          <w:rFonts w:cs="Arial"/>
          <w:szCs w:val="24"/>
        </w:rPr>
        <w:t xml:space="preserve"> en la carretera México-Cuautla y en el tramo comprendido </w:t>
      </w:r>
      <w:r w:rsidR="0051445F">
        <w:rPr>
          <w:rFonts w:cs="Arial"/>
          <w:szCs w:val="24"/>
        </w:rPr>
        <w:t>de</w:t>
      </w:r>
      <w:r w:rsidR="0051445F" w:rsidRPr="009D5269">
        <w:rPr>
          <w:rFonts w:cs="Arial"/>
          <w:szCs w:val="24"/>
        </w:rPr>
        <w:t xml:space="preserve"> </w:t>
      </w:r>
      <w:r w:rsidRPr="009D5269">
        <w:rPr>
          <w:rFonts w:cs="Arial"/>
          <w:szCs w:val="24"/>
        </w:rPr>
        <w:t xml:space="preserve">Chalco a Tepetlixpa </w:t>
      </w:r>
      <w:r>
        <w:rPr>
          <w:rFonts w:cs="Arial"/>
          <w:szCs w:val="24"/>
        </w:rPr>
        <w:t>por la</w:t>
      </w:r>
      <w:r w:rsidRPr="009D5269">
        <w:rPr>
          <w:rFonts w:cs="Arial"/>
          <w:szCs w:val="24"/>
        </w:rPr>
        <w:t xml:space="preserve"> visita</w:t>
      </w:r>
      <w:r>
        <w:rPr>
          <w:rFonts w:cs="Arial"/>
          <w:szCs w:val="24"/>
        </w:rPr>
        <w:t xml:space="preserve"> de turismo de</w:t>
      </w:r>
      <w:r w:rsidRPr="009D5269">
        <w:rPr>
          <w:rFonts w:cs="Arial"/>
          <w:szCs w:val="24"/>
        </w:rPr>
        <w:t xml:space="preserve"> fin de semana y en las temporadas vacacionales (invierno, verano y Semana Santa) (Espinosa</w:t>
      </w:r>
      <w:r>
        <w:rPr>
          <w:rFonts w:cs="Arial"/>
          <w:szCs w:val="24"/>
        </w:rPr>
        <w:t>,</w:t>
      </w:r>
      <w:r w:rsidRPr="009D5269">
        <w:rPr>
          <w:rFonts w:cs="Arial"/>
          <w:szCs w:val="24"/>
        </w:rPr>
        <w:t xml:space="preserve"> </w:t>
      </w:r>
      <w:r w:rsidRPr="003376BE">
        <w:rPr>
          <w:rFonts w:cs="Arial"/>
          <w:i/>
          <w:iCs/>
          <w:szCs w:val="24"/>
        </w:rPr>
        <w:t>et al</w:t>
      </w:r>
      <w:r w:rsidRPr="009D5269">
        <w:rPr>
          <w:rFonts w:cs="Arial"/>
          <w:szCs w:val="24"/>
        </w:rPr>
        <w:t xml:space="preserve">, 2014). </w:t>
      </w:r>
      <w:r>
        <w:rPr>
          <w:rFonts w:cs="Arial"/>
          <w:szCs w:val="24"/>
        </w:rPr>
        <w:t>Otro</w:t>
      </w:r>
      <w:r w:rsidRPr="009D5269">
        <w:rPr>
          <w:rFonts w:cs="Arial"/>
          <w:szCs w:val="24"/>
        </w:rPr>
        <w:t xml:space="preserve"> de los atractivos del corredor</w:t>
      </w:r>
      <w:r>
        <w:rPr>
          <w:rFonts w:cs="Arial"/>
          <w:szCs w:val="24"/>
        </w:rPr>
        <w:t>, son la presencia de</w:t>
      </w:r>
      <w:r w:rsidRPr="009D5269">
        <w:rPr>
          <w:rFonts w:cs="Arial"/>
          <w:szCs w:val="24"/>
        </w:rPr>
        <w:t xml:space="preserve"> tres </w:t>
      </w:r>
      <w:r w:rsidRPr="009D5269">
        <w:rPr>
          <w:rFonts w:cs="Arial"/>
          <w:szCs w:val="24"/>
        </w:rPr>
        <w:lastRenderedPageBreak/>
        <w:t xml:space="preserve">municipios denominados “Pueblos con Encanto” </w:t>
      </w:r>
      <w:r w:rsidR="00BE5860">
        <w:rPr>
          <w:rFonts w:cs="Arial"/>
          <w:szCs w:val="24"/>
        </w:rPr>
        <w:t>que</w:t>
      </w:r>
      <w:r w:rsidRPr="009D5269">
        <w:rPr>
          <w:rFonts w:cs="Arial"/>
          <w:szCs w:val="24"/>
        </w:rPr>
        <w:t xml:space="preserve"> son Amecameca</w:t>
      </w:r>
      <w:r>
        <w:rPr>
          <w:rFonts w:cs="Arial"/>
          <w:szCs w:val="24"/>
        </w:rPr>
        <w:t xml:space="preserve"> de Juárez</w:t>
      </w:r>
      <w:r w:rsidRPr="009D5269">
        <w:rPr>
          <w:rFonts w:cs="Arial"/>
          <w:szCs w:val="24"/>
        </w:rPr>
        <w:t>, Ayapango</w:t>
      </w:r>
      <w:r>
        <w:rPr>
          <w:rFonts w:cs="Arial"/>
          <w:szCs w:val="24"/>
        </w:rPr>
        <w:t xml:space="preserve"> de Gabriel Ramos Millán</w:t>
      </w:r>
      <w:r w:rsidRPr="009D5269">
        <w:rPr>
          <w:rFonts w:cs="Arial"/>
          <w:szCs w:val="24"/>
        </w:rPr>
        <w:t xml:space="preserve"> y Tlalmanalco</w:t>
      </w:r>
      <w:r>
        <w:rPr>
          <w:rFonts w:cs="Arial"/>
          <w:szCs w:val="24"/>
        </w:rPr>
        <w:t xml:space="preserve"> de Velázquez</w:t>
      </w:r>
      <w:r w:rsidRPr="009D5269">
        <w:rPr>
          <w:rFonts w:cs="Arial"/>
          <w:szCs w:val="24"/>
        </w:rPr>
        <w:t xml:space="preserve"> (Gobierno del Estado de México, 2018)</w:t>
      </w:r>
      <w:r>
        <w:rPr>
          <w:rFonts w:cs="Arial"/>
          <w:szCs w:val="24"/>
        </w:rPr>
        <w:t>,</w:t>
      </w:r>
      <w:r w:rsidRPr="009D5269">
        <w:rPr>
          <w:rFonts w:cs="Arial"/>
          <w:szCs w:val="24"/>
        </w:rPr>
        <w:t xml:space="preserve"> los cuales contribuyen a atraer turismo cultural y gastronómico.</w:t>
      </w:r>
    </w:p>
    <w:p w14:paraId="768B785A" w14:textId="231DE46B" w:rsidR="004001B3" w:rsidRPr="009D5269" w:rsidRDefault="004001B3" w:rsidP="00BC101F">
      <w:pPr>
        <w:rPr>
          <w:rFonts w:cs="Arial"/>
          <w:szCs w:val="24"/>
        </w:rPr>
      </w:pPr>
      <w:r w:rsidRPr="009D5269">
        <w:rPr>
          <w:rFonts w:cs="Arial"/>
          <w:szCs w:val="24"/>
        </w:rPr>
        <w:t>Según Espinosa</w:t>
      </w:r>
      <w:r>
        <w:rPr>
          <w:rFonts w:cs="Arial"/>
          <w:szCs w:val="24"/>
        </w:rPr>
        <w:t xml:space="preserve"> </w:t>
      </w:r>
      <w:r w:rsidRPr="00500C0B">
        <w:rPr>
          <w:rFonts w:cs="Arial"/>
          <w:i/>
          <w:iCs/>
          <w:szCs w:val="24"/>
        </w:rPr>
        <w:t>et al</w:t>
      </w:r>
      <w:r>
        <w:rPr>
          <w:rFonts w:cs="Arial"/>
          <w:szCs w:val="24"/>
        </w:rPr>
        <w:t>.</w:t>
      </w:r>
      <w:r w:rsidRPr="009D5269">
        <w:rPr>
          <w:rFonts w:cs="Arial"/>
          <w:szCs w:val="24"/>
        </w:rPr>
        <w:t xml:space="preserve"> (2014), la producción tiene como destino diferentes tipos de mercado, </w:t>
      </w:r>
      <w:r>
        <w:rPr>
          <w:rFonts w:cs="Arial"/>
          <w:szCs w:val="24"/>
        </w:rPr>
        <w:t>el</w:t>
      </w:r>
      <w:r w:rsidRPr="009D5269">
        <w:rPr>
          <w:rFonts w:cs="Arial"/>
          <w:szCs w:val="24"/>
        </w:rPr>
        <w:t xml:space="preserve"> 38% es para restaurantes de la zona, 33% se vende en forma de menudeo entre vecinos de los productores, 24% se entrega a intermediarios, 5% es para autoconsumo y la venta de animales para pie de cría es insignificante. </w:t>
      </w:r>
    </w:p>
    <w:p w14:paraId="5F95071C" w14:textId="77777777" w:rsidR="004001B3" w:rsidRPr="009D5269" w:rsidRDefault="004001B3" w:rsidP="00BC101F">
      <w:pPr>
        <w:rPr>
          <w:i/>
        </w:rPr>
      </w:pPr>
      <w:r w:rsidRPr="009D5269">
        <w:rPr>
          <w:i/>
        </w:rPr>
        <w:t>Características del conejo</w:t>
      </w:r>
    </w:p>
    <w:p w14:paraId="733EA518" w14:textId="000096DC" w:rsidR="004001B3" w:rsidRDefault="004001B3" w:rsidP="00BC101F">
      <w:r>
        <w:t xml:space="preserve">El conejo es un herbívoro </w:t>
      </w:r>
      <w:r>
        <w:rPr>
          <w:rFonts w:cs="Arial"/>
        </w:rPr>
        <w:t>(</w:t>
      </w:r>
      <w:r w:rsidRPr="009D5269">
        <w:rPr>
          <w:rFonts w:cs="Arial"/>
        </w:rPr>
        <w:t>pseudorumiante) de la familia de los lepóridos, orden Lagomorpha</w:t>
      </w:r>
      <w:r>
        <w:rPr>
          <w:rFonts w:cs="Arial"/>
        </w:rPr>
        <w:t xml:space="preserve"> y el nombre científico del conejo domestico es</w:t>
      </w:r>
      <w:r w:rsidRPr="009D5269">
        <w:rPr>
          <w:rFonts w:cs="Arial"/>
        </w:rPr>
        <w:t xml:space="preserve"> </w:t>
      </w:r>
      <w:r w:rsidRPr="009D5269">
        <w:rPr>
          <w:rFonts w:cs="Arial"/>
          <w:i/>
          <w:iCs/>
        </w:rPr>
        <w:t>Oryctolagus cuniculus</w:t>
      </w:r>
      <w:r>
        <w:t xml:space="preserve"> (Lebas, </w:t>
      </w:r>
      <w:r w:rsidR="00382390" w:rsidRPr="00382390">
        <w:rPr>
          <w:i/>
          <w:iCs/>
        </w:rPr>
        <w:t>et al.</w:t>
      </w:r>
      <w:r>
        <w:t>, 1996) que puede consumir altas cantidades de forrajes en su dieta</w:t>
      </w:r>
      <w:sdt>
        <w:sdtPr>
          <w:tag w:val="goog_rdk_100"/>
          <w:id w:val="-1984769943"/>
        </w:sdtPr>
        <w:sdtEndPr/>
        <w:sdtContent>
          <w:r>
            <w:t>,</w:t>
          </w:r>
        </w:sdtContent>
      </w:sdt>
      <w:r>
        <w:t xml:space="preserve"> sin afectar su respuesta productiva; por ejemplo, los cultivados y silvestres, esquilos agrícolas, subproductos industriales y residuos vegetales. Por lo que puede ser una opción adecuada para productores de recursos limitados (SAGARPA, 2011).</w:t>
      </w:r>
    </w:p>
    <w:p w14:paraId="03EA2C86" w14:textId="1CE83076" w:rsidR="004001B3" w:rsidRDefault="004001B3" w:rsidP="00BC101F">
      <w:r w:rsidRPr="009D5269">
        <w:rPr>
          <w:rFonts w:cs="Arial"/>
        </w:rPr>
        <w:t>El conejo</w:t>
      </w:r>
      <w:r>
        <w:rPr>
          <w:rFonts w:cs="Arial"/>
        </w:rPr>
        <w:t>,</w:t>
      </w:r>
      <w:r w:rsidRPr="009D5269">
        <w:rPr>
          <w:rFonts w:cs="Arial"/>
        </w:rPr>
        <w:t xml:space="preserve"> práctica la cecotrofía</w:t>
      </w:r>
      <w:r w:rsidR="00596D90">
        <w:rPr>
          <w:rFonts w:cs="Arial"/>
        </w:rPr>
        <w:t>, la cual</w:t>
      </w:r>
      <w:r>
        <w:rPr>
          <w:rFonts w:cs="Arial"/>
        </w:rPr>
        <w:t xml:space="preserve"> es el </w:t>
      </w:r>
      <w:r w:rsidRPr="009D5269">
        <w:rPr>
          <w:rFonts w:cs="Arial"/>
        </w:rPr>
        <w:t>consumo de heces blandas formadas en el ciego con alta cantidad de nutrientes</w:t>
      </w:r>
      <w:r>
        <w:rPr>
          <w:rFonts w:cs="Arial"/>
        </w:rPr>
        <w:t>,</w:t>
      </w:r>
      <w:r w:rsidRPr="009D5269">
        <w:rPr>
          <w:rFonts w:cs="Arial"/>
        </w:rPr>
        <w:t xml:space="preserve"> por ello tiene la capacidad de utilizar las fibras, y residuos vegetales y del alimento, para transformarlos en carne (Tapia </w:t>
      </w:r>
      <w:r>
        <w:rPr>
          <w:rFonts w:cs="Arial"/>
        </w:rPr>
        <w:t>y</w:t>
      </w:r>
      <w:r w:rsidRPr="009D5269">
        <w:rPr>
          <w:rFonts w:cs="Arial"/>
        </w:rPr>
        <w:t xml:space="preserve"> Espinosa, 2014).</w:t>
      </w:r>
      <w:r>
        <w:rPr>
          <w:rFonts w:cs="Arial"/>
        </w:rPr>
        <w:t xml:space="preserve"> </w:t>
      </w:r>
      <w:r w:rsidRPr="009D5269">
        <w:rPr>
          <w:rFonts w:cs="Arial"/>
        </w:rPr>
        <w:t xml:space="preserve">Existen diferentes </w:t>
      </w:r>
      <w:r w:rsidRPr="009D5269">
        <w:t>razas utilizadas para producción de carne, los que presentan características físicas similares, tales como: Nueva Zelanda</w:t>
      </w:r>
      <w:r>
        <w:t>,</w:t>
      </w:r>
      <w:r w:rsidRPr="009D5269">
        <w:t xml:space="preserve"> California o Ruso Grande</w:t>
      </w:r>
      <w:r>
        <w:t xml:space="preserve">, </w:t>
      </w:r>
      <w:r w:rsidRPr="009D5269">
        <w:t>Gigante de Flandes</w:t>
      </w:r>
      <w:r>
        <w:t xml:space="preserve"> y</w:t>
      </w:r>
      <w:r w:rsidRPr="009D5269">
        <w:t xml:space="preserve"> </w:t>
      </w:r>
      <w:r>
        <w:t>Chinchilla</w:t>
      </w:r>
      <w:r w:rsidRPr="009D5269">
        <w:t xml:space="preserve"> </w:t>
      </w:r>
      <w:r w:rsidRPr="009D5269">
        <w:rPr>
          <w:rFonts w:cs="Arial"/>
          <w:szCs w:val="24"/>
        </w:rPr>
        <w:t>(</w:t>
      </w:r>
      <w:r>
        <w:rPr>
          <w:rFonts w:cs="Arial"/>
          <w:szCs w:val="24"/>
        </w:rPr>
        <w:t xml:space="preserve">Lebas, </w:t>
      </w:r>
      <w:r w:rsidR="00190B24" w:rsidRPr="00190B24">
        <w:rPr>
          <w:rFonts w:cs="Arial"/>
          <w:i/>
          <w:iCs/>
          <w:szCs w:val="24"/>
        </w:rPr>
        <w:t>et al</w:t>
      </w:r>
      <w:r w:rsidR="00190B24">
        <w:rPr>
          <w:rFonts w:cs="Arial"/>
          <w:szCs w:val="24"/>
        </w:rPr>
        <w:t>.</w:t>
      </w:r>
      <w:r>
        <w:rPr>
          <w:rFonts w:cs="Arial"/>
          <w:szCs w:val="24"/>
        </w:rPr>
        <w:t>, 1996; Tapia y Espinosa, 2014</w:t>
      </w:r>
      <w:r w:rsidRPr="009D5269">
        <w:rPr>
          <w:rFonts w:cs="Arial"/>
          <w:szCs w:val="24"/>
        </w:rPr>
        <w:t>)</w:t>
      </w:r>
      <w:r w:rsidRPr="009D5269">
        <w:t xml:space="preserve">. </w:t>
      </w:r>
    </w:p>
    <w:p w14:paraId="4B7C0102" w14:textId="51D89489" w:rsidR="004001B3" w:rsidRPr="003B2DB1" w:rsidRDefault="00DD2A05" w:rsidP="003B2DB1">
      <w:r>
        <w:t xml:space="preserve">De acuerdo con Tapia y Espinosa (2014) las </w:t>
      </w:r>
      <w:r w:rsidR="006D14BF">
        <w:t>razas</w:t>
      </w:r>
      <w:r>
        <w:t xml:space="preserve"> con mayor reproducción en la zona oriente del Estado de México son Nueva Zelanda y California o Ruso Grande</w:t>
      </w:r>
      <w:r w:rsidR="00B91BCD">
        <w:t xml:space="preserve">, se caracterizan en </w:t>
      </w:r>
      <w:r w:rsidR="00A910F2">
        <w:t>obtener</w:t>
      </w:r>
      <w:r w:rsidR="00B91BCD">
        <w:t xml:space="preserve"> un peso </w:t>
      </w:r>
      <w:r w:rsidR="00BE5860">
        <w:t xml:space="preserve">de </w:t>
      </w:r>
      <w:r w:rsidR="00B91BCD">
        <w:t>4.0 a 5.0 kg en la adultez, la carne es compacta y de óptima calidad.</w:t>
      </w:r>
      <w:r w:rsidR="006D14BF">
        <w:t xml:space="preserve"> E</w:t>
      </w:r>
      <w:r w:rsidR="00BE5860">
        <w:t>n e</w:t>
      </w:r>
      <w:r w:rsidR="006D14BF">
        <w:t xml:space="preserve">l caso del Gigante de Flandes, el crecimiento es lento, </w:t>
      </w:r>
      <w:r w:rsidR="00BE5860">
        <w:t xml:space="preserve">tiene </w:t>
      </w:r>
      <w:r w:rsidR="006D14BF">
        <w:t xml:space="preserve">baja prolificidad, mala conversión alimentaria y en la etapa adulta </w:t>
      </w:r>
      <w:r w:rsidR="006D14BF">
        <w:lastRenderedPageBreak/>
        <w:t xml:space="preserve">alcanza un peso de 6.0 a 7.0 kg, </w:t>
      </w:r>
      <w:r w:rsidR="00A910F2">
        <w:t>aunque no es una raza que se caracteriza por ser productora de carne alcanza el peso ade</w:t>
      </w:r>
      <w:r w:rsidR="007A31EF">
        <w:t>cuado para el sacrificio</w:t>
      </w:r>
      <w:r w:rsidR="006D14BF">
        <w:t>.</w:t>
      </w:r>
    </w:p>
    <w:p w14:paraId="6F3F879C" w14:textId="77777777" w:rsidR="004001B3" w:rsidRPr="0001507B" w:rsidRDefault="004001B3" w:rsidP="00955D11">
      <w:pPr>
        <w:rPr>
          <w:rFonts w:cs="Arial"/>
          <w:i/>
          <w:iCs/>
          <w:szCs w:val="24"/>
        </w:rPr>
      </w:pPr>
      <w:r>
        <w:rPr>
          <w:rFonts w:cs="Arial"/>
          <w:i/>
          <w:iCs/>
          <w:szCs w:val="24"/>
        </w:rPr>
        <w:t>Manejo</w:t>
      </w:r>
      <w:r w:rsidRPr="0001507B">
        <w:rPr>
          <w:rFonts w:cs="Arial"/>
          <w:i/>
          <w:iCs/>
          <w:szCs w:val="24"/>
        </w:rPr>
        <w:t xml:space="preserve"> del conejo </w:t>
      </w:r>
    </w:p>
    <w:p w14:paraId="73425C5C" w14:textId="7F72266B" w:rsidR="004001B3" w:rsidRDefault="004001B3" w:rsidP="00955D11">
      <w:r>
        <w:t xml:space="preserve">La eficiencia de la producción depende del medio ambiente provisto por el productor al conejo, la correcta vigilancia de higiene en las instalaciones y del personal permite conservar un buen estado de salud en el criadero y la profilaxis higiénica continua mantiene la viabilidad y rentabilidad de la explotación (Lebas, </w:t>
      </w:r>
      <w:r w:rsidR="007A31EF" w:rsidRPr="00234B32">
        <w:rPr>
          <w:i/>
          <w:iCs/>
        </w:rPr>
        <w:t>et al.</w:t>
      </w:r>
      <w:r>
        <w:t xml:space="preserve">, 1996; </w:t>
      </w:r>
      <w:r w:rsidRPr="009D5269">
        <w:t>SAGARPA-SENASICA, 2015</w:t>
      </w:r>
      <w:r>
        <w:t>).</w:t>
      </w:r>
    </w:p>
    <w:p w14:paraId="5938D726" w14:textId="1FECBB4B" w:rsidR="005B418A" w:rsidRDefault="005B418A" w:rsidP="00955D11">
      <w:r>
        <w:t>El manejo del sistema productivo cunícola de traspatio forma parte de la evaluación de la sustentabilidad por medio del método IDEA</w:t>
      </w:r>
      <w:r w:rsidR="008F38D9">
        <w:t>, pues el indicador B13: Bienestar animal est</w:t>
      </w:r>
      <w:r w:rsidR="004A28FA">
        <w:t>á</w:t>
      </w:r>
      <w:r w:rsidR="008F38D9">
        <w:t xml:space="preserve"> diseñado para que el productor autoevalúe las prácticas pecuarias que realiza. </w:t>
      </w:r>
      <w:r w:rsidR="00B23338">
        <w:t>El indicador no solo considera las condiciones y confort, sino también integra la relación entre el animal y el productor (Vilain, 2008).</w:t>
      </w:r>
      <w:r w:rsidR="008F38D9">
        <w:t xml:space="preserve">  </w:t>
      </w:r>
    </w:p>
    <w:p w14:paraId="53DE3CD1" w14:textId="0DEB0D47" w:rsidR="004001B3" w:rsidRDefault="004001B3" w:rsidP="00955D11">
      <w:r w:rsidRPr="009D5269">
        <w:t xml:space="preserve">Las instalaciones deben </w:t>
      </w:r>
      <w:bookmarkStart w:id="14" w:name="_Hlk46455266"/>
      <w:r w:rsidRPr="009D5269">
        <w:t>proporcionar al animal un ambiente confortable, libre de ruidos, sombreado con una temperatura ambiente de 15 a 20° C</w:t>
      </w:r>
      <w:r>
        <w:t>,</w:t>
      </w:r>
      <w:r w:rsidRPr="009D5269">
        <w:t xml:space="preserve"> sobre todo libre de corrientes de aire</w:t>
      </w:r>
      <w:r>
        <w:t>,</w:t>
      </w:r>
      <w:r w:rsidRPr="009D5269">
        <w:t xml:space="preserve"> </w:t>
      </w:r>
      <w:r>
        <w:t>l</w:t>
      </w:r>
      <w:r w:rsidRPr="009D5269">
        <w:t>a luz es importante para la cría debido a que requieren de por lo menos 16 horas de luz al día</w:t>
      </w:r>
      <w:r>
        <w:t>, alejados de zonas expuestas de contaminación física, química, microbiológica o</w:t>
      </w:r>
      <w:r w:rsidRPr="009D5269">
        <w:t xml:space="preserve"> </w:t>
      </w:r>
      <w:r>
        <w:t xml:space="preserve">fauna nociva y disponibilidad de agua y luz eléctrica </w:t>
      </w:r>
      <w:bookmarkEnd w:id="14"/>
      <w:r>
        <w:t>(Lebas,</w:t>
      </w:r>
      <w:r w:rsidR="00246418">
        <w:t xml:space="preserve"> </w:t>
      </w:r>
      <w:r w:rsidR="00246418" w:rsidRPr="00234B32">
        <w:rPr>
          <w:i/>
          <w:iCs/>
        </w:rPr>
        <w:t>et al.</w:t>
      </w:r>
      <w:r>
        <w:t xml:space="preserve">, 1996; </w:t>
      </w:r>
      <w:r w:rsidRPr="009D5269">
        <w:t xml:space="preserve">Martínez, Pro </w:t>
      </w:r>
      <w:r>
        <w:t>y</w:t>
      </w:r>
      <w:r w:rsidRPr="009D5269">
        <w:t xml:space="preserve"> Becerril, 2011</w:t>
      </w:r>
      <w:r>
        <w:t xml:space="preserve">; </w:t>
      </w:r>
      <w:r w:rsidRPr="009D5269">
        <w:t>SAGARPA-SENASICA, 2015</w:t>
      </w:r>
      <w:r>
        <w:t xml:space="preserve">).  </w:t>
      </w:r>
    </w:p>
    <w:p w14:paraId="0FD00076" w14:textId="62B82A5C" w:rsidR="004001B3" w:rsidRDefault="004001B3" w:rsidP="00955D11">
      <w:r>
        <w:t xml:space="preserve">El material de las jaulas, nidales, comederos y bebederos pueden ser de alambre o lámina galvanizada, madera o materiales de reutilización disponibles, fáciles de lavar y desinfectar, aislantes térmicos, impermeables, sin absorción de humedad y </w:t>
      </w:r>
      <w:r w:rsidR="00BE5860">
        <w:t xml:space="preserve">que </w:t>
      </w:r>
      <w:r>
        <w:t xml:space="preserve">permanezcan secos en temporada de lluvia (Lebas, </w:t>
      </w:r>
      <w:r w:rsidR="00E31908" w:rsidRPr="00E31908">
        <w:rPr>
          <w:i/>
          <w:iCs/>
        </w:rPr>
        <w:t>et al.</w:t>
      </w:r>
      <w:r>
        <w:t xml:space="preserve">, 1996; </w:t>
      </w:r>
      <w:r w:rsidRPr="009D5269">
        <w:t xml:space="preserve">Martínez, Pro </w:t>
      </w:r>
      <w:r>
        <w:t>y</w:t>
      </w:r>
      <w:r w:rsidRPr="009D5269">
        <w:t xml:space="preserve"> Becerril, 2011</w:t>
      </w:r>
      <w:r>
        <w:t xml:space="preserve">; </w:t>
      </w:r>
      <w:r w:rsidRPr="009D5269">
        <w:t>SAGARPA-SENASICA, 2015</w:t>
      </w:r>
      <w:r>
        <w:t xml:space="preserve">).  </w:t>
      </w:r>
    </w:p>
    <w:p w14:paraId="39AE5CE0" w14:textId="3B269866" w:rsidR="004001B3" w:rsidRDefault="004001B3" w:rsidP="00955D11">
      <w:r>
        <w:t xml:space="preserve">Las dimensiones de las jaulas tienen relevancia en la explotación por ser especies de confinamiento y será acorde al tiempo de vida en que se encuentre el conejo. La </w:t>
      </w:r>
      <w:r>
        <w:lastRenderedPageBreak/>
        <w:t xml:space="preserve">densidad animal por jaula es otra variante para considerar, durante la etapa de </w:t>
      </w:r>
      <w:r w:rsidRPr="009D5269">
        <w:t>gazapo</w:t>
      </w:r>
      <w:r>
        <w:t xml:space="preserve"> se pueden concentrar entre</w:t>
      </w:r>
      <w:r w:rsidRPr="009D5269">
        <w:t xml:space="preserve"> 14 </w:t>
      </w:r>
      <w:r>
        <w:t>y</w:t>
      </w:r>
      <w:r w:rsidRPr="009D5269">
        <w:t xml:space="preserve"> 20 conejos por </w:t>
      </w:r>
      <w:r>
        <w:t>metro cuadrado (</w:t>
      </w:r>
      <w:r w:rsidRPr="009D5269">
        <w:t>m</w:t>
      </w:r>
      <w:r w:rsidRPr="009D5269">
        <w:rPr>
          <w:vertAlign w:val="superscript"/>
        </w:rPr>
        <w:t>2</w:t>
      </w:r>
      <w:r>
        <w:t>)</w:t>
      </w:r>
      <w:r w:rsidRPr="009D5269">
        <w:t xml:space="preserve"> de superficie en la jaula. </w:t>
      </w:r>
      <w:r w:rsidR="00955D11">
        <w:t>De l</w:t>
      </w:r>
      <w:r>
        <w:t xml:space="preserve">os animales destinados a la engorda, </w:t>
      </w:r>
      <w:r w:rsidR="00E31908">
        <w:t>se puede</w:t>
      </w:r>
      <w:r w:rsidR="00955D11">
        <w:t>n</w:t>
      </w:r>
      <w:r w:rsidR="00E31908">
        <w:t xml:space="preserve"> </w:t>
      </w:r>
      <w:r>
        <w:t xml:space="preserve">albergar entre cinco y seis gazapos en 0.4 </w:t>
      </w:r>
      <w:r w:rsidRPr="009D5269">
        <w:t>m</w:t>
      </w:r>
      <w:r w:rsidRPr="009D5269">
        <w:rPr>
          <w:vertAlign w:val="superscript"/>
        </w:rPr>
        <w:t>2</w:t>
      </w:r>
      <w:r>
        <w:t xml:space="preserve"> (Lebas, </w:t>
      </w:r>
      <w:r w:rsidR="006828E5" w:rsidRPr="00D2068A">
        <w:rPr>
          <w:i/>
          <w:iCs/>
        </w:rPr>
        <w:t>et al.</w:t>
      </w:r>
      <w:r>
        <w:t xml:space="preserve">, 1996; </w:t>
      </w:r>
      <w:r w:rsidRPr="009D5269">
        <w:t xml:space="preserve">Martínez, Pro </w:t>
      </w:r>
      <w:r>
        <w:t>y</w:t>
      </w:r>
      <w:r w:rsidRPr="009D5269">
        <w:t xml:space="preserve"> Becerril, 2011</w:t>
      </w:r>
      <w:r>
        <w:t xml:space="preserve">; </w:t>
      </w:r>
      <w:r w:rsidRPr="009D5269">
        <w:t>SAGARPA-SENASICA, 2015</w:t>
      </w:r>
      <w:r>
        <w:t xml:space="preserve">).  </w:t>
      </w:r>
    </w:p>
    <w:p w14:paraId="712DC514" w14:textId="2C84EF79" w:rsidR="004001B3" w:rsidRDefault="004001B3" w:rsidP="00955D11">
      <w:r>
        <w:t xml:space="preserve">La disponibilidad de agua será a libre demanda y el alimento dependerá de las necesidades alimenticias del conejo y del tipo de intensidad reproductiva de los vientres (Lebas, </w:t>
      </w:r>
      <w:r w:rsidR="00E31908" w:rsidRPr="00E31908">
        <w:rPr>
          <w:i/>
          <w:iCs/>
        </w:rPr>
        <w:t>et al.</w:t>
      </w:r>
      <w:r>
        <w:t xml:space="preserve">, 1996; </w:t>
      </w:r>
      <w:r w:rsidRPr="009D5269">
        <w:t xml:space="preserve">Martínez, Pro </w:t>
      </w:r>
      <w:r>
        <w:t>y</w:t>
      </w:r>
      <w:r w:rsidRPr="009D5269">
        <w:t xml:space="preserve"> Becerril, 2011</w:t>
      </w:r>
      <w:r>
        <w:t xml:space="preserve">; </w:t>
      </w:r>
      <w:r w:rsidRPr="009D5269">
        <w:t>SAGARPA-SENASICA, 2015</w:t>
      </w:r>
      <w:r>
        <w:t xml:space="preserve">).  </w:t>
      </w:r>
    </w:p>
    <w:p w14:paraId="03EE89F4" w14:textId="4CD096A4" w:rsidR="004001B3" w:rsidRDefault="004001B3" w:rsidP="00955D11">
      <w:r>
        <w:t>La cantidad de alimento proporcionado es una variable de consideración para el éxito económico de la explotación pues suministra la cantidad adecuada de alimento por animal permit</w:t>
      </w:r>
      <w:r w:rsidR="00677DA4">
        <w:t>iendo</w:t>
      </w:r>
      <w:r>
        <w:t xml:space="preserve"> la disminución de costos del productor (Lebas, </w:t>
      </w:r>
      <w:r w:rsidR="00B87C31" w:rsidRPr="00B87C31">
        <w:rPr>
          <w:i/>
          <w:iCs/>
        </w:rPr>
        <w:t>et al.</w:t>
      </w:r>
      <w:r>
        <w:t xml:space="preserve">, 1996; </w:t>
      </w:r>
      <w:r w:rsidRPr="009D5269">
        <w:t xml:space="preserve">Martínez, Pro </w:t>
      </w:r>
      <w:r>
        <w:t>y</w:t>
      </w:r>
      <w:r w:rsidRPr="009D5269">
        <w:t xml:space="preserve"> Becerril, 2011</w:t>
      </w:r>
      <w:r>
        <w:t xml:space="preserve">). De acuerdo con Lebas </w:t>
      </w:r>
      <w:r w:rsidR="00B87C31" w:rsidRPr="001C52B0">
        <w:rPr>
          <w:i/>
          <w:iCs/>
        </w:rPr>
        <w:t>et al.</w:t>
      </w:r>
      <w:r w:rsidR="00B87C31">
        <w:rPr>
          <w:i/>
          <w:iCs/>
        </w:rPr>
        <w:t xml:space="preserve"> </w:t>
      </w:r>
      <w:r>
        <w:t xml:space="preserve">(1996) </w:t>
      </w:r>
      <w:r w:rsidR="004A28FA">
        <w:t xml:space="preserve">a </w:t>
      </w:r>
      <w:r>
        <w:t xml:space="preserve">los machos se les proporciona entre 120 y 180 g diarios según el peso, </w:t>
      </w:r>
      <w:r w:rsidR="00677DA4">
        <w:t>para</w:t>
      </w:r>
      <w:r>
        <w:t xml:space="preserve"> las hembras es aproximadamente 150 g en promedio y a los conejos en engorde el consumo medio es 100-130 g, con ello se espera una ganancia de peso 30-40 g/día</w:t>
      </w:r>
      <w:r w:rsidR="00677DA4">
        <w:t>,</w:t>
      </w:r>
      <w:r>
        <w:t xml:space="preserve"> la alimentación convencional puede complementarse con cereales y forrajes.</w:t>
      </w:r>
    </w:p>
    <w:p w14:paraId="37CD6C1D" w14:textId="0022B607" w:rsidR="002D207E" w:rsidRDefault="004001B3" w:rsidP="00955D11">
      <w:r>
        <w:t>Lebas</w:t>
      </w:r>
      <w:r w:rsidR="00B87C31">
        <w:t xml:space="preserve"> </w:t>
      </w:r>
      <w:r w:rsidR="00B87C31" w:rsidRPr="001C52B0">
        <w:rPr>
          <w:i/>
          <w:iCs/>
        </w:rPr>
        <w:t>et al.</w:t>
      </w:r>
      <w:r>
        <w:t xml:space="preserve"> (1996) identifican tres ritmos de reproducción la diferencia entre ell</w:t>
      </w:r>
      <w:r w:rsidR="00955D11">
        <w:t>o</w:t>
      </w:r>
      <w:r>
        <w:t>s es el tiempo entre montas. E</w:t>
      </w:r>
      <w:r w:rsidR="004A28FA">
        <w:t>n el sistema</w:t>
      </w:r>
      <w:r>
        <w:t xml:space="preserve"> intensivo, la monta se realiza entre tres y cuatro día después del parto. E</w:t>
      </w:r>
      <w:r w:rsidR="004A28FA">
        <w:t>n e</w:t>
      </w:r>
      <w:r>
        <w:t xml:space="preserve">l semi intensivo, la hembra es cubierta de 10 a 20 días después del parto (tabla </w:t>
      </w:r>
      <w:r w:rsidR="003B2DB1">
        <w:t>4</w:t>
      </w:r>
      <w:r>
        <w:t>). Y e</w:t>
      </w:r>
      <w:r w:rsidR="004A28FA">
        <w:t>n e</w:t>
      </w:r>
      <w:r>
        <w:t>l extensivo, la monta se realiza después del destete.</w:t>
      </w:r>
    </w:p>
    <w:p w14:paraId="3BD78FA8" w14:textId="77777777" w:rsidR="00955D11" w:rsidRPr="009D5269" w:rsidRDefault="00955D11" w:rsidP="00955D11">
      <w:r>
        <w:t xml:space="preserve">De acuerdo con </w:t>
      </w:r>
      <w:r w:rsidRPr="009D5269">
        <w:t xml:space="preserve">Martínez. Pro </w:t>
      </w:r>
      <w:r>
        <w:t>y</w:t>
      </w:r>
      <w:r w:rsidRPr="009D5269">
        <w:t xml:space="preserve"> Becerril </w:t>
      </w:r>
      <w:r>
        <w:t>(</w:t>
      </w:r>
      <w:r w:rsidRPr="009D5269">
        <w:t>2011</w:t>
      </w:r>
      <w:r>
        <w:t>), l</w:t>
      </w:r>
      <w:r w:rsidRPr="009D5269">
        <w:t xml:space="preserve">os animales destetados </w:t>
      </w:r>
      <w:r>
        <w:t>destinados a la</w:t>
      </w:r>
      <w:r w:rsidRPr="009D5269">
        <w:t xml:space="preserve"> engorda, </w:t>
      </w:r>
      <w:r>
        <w:t>serán</w:t>
      </w:r>
      <w:r w:rsidRPr="009D5269">
        <w:t xml:space="preserve"> alimentados hasta que </w:t>
      </w:r>
      <w:r>
        <w:t>alcancen</w:t>
      </w:r>
      <w:r w:rsidRPr="009D5269">
        <w:t xml:space="preserve"> un peso de 2.0 kg</w:t>
      </w:r>
      <w:r>
        <w:t xml:space="preserve"> aproximadamente,</w:t>
      </w:r>
      <w:r w:rsidRPr="009D5269">
        <w:t xml:space="preserve"> </w:t>
      </w:r>
      <w:r>
        <w:t>para</w:t>
      </w:r>
      <w:r w:rsidRPr="009D5269">
        <w:t xml:space="preserve"> alcanza</w:t>
      </w:r>
      <w:r>
        <w:t>r este peso requieren de apr</w:t>
      </w:r>
      <w:r w:rsidRPr="009D5269">
        <w:t xml:space="preserve">oximadamente 40 días la finalidad </w:t>
      </w:r>
      <w:r>
        <w:t>es</w:t>
      </w:r>
      <w:r w:rsidRPr="009D5269">
        <w:t xml:space="preserve"> obtener canales de 1.1 kg. En México, la NMX-FF-105-SCFI-2005 Productos Pecuarios </w:t>
      </w:r>
      <w:r>
        <w:t>–</w:t>
      </w:r>
      <w:r w:rsidRPr="009D5269">
        <w:t xml:space="preserve"> Carne </w:t>
      </w:r>
      <w:r>
        <w:t>d</w:t>
      </w:r>
      <w:r w:rsidRPr="009D5269">
        <w:t xml:space="preserve">e Conejo </w:t>
      </w:r>
      <w:r>
        <w:t>e</w:t>
      </w:r>
      <w:r w:rsidRPr="009D5269">
        <w:t xml:space="preserve">n Canal </w:t>
      </w:r>
      <w:r>
        <w:t>–</w:t>
      </w:r>
      <w:r w:rsidRPr="009D5269">
        <w:t xml:space="preserve"> Calidad </w:t>
      </w:r>
      <w:r>
        <w:t>d</w:t>
      </w:r>
      <w:r w:rsidRPr="009D5269">
        <w:t xml:space="preserve">e </w:t>
      </w:r>
      <w:r>
        <w:t>l</w:t>
      </w:r>
      <w:r w:rsidRPr="009D5269">
        <w:t xml:space="preserve">a Carne- </w:t>
      </w:r>
      <w:r w:rsidRPr="009D5269">
        <w:lastRenderedPageBreak/>
        <w:t>Clasificación</w:t>
      </w:r>
      <w:r>
        <w:t>, especifica que la edad y peso al sacrificio es entre las nueve y 14 semanas con peso de 1.8 a 2.4 kg en pie.</w:t>
      </w:r>
    </w:p>
    <w:p w14:paraId="735C6D3C" w14:textId="77777777" w:rsidR="00955D11" w:rsidRDefault="00955D11" w:rsidP="00955D11"/>
    <w:p w14:paraId="3466969B" w14:textId="7EBDFC67" w:rsidR="004001B3" w:rsidRDefault="004001B3" w:rsidP="00B87C31">
      <w:pPr>
        <w:pStyle w:val="Sinespaciado"/>
      </w:pPr>
      <w:r>
        <w:t xml:space="preserve">Tabla </w:t>
      </w:r>
      <w:r w:rsidR="003B2DB1">
        <w:t>4</w:t>
      </w:r>
      <w:r>
        <w:t>. Ejemplo de un ciclo anual de reproducción</w:t>
      </w:r>
    </w:p>
    <w:tbl>
      <w:tblPr>
        <w:tblStyle w:val="Tablaconcuadrcula"/>
        <w:tblW w:w="5000" w:type="pct"/>
        <w:tblLook w:val="04A0" w:firstRow="1" w:lastRow="0" w:firstColumn="1" w:lastColumn="0" w:noHBand="0" w:noVBand="1"/>
      </w:tblPr>
      <w:tblGrid>
        <w:gridCol w:w="1765"/>
        <w:gridCol w:w="1765"/>
        <w:gridCol w:w="1766"/>
        <w:gridCol w:w="1766"/>
        <w:gridCol w:w="1766"/>
      </w:tblGrid>
      <w:tr w:rsidR="004001B3" w:rsidRPr="00955D11" w14:paraId="3BEB4D4C" w14:textId="77777777" w:rsidTr="0092507C">
        <w:tc>
          <w:tcPr>
            <w:tcW w:w="1000" w:type="pct"/>
            <w:vAlign w:val="center"/>
          </w:tcPr>
          <w:p w14:paraId="5EAC8C74" w14:textId="77777777" w:rsidR="004001B3" w:rsidRPr="00955D11" w:rsidRDefault="004001B3" w:rsidP="0092507C">
            <w:pPr>
              <w:spacing w:beforeAutospacing="0" w:afterAutospacing="0"/>
              <w:jc w:val="center"/>
              <w:rPr>
                <w:rFonts w:cs="Arial"/>
                <w:b/>
                <w:bCs/>
                <w:szCs w:val="24"/>
              </w:rPr>
            </w:pPr>
            <w:r w:rsidRPr="00955D11">
              <w:rPr>
                <w:rFonts w:cs="Arial"/>
                <w:b/>
                <w:bCs/>
                <w:szCs w:val="24"/>
              </w:rPr>
              <w:t>Número de camada</w:t>
            </w:r>
          </w:p>
        </w:tc>
        <w:tc>
          <w:tcPr>
            <w:tcW w:w="1000" w:type="pct"/>
            <w:vAlign w:val="center"/>
          </w:tcPr>
          <w:p w14:paraId="1C95174F" w14:textId="7896FC8D" w:rsidR="004001B3" w:rsidRPr="00955D11" w:rsidRDefault="004001B3" w:rsidP="0092507C">
            <w:pPr>
              <w:spacing w:beforeAutospacing="0" w:afterAutospacing="0"/>
              <w:jc w:val="center"/>
              <w:rPr>
                <w:rFonts w:cs="Arial"/>
                <w:b/>
                <w:bCs/>
                <w:szCs w:val="24"/>
              </w:rPr>
            </w:pPr>
            <w:r w:rsidRPr="00955D11">
              <w:rPr>
                <w:rFonts w:cs="Arial"/>
                <w:b/>
                <w:bCs/>
                <w:szCs w:val="24"/>
              </w:rPr>
              <w:t>Monta</w:t>
            </w:r>
          </w:p>
        </w:tc>
        <w:tc>
          <w:tcPr>
            <w:tcW w:w="1000" w:type="pct"/>
            <w:vAlign w:val="center"/>
          </w:tcPr>
          <w:p w14:paraId="1EABEB06" w14:textId="5363A422" w:rsidR="004001B3" w:rsidRPr="00955D11" w:rsidRDefault="004001B3" w:rsidP="0092507C">
            <w:pPr>
              <w:spacing w:beforeAutospacing="0" w:afterAutospacing="0"/>
              <w:jc w:val="center"/>
              <w:rPr>
                <w:rFonts w:cs="Arial"/>
                <w:b/>
                <w:bCs/>
                <w:szCs w:val="24"/>
              </w:rPr>
            </w:pPr>
            <w:r w:rsidRPr="00955D11">
              <w:rPr>
                <w:rFonts w:cs="Arial"/>
                <w:b/>
                <w:bCs/>
                <w:szCs w:val="24"/>
              </w:rPr>
              <w:t>Parir</w:t>
            </w:r>
          </w:p>
        </w:tc>
        <w:tc>
          <w:tcPr>
            <w:tcW w:w="1000" w:type="pct"/>
            <w:vAlign w:val="center"/>
          </w:tcPr>
          <w:p w14:paraId="4463F6EF" w14:textId="77777777" w:rsidR="004001B3" w:rsidRPr="00955D11" w:rsidRDefault="004001B3" w:rsidP="0092507C">
            <w:pPr>
              <w:spacing w:beforeAutospacing="0" w:afterAutospacing="0"/>
              <w:jc w:val="center"/>
              <w:rPr>
                <w:rFonts w:cs="Arial"/>
                <w:b/>
                <w:bCs/>
                <w:szCs w:val="24"/>
              </w:rPr>
            </w:pPr>
            <w:r w:rsidRPr="00955D11">
              <w:rPr>
                <w:rFonts w:cs="Arial"/>
                <w:b/>
                <w:bCs/>
                <w:szCs w:val="24"/>
              </w:rPr>
              <w:t>Engorda</w:t>
            </w:r>
          </w:p>
        </w:tc>
        <w:tc>
          <w:tcPr>
            <w:tcW w:w="1001" w:type="pct"/>
            <w:vAlign w:val="center"/>
          </w:tcPr>
          <w:p w14:paraId="4A04F9AD" w14:textId="77777777" w:rsidR="004001B3" w:rsidRPr="00955D11" w:rsidRDefault="004001B3" w:rsidP="0092507C">
            <w:pPr>
              <w:spacing w:beforeAutospacing="0" w:afterAutospacing="0"/>
              <w:jc w:val="center"/>
              <w:rPr>
                <w:rFonts w:cs="Arial"/>
                <w:b/>
                <w:bCs/>
                <w:szCs w:val="24"/>
              </w:rPr>
            </w:pPr>
            <w:r w:rsidRPr="00955D11">
              <w:rPr>
                <w:rFonts w:cs="Arial"/>
                <w:b/>
                <w:bCs/>
                <w:szCs w:val="24"/>
              </w:rPr>
              <w:t>Venta</w:t>
            </w:r>
          </w:p>
        </w:tc>
      </w:tr>
      <w:tr w:rsidR="004001B3" w:rsidRPr="00955D11" w14:paraId="64C740BB" w14:textId="77777777" w:rsidTr="0092507C">
        <w:tc>
          <w:tcPr>
            <w:tcW w:w="1000" w:type="pct"/>
            <w:vAlign w:val="center"/>
          </w:tcPr>
          <w:p w14:paraId="4D012238" w14:textId="77777777" w:rsidR="004001B3" w:rsidRPr="00955D11" w:rsidRDefault="004001B3" w:rsidP="0092507C">
            <w:pPr>
              <w:spacing w:beforeAutospacing="0" w:afterAutospacing="0"/>
              <w:jc w:val="center"/>
              <w:rPr>
                <w:rFonts w:cs="Arial"/>
                <w:szCs w:val="24"/>
              </w:rPr>
            </w:pPr>
            <w:r w:rsidRPr="00955D11">
              <w:rPr>
                <w:rFonts w:cs="Arial"/>
                <w:szCs w:val="24"/>
              </w:rPr>
              <w:t>1ª</w:t>
            </w:r>
          </w:p>
        </w:tc>
        <w:tc>
          <w:tcPr>
            <w:tcW w:w="1000" w:type="pct"/>
            <w:vAlign w:val="center"/>
          </w:tcPr>
          <w:p w14:paraId="3F8A8E5E" w14:textId="77777777" w:rsidR="004001B3" w:rsidRPr="00955D11" w:rsidRDefault="004001B3" w:rsidP="0092507C">
            <w:pPr>
              <w:spacing w:beforeAutospacing="0" w:afterAutospacing="0"/>
              <w:jc w:val="center"/>
              <w:rPr>
                <w:rFonts w:cs="Arial"/>
                <w:szCs w:val="24"/>
              </w:rPr>
            </w:pPr>
            <w:r w:rsidRPr="00955D11">
              <w:rPr>
                <w:rFonts w:cs="Arial"/>
                <w:szCs w:val="24"/>
              </w:rPr>
              <w:t>01-enero</w:t>
            </w:r>
          </w:p>
        </w:tc>
        <w:tc>
          <w:tcPr>
            <w:tcW w:w="1000" w:type="pct"/>
            <w:vAlign w:val="center"/>
          </w:tcPr>
          <w:p w14:paraId="418485B0" w14:textId="77777777" w:rsidR="004001B3" w:rsidRPr="00955D11" w:rsidRDefault="004001B3" w:rsidP="0092507C">
            <w:pPr>
              <w:spacing w:beforeAutospacing="0" w:afterAutospacing="0"/>
              <w:jc w:val="center"/>
              <w:rPr>
                <w:rFonts w:cs="Arial"/>
                <w:szCs w:val="24"/>
              </w:rPr>
            </w:pPr>
            <w:r w:rsidRPr="00955D11">
              <w:rPr>
                <w:rFonts w:cs="Arial"/>
                <w:szCs w:val="24"/>
              </w:rPr>
              <w:t>30-enero</w:t>
            </w:r>
          </w:p>
        </w:tc>
        <w:tc>
          <w:tcPr>
            <w:tcW w:w="1000" w:type="pct"/>
            <w:vAlign w:val="center"/>
          </w:tcPr>
          <w:p w14:paraId="14098D1A" w14:textId="77777777" w:rsidR="004001B3" w:rsidRPr="00955D11" w:rsidRDefault="004001B3" w:rsidP="0092507C">
            <w:pPr>
              <w:spacing w:beforeAutospacing="0" w:afterAutospacing="0"/>
              <w:jc w:val="center"/>
              <w:rPr>
                <w:rFonts w:cs="Arial"/>
                <w:szCs w:val="24"/>
              </w:rPr>
            </w:pPr>
            <w:r w:rsidRPr="00955D11">
              <w:rPr>
                <w:rFonts w:cs="Arial"/>
                <w:szCs w:val="24"/>
              </w:rPr>
              <w:t>28-febrero</w:t>
            </w:r>
          </w:p>
        </w:tc>
        <w:tc>
          <w:tcPr>
            <w:tcW w:w="1001" w:type="pct"/>
            <w:vAlign w:val="center"/>
          </w:tcPr>
          <w:p w14:paraId="4D76E1F5" w14:textId="77777777" w:rsidR="004001B3" w:rsidRPr="00955D11" w:rsidRDefault="004001B3" w:rsidP="0092507C">
            <w:pPr>
              <w:spacing w:beforeAutospacing="0" w:afterAutospacing="0"/>
              <w:jc w:val="center"/>
              <w:rPr>
                <w:rFonts w:cs="Arial"/>
                <w:szCs w:val="24"/>
              </w:rPr>
            </w:pPr>
            <w:r w:rsidRPr="00955D11">
              <w:rPr>
                <w:rFonts w:cs="Arial"/>
                <w:szCs w:val="24"/>
              </w:rPr>
              <w:t>15-abril</w:t>
            </w:r>
          </w:p>
        </w:tc>
      </w:tr>
      <w:tr w:rsidR="004001B3" w:rsidRPr="00955D11" w14:paraId="6091C762" w14:textId="77777777" w:rsidTr="0092507C">
        <w:tc>
          <w:tcPr>
            <w:tcW w:w="1000" w:type="pct"/>
            <w:vAlign w:val="center"/>
          </w:tcPr>
          <w:p w14:paraId="4B0B1FC6" w14:textId="77777777" w:rsidR="004001B3" w:rsidRPr="00955D11" w:rsidRDefault="004001B3" w:rsidP="0092507C">
            <w:pPr>
              <w:spacing w:beforeAutospacing="0" w:afterAutospacing="0"/>
              <w:jc w:val="center"/>
              <w:rPr>
                <w:rFonts w:cs="Arial"/>
                <w:szCs w:val="24"/>
              </w:rPr>
            </w:pPr>
            <w:r w:rsidRPr="00955D11">
              <w:rPr>
                <w:rFonts w:cs="Arial"/>
                <w:szCs w:val="24"/>
              </w:rPr>
              <w:t>2ª</w:t>
            </w:r>
          </w:p>
        </w:tc>
        <w:tc>
          <w:tcPr>
            <w:tcW w:w="1000" w:type="pct"/>
            <w:vAlign w:val="center"/>
          </w:tcPr>
          <w:p w14:paraId="04CEC09B" w14:textId="77777777" w:rsidR="004001B3" w:rsidRPr="00955D11" w:rsidRDefault="004001B3" w:rsidP="0092507C">
            <w:pPr>
              <w:spacing w:beforeAutospacing="0" w:afterAutospacing="0"/>
              <w:jc w:val="center"/>
              <w:rPr>
                <w:rFonts w:cs="Arial"/>
                <w:szCs w:val="24"/>
              </w:rPr>
            </w:pPr>
            <w:r w:rsidRPr="00955D11">
              <w:rPr>
                <w:rFonts w:cs="Arial"/>
                <w:szCs w:val="24"/>
              </w:rPr>
              <w:t>15-febrero</w:t>
            </w:r>
          </w:p>
        </w:tc>
        <w:tc>
          <w:tcPr>
            <w:tcW w:w="1000" w:type="pct"/>
            <w:vAlign w:val="center"/>
          </w:tcPr>
          <w:p w14:paraId="0ABFAD57" w14:textId="77777777" w:rsidR="004001B3" w:rsidRPr="00955D11" w:rsidRDefault="004001B3" w:rsidP="0092507C">
            <w:pPr>
              <w:spacing w:beforeAutospacing="0" w:afterAutospacing="0"/>
              <w:jc w:val="center"/>
              <w:rPr>
                <w:rFonts w:cs="Arial"/>
                <w:szCs w:val="24"/>
              </w:rPr>
            </w:pPr>
            <w:r w:rsidRPr="00955D11">
              <w:rPr>
                <w:rFonts w:cs="Arial"/>
                <w:szCs w:val="24"/>
              </w:rPr>
              <w:t>15-marzo</w:t>
            </w:r>
          </w:p>
        </w:tc>
        <w:tc>
          <w:tcPr>
            <w:tcW w:w="1000" w:type="pct"/>
            <w:vAlign w:val="center"/>
          </w:tcPr>
          <w:p w14:paraId="76698A77" w14:textId="77777777" w:rsidR="004001B3" w:rsidRPr="00955D11" w:rsidRDefault="004001B3" w:rsidP="0092507C">
            <w:pPr>
              <w:spacing w:beforeAutospacing="0" w:afterAutospacing="0"/>
              <w:jc w:val="center"/>
              <w:rPr>
                <w:rFonts w:cs="Arial"/>
                <w:szCs w:val="24"/>
              </w:rPr>
            </w:pPr>
            <w:r w:rsidRPr="00955D11">
              <w:rPr>
                <w:rFonts w:cs="Arial"/>
                <w:szCs w:val="24"/>
              </w:rPr>
              <w:t>15-abril</w:t>
            </w:r>
          </w:p>
        </w:tc>
        <w:tc>
          <w:tcPr>
            <w:tcW w:w="1001" w:type="pct"/>
            <w:vAlign w:val="center"/>
          </w:tcPr>
          <w:p w14:paraId="49F1E959" w14:textId="77777777" w:rsidR="004001B3" w:rsidRPr="00955D11" w:rsidRDefault="004001B3" w:rsidP="0092507C">
            <w:pPr>
              <w:spacing w:beforeAutospacing="0" w:afterAutospacing="0"/>
              <w:jc w:val="center"/>
              <w:rPr>
                <w:rFonts w:cs="Arial"/>
                <w:szCs w:val="24"/>
              </w:rPr>
            </w:pPr>
            <w:r w:rsidRPr="00955D11">
              <w:rPr>
                <w:rFonts w:cs="Arial"/>
                <w:szCs w:val="24"/>
              </w:rPr>
              <w:t>31-mayo</w:t>
            </w:r>
          </w:p>
        </w:tc>
      </w:tr>
      <w:tr w:rsidR="004001B3" w:rsidRPr="00955D11" w14:paraId="70367D1F" w14:textId="77777777" w:rsidTr="0092507C">
        <w:tc>
          <w:tcPr>
            <w:tcW w:w="1000" w:type="pct"/>
            <w:vAlign w:val="center"/>
          </w:tcPr>
          <w:p w14:paraId="539AE274" w14:textId="77777777" w:rsidR="004001B3" w:rsidRPr="00955D11" w:rsidRDefault="004001B3" w:rsidP="0092507C">
            <w:pPr>
              <w:spacing w:beforeAutospacing="0" w:afterAutospacing="0"/>
              <w:jc w:val="center"/>
              <w:rPr>
                <w:rFonts w:cs="Arial"/>
                <w:szCs w:val="24"/>
              </w:rPr>
            </w:pPr>
            <w:r w:rsidRPr="00955D11">
              <w:rPr>
                <w:rFonts w:cs="Arial"/>
                <w:szCs w:val="24"/>
              </w:rPr>
              <w:t>3ª</w:t>
            </w:r>
          </w:p>
        </w:tc>
        <w:tc>
          <w:tcPr>
            <w:tcW w:w="1000" w:type="pct"/>
            <w:vAlign w:val="center"/>
          </w:tcPr>
          <w:p w14:paraId="77EE4C89" w14:textId="77777777" w:rsidR="004001B3" w:rsidRPr="00955D11" w:rsidRDefault="004001B3" w:rsidP="0092507C">
            <w:pPr>
              <w:spacing w:beforeAutospacing="0" w:afterAutospacing="0"/>
              <w:jc w:val="center"/>
              <w:rPr>
                <w:rFonts w:cs="Arial"/>
                <w:szCs w:val="24"/>
              </w:rPr>
            </w:pPr>
            <w:r w:rsidRPr="00955D11">
              <w:rPr>
                <w:rFonts w:cs="Arial"/>
                <w:szCs w:val="24"/>
              </w:rPr>
              <w:t>30-marzo</w:t>
            </w:r>
          </w:p>
        </w:tc>
        <w:tc>
          <w:tcPr>
            <w:tcW w:w="1000" w:type="pct"/>
            <w:vAlign w:val="center"/>
          </w:tcPr>
          <w:p w14:paraId="0BFB2027" w14:textId="77777777" w:rsidR="004001B3" w:rsidRPr="00955D11" w:rsidRDefault="004001B3" w:rsidP="0092507C">
            <w:pPr>
              <w:spacing w:beforeAutospacing="0" w:afterAutospacing="0"/>
              <w:jc w:val="center"/>
              <w:rPr>
                <w:rFonts w:cs="Arial"/>
                <w:szCs w:val="24"/>
              </w:rPr>
            </w:pPr>
            <w:r w:rsidRPr="00955D11">
              <w:rPr>
                <w:rFonts w:cs="Arial"/>
                <w:szCs w:val="24"/>
              </w:rPr>
              <w:t>30-abril</w:t>
            </w:r>
          </w:p>
        </w:tc>
        <w:tc>
          <w:tcPr>
            <w:tcW w:w="1000" w:type="pct"/>
            <w:vAlign w:val="center"/>
          </w:tcPr>
          <w:p w14:paraId="3C0D3FBA" w14:textId="77777777" w:rsidR="004001B3" w:rsidRPr="00955D11" w:rsidRDefault="004001B3" w:rsidP="0092507C">
            <w:pPr>
              <w:spacing w:beforeAutospacing="0" w:afterAutospacing="0"/>
              <w:jc w:val="center"/>
              <w:rPr>
                <w:rFonts w:cs="Arial"/>
                <w:szCs w:val="24"/>
              </w:rPr>
            </w:pPr>
            <w:r w:rsidRPr="00955D11">
              <w:rPr>
                <w:rFonts w:cs="Arial"/>
                <w:szCs w:val="24"/>
              </w:rPr>
              <w:t>30-mayo</w:t>
            </w:r>
          </w:p>
        </w:tc>
        <w:tc>
          <w:tcPr>
            <w:tcW w:w="1001" w:type="pct"/>
            <w:vAlign w:val="center"/>
          </w:tcPr>
          <w:p w14:paraId="635287F4" w14:textId="77777777" w:rsidR="004001B3" w:rsidRPr="00955D11" w:rsidRDefault="004001B3" w:rsidP="0092507C">
            <w:pPr>
              <w:spacing w:beforeAutospacing="0" w:afterAutospacing="0"/>
              <w:jc w:val="center"/>
              <w:rPr>
                <w:rFonts w:cs="Arial"/>
                <w:szCs w:val="24"/>
              </w:rPr>
            </w:pPr>
            <w:r w:rsidRPr="00955D11">
              <w:rPr>
                <w:rFonts w:cs="Arial"/>
                <w:szCs w:val="24"/>
              </w:rPr>
              <w:t>15-julio</w:t>
            </w:r>
          </w:p>
        </w:tc>
      </w:tr>
      <w:tr w:rsidR="004001B3" w:rsidRPr="00955D11" w14:paraId="7B1610F4" w14:textId="77777777" w:rsidTr="0092507C">
        <w:tc>
          <w:tcPr>
            <w:tcW w:w="1000" w:type="pct"/>
            <w:vAlign w:val="center"/>
          </w:tcPr>
          <w:p w14:paraId="756AF429" w14:textId="77777777" w:rsidR="004001B3" w:rsidRPr="00955D11" w:rsidRDefault="004001B3" w:rsidP="0092507C">
            <w:pPr>
              <w:spacing w:beforeAutospacing="0" w:afterAutospacing="0"/>
              <w:jc w:val="center"/>
              <w:rPr>
                <w:rFonts w:cs="Arial"/>
                <w:szCs w:val="24"/>
              </w:rPr>
            </w:pPr>
            <w:r w:rsidRPr="00955D11">
              <w:rPr>
                <w:rFonts w:cs="Arial"/>
                <w:szCs w:val="24"/>
              </w:rPr>
              <w:t>4ta</w:t>
            </w:r>
          </w:p>
        </w:tc>
        <w:tc>
          <w:tcPr>
            <w:tcW w:w="1000" w:type="pct"/>
            <w:vAlign w:val="center"/>
          </w:tcPr>
          <w:p w14:paraId="2325CA4C" w14:textId="77777777" w:rsidR="004001B3" w:rsidRPr="00955D11" w:rsidRDefault="004001B3" w:rsidP="0092507C">
            <w:pPr>
              <w:spacing w:beforeAutospacing="0" w:afterAutospacing="0"/>
              <w:jc w:val="center"/>
              <w:rPr>
                <w:rFonts w:cs="Arial"/>
                <w:szCs w:val="24"/>
              </w:rPr>
            </w:pPr>
            <w:r w:rsidRPr="00955D11">
              <w:rPr>
                <w:rFonts w:cs="Arial"/>
                <w:szCs w:val="24"/>
              </w:rPr>
              <w:t>15-mayo</w:t>
            </w:r>
          </w:p>
        </w:tc>
        <w:tc>
          <w:tcPr>
            <w:tcW w:w="1000" w:type="pct"/>
            <w:vAlign w:val="center"/>
          </w:tcPr>
          <w:p w14:paraId="7BCE93C2" w14:textId="77777777" w:rsidR="004001B3" w:rsidRPr="00955D11" w:rsidRDefault="004001B3" w:rsidP="0092507C">
            <w:pPr>
              <w:spacing w:beforeAutospacing="0" w:afterAutospacing="0"/>
              <w:jc w:val="center"/>
              <w:rPr>
                <w:rFonts w:cs="Arial"/>
                <w:szCs w:val="24"/>
              </w:rPr>
            </w:pPr>
            <w:r w:rsidRPr="00955D11">
              <w:rPr>
                <w:rFonts w:cs="Arial"/>
                <w:szCs w:val="24"/>
              </w:rPr>
              <w:t>15-junio</w:t>
            </w:r>
          </w:p>
        </w:tc>
        <w:tc>
          <w:tcPr>
            <w:tcW w:w="1000" w:type="pct"/>
            <w:vAlign w:val="center"/>
          </w:tcPr>
          <w:p w14:paraId="3F0764A0" w14:textId="77777777" w:rsidR="004001B3" w:rsidRPr="00955D11" w:rsidRDefault="004001B3" w:rsidP="0092507C">
            <w:pPr>
              <w:spacing w:beforeAutospacing="0" w:afterAutospacing="0"/>
              <w:jc w:val="center"/>
              <w:rPr>
                <w:rFonts w:cs="Arial"/>
                <w:szCs w:val="24"/>
              </w:rPr>
            </w:pPr>
            <w:r w:rsidRPr="00955D11">
              <w:rPr>
                <w:rFonts w:cs="Arial"/>
                <w:szCs w:val="24"/>
              </w:rPr>
              <w:t>15-julio</w:t>
            </w:r>
          </w:p>
        </w:tc>
        <w:tc>
          <w:tcPr>
            <w:tcW w:w="1001" w:type="pct"/>
            <w:vAlign w:val="center"/>
          </w:tcPr>
          <w:p w14:paraId="19AC1E60" w14:textId="77777777" w:rsidR="004001B3" w:rsidRPr="00955D11" w:rsidRDefault="004001B3" w:rsidP="0092507C">
            <w:pPr>
              <w:spacing w:beforeAutospacing="0" w:afterAutospacing="0"/>
              <w:jc w:val="center"/>
              <w:rPr>
                <w:rFonts w:cs="Arial"/>
                <w:szCs w:val="24"/>
              </w:rPr>
            </w:pPr>
            <w:r w:rsidRPr="00955D11">
              <w:rPr>
                <w:rFonts w:cs="Arial"/>
                <w:szCs w:val="24"/>
              </w:rPr>
              <w:t>30-agosto</w:t>
            </w:r>
          </w:p>
        </w:tc>
      </w:tr>
      <w:tr w:rsidR="004001B3" w:rsidRPr="00955D11" w14:paraId="1EAF0EE2" w14:textId="77777777" w:rsidTr="0092507C">
        <w:tc>
          <w:tcPr>
            <w:tcW w:w="1000" w:type="pct"/>
            <w:vAlign w:val="center"/>
          </w:tcPr>
          <w:p w14:paraId="189556CE" w14:textId="77777777" w:rsidR="004001B3" w:rsidRPr="00955D11" w:rsidRDefault="004001B3" w:rsidP="0092507C">
            <w:pPr>
              <w:spacing w:beforeAutospacing="0" w:afterAutospacing="0"/>
              <w:jc w:val="center"/>
              <w:rPr>
                <w:rFonts w:cs="Arial"/>
                <w:szCs w:val="24"/>
              </w:rPr>
            </w:pPr>
            <w:r w:rsidRPr="00955D11">
              <w:rPr>
                <w:rFonts w:cs="Arial"/>
                <w:szCs w:val="24"/>
              </w:rPr>
              <w:t>5ta</w:t>
            </w:r>
          </w:p>
        </w:tc>
        <w:tc>
          <w:tcPr>
            <w:tcW w:w="1000" w:type="pct"/>
            <w:vAlign w:val="center"/>
          </w:tcPr>
          <w:p w14:paraId="342FE18C" w14:textId="77777777" w:rsidR="004001B3" w:rsidRPr="00955D11" w:rsidRDefault="004001B3" w:rsidP="0092507C">
            <w:pPr>
              <w:spacing w:beforeAutospacing="0" w:afterAutospacing="0"/>
              <w:jc w:val="center"/>
              <w:rPr>
                <w:rFonts w:cs="Arial"/>
                <w:szCs w:val="24"/>
              </w:rPr>
            </w:pPr>
            <w:r w:rsidRPr="00955D11">
              <w:rPr>
                <w:rFonts w:cs="Arial"/>
                <w:szCs w:val="24"/>
              </w:rPr>
              <w:t>01-julio</w:t>
            </w:r>
          </w:p>
        </w:tc>
        <w:tc>
          <w:tcPr>
            <w:tcW w:w="1000" w:type="pct"/>
            <w:vAlign w:val="center"/>
          </w:tcPr>
          <w:p w14:paraId="2BEC80FE" w14:textId="77777777" w:rsidR="004001B3" w:rsidRPr="00955D11" w:rsidRDefault="004001B3" w:rsidP="0092507C">
            <w:pPr>
              <w:spacing w:beforeAutospacing="0" w:afterAutospacing="0"/>
              <w:jc w:val="center"/>
              <w:rPr>
                <w:rFonts w:cs="Arial"/>
                <w:szCs w:val="24"/>
              </w:rPr>
            </w:pPr>
            <w:r w:rsidRPr="00955D11">
              <w:rPr>
                <w:rFonts w:cs="Arial"/>
                <w:szCs w:val="24"/>
              </w:rPr>
              <w:t>30-julio</w:t>
            </w:r>
          </w:p>
        </w:tc>
        <w:tc>
          <w:tcPr>
            <w:tcW w:w="1000" w:type="pct"/>
            <w:vAlign w:val="center"/>
          </w:tcPr>
          <w:p w14:paraId="2B1D4E8A" w14:textId="77777777" w:rsidR="004001B3" w:rsidRPr="00955D11" w:rsidRDefault="004001B3" w:rsidP="0092507C">
            <w:pPr>
              <w:spacing w:beforeAutospacing="0" w:afterAutospacing="0"/>
              <w:jc w:val="center"/>
              <w:rPr>
                <w:rFonts w:cs="Arial"/>
                <w:szCs w:val="24"/>
              </w:rPr>
            </w:pPr>
            <w:r w:rsidRPr="00955D11">
              <w:rPr>
                <w:rFonts w:cs="Arial"/>
                <w:szCs w:val="24"/>
              </w:rPr>
              <w:t>30-agosto</w:t>
            </w:r>
          </w:p>
        </w:tc>
        <w:tc>
          <w:tcPr>
            <w:tcW w:w="1001" w:type="pct"/>
            <w:vAlign w:val="center"/>
          </w:tcPr>
          <w:p w14:paraId="1E5ADBCD" w14:textId="77777777" w:rsidR="004001B3" w:rsidRPr="00955D11" w:rsidRDefault="004001B3" w:rsidP="0092507C">
            <w:pPr>
              <w:spacing w:beforeAutospacing="0" w:afterAutospacing="0"/>
              <w:jc w:val="center"/>
              <w:rPr>
                <w:rFonts w:cs="Arial"/>
                <w:szCs w:val="24"/>
              </w:rPr>
            </w:pPr>
            <w:r w:rsidRPr="00955D11">
              <w:rPr>
                <w:rFonts w:cs="Arial"/>
                <w:szCs w:val="24"/>
              </w:rPr>
              <w:t>15-octubre</w:t>
            </w:r>
          </w:p>
        </w:tc>
      </w:tr>
      <w:tr w:rsidR="004001B3" w:rsidRPr="00955D11" w14:paraId="3E9DA310" w14:textId="77777777" w:rsidTr="0092507C">
        <w:tc>
          <w:tcPr>
            <w:tcW w:w="1000" w:type="pct"/>
            <w:vAlign w:val="center"/>
          </w:tcPr>
          <w:p w14:paraId="3CDAAB8D" w14:textId="77777777" w:rsidR="004001B3" w:rsidRPr="00955D11" w:rsidRDefault="004001B3" w:rsidP="0092507C">
            <w:pPr>
              <w:spacing w:beforeAutospacing="0" w:afterAutospacing="0"/>
              <w:jc w:val="center"/>
              <w:rPr>
                <w:rFonts w:cs="Arial"/>
                <w:szCs w:val="24"/>
              </w:rPr>
            </w:pPr>
            <w:r w:rsidRPr="00955D11">
              <w:rPr>
                <w:rFonts w:cs="Arial"/>
                <w:szCs w:val="24"/>
              </w:rPr>
              <w:t>6ta</w:t>
            </w:r>
          </w:p>
        </w:tc>
        <w:tc>
          <w:tcPr>
            <w:tcW w:w="1000" w:type="pct"/>
            <w:vAlign w:val="center"/>
          </w:tcPr>
          <w:p w14:paraId="2BF40396" w14:textId="77777777" w:rsidR="004001B3" w:rsidRPr="00955D11" w:rsidRDefault="004001B3" w:rsidP="0092507C">
            <w:pPr>
              <w:spacing w:beforeAutospacing="0" w:afterAutospacing="0"/>
              <w:jc w:val="center"/>
              <w:rPr>
                <w:rFonts w:cs="Arial"/>
                <w:szCs w:val="24"/>
              </w:rPr>
            </w:pPr>
            <w:r w:rsidRPr="00955D11">
              <w:rPr>
                <w:rFonts w:cs="Arial"/>
                <w:szCs w:val="24"/>
              </w:rPr>
              <w:t>15-agosto</w:t>
            </w:r>
          </w:p>
        </w:tc>
        <w:tc>
          <w:tcPr>
            <w:tcW w:w="1000" w:type="pct"/>
            <w:vAlign w:val="center"/>
          </w:tcPr>
          <w:p w14:paraId="4B3A5048" w14:textId="77777777" w:rsidR="004001B3" w:rsidRPr="00955D11" w:rsidRDefault="004001B3" w:rsidP="0092507C">
            <w:pPr>
              <w:spacing w:beforeAutospacing="0" w:afterAutospacing="0"/>
              <w:jc w:val="center"/>
              <w:rPr>
                <w:rFonts w:cs="Arial"/>
                <w:szCs w:val="24"/>
              </w:rPr>
            </w:pPr>
            <w:r w:rsidRPr="00955D11">
              <w:rPr>
                <w:rFonts w:cs="Arial"/>
                <w:szCs w:val="24"/>
              </w:rPr>
              <w:t>15-septiembre</w:t>
            </w:r>
          </w:p>
        </w:tc>
        <w:tc>
          <w:tcPr>
            <w:tcW w:w="1000" w:type="pct"/>
            <w:vAlign w:val="center"/>
          </w:tcPr>
          <w:p w14:paraId="1726BC3D" w14:textId="77777777" w:rsidR="004001B3" w:rsidRPr="00955D11" w:rsidRDefault="004001B3" w:rsidP="0092507C">
            <w:pPr>
              <w:spacing w:beforeAutospacing="0" w:afterAutospacing="0"/>
              <w:jc w:val="center"/>
              <w:rPr>
                <w:rFonts w:cs="Arial"/>
                <w:szCs w:val="24"/>
              </w:rPr>
            </w:pPr>
            <w:r w:rsidRPr="00955D11">
              <w:rPr>
                <w:rFonts w:cs="Arial"/>
                <w:szCs w:val="24"/>
              </w:rPr>
              <w:t>15-octubre</w:t>
            </w:r>
          </w:p>
        </w:tc>
        <w:tc>
          <w:tcPr>
            <w:tcW w:w="1001" w:type="pct"/>
            <w:vAlign w:val="center"/>
          </w:tcPr>
          <w:p w14:paraId="44104115" w14:textId="77777777" w:rsidR="004001B3" w:rsidRPr="00955D11" w:rsidRDefault="004001B3" w:rsidP="0092507C">
            <w:pPr>
              <w:spacing w:beforeAutospacing="0" w:afterAutospacing="0"/>
              <w:jc w:val="center"/>
              <w:rPr>
                <w:rFonts w:cs="Arial"/>
                <w:szCs w:val="24"/>
              </w:rPr>
            </w:pPr>
            <w:r w:rsidRPr="00955D11">
              <w:rPr>
                <w:rFonts w:cs="Arial"/>
                <w:szCs w:val="24"/>
              </w:rPr>
              <w:t>30-noviembre</w:t>
            </w:r>
          </w:p>
        </w:tc>
      </w:tr>
      <w:tr w:rsidR="004001B3" w:rsidRPr="00955D11" w14:paraId="11D2DDB6" w14:textId="77777777" w:rsidTr="0092507C">
        <w:tc>
          <w:tcPr>
            <w:tcW w:w="1000" w:type="pct"/>
            <w:vAlign w:val="center"/>
          </w:tcPr>
          <w:p w14:paraId="40856DE3" w14:textId="77777777" w:rsidR="004001B3" w:rsidRPr="00955D11" w:rsidRDefault="004001B3" w:rsidP="0092507C">
            <w:pPr>
              <w:spacing w:beforeAutospacing="0" w:afterAutospacing="0"/>
              <w:jc w:val="center"/>
              <w:rPr>
                <w:rFonts w:cs="Arial"/>
                <w:szCs w:val="24"/>
              </w:rPr>
            </w:pPr>
            <w:r w:rsidRPr="00955D11">
              <w:rPr>
                <w:rFonts w:cs="Arial"/>
                <w:szCs w:val="24"/>
              </w:rPr>
              <w:t>7ma</w:t>
            </w:r>
          </w:p>
        </w:tc>
        <w:tc>
          <w:tcPr>
            <w:tcW w:w="1000" w:type="pct"/>
            <w:vAlign w:val="center"/>
          </w:tcPr>
          <w:p w14:paraId="59D56578" w14:textId="77777777" w:rsidR="004001B3" w:rsidRPr="00955D11" w:rsidRDefault="004001B3" w:rsidP="0092507C">
            <w:pPr>
              <w:spacing w:beforeAutospacing="0" w:afterAutospacing="0"/>
              <w:jc w:val="center"/>
              <w:rPr>
                <w:rFonts w:cs="Arial"/>
                <w:szCs w:val="24"/>
              </w:rPr>
            </w:pPr>
            <w:r w:rsidRPr="00955D11">
              <w:rPr>
                <w:rFonts w:cs="Arial"/>
                <w:szCs w:val="24"/>
              </w:rPr>
              <w:t>30-septiembre</w:t>
            </w:r>
          </w:p>
        </w:tc>
        <w:tc>
          <w:tcPr>
            <w:tcW w:w="1000" w:type="pct"/>
            <w:vAlign w:val="center"/>
          </w:tcPr>
          <w:p w14:paraId="6AA29BC9" w14:textId="77777777" w:rsidR="004001B3" w:rsidRPr="00955D11" w:rsidRDefault="004001B3" w:rsidP="0092507C">
            <w:pPr>
              <w:spacing w:beforeAutospacing="0" w:afterAutospacing="0"/>
              <w:jc w:val="center"/>
              <w:rPr>
                <w:rFonts w:cs="Arial"/>
                <w:szCs w:val="24"/>
              </w:rPr>
            </w:pPr>
            <w:r w:rsidRPr="00955D11">
              <w:rPr>
                <w:rFonts w:cs="Arial"/>
                <w:szCs w:val="24"/>
              </w:rPr>
              <w:t>30-octubre</w:t>
            </w:r>
          </w:p>
        </w:tc>
        <w:tc>
          <w:tcPr>
            <w:tcW w:w="1000" w:type="pct"/>
            <w:vAlign w:val="center"/>
          </w:tcPr>
          <w:p w14:paraId="7B3F5D23" w14:textId="77777777" w:rsidR="004001B3" w:rsidRPr="00955D11" w:rsidRDefault="004001B3" w:rsidP="0092507C">
            <w:pPr>
              <w:spacing w:beforeAutospacing="0" w:afterAutospacing="0"/>
              <w:jc w:val="center"/>
              <w:rPr>
                <w:rFonts w:cs="Arial"/>
                <w:szCs w:val="24"/>
              </w:rPr>
            </w:pPr>
            <w:r w:rsidRPr="00955D11">
              <w:rPr>
                <w:rFonts w:cs="Arial"/>
                <w:szCs w:val="24"/>
              </w:rPr>
              <w:t>30-noviembre</w:t>
            </w:r>
          </w:p>
        </w:tc>
        <w:tc>
          <w:tcPr>
            <w:tcW w:w="1001" w:type="pct"/>
            <w:vAlign w:val="center"/>
          </w:tcPr>
          <w:p w14:paraId="48E4EFDD" w14:textId="77777777" w:rsidR="004001B3" w:rsidRPr="00955D11" w:rsidRDefault="004001B3" w:rsidP="0092507C">
            <w:pPr>
              <w:spacing w:beforeAutospacing="0" w:afterAutospacing="0"/>
              <w:jc w:val="center"/>
              <w:rPr>
                <w:rFonts w:cs="Arial"/>
                <w:szCs w:val="24"/>
              </w:rPr>
            </w:pPr>
            <w:r w:rsidRPr="00955D11">
              <w:rPr>
                <w:rFonts w:cs="Arial"/>
                <w:szCs w:val="24"/>
              </w:rPr>
              <w:t>15-enero</w:t>
            </w:r>
          </w:p>
        </w:tc>
      </w:tr>
      <w:tr w:rsidR="004001B3" w:rsidRPr="00955D11" w14:paraId="722FE48B" w14:textId="77777777" w:rsidTr="0092507C">
        <w:tc>
          <w:tcPr>
            <w:tcW w:w="1000" w:type="pct"/>
            <w:vAlign w:val="center"/>
          </w:tcPr>
          <w:p w14:paraId="61903C39" w14:textId="77777777" w:rsidR="004001B3" w:rsidRPr="00955D11" w:rsidRDefault="004001B3" w:rsidP="0092507C">
            <w:pPr>
              <w:spacing w:beforeAutospacing="0" w:afterAutospacing="0"/>
              <w:jc w:val="center"/>
              <w:rPr>
                <w:rFonts w:cs="Arial"/>
                <w:szCs w:val="24"/>
              </w:rPr>
            </w:pPr>
            <w:r w:rsidRPr="00955D11">
              <w:rPr>
                <w:rFonts w:cs="Arial"/>
                <w:szCs w:val="24"/>
              </w:rPr>
              <w:t>8va</w:t>
            </w:r>
          </w:p>
        </w:tc>
        <w:tc>
          <w:tcPr>
            <w:tcW w:w="1000" w:type="pct"/>
            <w:vAlign w:val="center"/>
          </w:tcPr>
          <w:p w14:paraId="75633DE1" w14:textId="77777777" w:rsidR="004001B3" w:rsidRPr="00955D11" w:rsidRDefault="004001B3" w:rsidP="0092507C">
            <w:pPr>
              <w:spacing w:beforeAutospacing="0" w:afterAutospacing="0"/>
              <w:jc w:val="center"/>
              <w:rPr>
                <w:rFonts w:cs="Arial"/>
                <w:szCs w:val="24"/>
              </w:rPr>
            </w:pPr>
            <w:r w:rsidRPr="00955D11">
              <w:rPr>
                <w:rFonts w:cs="Arial"/>
                <w:szCs w:val="24"/>
              </w:rPr>
              <w:t>15-noviembre</w:t>
            </w:r>
          </w:p>
        </w:tc>
        <w:tc>
          <w:tcPr>
            <w:tcW w:w="1000" w:type="pct"/>
            <w:vAlign w:val="center"/>
          </w:tcPr>
          <w:p w14:paraId="7B49E582" w14:textId="77777777" w:rsidR="004001B3" w:rsidRPr="00955D11" w:rsidRDefault="004001B3" w:rsidP="0092507C">
            <w:pPr>
              <w:spacing w:beforeAutospacing="0" w:afterAutospacing="0"/>
              <w:jc w:val="center"/>
              <w:rPr>
                <w:rFonts w:cs="Arial"/>
                <w:szCs w:val="24"/>
              </w:rPr>
            </w:pPr>
            <w:r w:rsidRPr="00955D11">
              <w:rPr>
                <w:rFonts w:cs="Arial"/>
                <w:szCs w:val="24"/>
              </w:rPr>
              <w:t>15-diciembre</w:t>
            </w:r>
          </w:p>
        </w:tc>
        <w:tc>
          <w:tcPr>
            <w:tcW w:w="1000" w:type="pct"/>
            <w:vAlign w:val="center"/>
          </w:tcPr>
          <w:p w14:paraId="5CF6A755" w14:textId="77777777" w:rsidR="004001B3" w:rsidRPr="00955D11" w:rsidRDefault="004001B3" w:rsidP="0092507C">
            <w:pPr>
              <w:spacing w:beforeAutospacing="0" w:afterAutospacing="0"/>
              <w:jc w:val="center"/>
              <w:rPr>
                <w:rFonts w:cs="Arial"/>
                <w:szCs w:val="24"/>
              </w:rPr>
            </w:pPr>
            <w:r w:rsidRPr="00955D11">
              <w:rPr>
                <w:rFonts w:cs="Arial"/>
                <w:szCs w:val="24"/>
              </w:rPr>
              <w:t>15-enero</w:t>
            </w:r>
          </w:p>
        </w:tc>
        <w:tc>
          <w:tcPr>
            <w:tcW w:w="1001" w:type="pct"/>
            <w:vAlign w:val="center"/>
          </w:tcPr>
          <w:p w14:paraId="7D7E5280" w14:textId="77777777" w:rsidR="004001B3" w:rsidRPr="00955D11" w:rsidRDefault="004001B3" w:rsidP="0092507C">
            <w:pPr>
              <w:spacing w:beforeAutospacing="0" w:afterAutospacing="0"/>
              <w:jc w:val="center"/>
              <w:rPr>
                <w:rFonts w:cs="Arial"/>
                <w:szCs w:val="24"/>
              </w:rPr>
            </w:pPr>
            <w:r w:rsidRPr="00955D11">
              <w:rPr>
                <w:rFonts w:cs="Arial"/>
                <w:szCs w:val="24"/>
              </w:rPr>
              <w:t>28-febrero</w:t>
            </w:r>
          </w:p>
        </w:tc>
      </w:tr>
    </w:tbl>
    <w:p w14:paraId="325FA601" w14:textId="77777777" w:rsidR="004001B3" w:rsidRPr="00A50834" w:rsidRDefault="004001B3" w:rsidP="00955D11">
      <w:pPr>
        <w:pStyle w:val="Sinespaciado"/>
        <w:spacing w:after="240"/>
        <w:rPr>
          <w:sz w:val="20"/>
          <w:szCs w:val="20"/>
        </w:rPr>
      </w:pPr>
      <w:r w:rsidRPr="00A50834">
        <w:rPr>
          <w:sz w:val="20"/>
          <w:szCs w:val="20"/>
        </w:rPr>
        <w:t>Fuente: propia</w:t>
      </w:r>
    </w:p>
    <w:p w14:paraId="6F8DC3EA" w14:textId="77777777" w:rsidR="00F02859" w:rsidRDefault="00F02859" w:rsidP="00955D11">
      <w:pPr>
        <w:autoSpaceDE w:val="0"/>
        <w:autoSpaceDN w:val="0"/>
        <w:adjustRightInd w:val="0"/>
        <w:spacing w:after="0"/>
        <w:rPr>
          <w:rFonts w:cs="Arial"/>
          <w:i/>
          <w:szCs w:val="24"/>
        </w:rPr>
      </w:pPr>
    </w:p>
    <w:p w14:paraId="74EB81AF" w14:textId="0CDF5A09" w:rsidR="004001B3" w:rsidRPr="002E53DB" w:rsidRDefault="004001B3" w:rsidP="00955D11">
      <w:pPr>
        <w:autoSpaceDE w:val="0"/>
        <w:autoSpaceDN w:val="0"/>
        <w:adjustRightInd w:val="0"/>
        <w:spacing w:after="0"/>
        <w:rPr>
          <w:rFonts w:cs="Arial"/>
          <w:i/>
          <w:szCs w:val="24"/>
        </w:rPr>
      </w:pPr>
      <w:r w:rsidRPr="002E53DB">
        <w:rPr>
          <w:rFonts w:cs="Arial"/>
          <w:i/>
          <w:szCs w:val="24"/>
        </w:rPr>
        <w:t>Calidad de la carne</w:t>
      </w:r>
    </w:p>
    <w:p w14:paraId="09DB14C2" w14:textId="67582893" w:rsidR="004001B3" w:rsidRDefault="004001B3" w:rsidP="00955D11">
      <w:pPr>
        <w:rPr>
          <w:rFonts w:cs="Arial"/>
          <w:szCs w:val="24"/>
        </w:rPr>
      </w:pPr>
      <w:r>
        <w:rPr>
          <w:rFonts w:cs="Arial"/>
          <w:szCs w:val="24"/>
        </w:rPr>
        <w:t>El concepto de calidad de carne se adapta a la demanda, el consumidor se preocupa por conocer el origen del producto, la salud y bienestar animal asociado a las características organolépticas</w:t>
      </w:r>
      <w:r w:rsidR="00F02859">
        <w:rPr>
          <w:rFonts w:cs="Arial"/>
          <w:szCs w:val="24"/>
        </w:rPr>
        <w:t>, que</w:t>
      </w:r>
      <w:r>
        <w:rPr>
          <w:rFonts w:cs="Arial"/>
          <w:szCs w:val="24"/>
        </w:rPr>
        <w:t xml:space="preserve"> determinan la aceptación de la carne (Hocquette</w:t>
      </w:r>
      <w:r w:rsidR="00526540">
        <w:rPr>
          <w:rFonts w:cs="Arial"/>
          <w:szCs w:val="24"/>
        </w:rPr>
        <w:t>,</w:t>
      </w:r>
      <w:r>
        <w:rPr>
          <w:rFonts w:cs="Arial"/>
          <w:szCs w:val="24"/>
        </w:rPr>
        <w:t xml:space="preserve"> </w:t>
      </w:r>
      <w:r w:rsidRPr="00AA007D">
        <w:rPr>
          <w:rFonts w:cs="Arial"/>
          <w:i/>
          <w:iCs/>
          <w:szCs w:val="24"/>
        </w:rPr>
        <w:t>et al</w:t>
      </w:r>
      <w:r>
        <w:rPr>
          <w:rFonts w:cs="Arial"/>
          <w:szCs w:val="24"/>
        </w:rPr>
        <w:t>., 2012; Ornaghi</w:t>
      </w:r>
      <w:r w:rsidR="00526540">
        <w:rPr>
          <w:rFonts w:cs="Arial"/>
          <w:szCs w:val="24"/>
        </w:rPr>
        <w:t>,</w:t>
      </w:r>
      <w:r>
        <w:rPr>
          <w:rFonts w:cs="Arial"/>
          <w:szCs w:val="24"/>
        </w:rPr>
        <w:t xml:space="preserve"> </w:t>
      </w:r>
      <w:r w:rsidRPr="00AA007D">
        <w:rPr>
          <w:rFonts w:cs="Arial"/>
          <w:i/>
          <w:iCs/>
          <w:szCs w:val="24"/>
        </w:rPr>
        <w:t>et al.</w:t>
      </w:r>
      <w:r>
        <w:rPr>
          <w:rFonts w:cs="Arial"/>
          <w:szCs w:val="24"/>
        </w:rPr>
        <w:t>, 2017).</w:t>
      </w:r>
    </w:p>
    <w:p w14:paraId="34B80575" w14:textId="6E883A11" w:rsidR="004001B3" w:rsidRPr="009D5269" w:rsidRDefault="004001B3" w:rsidP="00955D11">
      <w:pPr>
        <w:autoSpaceDE w:val="0"/>
        <w:autoSpaceDN w:val="0"/>
        <w:adjustRightInd w:val="0"/>
        <w:spacing w:after="0"/>
        <w:rPr>
          <w:rFonts w:cs="Arial"/>
          <w:szCs w:val="24"/>
        </w:rPr>
      </w:pPr>
      <w:r w:rsidRPr="009D5269">
        <w:rPr>
          <w:rFonts w:cs="Arial"/>
          <w:szCs w:val="24"/>
        </w:rPr>
        <w:t xml:space="preserve">La calidad de la carne se define generalmente en función de su composición (coeficiente magro-graso) y de factores de palatabilidad tales como su aspecto, olor, firmeza, jugosidad, ternura y sabor. La calidad nutritiva de la carne es objetiva, mientras que la calidad “como producto comestible”, tal y como es percibida por el consumidor, es altamente subjetiva </w:t>
      </w:r>
      <w:r w:rsidRPr="009D5269">
        <w:rPr>
          <w:rFonts w:cs="Arial"/>
          <w:sz w:val="28"/>
          <w:szCs w:val="24"/>
        </w:rPr>
        <w:t>(</w:t>
      </w:r>
      <w:r>
        <w:rPr>
          <w:rFonts w:cs="Arial"/>
          <w:color w:val="000000"/>
        </w:rPr>
        <w:t>FAO</w:t>
      </w:r>
      <w:r w:rsidRPr="009D5269">
        <w:rPr>
          <w:rFonts w:cs="Arial"/>
          <w:szCs w:val="24"/>
        </w:rPr>
        <w:t>, 201</w:t>
      </w:r>
      <w:r>
        <w:rPr>
          <w:rFonts w:cs="Arial"/>
          <w:szCs w:val="24"/>
        </w:rPr>
        <w:t>8</w:t>
      </w:r>
      <w:r w:rsidRPr="009D5269">
        <w:rPr>
          <w:rFonts w:cs="Arial"/>
          <w:szCs w:val="24"/>
        </w:rPr>
        <w:t>).</w:t>
      </w:r>
    </w:p>
    <w:p w14:paraId="12B62F13" w14:textId="5EF35B58" w:rsidR="004001B3" w:rsidRDefault="004001B3" w:rsidP="00955D11">
      <w:pPr>
        <w:autoSpaceDE w:val="0"/>
        <w:autoSpaceDN w:val="0"/>
        <w:adjustRightInd w:val="0"/>
        <w:spacing w:after="0"/>
        <w:rPr>
          <w:rFonts w:cs="Arial"/>
          <w:szCs w:val="24"/>
        </w:rPr>
      </w:pPr>
      <w:r w:rsidRPr="009D5269">
        <w:rPr>
          <w:rFonts w:cs="Arial"/>
          <w:szCs w:val="24"/>
        </w:rPr>
        <w:lastRenderedPageBreak/>
        <w:t>Para que sea aceptada por el consumidor esta deberá de tener características organolépticas,</w:t>
      </w:r>
      <w:r>
        <w:rPr>
          <w:rFonts w:cs="Arial"/>
          <w:szCs w:val="24"/>
        </w:rPr>
        <w:t xml:space="preserve"> según la FAO (2018)</w:t>
      </w:r>
      <w:r w:rsidRPr="009D5269">
        <w:rPr>
          <w:rFonts w:cs="Arial"/>
          <w:szCs w:val="24"/>
        </w:rPr>
        <w:t xml:space="preserve"> en las que es conveniente considerar las siguientes:</w:t>
      </w:r>
      <w:r>
        <w:rPr>
          <w:rFonts w:cs="Arial"/>
          <w:szCs w:val="24"/>
        </w:rPr>
        <w:t xml:space="preserve"> i</w:t>
      </w:r>
      <w:r w:rsidRPr="000A7E8E">
        <w:rPr>
          <w:rFonts w:cs="Arial"/>
          <w:szCs w:val="24"/>
        </w:rPr>
        <w:t>dentificación visual</w:t>
      </w:r>
      <w:r w:rsidRPr="009D5269">
        <w:rPr>
          <w:rFonts w:cs="Arial"/>
          <w:szCs w:val="24"/>
        </w:rPr>
        <w:t xml:space="preserve"> se basa en su color, veteado y capacidad de retención de agua</w:t>
      </w:r>
      <w:r>
        <w:rPr>
          <w:rFonts w:cs="Arial"/>
          <w:szCs w:val="24"/>
        </w:rPr>
        <w:t xml:space="preserve">; olor, </w:t>
      </w:r>
      <w:r w:rsidRPr="009D5269">
        <w:rPr>
          <w:rFonts w:cs="Arial"/>
          <w:szCs w:val="24"/>
        </w:rPr>
        <w:t xml:space="preserve">debe </w:t>
      </w:r>
      <w:r>
        <w:rPr>
          <w:rFonts w:cs="Arial"/>
          <w:szCs w:val="24"/>
        </w:rPr>
        <w:t>ser</w:t>
      </w:r>
      <w:r w:rsidRPr="009D5269">
        <w:rPr>
          <w:rFonts w:cs="Arial"/>
          <w:szCs w:val="24"/>
        </w:rPr>
        <w:t xml:space="preserve"> normal dif</w:t>
      </w:r>
      <w:r>
        <w:rPr>
          <w:rFonts w:cs="Arial"/>
          <w:szCs w:val="24"/>
        </w:rPr>
        <w:t>iere</w:t>
      </w:r>
      <w:r w:rsidRPr="009D5269">
        <w:rPr>
          <w:rFonts w:cs="Arial"/>
          <w:szCs w:val="24"/>
        </w:rPr>
        <w:t xml:space="preserve"> según la especie </w:t>
      </w:r>
      <w:r>
        <w:rPr>
          <w:rFonts w:cs="Arial"/>
          <w:szCs w:val="24"/>
        </w:rPr>
        <w:t xml:space="preserve">y </w:t>
      </w:r>
      <w:r w:rsidRPr="009D5269">
        <w:rPr>
          <w:rFonts w:cs="Arial"/>
          <w:szCs w:val="24"/>
        </w:rPr>
        <w:t>evitar que desprenda cualquier tipo de olor rancio o extraño</w:t>
      </w:r>
      <w:r>
        <w:rPr>
          <w:rFonts w:cs="Arial"/>
          <w:szCs w:val="24"/>
        </w:rPr>
        <w:t>; firmeza,</w:t>
      </w:r>
      <w:r w:rsidRPr="009D5269">
        <w:rPr>
          <w:rFonts w:cs="Arial"/>
          <w:szCs w:val="24"/>
        </w:rPr>
        <w:t xml:space="preserve"> debe ser más firme que blanda</w:t>
      </w:r>
      <w:r>
        <w:rPr>
          <w:rFonts w:cs="Arial"/>
          <w:szCs w:val="24"/>
        </w:rPr>
        <w:t xml:space="preserve"> y </w:t>
      </w:r>
      <w:r w:rsidRPr="009D5269">
        <w:rPr>
          <w:rFonts w:cs="Arial"/>
          <w:szCs w:val="24"/>
        </w:rPr>
        <w:t>ceder a la presión, pero no estar blanda</w:t>
      </w:r>
      <w:r>
        <w:rPr>
          <w:rFonts w:cs="Arial"/>
          <w:szCs w:val="24"/>
        </w:rPr>
        <w:t>;</w:t>
      </w:r>
      <w:r w:rsidR="00677DA4">
        <w:rPr>
          <w:rFonts w:cs="Arial"/>
          <w:szCs w:val="24"/>
        </w:rPr>
        <w:t xml:space="preserve"> la</w:t>
      </w:r>
      <w:r>
        <w:rPr>
          <w:rFonts w:cs="Arial"/>
          <w:szCs w:val="24"/>
        </w:rPr>
        <w:t xml:space="preserve"> jugosidad,</w:t>
      </w:r>
      <w:r w:rsidRPr="009D5269">
        <w:rPr>
          <w:rFonts w:cs="Arial"/>
          <w:szCs w:val="24"/>
        </w:rPr>
        <w:t xml:space="preserve"> depende de la cantidad de agua retenida por un producto cárnico cocinado, ya que incrementa el sabor, contribuye a la blandura de la carne</w:t>
      </w:r>
      <w:r>
        <w:rPr>
          <w:rFonts w:cs="Arial"/>
          <w:szCs w:val="24"/>
        </w:rPr>
        <w:t>,</w:t>
      </w:r>
      <w:r w:rsidRPr="009D5269">
        <w:rPr>
          <w:rFonts w:cs="Arial"/>
          <w:szCs w:val="24"/>
        </w:rPr>
        <w:t xml:space="preserve"> </w:t>
      </w:r>
      <w:r>
        <w:rPr>
          <w:rFonts w:cs="Arial"/>
          <w:szCs w:val="24"/>
        </w:rPr>
        <w:t>e</w:t>
      </w:r>
      <w:r w:rsidRPr="009D5269">
        <w:rPr>
          <w:rFonts w:cs="Arial"/>
          <w:szCs w:val="24"/>
        </w:rPr>
        <w:t>l veteado y la grasa presente en los bordes ayudan a retener el agua</w:t>
      </w:r>
      <w:r>
        <w:rPr>
          <w:rFonts w:cs="Arial"/>
          <w:szCs w:val="24"/>
        </w:rPr>
        <w:t xml:space="preserve"> y el</w:t>
      </w:r>
      <w:r w:rsidRPr="009D5269">
        <w:rPr>
          <w:rFonts w:cs="Arial"/>
          <w:szCs w:val="24"/>
        </w:rPr>
        <w:t xml:space="preserve"> envejecimiento post-mortem de la carne puede incrementar la retención de agua y, en consecuencia, aumentar la jugosidad</w:t>
      </w:r>
      <w:r w:rsidR="00F02859">
        <w:rPr>
          <w:rFonts w:cs="Arial"/>
          <w:szCs w:val="24"/>
        </w:rPr>
        <w:t>.</w:t>
      </w:r>
      <w:r>
        <w:rPr>
          <w:rFonts w:cs="Arial"/>
          <w:szCs w:val="24"/>
        </w:rPr>
        <w:t xml:space="preserve"> </w:t>
      </w:r>
      <w:r w:rsidR="00F02859">
        <w:rPr>
          <w:rFonts w:cs="Arial"/>
          <w:szCs w:val="24"/>
        </w:rPr>
        <w:t xml:space="preserve">La </w:t>
      </w:r>
      <w:r>
        <w:rPr>
          <w:rFonts w:cs="Arial"/>
          <w:szCs w:val="24"/>
        </w:rPr>
        <w:t>terneza, e</w:t>
      </w:r>
      <w:r w:rsidRPr="009D5269">
        <w:rPr>
          <w:rFonts w:cs="Arial"/>
          <w:szCs w:val="24"/>
        </w:rPr>
        <w:t>stá relacionada con diversos factores como la edad y el sexo del animal o la posición de los músculos</w:t>
      </w:r>
      <w:r>
        <w:rPr>
          <w:rFonts w:cs="Arial"/>
          <w:szCs w:val="24"/>
        </w:rPr>
        <w:t>; y, por último,</w:t>
      </w:r>
      <w:r w:rsidR="00F02859">
        <w:rPr>
          <w:rFonts w:cs="Arial"/>
          <w:szCs w:val="24"/>
        </w:rPr>
        <w:t xml:space="preserve"> el</w:t>
      </w:r>
      <w:r>
        <w:rPr>
          <w:rFonts w:cs="Arial"/>
          <w:szCs w:val="24"/>
        </w:rPr>
        <w:t xml:space="preserve"> sabor y aroma </w:t>
      </w:r>
      <w:r w:rsidRPr="009D5269">
        <w:rPr>
          <w:rFonts w:cs="Arial"/>
          <w:szCs w:val="24"/>
        </w:rPr>
        <w:t xml:space="preserve">se conjugan para producir la sensación que el consumidor experimenta al comer. </w:t>
      </w:r>
    </w:p>
    <w:p w14:paraId="03C54134" w14:textId="0753CD2D" w:rsidR="004001B3" w:rsidRPr="002E53DB" w:rsidRDefault="004001B3" w:rsidP="00955D11">
      <w:pPr>
        <w:rPr>
          <w:rFonts w:cs="Arial"/>
          <w:szCs w:val="24"/>
        </w:rPr>
      </w:pPr>
      <w:r w:rsidRPr="002E53DB">
        <w:rPr>
          <w:rFonts w:cs="Arial"/>
          <w:szCs w:val="24"/>
        </w:rPr>
        <w:t>La carne de conejo presenta aspectos positivos en su composición que la hacen particularmente adecuada para su consumo (González</w:t>
      </w:r>
      <w:r>
        <w:rPr>
          <w:rFonts w:cs="Arial"/>
          <w:szCs w:val="24"/>
        </w:rPr>
        <w:t>, Ramírez y González</w:t>
      </w:r>
      <w:r w:rsidRPr="002E53DB">
        <w:rPr>
          <w:rFonts w:cs="Arial"/>
          <w:szCs w:val="24"/>
        </w:rPr>
        <w:t>, 2008)</w:t>
      </w:r>
      <w:r>
        <w:rPr>
          <w:rFonts w:cs="Arial"/>
          <w:szCs w:val="24"/>
        </w:rPr>
        <w:t xml:space="preserve">, el manejo de la especie y el tiempo reducido de producción hacen que el conejo sea una alternativa en seguridad alimentaria (SAGARPA, 2015). </w:t>
      </w:r>
      <w:r w:rsidRPr="002E53DB">
        <w:rPr>
          <w:rFonts w:cs="Arial"/>
          <w:szCs w:val="24"/>
        </w:rPr>
        <w:t xml:space="preserve">Además de que no presenta problemas tecnológicos relacionados con la terneza y la capacidad de retención de agua (pálido, suave y exudativo) o de dureza por acortamiento por frío (Schönfeldt </w:t>
      </w:r>
      <w:r w:rsidR="00952B61">
        <w:rPr>
          <w:rFonts w:cs="Arial"/>
          <w:szCs w:val="24"/>
        </w:rPr>
        <w:t>y</w:t>
      </w:r>
      <w:r w:rsidRPr="002E53DB">
        <w:rPr>
          <w:rFonts w:cs="Arial"/>
          <w:szCs w:val="24"/>
        </w:rPr>
        <w:t xml:space="preserve"> Gibson, 2008). </w:t>
      </w:r>
    </w:p>
    <w:p w14:paraId="371CF1AB" w14:textId="77777777" w:rsidR="00F02859" w:rsidRDefault="00F02859">
      <w:pPr>
        <w:spacing w:before="0" w:beforeAutospacing="0" w:after="160" w:afterAutospacing="0"/>
      </w:pPr>
      <w:r>
        <w:br w:type="page"/>
      </w:r>
    </w:p>
    <w:p w14:paraId="1F70D585" w14:textId="7A26875F" w:rsidR="006C2201" w:rsidRPr="00F02859" w:rsidRDefault="006C2201" w:rsidP="00955D11">
      <w:pPr>
        <w:rPr>
          <w:rFonts w:cs="Arial"/>
          <w:b/>
          <w:bCs/>
        </w:rPr>
      </w:pPr>
      <w:r w:rsidRPr="00F02859">
        <w:rPr>
          <w:rFonts w:cs="Arial"/>
          <w:b/>
          <w:bCs/>
        </w:rPr>
        <w:lastRenderedPageBreak/>
        <w:t>3.4 UNIDADES PRODUCTIVAS CUNÍCOLAS DE TRASPATIO</w:t>
      </w:r>
    </w:p>
    <w:p w14:paraId="46BC1380" w14:textId="1622CF02" w:rsidR="006C2201" w:rsidRDefault="006C2201" w:rsidP="00955D11">
      <w:r>
        <w:rPr>
          <w:rFonts w:cs="Arial"/>
        </w:rPr>
        <w:t xml:space="preserve">De acuerdo con la FAO y </w:t>
      </w:r>
      <w:r w:rsidR="00F02859">
        <w:rPr>
          <w:rFonts w:cs="Arial"/>
        </w:rPr>
        <w:t xml:space="preserve">la </w:t>
      </w:r>
      <w:r>
        <w:rPr>
          <w:rFonts w:cs="Arial"/>
        </w:rPr>
        <w:t xml:space="preserve">Secretaria de Agricultura, Ganadería, Desarrollo Rural, Pesca y Alimentación (SAGARPA) (2012), una unidad productiva familiar o de traspatio presenta características particulares como el acceso limitado de tierra y capital, la mano de obra proviene de la familia misma siendo el jefe o jefa de familia </w:t>
      </w:r>
      <w:r w:rsidR="00F02859">
        <w:rPr>
          <w:rFonts w:cs="Arial"/>
        </w:rPr>
        <w:t xml:space="preserve">quien </w:t>
      </w:r>
      <w:r>
        <w:rPr>
          <w:rFonts w:cs="Arial"/>
        </w:rPr>
        <w:t xml:space="preserve">asume responsabilidades de gerente y trabajador al mismo tiempo. En este espacio se realiza de forma integral un manejo agrícola y pecuario, y convergen diferentes especies y subespecies de plantas y animales (Vilain, 2008). </w:t>
      </w:r>
      <w:r>
        <w:t>Tienden a ser espacios en donde el productor tiene la opción de aplicar el conocimiento transmitido por sus antecesores en conjunto con el conocimiento técnico adquirido en cursos especializados, los cuales benefician el sistema de producción.</w:t>
      </w:r>
    </w:p>
    <w:p w14:paraId="3844FA94" w14:textId="77777777" w:rsidR="006C2201" w:rsidRDefault="006C2201" w:rsidP="00955D11">
      <w:pPr>
        <w:rPr>
          <w:rFonts w:cs="Arial"/>
        </w:rPr>
      </w:pPr>
      <w:r>
        <w:t xml:space="preserve">En estos sistemas la elección de cultivos y animales dependerá de los gustos, preferencias y cultura de la familia, las variedades que suelen elegir son la que identifican como mejor adaptadas de acuerdo con el agroecosistema donde se encuentren ubicados geográficamente (Escobar, 2019). Basándose en la adaptación de las especies que reproducen, estas también deberán adecuarse al valor cultural y económico (Gamboa, 2015) otorgado a la especie y que forma parte del crecimiento endógeno. </w:t>
      </w:r>
    </w:p>
    <w:p w14:paraId="494DDAE1" w14:textId="77777777" w:rsidR="006C2201" w:rsidRDefault="006C2201" w:rsidP="00955D11">
      <w:r>
        <w:rPr>
          <w:rFonts w:cs="Arial"/>
        </w:rPr>
        <w:t>Un ejemplo de las unidades productivas de traspatio es l</w:t>
      </w:r>
      <w:r w:rsidRPr="009D5269">
        <w:rPr>
          <w:rFonts w:cs="Arial"/>
        </w:rPr>
        <w:t>a producción cuníc</w:t>
      </w:r>
      <w:r>
        <w:rPr>
          <w:rFonts w:cs="Arial"/>
        </w:rPr>
        <w:t>o</w:t>
      </w:r>
      <w:r w:rsidRPr="009D5269">
        <w:rPr>
          <w:rFonts w:cs="Arial"/>
        </w:rPr>
        <w:t>la</w:t>
      </w:r>
      <w:r>
        <w:rPr>
          <w:rFonts w:cs="Arial"/>
        </w:rPr>
        <w:t>, la cual</w:t>
      </w:r>
      <w:r w:rsidRPr="009D5269">
        <w:rPr>
          <w:rFonts w:cs="Arial"/>
        </w:rPr>
        <w:t xml:space="preserve"> se ha desarrollado como una </w:t>
      </w:r>
      <w:r w:rsidRPr="009D5269">
        <w:t xml:space="preserve">alternativa económica, ya que puede colaborar a los ingresos del hogar pues no requiere de una inversión inicial alta, la mano de obra es barata y la pueden desarrollar individuos pertenecientes a grupos vulnerables, </w:t>
      </w:r>
      <w:r>
        <w:t xml:space="preserve">pueden ser o no campesinas </w:t>
      </w:r>
      <w:r w:rsidRPr="009D5269">
        <w:t>contribuyendo así a la creciente demanda alimentaria poblacional.</w:t>
      </w:r>
      <w:r>
        <w:t xml:space="preserve"> </w:t>
      </w:r>
    </w:p>
    <w:p w14:paraId="4AD2BEC8" w14:textId="77777777" w:rsidR="006C2201" w:rsidRDefault="006C2201" w:rsidP="00955D11">
      <w:r>
        <w:t xml:space="preserve">Es conveniente considerar que las unidades productivas cunícolas de traspatio no están exentas de utilizar antibióticos como promotores de crecimiento con la finalidad de aumentar los parámetros productivos, disminuir los costos de </w:t>
      </w:r>
      <w:r>
        <w:lastRenderedPageBreak/>
        <w:t xml:space="preserve">producción y aumentar los ingresos económicos derivados de la comercialización del conejo. </w:t>
      </w:r>
    </w:p>
    <w:p w14:paraId="11EDDEB8" w14:textId="6A4DCB43" w:rsidR="006C2201" w:rsidRDefault="006C2201" w:rsidP="00955D11">
      <w:r>
        <w:t xml:space="preserve">En respuesta a estas necesidades se han investigado opciones con menos repercusiones en la salud integral del conejo, por lo que se proponen modelos productivos con la inclusión de la herbolaria (tabla </w:t>
      </w:r>
      <w:r w:rsidR="003B2DB1">
        <w:t>5</w:t>
      </w:r>
      <w:r>
        <w:t>) con la finalidad de introducir compuestos bioactivos por medio de la alimentación que pudieran modificar los parámetros productivos y de calidad de carne.</w:t>
      </w:r>
    </w:p>
    <w:p w14:paraId="6D85E712" w14:textId="37269FBB" w:rsidR="006C2201" w:rsidRDefault="006C2201" w:rsidP="006C2201">
      <w:pPr>
        <w:pStyle w:val="Sinespaciado"/>
      </w:pPr>
      <w:r w:rsidRPr="0022066C">
        <w:t xml:space="preserve">Tabla </w:t>
      </w:r>
      <w:r w:rsidR="003B2DB1">
        <w:t>5</w:t>
      </w:r>
      <w:r w:rsidRPr="0022066C">
        <w:t>. Aplicación</w:t>
      </w:r>
      <w:r>
        <w:t xml:space="preserve"> de la herbolaria en modelos de producción de cunícola.</w:t>
      </w:r>
    </w:p>
    <w:tbl>
      <w:tblPr>
        <w:tblStyle w:val="Tablaconcuadrcula"/>
        <w:tblW w:w="0" w:type="auto"/>
        <w:tblLook w:val="04A0" w:firstRow="1" w:lastRow="0" w:firstColumn="1" w:lastColumn="0" w:noHBand="0" w:noVBand="1"/>
      </w:tblPr>
      <w:tblGrid>
        <w:gridCol w:w="1803"/>
        <w:gridCol w:w="1938"/>
        <w:gridCol w:w="932"/>
        <w:gridCol w:w="4155"/>
      </w:tblGrid>
      <w:tr w:rsidR="006C2201" w:rsidRPr="00F02859" w14:paraId="41AF6936" w14:textId="77777777" w:rsidTr="00F02859">
        <w:tc>
          <w:tcPr>
            <w:tcW w:w="1803" w:type="dxa"/>
          </w:tcPr>
          <w:p w14:paraId="44FEA084" w14:textId="77777777" w:rsidR="006C2201" w:rsidRPr="00F02859" w:rsidRDefault="006C2201" w:rsidP="002C71A1">
            <w:pPr>
              <w:rPr>
                <w:b/>
                <w:bCs/>
                <w:szCs w:val="24"/>
              </w:rPr>
            </w:pPr>
            <w:r w:rsidRPr="00F02859">
              <w:rPr>
                <w:b/>
                <w:bCs/>
                <w:szCs w:val="24"/>
              </w:rPr>
              <w:t>Autor (es) y año</w:t>
            </w:r>
          </w:p>
        </w:tc>
        <w:tc>
          <w:tcPr>
            <w:tcW w:w="1938" w:type="dxa"/>
          </w:tcPr>
          <w:p w14:paraId="7760AEE8" w14:textId="77777777" w:rsidR="006C2201" w:rsidRPr="00F02859" w:rsidRDefault="006C2201" w:rsidP="002C71A1">
            <w:pPr>
              <w:jc w:val="left"/>
              <w:rPr>
                <w:b/>
                <w:bCs/>
                <w:szCs w:val="24"/>
              </w:rPr>
            </w:pPr>
            <w:r w:rsidRPr="00F02859">
              <w:rPr>
                <w:b/>
                <w:bCs/>
                <w:szCs w:val="24"/>
              </w:rPr>
              <w:t xml:space="preserve">Herbolaria </w:t>
            </w:r>
          </w:p>
        </w:tc>
        <w:tc>
          <w:tcPr>
            <w:tcW w:w="932" w:type="dxa"/>
          </w:tcPr>
          <w:p w14:paraId="5322FB02" w14:textId="77777777" w:rsidR="006C2201" w:rsidRPr="00F02859" w:rsidRDefault="006C2201" w:rsidP="002C71A1">
            <w:pPr>
              <w:rPr>
                <w:b/>
                <w:bCs/>
                <w:szCs w:val="24"/>
              </w:rPr>
            </w:pPr>
            <w:r w:rsidRPr="00F02859">
              <w:rPr>
                <w:b/>
                <w:bCs/>
                <w:szCs w:val="24"/>
              </w:rPr>
              <w:t xml:space="preserve">Vía </w:t>
            </w:r>
          </w:p>
        </w:tc>
        <w:tc>
          <w:tcPr>
            <w:tcW w:w="4155" w:type="dxa"/>
          </w:tcPr>
          <w:p w14:paraId="000457F8" w14:textId="77777777" w:rsidR="006C2201" w:rsidRPr="00F02859" w:rsidRDefault="006C2201" w:rsidP="002C71A1">
            <w:pPr>
              <w:rPr>
                <w:b/>
                <w:bCs/>
                <w:szCs w:val="24"/>
              </w:rPr>
            </w:pPr>
            <w:r w:rsidRPr="00F02859">
              <w:rPr>
                <w:b/>
                <w:bCs/>
                <w:szCs w:val="24"/>
              </w:rPr>
              <w:t xml:space="preserve">Resultados </w:t>
            </w:r>
          </w:p>
        </w:tc>
      </w:tr>
      <w:tr w:rsidR="006C2201" w:rsidRPr="00F02859" w14:paraId="7892D9F1" w14:textId="77777777" w:rsidTr="00F02859">
        <w:tc>
          <w:tcPr>
            <w:tcW w:w="1803" w:type="dxa"/>
          </w:tcPr>
          <w:p w14:paraId="0164053A" w14:textId="77777777" w:rsidR="006C2201" w:rsidRPr="00F02859" w:rsidRDefault="006C2201" w:rsidP="002C71A1">
            <w:pPr>
              <w:rPr>
                <w:szCs w:val="24"/>
              </w:rPr>
            </w:pPr>
            <w:r w:rsidRPr="00F02859">
              <w:rPr>
                <w:szCs w:val="24"/>
              </w:rPr>
              <w:t>Ayala, Silvana, Zocarrato y Gómez, (2011)</w:t>
            </w:r>
          </w:p>
        </w:tc>
        <w:tc>
          <w:tcPr>
            <w:tcW w:w="1938" w:type="dxa"/>
          </w:tcPr>
          <w:p w14:paraId="752943C8" w14:textId="77777777" w:rsidR="006C2201" w:rsidRPr="00F02859" w:rsidRDefault="006C2201" w:rsidP="002C71A1">
            <w:pPr>
              <w:jc w:val="left"/>
              <w:rPr>
                <w:szCs w:val="24"/>
              </w:rPr>
            </w:pPr>
            <w:r w:rsidRPr="00F02859">
              <w:rPr>
                <w:i/>
                <w:szCs w:val="24"/>
              </w:rPr>
              <w:t>Origanum vulgare</w:t>
            </w:r>
          </w:p>
        </w:tc>
        <w:tc>
          <w:tcPr>
            <w:tcW w:w="932" w:type="dxa"/>
          </w:tcPr>
          <w:p w14:paraId="4B1A34F6" w14:textId="77777777" w:rsidR="006C2201" w:rsidRPr="00F02859" w:rsidRDefault="006C2201" w:rsidP="002C71A1">
            <w:pPr>
              <w:rPr>
                <w:szCs w:val="24"/>
              </w:rPr>
            </w:pPr>
            <w:r w:rsidRPr="00F02859">
              <w:rPr>
                <w:szCs w:val="24"/>
              </w:rPr>
              <w:t xml:space="preserve">Oral </w:t>
            </w:r>
          </w:p>
        </w:tc>
        <w:tc>
          <w:tcPr>
            <w:tcW w:w="4155" w:type="dxa"/>
          </w:tcPr>
          <w:p w14:paraId="476E968F" w14:textId="77777777" w:rsidR="006C2201" w:rsidRPr="00F02859" w:rsidRDefault="006C2201" w:rsidP="002C71A1">
            <w:pPr>
              <w:rPr>
                <w:szCs w:val="24"/>
              </w:rPr>
            </w:pPr>
            <w:r w:rsidRPr="00F02859">
              <w:rPr>
                <w:szCs w:val="24"/>
              </w:rPr>
              <w:t>Mejora en el comportamiento productivo</w:t>
            </w:r>
          </w:p>
        </w:tc>
      </w:tr>
      <w:tr w:rsidR="006C2201" w:rsidRPr="00F02859" w14:paraId="168A070D" w14:textId="77777777" w:rsidTr="00F02859">
        <w:tc>
          <w:tcPr>
            <w:tcW w:w="1803" w:type="dxa"/>
          </w:tcPr>
          <w:p w14:paraId="34BFE544" w14:textId="77777777" w:rsidR="006C2201" w:rsidRPr="00F02859" w:rsidRDefault="006C2201" w:rsidP="002C71A1">
            <w:pPr>
              <w:rPr>
                <w:szCs w:val="24"/>
              </w:rPr>
            </w:pPr>
            <w:r w:rsidRPr="00F02859">
              <w:rPr>
                <w:rFonts w:cs="Arial"/>
                <w:szCs w:val="24"/>
              </w:rPr>
              <w:t>Trebušak, Levart, Salobir y Pirman, (2014)</w:t>
            </w:r>
          </w:p>
        </w:tc>
        <w:tc>
          <w:tcPr>
            <w:tcW w:w="1938" w:type="dxa"/>
          </w:tcPr>
          <w:p w14:paraId="40CB3F24" w14:textId="77777777" w:rsidR="006C2201" w:rsidRPr="00F02859" w:rsidRDefault="006C2201" w:rsidP="002C71A1">
            <w:pPr>
              <w:jc w:val="left"/>
              <w:rPr>
                <w:szCs w:val="24"/>
              </w:rPr>
            </w:pPr>
            <w:r w:rsidRPr="00F02859">
              <w:rPr>
                <w:rFonts w:cs="Arial"/>
                <w:szCs w:val="24"/>
              </w:rPr>
              <w:t>Para fortificar con ácidos grasos n-3 usaron aceite de linaza y aceite de palma</w:t>
            </w:r>
          </w:p>
        </w:tc>
        <w:tc>
          <w:tcPr>
            <w:tcW w:w="932" w:type="dxa"/>
          </w:tcPr>
          <w:p w14:paraId="50420EF6" w14:textId="77777777" w:rsidR="006C2201" w:rsidRPr="00F02859" w:rsidRDefault="006C2201" w:rsidP="002C71A1">
            <w:pPr>
              <w:rPr>
                <w:szCs w:val="24"/>
              </w:rPr>
            </w:pPr>
            <w:r w:rsidRPr="00F02859">
              <w:rPr>
                <w:szCs w:val="24"/>
              </w:rPr>
              <w:t>Oral</w:t>
            </w:r>
          </w:p>
        </w:tc>
        <w:tc>
          <w:tcPr>
            <w:tcW w:w="4155" w:type="dxa"/>
          </w:tcPr>
          <w:p w14:paraId="1144C6C4" w14:textId="77777777" w:rsidR="006C2201" w:rsidRPr="00F02859" w:rsidRDefault="006C2201" w:rsidP="002C71A1">
            <w:pPr>
              <w:rPr>
                <w:szCs w:val="24"/>
              </w:rPr>
            </w:pPr>
            <w:r w:rsidRPr="00F02859">
              <w:rPr>
                <w:rFonts w:cs="Arial"/>
                <w:szCs w:val="24"/>
              </w:rPr>
              <w:t>La adición de aceite de linaza mejoró la composición de ácidos grasos aumentando la proporción de ácidos grasos poliinsaturados, disminuyendo la proporción de ácidos grasos saturados y reduciendo la relación n-6/n-3</w:t>
            </w:r>
          </w:p>
        </w:tc>
      </w:tr>
      <w:tr w:rsidR="006C2201" w:rsidRPr="00F02859" w14:paraId="41D97502" w14:textId="77777777" w:rsidTr="00F02859">
        <w:tc>
          <w:tcPr>
            <w:tcW w:w="1803" w:type="dxa"/>
          </w:tcPr>
          <w:p w14:paraId="483D39E4" w14:textId="77777777" w:rsidR="006C2201" w:rsidRPr="00F02859" w:rsidRDefault="006C2201" w:rsidP="002C71A1">
            <w:pPr>
              <w:rPr>
                <w:rFonts w:cs="Arial"/>
                <w:szCs w:val="24"/>
              </w:rPr>
            </w:pPr>
            <w:r w:rsidRPr="00F02859">
              <w:rPr>
                <w:rFonts w:cs="Arial"/>
                <w:szCs w:val="24"/>
              </w:rPr>
              <w:t>Peiretti, Gai, Rotolo Brugiapaglia y Gasco, (2013)</w:t>
            </w:r>
          </w:p>
        </w:tc>
        <w:tc>
          <w:tcPr>
            <w:tcW w:w="1938" w:type="dxa"/>
          </w:tcPr>
          <w:p w14:paraId="6FE2B432" w14:textId="77777777" w:rsidR="006C2201" w:rsidRPr="00F02859" w:rsidRDefault="006C2201" w:rsidP="002C71A1">
            <w:pPr>
              <w:jc w:val="left"/>
              <w:rPr>
                <w:rFonts w:cs="Arial"/>
                <w:szCs w:val="24"/>
              </w:rPr>
            </w:pPr>
            <w:r w:rsidRPr="00F02859">
              <w:rPr>
                <w:rFonts w:cs="Arial"/>
                <w:szCs w:val="24"/>
              </w:rPr>
              <w:t xml:space="preserve">Pulpa de </w:t>
            </w:r>
            <w:r w:rsidRPr="00F02859">
              <w:rPr>
                <w:rFonts w:cs="Arial"/>
                <w:i/>
                <w:szCs w:val="24"/>
              </w:rPr>
              <w:t>Solanum lycopersicum</w:t>
            </w:r>
          </w:p>
        </w:tc>
        <w:tc>
          <w:tcPr>
            <w:tcW w:w="932" w:type="dxa"/>
          </w:tcPr>
          <w:p w14:paraId="6727D03B" w14:textId="77777777" w:rsidR="006C2201" w:rsidRPr="00F02859" w:rsidRDefault="006C2201" w:rsidP="002C71A1">
            <w:pPr>
              <w:rPr>
                <w:szCs w:val="24"/>
              </w:rPr>
            </w:pPr>
            <w:r w:rsidRPr="00F02859">
              <w:rPr>
                <w:szCs w:val="24"/>
              </w:rPr>
              <w:t>Oral</w:t>
            </w:r>
          </w:p>
        </w:tc>
        <w:tc>
          <w:tcPr>
            <w:tcW w:w="4155" w:type="dxa"/>
          </w:tcPr>
          <w:p w14:paraId="7D6C6130" w14:textId="77777777" w:rsidR="006C2201" w:rsidRPr="00F02859" w:rsidRDefault="006C2201" w:rsidP="002C71A1">
            <w:pPr>
              <w:rPr>
                <w:rFonts w:cs="Arial"/>
                <w:szCs w:val="24"/>
              </w:rPr>
            </w:pPr>
            <w:r w:rsidRPr="00F02859">
              <w:rPr>
                <w:rFonts w:cs="Arial"/>
                <w:szCs w:val="24"/>
              </w:rPr>
              <w:t>Con la concentración del 6% podría influir positivamente en la preferencia general de la carne cocida</w:t>
            </w:r>
          </w:p>
        </w:tc>
      </w:tr>
      <w:tr w:rsidR="006C2201" w:rsidRPr="00F02859" w14:paraId="6256E9D3" w14:textId="77777777" w:rsidTr="00F02859">
        <w:tc>
          <w:tcPr>
            <w:tcW w:w="1803" w:type="dxa"/>
          </w:tcPr>
          <w:p w14:paraId="4E6AB042" w14:textId="77777777" w:rsidR="006C2201" w:rsidRPr="00F02859" w:rsidRDefault="006C2201" w:rsidP="002C71A1">
            <w:pPr>
              <w:rPr>
                <w:rFonts w:cs="Arial"/>
                <w:szCs w:val="24"/>
              </w:rPr>
            </w:pPr>
            <w:r w:rsidRPr="00F02859">
              <w:rPr>
                <w:rFonts w:cs="Arial"/>
                <w:szCs w:val="24"/>
              </w:rPr>
              <w:t xml:space="preserve">Oso </w:t>
            </w:r>
            <w:r w:rsidRPr="00F02859">
              <w:rPr>
                <w:i/>
                <w:color w:val="000000"/>
                <w:szCs w:val="24"/>
              </w:rPr>
              <w:t>et al.</w:t>
            </w:r>
            <w:r w:rsidRPr="00F02859">
              <w:rPr>
                <w:rFonts w:cs="Arial"/>
                <w:szCs w:val="24"/>
              </w:rPr>
              <w:t xml:space="preserve"> (2013)</w:t>
            </w:r>
          </w:p>
        </w:tc>
        <w:tc>
          <w:tcPr>
            <w:tcW w:w="1938" w:type="dxa"/>
          </w:tcPr>
          <w:p w14:paraId="6DF8A858" w14:textId="77777777" w:rsidR="006C2201" w:rsidRPr="00F02859" w:rsidRDefault="006C2201" w:rsidP="002C71A1">
            <w:pPr>
              <w:jc w:val="left"/>
              <w:rPr>
                <w:rFonts w:cs="Arial"/>
                <w:szCs w:val="24"/>
              </w:rPr>
            </w:pPr>
            <w:r w:rsidRPr="00F02859">
              <w:rPr>
                <w:rFonts w:cs="Arial"/>
                <w:szCs w:val="24"/>
              </w:rPr>
              <w:t>Inclusión dietética de prebióticos</w:t>
            </w:r>
          </w:p>
        </w:tc>
        <w:tc>
          <w:tcPr>
            <w:tcW w:w="932" w:type="dxa"/>
          </w:tcPr>
          <w:p w14:paraId="775F2609" w14:textId="77777777" w:rsidR="006C2201" w:rsidRPr="00F02859" w:rsidRDefault="006C2201" w:rsidP="002C71A1">
            <w:pPr>
              <w:rPr>
                <w:szCs w:val="24"/>
              </w:rPr>
            </w:pPr>
            <w:r w:rsidRPr="00F02859">
              <w:rPr>
                <w:szCs w:val="24"/>
              </w:rPr>
              <w:t>Oral</w:t>
            </w:r>
          </w:p>
        </w:tc>
        <w:tc>
          <w:tcPr>
            <w:tcW w:w="4155" w:type="dxa"/>
          </w:tcPr>
          <w:p w14:paraId="18432108" w14:textId="77777777" w:rsidR="006C2201" w:rsidRPr="00F02859" w:rsidRDefault="006C2201" w:rsidP="002C71A1">
            <w:pPr>
              <w:rPr>
                <w:rFonts w:cs="Arial"/>
                <w:szCs w:val="24"/>
              </w:rPr>
            </w:pPr>
            <w:r w:rsidRPr="00F02859">
              <w:rPr>
                <w:rFonts w:cs="Arial"/>
                <w:szCs w:val="24"/>
              </w:rPr>
              <w:t xml:space="preserve">Peso vivo final más alto, concentración de ácido graso volátil total y recuento reducido del </w:t>
            </w:r>
            <w:r w:rsidRPr="00F02859">
              <w:rPr>
                <w:rFonts w:cs="Arial"/>
                <w:i/>
                <w:szCs w:val="24"/>
              </w:rPr>
              <w:t>Lactobacillus</w:t>
            </w:r>
            <w:r w:rsidRPr="00F02859">
              <w:rPr>
                <w:rFonts w:cs="Arial"/>
                <w:szCs w:val="24"/>
              </w:rPr>
              <w:t xml:space="preserve"> del cecal</w:t>
            </w:r>
          </w:p>
        </w:tc>
      </w:tr>
      <w:tr w:rsidR="006C2201" w:rsidRPr="00F02859" w14:paraId="77BEE8AF" w14:textId="77777777" w:rsidTr="00F02859">
        <w:tc>
          <w:tcPr>
            <w:tcW w:w="1803" w:type="dxa"/>
          </w:tcPr>
          <w:p w14:paraId="3B552D27" w14:textId="77777777" w:rsidR="006C2201" w:rsidRPr="00F02859" w:rsidRDefault="006C2201" w:rsidP="002C71A1">
            <w:pPr>
              <w:rPr>
                <w:rFonts w:cs="Arial"/>
                <w:szCs w:val="24"/>
              </w:rPr>
            </w:pPr>
            <w:r w:rsidRPr="00F02859">
              <w:rPr>
                <w:rFonts w:cs="Arial"/>
                <w:szCs w:val="24"/>
              </w:rPr>
              <w:t>Omer, Ibrahim, Abedo y Ali, (2013)</w:t>
            </w:r>
          </w:p>
        </w:tc>
        <w:tc>
          <w:tcPr>
            <w:tcW w:w="1938" w:type="dxa"/>
          </w:tcPr>
          <w:p w14:paraId="4DB2016A" w14:textId="77777777" w:rsidR="006C2201" w:rsidRPr="00F02859" w:rsidRDefault="006C2201" w:rsidP="002C71A1">
            <w:pPr>
              <w:jc w:val="left"/>
              <w:rPr>
                <w:rFonts w:cs="Arial"/>
                <w:szCs w:val="24"/>
              </w:rPr>
            </w:pPr>
            <w:r w:rsidRPr="00F02859">
              <w:rPr>
                <w:rFonts w:cs="Arial"/>
                <w:szCs w:val="24"/>
              </w:rPr>
              <w:t>Mezcla herbal semillas de Foeniculum vulgare (0.5%) y hojas de Origanum vulgare (2%)</w:t>
            </w:r>
          </w:p>
        </w:tc>
        <w:tc>
          <w:tcPr>
            <w:tcW w:w="932" w:type="dxa"/>
          </w:tcPr>
          <w:p w14:paraId="40ED2DF4" w14:textId="77777777" w:rsidR="006C2201" w:rsidRPr="00F02859" w:rsidRDefault="006C2201" w:rsidP="002C71A1">
            <w:pPr>
              <w:rPr>
                <w:szCs w:val="24"/>
              </w:rPr>
            </w:pPr>
            <w:r w:rsidRPr="00F02859">
              <w:rPr>
                <w:szCs w:val="24"/>
              </w:rPr>
              <w:t>Oral</w:t>
            </w:r>
          </w:p>
        </w:tc>
        <w:tc>
          <w:tcPr>
            <w:tcW w:w="4155" w:type="dxa"/>
          </w:tcPr>
          <w:p w14:paraId="6608B970" w14:textId="77777777" w:rsidR="006C2201" w:rsidRPr="00F02859" w:rsidRDefault="006C2201" w:rsidP="002C71A1">
            <w:pPr>
              <w:rPr>
                <w:rFonts w:cs="Arial"/>
                <w:szCs w:val="24"/>
              </w:rPr>
            </w:pPr>
            <w:r w:rsidRPr="00F02859">
              <w:rPr>
                <w:rFonts w:cs="Arial"/>
                <w:szCs w:val="24"/>
              </w:rPr>
              <w:t>Los coeficientes de digestibilidad de nutrientes como los valores nutritivos, así como el valor más alto de la eficiencia económica relativa y el valor reducido de la alimentación costo/kg de peso corporal vivo</w:t>
            </w:r>
          </w:p>
        </w:tc>
      </w:tr>
      <w:tr w:rsidR="006C2201" w:rsidRPr="00F02859" w14:paraId="591F34A7" w14:textId="77777777" w:rsidTr="00F02859">
        <w:tc>
          <w:tcPr>
            <w:tcW w:w="1803" w:type="dxa"/>
          </w:tcPr>
          <w:p w14:paraId="71F16A19" w14:textId="77777777" w:rsidR="006C2201" w:rsidRPr="00F02859" w:rsidRDefault="006C2201" w:rsidP="002C71A1">
            <w:pPr>
              <w:rPr>
                <w:rFonts w:cs="Arial"/>
                <w:szCs w:val="24"/>
              </w:rPr>
            </w:pPr>
            <w:r w:rsidRPr="00F02859">
              <w:rPr>
                <w:rFonts w:cs="Arial"/>
                <w:szCs w:val="24"/>
              </w:rPr>
              <w:t>Palma y Hurtado, (2010)</w:t>
            </w:r>
          </w:p>
        </w:tc>
        <w:tc>
          <w:tcPr>
            <w:tcW w:w="1938" w:type="dxa"/>
          </w:tcPr>
          <w:p w14:paraId="558029E8" w14:textId="77777777" w:rsidR="006C2201" w:rsidRPr="00F02859" w:rsidRDefault="006C2201" w:rsidP="002C71A1">
            <w:pPr>
              <w:jc w:val="left"/>
              <w:rPr>
                <w:rFonts w:cs="Arial"/>
                <w:szCs w:val="24"/>
              </w:rPr>
            </w:pPr>
            <w:r w:rsidRPr="00F02859">
              <w:rPr>
                <w:rFonts w:cs="Arial"/>
                <w:i/>
                <w:szCs w:val="24"/>
              </w:rPr>
              <w:t>Mangifera indica</w:t>
            </w:r>
          </w:p>
        </w:tc>
        <w:tc>
          <w:tcPr>
            <w:tcW w:w="932" w:type="dxa"/>
          </w:tcPr>
          <w:p w14:paraId="30D4879E" w14:textId="77777777" w:rsidR="006C2201" w:rsidRPr="00F02859" w:rsidRDefault="006C2201" w:rsidP="002C71A1">
            <w:pPr>
              <w:rPr>
                <w:szCs w:val="24"/>
              </w:rPr>
            </w:pPr>
            <w:r w:rsidRPr="00F02859">
              <w:rPr>
                <w:szCs w:val="24"/>
              </w:rPr>
              <w:t>Oral</w:t>
            </w:r>
          </w:p>
        </w:tc>
        <w:tc>
          <w:tcPr>
            <w:tcW w:w="4155" w:type="dxa"/>
          </w:tcPr>
          <w:p w14:paraId="6463862C" w14:textId="77777777" w:rsidR="006C2201" w:rsidRPr="00F02859" w:rsidRDefault="006C2201" w:rsidP="002C71A1">
            <w:pPr>
              <w:rPr>
                <w:rFonts w:cs="Arial"/>
                <w:szCs w:val="24"/>
              </w:rPr>
            </w:pPr>
            <w:r w:rsidRPr="00F02859">
              <w:rPr>
                <w:rFonts w:cs="Arial"/>
                <w:szCs w:val="24"/>
              </w:rPr>
              <w:t>Reducción en los gastos de alimentación en la producción</w:t>
            </w:r>
          </w:p>
        </w:tc>
      </w:tr>
    </w:tbl>
    <w:p w14:paraId="6C49CB61" w14:textId="2EA6E14E" w:rsidR="00F02859" w:rsidRDefault="00F02859" w:rsidP="00F02859">
      <w:pPr>
        <w:pStyle w:val="Sinespaciado"/>
      </w:pPr>
    </w:p>
    <w:p w14:paraId="660C4512" w14:textId="4BF4C17C" w:rsidR="00F02859" w:rsidRDefault="00F02859" w:rsidP="00F02859">
      <w:pPr>
        <w:pStyle w:val="Sinespaciado"/>
        <w:spacing w:after="240"/>
      </w:pPr>
      <w:r>
        <w:lastRenderedPageBreak/>
        <w:t xml:space="preserve">Continuación </w:t>
      </w:r>
      <w:r w:rsidRPr="0022066C">
        <w:t xml:space="preserve">Tabla </w:t>
      </w:r>
      <w:r w:rsidR="003B2DB1">
        <w:t>5</w:t>
      </w:r>
      <w:r w:rsidRPr="0022066C">
        <w:t>. Aplicación</w:t>
      </w:r>
      <w:r>
        <w:t xml:space="preserve"> de la herbolaria en modelos de producción de cunícola.</w:t>
      </w:r>
    </w:p>
    <w:tbl>
      <w:tblPr>
        <w:tblStyle w:val="Tablaconcuadrcula"/>
        <w:tblW w:w="0" w:type="auto"/>
        <w:tblLook w:val="04A0" w:firstRow="1" w:lastRow="0" w:firstColumn="1" w:lastColumn="0" w:noHBand="0" w:noVBand="1"/>
      </w:tblPr>
      <w:tblGrid>
        <w:gridCol w:w="1803"/>
        <w:gridCol w:w="1938"/>
        <w:gridCol w:w="932"/>
        <w:gridCol w:w="4155"/>
      </w:tblGrid>
      <w:tr w:rsidR="006C2201" w:rsidRPr="00F02859" w14:paraId="0E020757" w14:textId="77777777" w:rsidTr="00F02859">
        <w:tc>
          <w:tcPr>
            <w:tcW w:w="1803" w:type="dxa"/>
          </w:tcPr>
          <w:p w14:paraId="1D33CF60" w14:textId="77777777" w:rsidR="006C2201" w:rsidRPr="00F02859" w:rsidRDefault="006C2201" w:rsidP="002C71A1">
            <w:pPr>
              <w:rPr>
                <w:rFonts w:cs="Arial"/>
                <w:szCs w:val="24"/>
                <w:highlight w:val="yellow"/>
              </w:rPr>
            </w:pPr>
            <w:r w:rsidRPr="00F02859">
              <w:rPr>
                <w:rFonts w:cs="Arial"/>
                <w:szCs w:val="24"/>
              </w:rPr>
              <w:t xml:space="preserve">Nieves </w:t>
            </w:r>
            <w:r w:rsidRPr="00F02859">
              <w:rPr>
                <w:i/>
                <w:color w:val="000000"/>
                <w:szCs w:val="24"/>
              </w:rPr>
              <w:t>et al.</w:t>
            </w:r>
            <w:r w:rsidRPr="00F02859">
              <w:rPr>
                <w:rFonts w:cs="Arial"/>
                <w:szCs w:val="24"/>
              </w:rPr>
              <w:t xml:space="preserve"> (2001)</w:t>
            </w:r>
          </w:p>
        </w:tc>
        <w:tc>
          <w:tcPr>
            <w:tcW w:w="1938" w:type="dxa"/>
          </w:tcPr>
          <w:p w14:paraId="67A74E25" w14:textId="77777777" w:rsidR="006C2201" w:rsidRPr="00F02859" w:rsidRDefault="006C2201" w:rsidP="002C71A1">
            <w:pPr>
              <w:jc w:val="left"/>
              <w:rPr>
                <w:rFonts w:cs="Arial"/>
                <w:szCs w:val="24"/>
              </w:rPr>
            </w:pPr>
            <w:r w:rsidRPr="00F02859">
              <w:rPr>
                <w:rFonts w:cs="Arial"/>
                <w:szCs w:val="24"/>
              </w:rPr>
              <w:t xml:space="preserve">Materias primas no convencionales, </w:t>
            </w:r>
            <w:r w:rsidRPr="00F02859">
              <w:rPr>
                <w:i/>
                <w:szCs w:val="24"/>
              </w:rPr>
              <w:t>Leucaena lewocephala</w:t>
            </w:r>
            <w:r w:rsidRPr="00F02859">
              <w:rPr>
                <w:szCs w:val="24"/>
              </w:rPr>
              <w:t xml:space="preserve">; </w:t>
            </w:r>
            <w:r w:rsidRPr="00F02859">
              <w:rPr>
                <w:i/>
                <w:szCs w:val="24"/>
              </w:rPr>
              <w:t>Arachis pintoi</w:t>
            </w:r>
            <w:r w:rsidRPr="00F02859">
              <w:rPr>
                <w:szCs w:val="24"/>
              </w:rPr>
              <w:t xml:space="preserve">, </w:t>
            </w:r>
            <w:r w:rsidRPr="00F02859">
              <w:rPr>
                <w:i/>
                <w:szCs w:val="24"/>
              </w:rPr>
              <w:t>Phaseolus mango</w:t>
            </w:r>
            <w:r w:rsidRPr="00F02859">
              <w:rPr>
                <w:szCs w:val="24"/>
              </w:rPr>
              <w:t xml:space="preserve"> y harina de lombriz</w:t>
            </w:r>
            <w:r w:rsidRPr="00F02859">
              <w:rPr>
                <w:rFonts w:cs="Arial"/>
                <w:szCs w:val="24"/>
              </w:rPr>
              <w:t xml:space="preserve"> </w:t>
            </w:r>
          </w:p>
        </w:tc>
        <w:tc>
          <w:tcPr>
            <w:tcW w:w="932" w:type="dxa"/>
          </w:tcPr>
          <w:p w14:paraId="186DCB18" w14:textId="77777777" w:rsidR="006C2201" w:rsidRPr="00F02859" w:rsidRDefault="006C2201" w:rsidP="002C71A1">
            <w:pPr>
              <w:rPr>
                <w:szCs w:val="24"/>
              </w:rPr>
            </w:pPr>
            <w:r w:rsidRPr="00F02859">
              <w:rPr>
                <w:szCs w:val="24"/>
              </w:rPr>
              <w:t>Oral</w:t>
            </w:r>
          </w:p>
        </w:tc>
        <w:tc>
          <w:tcPr>
            <w:tcW w:w="4155" w:type="dxa"/>
          </w:tcPr>
          <w:p w14:paraId="47150F8A" w14:textId="77777777" w:rsidR="006C2201" w:rsidRPr="00F02859" w:rsidRDefault="006C2201" w:rsidP="002C71A1">
            <w:pPr>
              <w:rPr>
                <w:rFonts w:cs="Arial"/>
                <w:szCs w:val="24"/>
              </w:rPr>
            </w:pPr>
            <w:r w:rsidRPr="00F02859">
              <w:rPr>
                <w:szCs w:val="24"/>
              </w:rPr>
              <w:t>Se observó un incremento en la ganancia monetaria en función del costo de alimentación, con menor ganancia diaria de peso y conversión de alimento</w:t>
            </w:r>
          </w:p>
        </w:tc>
      </w:tr>
      <w:tr w:rsidR="006C2201" w:rsidRPr="00F02859" w14:paraId="1E36FCBE" w14:textId="77777777" w:rsidTr="00F02859">
        <w:tc>
          <w:tcPr>
            <w:tcW w:w="1803" w:type="dxa"/>
          </w:tcPr>
          <w:p w14:paraId="7EE03EC9" w14:textId="77777777" w:rsidR="006C2201" w:rsidRPr="00F02859" w:rsidRDefault="006C2201" w:rsidP="002C71A1">
            <w:pPr>
              <w:rPr>
                <w:rFonts w:cs="Arial"/>
                <w:szCs w:val="24"/>
              </w:rPr>
            </w:pPr>
            <w:r w:rsidRPr="00F02859">
              <w:rPr>
                <w:rFonts w:cs="Arial"/>
                <w:szCs w:val="24"/>
              </w:rPr>
              <w:t>Arredondo, Espinosa y Márquez, (2012)</w:t>
            </w:r>
          </w:p>
        </w:tc>
        <w:tc>
          <w:tcPr>
            <w:tcW w:w="1938" w:type="dxa"/>
          </w:tcPr>
          <w:p w14:paraId="7BD5AF55" w14:textId="77777777" w:rsidR="006C2201" w:rsidRPr="00F02859" w:rsidRDefault="006C2201" w:rsidP="002C71A1">
            <w:pPr>
              <w:jc w:val="left"/>
              <w:rPr>
                <w:rFonts w:cs="Arial"/>
                <w:szCs w:val="24"/>
              </w:rPr>
            </w:pPr>
            <w:r w:rsidRPr="00F02859">
              <w:rPr>
                <w:rFonts w:cs="Arial"/>
                <w:i/>
                <w:szCs w:val="24"/>
              </w:rPr>
              <w:t>Erythrina coralloides</w:t>
            </w:r>
          </w:p>
        </w:tc>
        <w:tc>
          <w:tcPr>
            <w:tcW w:w="932" w:type="dxa"/>
          </w:tcPr>
          <w:p w14:paraId="4FB45C12" w14:textId="77777777" w:rsidR="006C2201" w:rsidRPr="00F02859" w:rsidRDefault="006C2201" w:rsidP="002C71A1">
            <w:pPr>
              <w:rPr>
                <w:szCs w:val="24"/>
              </w:rPr>
            </w:pPr>
            <w:r w:rsidRPr="00F02859">
              <w:rPr>
                <w:szCs w:val="24"/>
              </w:rPr>
              <w:t>Oral</w:t>
            </w:r>
          </w:p>
        </w:tc>
        <w:tc>
          <w:tcPr>
            <w:tcW w:w="4155" w:type="dxa"/>
          </w:tcPr>
          <w:p w14:paraId="553CF2AF" w14:textId="77777777" w:rsidR="006C2201" w:rsidRPr="00F02859" w:rsidRDefault="006C2201" w:rsidP="002C71A1">
            <w:pPr>
              <w:rPr>
                <w:rFonts w:cs="Arial"/>
                <w:szCs w:val="24"/>
              </w:rPr>
            </w:pPr>
            <w:r w:rsidRPr="00F02859">
              <w:rPr>
                <w:rFonts w:cs="Arial"/>
                <w:szCs w:val="24"/>
              </w:rPr>
              <w:t>No observaron diferencias en la ganancia de peso ni en la ganancia diaria de peso, pero si una disminución en los costos de producción</w:t>
            </w:r>
          </w:p>
        </w:tc>
      </w:tr>
      <w:tr w:rsidR="006C2201" w:rsidRPr="00F02859" w14:paraId="54D4EDD9" w14:textId="77777777" w:rsidTr="00F02859">
        <w:tc>
          <w:tcPr>
            <w:tcW w:w="1803" w:type="dxa"/>
          </w:tcPr>
          <w:p w14:paraId="3E8ABE58" w14:textId="743229FD" w:rsidR="006C2201" w:rsidRPr="00F02859" w:rsidRDefault="006C2201" w:rsidP="002C71A1">
            <w:pPr>
              <w:rPr>
                <w:rFonts w:cs="Arial"/>
                <w:szCs w:val="24"/>
              </w:rPr>
            </w:pPr>
            <w:bookmarkStart w:id="15" w:name="_Hlk61813174"/>
            <w:r w:rsidRPr="00F02859">
              <w:rPr>
                <w:rFonts w:cs="Arial"/>
                <w:szCs w:val="24"/>
              </w:rPr>
              <w:t>Mireles-Arriaga, Hernández-García, Espinosa-Ayala, López-Martínez y Márquez-Molina, (2015)</w:t>
            </w:r>
            <w:bookmarkEnd w:id="15"/>
          </w:p>
        </w:tc>
        <w:tc>
          <w:tcPr>
            <w:tcW w:w="1938" w:type="dxa"/>
          </w:tcPr>
          <w:p w14:paraId="6BB50E15" w14:textId="77777777" w:rsidR="006C2201" w:rsidRPr="00F02859" w:rsidRDefault="006C2201" w:rsidP="002C71A1">
            <w:pPr>
              <w:jc w:val="left"/>
              <w:rPr>
                <w:rFonts w:cs="Arial"/>
                <w:i/>
                <w:szCs w:val="24"/>
              </w:rPr>
            </w:pPr>
            <w:r w:rsidRPr="00F02859">
              <w:rPr>
                <w:rFonts w:cs="Arial"/>
                <w:iCs/>
                <w:szCs w:val="24"/>
              </w:rPr>
              <w:t>Noni</w:t>
            </w:r>
            <w:r w:rsidRPr="00F02859">
              <w:rPr>
                <w:rFonts w:cs="Arial"/>
                <w:i/>
                <w:szCs w:val="24"/>
              </w:rPr>
              <w:t xml:space="preserve"> (Morinda citrifolia </w:t>
            </w:r>
            <w:r w:rsidRPr="00F02859">
              <w:rPr>
                <w:rFonts w:cs="Arial"/>
                <w:iCs/>
                <w:szCs w:val="24"/>
              </w:rPr>
              <w:t>L</w:t>
            </w:r>
            <w:r w:rsidRPr="00F02859">
              <w:rPr>
                <w:rFonts w:cs="Arial"/>
                <w:i/>
                <w:szCs w:val="24"/>
              </w:rPr>
              <w:t>)</w:t>
            </w:r>
          </w:p>
        </w:tc>
        <w:tc>
          <w:tcPr>
            <w:tcW w:w="932" w:type="dxa"/>
          </w:tcPr>
          <w:p w14:paraId="1BEA2CD9" w14:textId="77777777" w:rsidR="006C2201" w:rsidRPr="00F02859" w:rsidRDefault="006C2201" w:rsidP="002C71A1">
            <w:pPr>
              <w:rPr>
                <w:szCs w:val="24"/>
              </w:rPr>
            </w:pPr>
            <w:r w:rsidRPr="00F02859">
              <w:rPr>
                <w:szCs w:val="24"/>
              </w:rPr>
              <w:t>Oral</w:t>
            </w:r>
          </w:p>
        </w:tc>
        <w:tc>
          <w:tcPr>
            <w:tcW w:w="4155" w:type="dxa"/>
          </w:tcPr>
          <w:p w14:paraId="01C745FF" w14:textId="77777777" w:rsidR="006C2201" w:rsidRPr="00F02859" w:rsidRDefault="006C2201" w:rsidP="002C71A1">
            <w:pPr>
              <w:rPr>
                <w:rFonts w:cs="Arial"/>
                <w:szCs w:val="24"/>
              </w:rPr>
            </w:pPr>
            <w:r w:rsidRPr="00F02859">
              <w:rPr>
                <w:rFonts w:cs="Arial"/>
                <w:szCs w:val="24"/>
              </w:rPr>
              <w:t>Hubo una disminución en la oxidación lipídica por el potencial antioxidante del fruto de noni.</w:t>
            </w:r>
          </w:p>
        </w:tc>
      </w:tr>
      <w:tr w:rsidR="006C2201" w:rsidRPr="00F02859" w14:paraId="3F77A6BD" w14:textId="77777777" w:rsidTr="00F02859">
        <w:tc>
          <w:tcPr>
            <w:tcW w:w="1803" w:type="dxa"/>
          </w:tcPr>
          <w:p w14:paraId="07B5901B" w14:textId="77777777" w:rsidR="006C2201" w:rsidRPr="00F02859" w:rsidRDefault="006C2201" w:rsidP="002C71A1">
            <w:pPr>
              <w:rPr>
                <w:rFonts w:cs="Arial"/>
                <w:szCs w:val="24"/>
              </w:rPr>
            </w:pPr>
            <w:r w:rsidRPr="00F02859">
              <w:rPr>
                <w:rFonts w:cs="Arial"/>
                <w:szCs w:val="24"/>
              </w:rPr>
              <w:t>Jaurez, Espinosa, Hernández, Márquez, Tapia y Mireles, (2017)</w:t>
            </w:r>
          </w:p>
        </w:tc>
        <w:tc>
          <w:tcPr>
            <w:tcW w:w="1938" w:type="dxa"/>
          </w:tcPr>
          <w:p w14:paraId="5B65FFFF" w14:textId="77777777" w:rsidR="006C2201" w:rsidRPr="00F02859" w:rsidRDefault="006C2201" w:rsidP="002C71A1">
            <w:pPr>
              <w:jc w:val="left"/>
              <w:rPr>
                <w:rFonts w:cs="Arial"/>
                <w:i/>
                <w:szCs w:val="24"/>
              </w:rPr>
            </w:pPr>
            <w:r w:rsidRPr="00F02859">
              <w:rPr>
                <w:rFonts w:cs="Arial"/>
                <w:iCs/>
                <w:szCs w:val="24"/>
              </w:rPr>
              <w:t>Romero</w:t>
            </w:r>
            <w:r w:rsidRPr="00F02859">
              <w:rPr>
                <w:rFonts w:cs="Arial"/>
                <w:i/>
                <w:szCs w:val="24"/>
              </w:rPr>
              <w:t xml:space="preserve"> (Rosmarinus officinalis L.) </w:t>
            </w:r>
            <w:r w:rsidRPr="00F02859">
              <w:rPr>
                <w:rFonts w:cs="Arial"/>
                <w:iCs/>
                <w:szCs w:val="24"/>
              </w:rPr>
              <w:t>y tomillo</w:t>
            </w:r>
            <w:r w:rsidRPr="00F02859">
              <w:rPr>
                <w:rFonts w:cs="Arial"/>
                <w:i/>
                <w:szCs w:val="24"/>
              </w:rPr>
              <w:t xml:space="preserve"> (Thymus vulgaris)</w:t>
            </w:r>
          </w:p>
        </w:tc>
        <w:tc>
          <w:tcPr>
            <w:tcW w:w="932" w:type="dxa"/>
          </w:tcPr>
          <w:p w14:paraId="731ACF92" w14:textId="77777777" w:rsidR="006C2201" w:rsidRPr="00F02859" w:rsidRDefault="006C2201" w:rsidP="002C71A1">
            <w:pPr>
              <w:rPr>
                <w:szCs w:val="24"/>
              </w:rPr>
            </w:pPr>
            <w:r w:rsidRPr="00F02859">
              <w:rPr>
                <w:szCs w:val="24"/>
              </w:rPr>
              <w:t xml:space="preserve">Oral </w:t>
            </w:r>
          </w:p>
        </w:tc>
        <w:tc>
          <w:tcPr>
            <w:tcW w:w="4155" w:type="dxa"/>
          </w:tcPr>
          <w:p w14:paraId="669A107E" w14:textId="77777777" w:rsidR="006C2201" w:rsidRPr="00F02859" w:rsidRDefault="006C2201" w:rsidP="002C71A1">
            <w:pPr>
              <w:rPr>
                <w:rFonts w:cs="Arial"/>
                <w:szCs w:val="24"/>
              </w:rPr>
            </w:pPr>
            <w:r w:rsidRPr="00F02859">
              <w:rPr>
                <w:rFonts w:cs="Arial"/>
                <w:szCs w:val="24"/>
              </w:rPr>
              <w:t>Se observaron modificaciones en la calidad de carne en ambas plantas, como pH, carne más pálida y mayor pérdida de agua por cocción</w:t>
            </w:r>
          </w:p>
        </w:tc>
      </w:tr>
    </w:tbl>
    <w:p w14:paraId="6C4468E3" w14:textId="7554CE88" w:rsidR="00F02859" w:rsidRDefault="006C2201" w:rsidP="006C2201">
      <w:pPr>
        <w:pStyle w:val="Sinespaciado"/>
      </w:pPr>
      <w:r w:rsidRPr="009E7F14">
        <w:rPr>
          <w:sz w:val="18"/>
          <w:szCs w:val="16"/>
        </w:rPr>
        <w:t>Fuente: Elaboración propia con base en los autores citados</w:t>
      </w:r>
      <w:r>
        <w:t>.</w:t>
      </w:r>
      <w:r w:rsidRPr="00D1290A">
        <w:t xml:space="preserve">  </w:t>
      </w:r>
    </w:p>
    <w:p w14:paraId="518438A8" w14:textId="77777777" w:rsidR="00F02859" w:rsidRDefault="00F02859">
      <w:pPr>
        <w:spacing w:before="0" w:beforeAutospacing="0" w:after="160" w:afterAutospacing="0"/>
      </w:pPr>
      <w:r>
        <w:br w:type="page"/>
      </w:r>
    </w:p>
    <w:p w14:paraId="11BC5F68" w14:textId="487562FC" w:rsidR="00EB4922" w:rsidRPr="00F02859" w:rsidRDefault="007749BE" w:rsidP="00F02859">
      <w:pPr>
        <w:spacing w:before="0" w:beforeAutospacing="0" w:after="160" w:afterAutospacing="0"/>
        <w:rPr>
          <w:b/>
        </w:rPr>
      </w:pPr>
      <w:r w:rsidRPr="00F02859">
        <w:rPr>
          <w:b/>
        </w:rPr>
        <w:lastRenderedPageBreak/>
        <w:t>3.</w:t>
      </w:r>
      <w:r w:rsidR="006C2201" w:rsidRPr="00F02859">
        <w:rPr>
          <w:b/>
        </w:rPr>
        <w:t>5</w:t>
      </w:r>
      <w:r w:rsidRPr="00F02859">
        <w:rPr>
          <w:b/>
        </w:rPr>
        <w:t xml:space="preserve"> </w:t>
      </w:r>
      <w:r w:rsidR="006C2201" w:rsidRPr="00F02859">
        <w:rPr>
          <w:b/>
        </w:rPr>
        <w:t xml:space="preserve">CONSTRUCTO TEÓRICO-EPISTEMOLÓGICO </w:t>
      </w:r>
    </w:p>
    <w:p w14:paraId="02A4DE3E" w14:textId="3C630A02" w:rsidR="00EB4922" w:rsidRPr="000B4DCE" w:rsidRDefault="00EB4922" w:rsidP="00F02859">
      <w:pPr>
        <w:spacing w:before="0" w:beforeAutospacing="0" w:after="200" w:afterAutospacing="0"/>
        <w:rPr>
          <w:bCs/>
        </w:rPr>
      </w:pPr>
      <w:r>
        <w:t>El análisis de la investigación “Empleo de la herbolaria regional, una alternativa sustentable en la producción cunícola” se realiz</w:t>
      </w:r>
      <w:r w:rsidR="00BD48F8">
        <w:t>ó</w:t>
      </w:r>
      <w:r>
        <w:t xml:space="preserve"> mediante la Teoría de los Sistemas Complejos (García, 2006), Epistemología ambiental (Leff, 2006), método IDEA (Vilain, 2008) y epistemología constructivista (Piaget, 1984).</w:t>
      </w:r>
    </w:p>
    <w:p w14:paraId="2546EC75" w14:textId="2D058EFB" w:rsidR="00EB4922" w:rsidRPr="00F02859" w:rsidRDefault="007749BE" w:rsidP="00F02859">
      <w:pPr>
        <w:spacing w:before="0" w:beforeAutospacing="0" w:after="200" w:afterAutospacing="0"/>
        <w:rPr>
          <w:b/>
          <w:bCs/>
        </w:rPr>
      </w:pPr>
      <w:r w:rsidRPr="00F02859">
        <w:rPr>
          <w:b/>
          <w:bCs/>
        </w:rPr>
        <w:t>3.</w:t>
      </w:r>
      <w:r w:rsidR="006C2201" w:rsidRPr="00F02859">
        <w:rPr>
          <w:b/>
          <w:bCs/>
        </w:rPr>
        <w:t>5</w:t>
      </w:r>
      <w:r w:rsidR="00EB4922" w:rsidRPr="00F02859">
        <w:rPr>
          <w:b/>
          <w:bCs/>
        </w:rPr>
        <w:t>.1 Teoría de los Sistemas Complejos</w:t>
      </w:r>
    </w:p>
    <w:p w14:paraId="2CEA108C" w14:textId="77777777" w:rsidR="00EB4922" w:rsidRDefault="00EB4922" w:rsidP="00F02859">
      <w:pPr>
        <w:spacing w:before="0" w:beforeAutospacing="0" w:after="200" w:afterAutospacing="0"/>
      </w:pPr>
      <w:r>
        <w:t xml:space="preserve">La Teoría de los Sistemas Complejos tiene como origen a los estudios sistémico-cibernéticos, desarrollados por Ludwig von Bertalanffy, Ross Ashby, Norbert Weaver, Gregory Bateson y Heinz von Foerster, y las “ciencias de la complejidad”, explicando el tratamiento de sistemas adaptativos, dinámicos, no-equilibrados y no-lineales, con referentes como Edward Lorenz, Benoit Mandelbrot o Ilya Prigogine (Becerra, 2020).  </w:t>
      </w:r>
    </w:p>
    <w:p w14:paraId="2A89A377" w14:textId="4601D553" w:rsidR="00EB4922" w:rsidRPr="00BF7A42" w:rsidRDefault="00EB4922" w:rsidP="00F02859">
      <w:pPr>
        <w:spacing w:before="0" w:beforeAutospacing="0" w:after="200" w:afterAutospacing="0"/>
        <w:rPr>
          <w:bCs/>
        </w:rPr>
      </w:pPr>
      <w:r>
        <w:t>De acuerdo con Rolando García (2006), en la Teoría de Sistemas Complejos se evidencia la relación entre el objeto de estudio y las disciplinas necesarias para el estudio por la representación de un recorte de esa realidad, conceptualiz</w:t>
      </w:r>
      <w:r w:rsidR="00A44984">
        <w:t>á</w:t>
      </w:r>
      <w:r>
        <w:t>ndo</w:t>
      </w:r>
      <w:r w:rsidR="004B15A4">
        <w:t>se</w:t>
      </w:r>
      <w:r>
        <w:t xml:space="preserve"> como una totalidad organizada o sistema, en la cual los elementos no son separables y no pueden ser estudiados aisladamente (determinación mutua). </w:t>
      </w:r>
    </w:p>
    <w:p w14:paraId="7D50CAD4" w14:textId="03C9A143" w:rsidR="00EB4922" w:rsidRDefault="00EB4922" w:rsidP="00F02859">
      <w:r>
        <w:t xml:space="preserve">Los objetivos se plantean a partir del marco epistémico y la delimitación del campo empírico. Este dominio del uso de la herbolaria regional en la producción cunícola permite la intervención en dos momentos del marco epistémico y del dominio empírico, pues tanto la herbolaria como la cunicultura mantienen un acercamiento inicial al hecho que ambas pueden partir del empirismo, pero su análisis </w:t>
      </w:r>
      <w:r w:rsidR="004959D9">
        <w:t xml:space="preserve">es </w:t>
      </w:r>
      <w:r>
        <w:t>tan complejo como se quiera.</w:t>
      </w:r>
    </w:p>
    <w:p w14:paraId="1F823139" w14:textId="252B28D1" w:rsidR="00EB4922" w:rsidRDefault="00EB4922" w:rsidP="00F02859">
      <w:r>
        <w:t>Ambos sistemas se realizan en un área geográfica en común, la zona oriente del Estado de México, y su estudio</w:t>
      </w:r>
      <w:r w:rsidR="004959D9">
        <w:t xml:space="preserve"> fue </w:t>
      </w:r>
      <w:r>
        <w:t xml:space="preserve">desarrollado en dos momentos temporales, los cuales están en una constante interacción por los ciclos naturales presentes en la zona, lo que genera la necesidad de </w:t>
      </w:r>
      <w:r w:rsidR="00B35548">
        <w:t xml:space="preserve">que </w:t>
      </w:r>
      <w:r>
        <w:t xml:space="preserve">el abordaje sea individual al inicio e integral </w:t>
      </w:r>
      <w:r>
        <w:lastRenderedPageBreak/>
        <w:t xml:space="preserve">en un segundo momento. Esta necesidad responde a la velocidad de cambio presente en la herbolaria, ya que la zona está expuesta a externalidades como el cambio de uso de suelo y a fenómenos naturales como las constantes exhalaciones del volcán Popocatépetl. </w:t>
      </w:r>
    </w:p>
    <w:p w14:paraId="60A71FDC" w14:textId="77CB6FA3" w:rsidR="00EB4922" w:rsidRDefault="00EB4922" w:rsidP="00F02859">
      <w:r>
        <w:t xml:space="preserve">La vulnerabilidad o invulnerabilidad contribuye a evidenciar la dinámica en un sistema abierto donde las condiciones de contorno se analizan como una totalidad y la organización interna es constantemente perturbada por las interacciones mismas (Garcia, 2006). La herbolaria es </w:t>
      </w:r>
      <w:r w:rsidR="004423C7">
        <w:t xml:space="preserve">afectada </w:t>
      </w:r>
      <w:r>
        <w:t xml:space="preserve">por perturbaciones exógenas o endógenas, </w:t>
      </w:r>
      <w:r w:rsidR="004423C7">
        <w:t xml:space="preserve">pero logra mantenerse </w:t>
      </w:r>
      <w:r>
        <w:t xml:space="preserve">estable </w:t>
      </w:r>
      <w:r w:rsidR="0034406C">
        <w:t>ante estas</w:t>
      </w:r>
      <w:r>
        <w:t>, en el caso de la cunicultura al ser un sistema productivo desarrollado en espacios controlados tiende a ser sólido, pero al complementar la alimentación con la herbolaria, se crea una vulnerabilidad que se comprobará cuando se analice la calidad de la carne y la digestibilidad del conejo mismo.</w:t>
      </w:r>
    </w:p>
    <w:p w14:paraId="067E380E" w14:textId="735D32FA" w:rsidR="00EB4922" w:rsidRDefault="00EB4922" w:rsidP="00F02859">
      <w:r>
        <w:t xml:space="preserve">En el caso del estudio de los sistemas alimentarios se sugiere que sea por medio de tres procesos; el primer nivel, describe los cambios producidos en el medio físico, métodos de producción, condiciones de vida y relaciones socioeconómicas asociados a las modificaciones del sistema productivo en la región; en el segundo nivel o metaprocesos, se resaltan las modificaciones en el sistema productivo, tales como el desarrollo de cultivos comerciales y la producción de carne, que introdujeron cambios significativos en el primer nivel; y por último, el tercer nivel, políticas de desarrollo, </w:t>
      </w:r>
      <w:r w:rsidR="0034406C">
        <w:t xml:space="preserve">que incluye </w:t>
      </w:r>
      <w:r>
        <w:t>modificaciones del mercado internacional</w:t>
      </w:r>
      <w:r w:rsidR="0034406C">
        <w:t xml:space="preserve"> e</w:t>
      </w:r>
      <w:r>
        <w:t xml:space="preserve"> internacionalización de capitales que determinan la dinámica de los procesos de segundo nivel (García, 2006).</w:t>
      </w:r>
    </w:p>
    <w:p w14:paraId="3339319A" w14:textId="0BA50FA7" w:rsidR="00EB4922" w:rsidRDefault="00EB4922" w:rsidP="00F02859">
      <w:r>
        <w:t xml:space="preserve">Se complementa con la epistemología constructivista de </w:t>
      </w:r>
      <w:r w:rsidRPr="00E73274">
        <w:t>Piaget y García (1982)</w:t>
      </w:r>
      <w:r>
        <w:t xml:space="preserve"> ya que por la interacción de los objetos es el inicio que lo conduce a la construcción de la lógica natural y que puede definirse como un realismo epistemológico. En este proceso de construcción se pueden distinguir las relaciones y las explicaciones causales. Las primeras, son resultado de generaciones inductivas y son plausibles </w:t>
      </w:r>
      <w:r>
        <w:lastRenderedPageBreak/>
        <w:t>de la crítica de Hume; y las segundas, explica</w:t>
      </w:r>
      <w:r w:rsidR="00DC72B0">
        <w:t>n</w:t>
      </w:r>
      <w:r>
        <w:t xml:space="preserve"> la necesidad de la relación lógica de dos situaciones A y B y la relación entre las situaciones empíricas es inferida a partir de la relación lógica dentro de la teoría </w:t>
      </w:r>
      <w:r w:rsidRPr="00E73274">
        <w:t xml:space="preserve">(Piaget </w:t>
      </w:r>
      <w:r w:rsidR="00526540">
        <w:t>y</w:t>
      </w:r>
      <w:r w:rsidRPr="00E73274">
        <w:t xml:space="preserve"> García, 1971),</w:t>
      </w:r>
      <w:r>
        <w:t xml:space="preserve"> en el conjunto de relaciones involucradas en la explicación del funcionamiento del sistema (García, 2006). </w:t>
      </w:r>
    </w:p>
    <w:p w14:paraId="3430A37C" w14:textId="77C985BB" w:rsidR="00EB4922" w:rsidRDefault="00EB4922" w:rsidP="00F02859">
      <w:pPr>
        <w:rPr>
          <w:rFonts w:cs="Arial"/>
          <w:szCs w:val="24"/>
        </w:rPr>
      </w:pPr>
      <w:r>
        <w:t>La complejidad, desarrollada por el filósofo francés Edgar Morin (1999), se integra para profundizar el tema de estudio. Toma a la realidad para comprenderla y explicarla desde todas las perspectivas posibles, es decir, de forma compleja y global.</w:t>
      </w:r>
      <w:r w:rsidR="008F549A">
        <w:t xml:space="preserve"> Para ello,</w:t>
      </w:r>
      <w:r w:rsidR="002B2931">
        <w:t xml:space="preserve"> a la realidad</w:t>
      </w:r>
      <w:r>
        <w:t xml:space="preserve"> </w:t>
      </w:r>
      <w:r w:rsidR="008F549A">
        <w:t>l</w:t>
      </w:r>
      <w:r>
        <w:t xml:space="preserve">a divide en fragmentos pequeños para facilitar el estudio de un fenómeno de forma holística, sin caer en el reduccionismo y con la presencia de la incertidumbre como parte de los sistemas semi-aleatorios inseparables del azar; </w:t>
      </w:r>
      <w:r w:rsidRPr="00742D68">
        <w:t>como un método de pensamiento para comprender la naturaleza, la socied</w:t>
      </w:r>
      <w:r>
        <w:t>ad y reorganizar la vida humana (</w:t>
      </w:r>
      <w:r>
        <w:rPr>
          <w:rFonts w:cs="Arial"/>
          <w:szCs w:val="24"/>
        </w:rPr>
        <w:t>Morin, 1994</w:t>
      </w:r>
      <w:r w:rsidRPr="00B021F4">
        <w:rPr>
          <w:rFonts w:cs="Arial"/>
          <w:szCs w:val="24"/>
        </w:rPr>
        <w:t>).</w:t>
      </w:r>
      <w:r>
        <w:rPr>
          <w:rFonts w:cs="Arial"/>
          <w:szCs w:val="24"/>
        </w:rPr>
        <w:t xml:space="preserve"> </w:t>
      </w:r>
    </w:p>
    <w:p w14:paraId="48FC8AE9" w14:textId="7E5B5618" w:rsidR="00EB4922" w:rsidRDefault="00EB4922" w:rsidP="00F02859">
      <w:pPr>
        <w:rPr>
          <w:rFonts w:cs="Arial"/>
          <w:szCs w:val="24"/>
        </w:rPr>
      </w:pPr>
      <w:r w:rsidRPr="003E7D53">
        <w:rPr>
          <w:rFonts w:cs="Arial"/>
          <w:szCs w:val="24"/>
        </w:rPr>
        <w:t xml:space="preserve">La transdisciplinariedad asume la complejidad como forma </w:t>
      </w:r>
      <w:r w:rsidR="00363705">
        <w:rPr>
          <w:rFonts w:cs="Arial"/>
          <w:szCs w:val="24"/>
        </w:rPr>
        <w:t>“</w:t>
      </w:r>
      <w:r w:rsidRPr="003E7D53">
        <w:rPr>
          <w:rFonts w:cs="Arial"/>
          <w:szCs w:val="24"/>
        </w:rPr>
        <w:t>organizada</w:t>
      </w:r>
      <w:r w:rsidR="00363705">
        <w:rPr>
          <w:rFonts w:cs="Arial"/>
          <w:szCs w:val="24"/>
        </w:rPr>
        <w:t>”</w:t>
      </w:r>
      <w:r w:rsidRPr="003E7D53">
        <w:rPr>
          <w:rFonts w:cs="Arial"/>
          <w:szCs w:val="24"/>
        </w:rPr>
        <w:t xml:space="preserve"> y en eso radica su novedad. El hombre como sistema es un ser complejo</w:t>
      </w:r>
      <w:r>
        <w:rPr>
          <w:rFonts w:cs="Arial"/>
          <w:szCs w:val="24"/>
        </w:rPr>
        <w:t xml:space="preserve"> al igual que la sociedad.</w:t>
      </w:r>
      <w:r w:rsidRPr="003E7D53">
        <w:rPr>
          <w:rFonts w:cs="Arial"/>
          <w:szCs w:val="24"/>
        </w:rPr>
        <w:t xml:space="preserve"> La complejidad como postulado científico de la transdisciplinariedad no cuestiona la ciencia clásica en su primer principio de legislar, de ir de lo complejo a lo simple, sino de enfatizar que no son suficientes esas prácticas en el contexto científico actual</w:t>
      </w:r>
      <w:r>
        <w:rPr>
          <w:rFonts w:cs="Arial"/>
          <w:szCs w:val="24"/>
        </w:rPr>
        <w:t xml:space="preserve"> (Pérez y Setién, 2008)</w:t>
      </w:r>
      <w:r w:rsidRPr="003E7D53">
        <w:rPr>
          <w:rFonts w:cs="Arial"/>
          <w:szCs w:val="24"/>
        </w:rPr>
        <w:t>.</w:t>
      </w:r>
      <w:r>
        <w:rPr>
          <w:rFonts w:cs="Arial"/>
          <w:szCs w:val="24"/>
        </w:rPr>
        <w:t xml:space="preserve"> Es necesaria la intervención del método dialéctico, </w:t>
      </w:r>
      <w:r w:rsidR="002F7E12">
        <w:rPr>
          <w:rFonts w:cs="Arial"/>
          <w:szCs w:val="24"/>
        </w:rPr>
        <w:t xml:space="preserve">el cual </w:t>
      </w:r>
      <w:r w:rsidRPr="0054142C">
        <w:rPr>
          <w:rFonts w:cs="Arial"/>
          <w:szCs w:val="24"/>
        </w:rPr>
        <w:t xml:space="preserve">consiste </w:t>
      </w:r>
      <w:r>
        <w:rPr>
          <w:rFonts w:cs="Arial"/>
          <w:szCs w:val="24"/>
        </w:rPr>
        <w:t xml:space="preserve">en un saber situar a la “parte” </w:t>
      </w:r>
      <w:r w:rsidRPr="0054142C">
        <w:rPr>
          <w:rFonts w:cs="Arial"/>
          <w:szCs w:val="24"/>
        </w:rPr>
        <w:t>en el “todo”, como acto invers</w:t>
      </w:r>
      <w:r>
        <w:rPr>
          <w:rFonts w:cs="Arial"/>
          <w:szCs w:val="24"/>
        </w:rPr>
        <w:t xml:space="preserve">o del efectuado por la abstracción analítica (Dussel, 1991) para ejercer </w:t>
      </w:r>
      <w:r w:rsidR="002F7E12">
        <w:rPr>
          <w:rFonts w:cs="Arial"/>
          <w:szCs w:val="24"/>
        </w:rPr>
        <w:t>u</w:t>
      </w:r>
      <w:r>
        <w:rPr>
          <w:rFonts w:cs="Arial"/>
          <w:szCs w:val="24"/>
        </w:rPr>
        <w:t>n contraste de ideas que conduzcan a un verdadero conocimiento.</w:t>
      </w:r>
    </w:p>
    <w:p w14:paraId="3CD4546D" w14:textId="332F3900" w:rsidR="008273DB" w:rsidRDefault="00EB4922" w:rsidP="00F02859">
      <w:r>
        <w:t>La Teoría de los Sistemas Complejos propone una metodología a seguir, la cual cuenta con una serie de fases que sirven de guía para el abordaje interdisciplinario del funcionamiento de un sistema.</w:t>
      </w:r>
    </w:p>
    <w:p w14:paraId="35AA9270" w14:textId="77777777" w:rsidR="008273DB" w:rsidRDefault="008273DB">
      <w:pPr>
        <w:spacing w:before="0" w:beforeAutospacing="0" w:after="160" w:afterAutospacing="0"/>
      </w:pPr>
      <w:r>
        <w:br w:type="page"/>
      </w:r>
    </w:p>
    <w:p w14:paraId="01073530" w14:textId="7FF9F1D6" w:rsidR="00EB4922" w:rsidRPr="002F7E12" w:rsidRDefault="007749BE" w:rsidP="00F02859">
      <w:pPr>
        <w:rPr>
          <w:b/>
          <w:bCs/>
        </w:rPr>
      </w:pPr>
      <w:r w:rsidRPr="002F7E12">
        <w:rPr>
          <w:b/>
          <w:bCs/>
        </w:rPr>
        <w:lastRenderedPageBreak/>
        <w:t>3.</w:t>
      </w:r>
      <w:r w:rsidR="006C2201" w:rsidRPr="002F7E12">
        <w:rPr>
          <w:b/>
          <w:bCs/>
        </w:rPr>
        <w:t>5</w:t>
      </w:r>
      <w:r w:rsidR="006147FB" w:rsidRPr="002F7E12">
        <w:rPr>
          <w:b/>
          <w:bCs/>
        </w:rPr>
        <w:t xml:space="preserve">.2 </w:t>
      </w:r>
      <w:r w:rsidR="00EB4922" w:rsidRPr="002F7E12">
        <w:rPr>
          <w:b/>
          <w:bCs/>
        </w:rPr>
        <w:t>Epistemología ambiental</w:t>
      </w:r>
    </w:p>
    <w:p w14:paraId="600E05F9" w14:textId="77777777" w:rsidR="002D207E" w:rsidRDefault="002D207E" w:rsidP="00F02859">
      <w:r>
        <w:t xml:space="preserve">La epistemología ambiental se plantea desde el campo del poder en el saber, evidenciando el efecto de dominación de las ideologías teóricas, generalizada y funcionalista, a su vez orienta y condiciona las prácticas sociales que inciden en la insustentabilidad del mundo, abriendo un campo de acción a partir del conocimiento para la construcción social de una racionalidad ambiental (Leff, 2006). </w:t>
      </w:r>
    </w:p>
    <w:p w14:paraId="1507F8D4" w14:textId="721913AD" w:rsidR="002D207E" w:rsidRDefault="002D207E" w:rsidP="00F02859">
      <w:r>
        <w:t>S</w:t>
      </w:r>
      <w:r w:rsidR="004B3A46">
        <w:t>iendo</w:t>
      </w:r>
      <w:r>
        <w:t xml:space="preserve"> un reto dirigido a la sustentabilidad, la supervivencia y la convivencia humana en el planeta, que ha sido construida desde una racionalidad antiecológica como realidad inconmovible (Leff, 2008). Para ello</w:t>
      </w:r>
      <w:r w:rsidR="002F7E12">
        <w:t>,</w:t>
      </w:r>
      <w:r>
        <w:t xml:space="preserve"> el actor social ejerce el poder de control de la degradación ambiental con la autogestión de proyectos que satisfacen necesidades y aspiraciones que la globalización económica no puede cumplir (Leff, 2004)</w:t>
      </w:r>
      <w:r w:rsidR="002F7E12">
        <w:t>, lo cual</w:t>
      </w:r>
      <w:r>
        <w:t xml:space="preserve"> lleva a construir una racionalidad productiva fundada en el potencial ecológico de la biosfera y en los sentidos civilizatorios de la diversidad cultural</w:t>
      </w:r>
    </w:p>
    <w:p w14:paraId="6DE1888C" w14:textId="4367F4DF" w:rsidR="002D207E" w:rsidRDefault="002D207E" w:rsidP="00F02859">
      <w:r>
        <w:t>Leff (2004), explica que es necesario pensar y construir una nueva racionalidad productiva mediante la articulación de la revolución científico-tecnológica, el equilibrio ecológico, la innovación tecnológica y los valores culturales como condición del proceso económico. Respaldada por los principios de la entropía y la complejidad ambiental, integrando las formaciones ideológicas, la producción científica, los saberes personales y colectivos, las significaciones culturales y las condiciones “reales” de la sustentabilidad ecológica.</w:t>
      </w:r>
    </w:p>
    <w:p w14:paraId="00405128" w14:textId="77777777" w:rsidR="002D207E" w:rsidRDefault="002D207E" w:rsidP="00F02859">
      <w:r>
        <w:t>La racionalidad ambiental propone reorganizar a la producción basándose en cuatro aspectos, el potencial productivo de la naturaleza, el poder de la ciencia, la tecnología moderna y los procesos de significación que definen identidades culturales de los pueblos en formas diversas de relación entre los seres humanos y la naturaleza (Leff, 2000, p. 36). Para ello es necesario el reconocimiento y valorización de la naturaleza, por encima de los valores del mercado, desde una pluralidad de racionalidades e identidades, es decir, desde diversos códigos culturales (Leff, 2008).</w:t>
      </w:r>
    </w:p>
    <w:p w14:paraId="3E762D65" w14:textId="77777777" w:rsidR="002D207E" w:rsidRDefault="002D207E" w:rsidP="00F02859">
      <w:r>
        <w:lastRenderedPageBreak/>
        <w:t>La sustentabilidad ecológica aparece, así como un criterio normativo para la reconstrucción del orden económico, como una condición para la supervivencia humana y para un desarrollo durable; problematiza las formas de conocimiento, los valores sociales y las bases mismas de la producción, abriendo una nueva visión del proceso civilizatorio de la humanidad (Leff, 2004).</w:t>
      </w:r>
    </w:p>
    <w:p w14:paraId="56B84891" w14:textId="6BC09991" w:rsidR="002D207E" w:rsidRDefault="002D207E" w:rsidP="00F02859">
      <w:r>
        <w:t>Esto no es la actualización de la razón pura en la complejidad ambiental; es una estrategia conceptual que orienta una praxis de emancipación del mundo sobre</w:t>
      </w:r>
      <w:r w:rsidR="008273DB">
        <w:t xml:space="preserve"> </w:t>
      </w:r>
      <w:r>
        <w:t xml:space="preserve">objetivado y del logocentrismo del conocimiento (Leff, 2004). Ya que, a partir de la segunda mitad del siglo XX, la revolución científico-técnica ha marcado el devenir de la humanidad, dotando la vida cotidiana, la industria y la actividad científica de nuevos métodos, informaciones y artefactos (Delgado y Morin, 2010). </w:t>
      </w:r>
    </w:p>
    <w:p w14:paraId="76C4D8D6" w14:textId="77777777" w:rsidR="002D207E" w:rsidRDefault="002D207E" w:rsidP="00F02859">
      <w:r>
        <w:t>La sustentabilidad requiere ser considerada en nuevos territorios que la vida implica, a partir de generar estrategias del saber (empírico) para enfrentar las estrategias del conocimiento. Es dar una vuelta al orden simbólico para resignificar el mundo, como una estrategia para la reapropiación social de la naturaleza, basada en la valorización cultural, económica y tecnológica de los bienes y servicios ambientales de la naturaleza, que genera una política del ser, de la diversidad y de la diferencia que replantea el valor de la naturaleza y el sentido de la producción. Sin embargo, la instauración de valores culturales no se da como una asignación de códigos predesignados a la naturaleza (Leff, 2004).</w:t>
      </w:r>
    </w:p>
    <w:p w14:paraId="78BF74BD" w14:textId="77777777" w:rsidR="002D207E" w:rsidRDefault="002D207E" w:rsidP="00F02859">
      <w:r>
        <w:t xml:space="preserve">Los códigos predesignados a la naturaleza los otorga el actor social desde el conocimiento trasmitido intrageneracionalmente. De acuerdo con Leff (2006) este conocimiento se agrupa en el saber ambiental. Quien se construye en el encuentro de cosmovisiones, racionalidades e identidades, en la apertura del saber de la diversidad, a la diferencia y a la otredad, cuestionando la historicidad de la verdad y abriendo el campo del conocimiento (Leff, 2006). </w:t>
      </w:r>
    </w:p>
    <w:p w14:paraId="63EE5F2F" w14:textId="77777777" w:rsidR="002D207E" w:rsidRDefault="002D207E" w:rsidP="00F02859">
      <w:r>
        <w:t xml:space="preserve">La cuestión ambiental, más que una problemática ecológica, es una crisis del pensamiento y del entendimiento, de la ontología y de la epistemología con las que </w:t>
      </w:r>
      <w:r>
        <w:lastRenderedPageBreak/>
        <w:t>la civilización occidental ha comprendido el ser, a los entes y a las cosas; de la racionalidad científica y tecnológica con la que ha sido dominada la naturaleza y economizado el mundo moderno; de las relaciones e interdependencias entre estos procesos materiales y simbólicos, naturales y tecnológicos (Leff, 2007).</w:t>
      </w:r>
    </w:p>
    <w:p w14:paraId="3C8EDA0B" w14:textId="4AC676E6" w:rsidR="00776DD2" w:rsidRDefault="002D207E" w:rsidP="00F02859">
      <w:r>
        <w:t>La epistemología ambiental combate por esta vía al totalitarismo de la globalización económica y de la unidad del conocimiento que dominan a la racionalidad de la modernidad. La complejidad ambiental, del mundo y del pensamiento, abre un nuevo debate entre necesidad y libertad, entre el azar y la ley. Es la reapertura de la historia como complejización del mundo, desde los potenciales de la naturaleza y los significados de la cultura, hacia la construcción de un futuro sustentable posible en la diversidad y la diferencia (Leff, 2007).</w:t>
      </w:r>
    </w:p>
    <w:p w14:paraId="65833218" w14:textId="7A75905A" w:rsidR="007749BE" w:rsidRPr="008273DB" w:rsidRDefault="007749BE" w:rsidP="00F02859">
      <w:pPr>
        <w:rPr>
          <w:b/>
          <w:bCs/>
        </w:rPr>
      </w:pPr>
      <w:r w:rsidRPr="008273DB">
        <w:rPr>
          <w:b/>
          <w:bCs/>
        </w:rPr>
        <w:t>3.</w:t>
      </w:r>
      <w:r w:rsidR="006C2201" w:rsidRPr="008273DB">
        <w:rPr>
          <w:b/>
          <w:bCs/>
        </w:rPr>
        <w:t>5</w:t>
      </w:r>
      <w:r w:rsidRPr="008273DB">
        <w:rPr>
          <w:b/>
          <w:bCs/>
        </w:rPr>
        <w:t>.3 Epistemología constructivista</w:t>
      </w:r>
    </w:p>
    <w:p w14:paraId="200B924C" w14:textId="0F9E079C" w:rsidR="00EB4922" w:rsidRDefault="00DC53A6" w:rsidP="00F02859">
      <w:r>
        <w:t xml:space="preserve">Un punto en compartido entre la </w:t>
      </w:r>
      <w:r w:rsidR="007F77C6">
        <w:t>Teoría de los Sistemas Complejos y el método IDEA es que ambas incluyen al constructivismo como parte de la retroalimentación entre el actor y el experto para la caracterización</w:t>
      </w:r>
      <w:r w:rsidR="004D1750">
        <w:t xml:space="preserve"> y mejora del sistema mismo. </w:t>
      </w:r>
      <w:r w:rsidR="00EB4922">
        <w:t>La epistemología constructivista constituye una postura para la adquisición del conocimiento y forma parte de los antecedentes de la Teoría de los Sistemas Complejos por el trabajo colaborativo desarrollado en 1967 entre García y Piaget. Los representantes de esta epistemología son Lev Vygotski, David Ausubel, Humberto Maturana y Jean Piaget por mencionar algunos. Para fines de este estudio se considerará a Piaget.</w:t>
      </w:r>
    </w:p>
    <w:p w14:paraId="76F832FD" w14:textId="77777777" w:rsidR="00EB4922" w:rsidRDefault="00EB4922" w:rsidP="00F02859">
      <w:r>
        <w:t>Para el constructivismo, de forma general, el conocimiento es una construcción que el individuo realiza día a día permanentemente, es consecuencia de la interacción de los factores cognitivos y sociales, y se desarrolla en cualquier entorno (Saldarriaga-Zambrano, Bravo-Cedeño y Loor-Rivadeneira, 2016).</w:t>
      </w:r>
    </w:p>
    <w:p w14:paraId="2AC91BC2" w14:textId="77777777" w:rsidR="00EB4922" w:rsidRDefault="00EB4922" w:rsidP="00F02859">
      <w:r>
        <w:t xml:space="preserve">Para Piaget (1984) el conocimiento se crea a partir de la interacción dialéctica entre el sujeto y los objetos para establecer un sistema de relaciones ideológicas, a lo </w:t>
      </w:r>
      <w:r>
        <w:lastRenderedPageBreak/>
        <w:t xml:space="preserve">anterior lo denomina paradigma social. Este paradigma va a estar mediado por la interpretación del contexto social, los objetos funcionan del modo socialmente prestablecido y no existe neutralidad por parte de los sujetos ni los objetos. </w:t>
      </w:r>
    </w:p>
    <w:p w14:paraId="003AA118" w14:textId="1E6D02DC" w:rsidR="00EB4922" w:rsidRDefault="00EB4922" w:rsidP="00F02859">
      <w:r>
        <w:t>La significación como mecanismo cognoscitivo del individuo depende del sujeto mismo, “</w:t>
      </w:r>
      <w:r w:rsidRPr="00E102A5">
        <w:rPr>
          <w:i/>
          <w:iCs/>
        </w:rPr>
        <w:t>la forma como un sujeto asimila a un objeto depende del sujeto mismo; qué es lo que el asimila</w:t>
      </w:r>
      <w:r w:rsidR="00492FF7">
        <w:rPr>
          <w:i/>
          <w:iCs/>
        </w:rPr>
        <w:t>,</w:t>
      </w:r>
      <w:r w:rsidRPr="00E102A5">
        <w:rPr>
          <w:i/>
          <w:iCs/>
        </w:rPr>
        <w:t xml:space="preserve"> depende al mismo tiempo, de su propia capacidad y de la sociedad que le provee </w:t>
      </w:r>
      <w:r w:rsidR="008273DB">
        <w:rPr>
          <w:i/>
          <w:iCs/>
        </w:rPr>
        <w:t>el</w:t>
      </w:r>
      <w:r w:rsidRPr="00E102A5">
        <w:rPr>
          <w:i/>
          <w:iCs/>
        </w:rPr>
        <w:t xml:space="preserve"> componente contextual de la significación del objeto</w:t>
      </w:r>
      <w:r>
        <w:rPr>
          <w:i/>
          <w:iCs/>
        </w:rPr>
        <w:t>”</w:t>
      </w:r>
      <w:r>
        <w:t xml:space="preserve"> (Piaget, 1984 p. 245). Por lo que, la interacción dialéctica sucede cuando el sujeto identifica, modifica, apropia e incorpora conocimiento al modelo de significación del contexto y así puede reconstituir y transformar la estructura preconcebida.</w:t>
      </w:r>
    </w:p>
    <w:p w14:paraId="4CA60427" w14:textId="770479C1" w:rsidR="00104A7B" w:rsidRDefault="00EB4922" w:rsidP="00F02859">
      <w:r>
        <w:t xml:space="preserve">De acuerdo con Constanza (2011), Piaget plantea algunos elementos que pueden considerarse para renovar los procesos de construcción del conocimiento desde la perspectiva epistemológica. El conocimiento no surge de ideas abstractas, se construye a partir de los contextos socioculturales con connotaciones ideológicas; el sujeto humano es el constructor del conocimiento, quien al integrarse en un contexto social provoca un sistema de significaciones; proveer sentido a la experiencia en la construcción de conocimientos desde el proceso cognoscitivo; la practica puede ser considerada como el inicio para generar </w:t>
      </w:r>
      <w:r w:rsidR="008273DB">
        <w:t>dichos proceso</w:t>
      </w:r>
      <w:r>
        <w:t xml:space="preserve">s; y el conocimiento no es universal, va a cambiar con la sociedad, cultura y época. Lo anterior, permite replantear las condiciones epistémicas para repensar el valor del conocimiento natural </w:t>
      </w:r>
      <w:r w:rsidR="008273DB">
        <w:t>como</w:t>
      </w:r>
      <w:r>
        <w:t xml:space="preserve"> científico social, local y autoconocimiento.</w:t>
      </w:r>
    </w:p>
    <w:p w14:paraId="715A7A5D" w14:textId="77777777" w:rsidR="00104A7B" w:rsidRDefault="00104A7B">
      <w:pPr>
        <w:spacing w:before="0" w:beforeAutospacing="0" w:after="160" w:afterAutospacing="0"/>
      </w:pPr>
      <w:r>
        <w:br w:type="page"/>
      </w:r>
    </w:p>
    <w:p w14:paraId="2AF59BC7" w14:textId="1838BC56" w:rsidR="00465DB6" w:rsidRPr="008273DB" w:rsidRDefault="0043157B" w:rsidP="008273DB">
      <w:pPr>
        <w:autoSpaceDE w:val="0"/>
        <w:autoSpaceDN w:val="0"/>
        <w:adjustRightInd w:val="0"/>
        <w:spacing w:after="0"/>
        <w:rPr>
          <w:b/>
          <w:bCs/>
        </w:rPr>
      </w:pPr>
      <w:r>
        <w:rPr>
          <w:b/>
          <w:bCs/>
        </w:rPr>
        <w:lastRenderedPageBreak/>
        <w:t>I</w:t>
      </w:r>
      <w:r w:rsidR="00256FEC" w:rsidRPr="008273DB">
        <w:rPr>
          <w:b/>
          <w:bCs/>
        </w:rPr>
        <w:t xml:space="preserve">V. </w:t>
      </w:r>
      <w:r w:rsidR="000441C7" w:rsidRPr="008273DB">
        <w:rPr>
          <w:b/>
          <w:bCs/>
        </w:rPr>
        <w:t>PLANTEAMIENTO DEL PROBLEMA</w:t>
      </w:r>
      <w:bookmarkStart w:id="16" w:name="_Hlk51985660"/>
    </w:p>
    <w:p w14:paraId="2B65DF7C" w14:textId="556EAD04" w:rsidR="00465DB6" w:rsidRDefault="00465DB6" w:rsidP="008273DB">
      <w:r>
        <w:t xml:space="preserve">La sustentabilidad es un término que se ha incluido en el vocabulario habitual en la sociedad desde el Informe Brundtland en 1982, </w:t>
      </w:r>
      <w:r w:rsidR="00873620">
        <w:t xml:space="preserve">los </w:t>
      </w:r>
      <w:r>
        <w:t xml:space="preserve">acuerdos </w:t>
      </w:r>
      <w:r w:rsidR="00873620">
        <w:t xml:space="preserve">sucesivos </w:t>
      </w:r>
      <w:r>
        <w:t>fueron diseñados para ser implementados en una gran diversidad de sectores, como alimentario, educativo, político, turístico y ambiental. Pareciera que el objetivo común es el cuidado y preservación del medio ambiente.</w:t>
      </w:r>
    </w:p>
    <w:p w14:paraId="7E3B68BE" w14:textId="66F92E6B" w:rsidR="00465DB6" w:rsidRDefault="00465DB6" w:rsidP="008273DB">
      <w:r>
        <w:t>Uno de los sectores más señalado por el alto grado de contaminación que genera, es la producción alimentaria. La cual tuvo un cambio durante los años sesenta, reflejado en la tecnificación de la labranza y agricultura, denomin</w:t>
      </w:r>
      <w:r w:rsidR="006A36F6">
        <w:t xml:space="preserve">ada </w:t>
      </w:r>
      <w:r>
        <w:t xml:space="preserve">Revolución </w:t>
      </w:r>
      <w:r w:rsidR="008273DB">
        <w:t>V</w:t>
      </w:r>
      <w:r>
        <w:t xml:space="preserve">erde. Esta postura deja de fuera al componente social, </w:t>
      </w:r>
      <w:r w:rsidR="006A36F6">
        <w:t>pues</w:t>
      </w:r>
      <w:r>
        <w:t xml:space="preserve"> se enfoca en el crecimiento de la producción intensiva de alimentos mediante la modificación de ecosistemas, bajo la justificación del crecimiento económico y el aumento de la demanda alimentaria.</w:t>
      </w:r>
    </w:p>
    <w:p w14:paraId="2F641872" w14:textId="04379290" w:rsidR="00465DB6" w:rsidRDefault="00465DB6" w:rsidP="008273DB">
      <w:r>
        <w:t xml:space="preserve">La alta degradación ambiental </w:t>
      </w:r>
      <w:r w:rsidR="00D312B7">
        <w:t>resultado de</w:t>
      </w:r>
      <w:r>
        <w:t xml:space="preserve"> la Revolución verde en los ecosistemas tiene repercusiones negativas no solo a nivel global</w:t>
      </w:r>
      <w:r w:rsidR="00D312B7">
        <w:t xml:space="preserve"> y son</w:t>
      </w:r>
      <w:r>
        <w:t xml:space="preserve"> observables desde un nivel local, como pueden ser: la sobreexplotación y desertificación de los suelos, contaminación de los mantos freáticos por el uso excesivo de fertilizantes inorgánicos, el incremento de gases de efecto invernadero y </w:t>
      </w:r>
      <w:r w:rsidR="00492FF7">
        <w:t xml:space="preserve">la </w:t>
      </w:r>
      <w:r>
        <w:t>perdida de flora y fauna local.</w:t>
      </w:r>
      <w:r w:rsidR="00526540">
        <w:t xml:space="preserve"> </w:t>
      </w:r>
      <w:r>
        <w:t>En la actualidad, la reproducción de especies productoras de carne ha generado una sobrecarga a nivel mundial, ya que recurre al uso y abuso de tratamientos veterinarios que deterioran el medio ambiente estimula</w:t>
      </w:r>
      <w:r w:rsidR="007C4452">
        <w:t>ndo</w:t>
      </w:r>
      <w:r>
        <w:t xml:space="preserve"> el crecimiento animal, lo que incrementa los ingresos económicos del productor</w:t>
      </w:r>
      <w:r w:rsidR="00D07735">
        <w:t>,</w:t>
      </w:r>
      <w:r>
        <w:t xml:space="preserve"> </w:t>
      </w:r>
      <w:r w:rsidR="00D07735">
        <w:t>p</w:t>
      </w:r>
      <w:r>
        <w:t>ero ocasiona efectos secundarios negativos con altas repercusiones ambientales</w:t>
      </w:r>
      <w:r w:rsidR="00D312B7">
        <w:t xml:space="preserve"> al consumidor final</w:t>
      </w:r>
      <w:r>
        <w:t xml:space="preserve"> a corto, mediano y largo plazo.</w:t>
      </w:r>
    </w:p>
    <w:p w14:paraId="2E768FD1" w14:textId="62FE407A" w:rsidR="00D312B7" w:rsidRDefault="006068F3" w:rsidP="008273DB">
      <w:r>
        <w:t>En la cunicultura, la introducción de alimentos balanceados delimit</w:t>
      </w:r>
      <w:r w:rsidR="00D07735">
        <w:t>ó</w:t>
      </w:r>
      <w:r>
        <w:t xml:space="preserve"> las opciones de alimentación a las fórmulas europeas</w:t>
      </w:r>
      <w:r w:rsidR="00014C0B">
        <w:t>,</w:t>
      </w:r>
      <w:r>
        <w:t xml:space="preserve"> demeritando los recursos</w:t>
      </w:r>
      <w:r w:rsidR="00250088">
        <w:t xml:space="preserve"> de bajo costo </w:t>
      </w:r>
      <w:r w:rsidR="00916423">
        <w:t>y aceptados cultural y tradicionalmente</w:t>
      </w:r>
      <w:r>
        <w:t xml:space="preserve"> que dispone el productor loca</w:t>
      </w:r>
      <w:r w:rsidR="00300EE6">
        <w:t>l</w:t>
      </w:r>
      <w:r w:rsidR="00916423">
        <w:t>. Para potencializar los parámetros productivos sin utilizar tratamientos veterinarios</w:t>
      </w:r>
      <w:r w:rsidR="00EB77A5">
        <w:t xml:space="preserve"> se ha </w:t>
      </w:r>
      <w:r w:rsidR="00EB77A5">
        <w:lastRenderedPageBreak/>
        <w:t xml:space="preserve">investigado en modelos productivos el uso de plantas medicinales. Las </w:t>
      </w:r>
      <w:r w:rsidR="00C55E22">
        <w:t>cuales,</w:t>
      </w:r>
      <w:r w:rsidR="00EB77A5">
        <w:t xml:space="preserve"> por </w:t>
      </w:r>
      <w:r w:rsidR="00C55E22">
        <w:t>el alto contenido</w:t>
      </w:r>
      <w:r w:rsidR="00EB77A5">
        <w:t xml:space="preserve"> de</w:t>
      </w:r>
      <w:r w:rsidR="00C55E22">
        <w:t xml:space="preserve"> compuestos</w:t>
      </w:r>
      <w:r w:rsidR="00EB77A5">
        <w:t xml:space="preserve"> </w:t>
      </w:r>
      <w:r w:rsidR="006A36F6">
        <w:t>bioactivos</w:t>
      </w:r>
      <w:r w:rsidR="00D312B7">
        <w:t xml:space="preserve"> y</w:t>
      </w:r>
      <w:r w:rsidR="006A36F6">
        <w:t xml:space="preserve"> antioxidantes funcionan como estimulantes de crecimiento naturales para disminuir los días de producción y así, disminuir el impacto ambiental. </w:t>
      </w:r>
      <w:r w:rsidR="00D312B7">
        <w:t>Al</w:t>
      </w:r>
      <w:r w:rsidR="006A36F6">
        <w:t xml:space="preserve"> </w:t>
      </w:r>
      <w:r w:rsidR="00D312B7">
        <w:t>reducir</w:t>
      </w:r>
      <w:r w:rsidR="007C4452">
        <w:t xml:space="preserve"> </w:t>
      </w:r>
      <w:r w:rsidR="00D312B7">
        <w:t>los</w:t>
      </w:r>
      <w:r w:rsidR="007C4452">
        <w:t xml:space="preserve"> recursos económicos</w:t>
      </w:r>
      <w:r w:rsidR="00C55E22">
        <w:t xml:space="preserve"> destinados a la alimentación</w:t>
      </w:r>
      <w:r w:rsidR="007C4452">
        <w:t xml:space="preserve"> </w:t>
      </w:r>
      <w:r w:rsidR="00014C0B">
        <w:t>se</w:t>
      </w:r>
      <w:r w:rsidR="00C55E22">
        <w:t xml:space="preserve"> alcanza en menor tiempo el peso adecuado para la faena.</w:t>
      </w:r>
    </w:p>
    <w:p w14:paraId="6F2B0AD9" w14:textId="161C7F26" w:rsidR="00CB1FB4" w:rsidRDefault="00CB1FB4" w:rsidP="008273DB">
      <w:pPr>
        <w:spacing w:before="0" w:beforeAutospacing="0" w:after="200" w:afterAutospacing="0"/>
        <w:rPr>
          <w:rFonts w:cs="Arial"/>
          <w:szCs w:val="24"/>
          <w:shd w:val="clear" w:color="auto" w:fill="FFFFFF"/>
        </w:rPr>
      </w:pPr>
      <w:r>
        <w:rPr>
          <w:rFonts w:cs="Arial"/>
          <w:szCs w:val="24"/>
          <w:shd w:val="clear" w:color="auto" w:fill="FFFFFF"/>
        </w:rPr>
        <w:t>La herbolaria regio</w:t>
      </w:r>
      <w:r w:rsidRPr="009D5269">
        <w:rPr>
          <w:rFonts w:cs="Arial"/>
          <w:szCs w:val="24"/>
          <w:shd w:val="clear" w:color="auto" w:fill="FFFFFF"/>
        </w:rPr>
        <w:t>nal, tiene una amplia aceptación entre la población ya que está inmersa en la cultura e idiosincrasia como parte activa de</w:t>
      </w:r>
      <w:r w:rsidR="00014C0B">
        <w:rPr>
          <w:rFonts w:cs="Arial"/>
          <w:szCs w:val="24"/>
          <w:shd w:val="clear" w:color="auto" w:fill="FFFFFF"/>
        </w:rPr>
        <w:t>l</w:t>
      </w:r>
      <w:r w:rsidRPr="009D5269">
        <w:rPr>
          <w:rFonts w:cs="Arial"/>
          <w:szCs w:val="24"/>
          <w:shd w:val="clear" w:color="auto" w:fill="FFFFFF"/>
        </w:rPr>
        <w:t xml:space="preserve"> tratamiento de algunas enfermedades de los seres humanos</w:t>
      </w:r>
      <w:r>
        <w:rPr>
          <w:rFonts w:cs="Arial"/>
          <w:szCs w:val="24"/>
          <w:shd w:val="clear" w:color="auto" w:fill="FFFFFF"/>
        </w:rPr>
        <w:t xml:space="preserve"> y en el área de la</w:t>
      </w:r>
      <w:r w:rsidRPr="009D5269">
        <w:rPr>
          <w:rFonts w:cs="Arial"/>
          <w:szCs w:val="24"/>
          <w:shd w:val="clear" w:color="auto" w:fill="FFFFFF"/>
        </w:rPr>
        <w:t xml:space="preserve"> veterinaria</w:t>
      </w:r>
      <w:r>
        <w:rPr>
          <w:rFonts w:cs="Arial"/>
          <w:szCs w:val="24"/>
          <w:shd w:val="clear" w:color="auto" w:fill="FFFFFF"/>
        </w:rPr>
        <w:t>,</w:t>
      </w:r>
      <w:r w:rsidRPr="009D5269">
        <w:rPr>
          <w:rFonts w:cs="Arial"/>
          <w:szCs w:val="24"/>
          <w:shd w:val="clear" w:color="auto" w:fill="FFFFFF"/>
        </w:rPr>
        <w:t xml:space="preserve"> otorga</w:t>
      </w:r>
      <w:r>
        <w:rPr>
          <w:rFonts w:cs="Arial"/>
          <w:szCs w:val="24"/>
          <w:shd w:val="clear" w:color="auto" w:fill="FFFFFF"/>
        </w:rPr>
        <w:t>ndo</w:t>
      </w:r>
      <w:r w:rsidRPr="009D5269">
        <w:rPr>
          <w:rFonts w:cs="Arial"/>
          <w:szCs w:val="24"/>
          <w:shd w:val="clear" w:color="auto" w:fill="FFFFFF"/>
        </w:rPr>
        <w:t xml:space="preserve"> el mismo valor curativo </w:t>
      </w:r>
      <w:r>
        <w:rPr>
          <w:rFonts w:cs="Arial"/>
          <w:szCs w:val="24"/>
          <w:shd w:val="clear" w:color="auto" w:fill="FFFFFF"/>
        </w:rPr>
        <w:t>en ambas áreas.</w:t>
      </w:r>
      <w:r w:rsidRPr="009D5269">
        <w:rPr>
          <w:rFonts w:cs="Arial"/>
          <w:szCs w:val="24"/>
          <w:shd w:val="clear" w:color="auto" w:fill="FFFFFF"/>
        </w:rPr>
        <w:t xml:space="preserve"> </w:t>
      </w:r>
      <w:r>
        <w:rPr>
          <w:rFonts w:cs="Arial"/>
          <w:szCs w:val="24"/>
          <w:shd w:val="clear" w:color="auto" w:fill="FFFFFF"/>
        </w:rPr>
        <w:t>S</w:t>
      </w:r>
      <w:r w:rsidRPr="009D5269">
        <w:rPr>
          <w:rFonts w:cs="Arial"/>
          <w:szCs w:val="24"/>
          <w:shd w:val="clear" w:color="auto" w:fill="FFFFFF"/>
        </w:rPr>
        <w:t xml:space="preserve">e utilizan plantas medicinales locales y dada la amplia variedad de especies existentes en México se tiene a disposición </w:t>
      </w:r>
      <w:r w:rsidRPr="00A2200A">
        <w:rPr>
          <w:rFonts w:cs="Arial"/>
          <w:szCs w:val="24"/>
          <w:shd w:val="clear" w:color="auto" w:fill="FFFFFF"/>
        </w:rPr>
        <w:t>un botiquín</w:t>
      </w:r>
      <w:r>
        <w:rPr>
          <w:rFonts w:cs="Arial"/>
          <w:szCs w:val="24"/>
          <w:shd w:val="clear" w:color="auto" w:fill="FFFFFF"/>
        </w:rPr>
        <w:t xml:space="preserve"> bio-cultural</w:t>
      </w:r>
      <w:r w:rsidRPr="009D5269">
        <w:rPr>
          <w:rFonts w:cs="Arial"/>
          <w:szCs w:val="24"/>
          <w:shd w:val="clear" w:color="auto" w:fill="FFFFFF"/>
        </w:rPr>
        <w:t xml:space="preserve"> en espera de ser analizad</w:t>
      </w:r>
      <w:r>
        <w:rPr>
          <w:rFonts w:cs="Arial"/>
          <w:szCs w:val="24"/>
          <w:shd w:val="clear" w:color="auto" w:fill="FFFFFF"/>
        </w:rPr>
        <w:t>o</w:t>
      </w:r>
      <w:r w:rsidRPr="009D5269">
        <w:rPr>
          <w:rFonts w:cs="Arial"/>
          <w:szCs w:val="24"/>
          <w:shd w:val="clear" w:color="auto" w:fill="FFFFFF"/>
        </w:rPr>
        <w:t xml:space="preserve"> de manera formal como opción a integrase a los modelos agroecológicos. </w:t>
      </w:r>
    </w:p>
    <w:p w14:paraId="33350492" w14:textId="084EF487" w:rsidR="00465DB6" w:rsidRPr="009D5269" w:rsidRDefault="00071E13" w:rsidP="008273DB">
      <w:pPr>
        <w:spacing w:before="0" w:beforeAutospacing="0" w:after="200" w:afterAutospacing="0"/>
      </w:pPr>
      <w:r>
        <w:t>L</w:t>
      </w:r>
      <w:r w:rsidR="00465DB6">
        <w:t>a cunicultura</w:t>
      </w:r>
      <w:r w:rsidR="00465DB6" w:rsidRPr="009D5269">
        <w:t xml:space="preserve"> se está retomando como opción en programas de seguridad alimentaria, como </w:t>
      </w:r>
      <w:r w:rsidR="00C55E22">
        <w:t>el</w:t>
      </w:r>
      <w:r w:rsidR="00465DB6" w:rsidRPr="009D5269">
        <w:t xml:space="preserve"> Programa Integral de Desarrollo Rural y los componentes del Proyecto Estratégico de Seguridad Alimentaria (PESA) y Agricultura Familia Periurbana y de Traspatio (AFPT)</w:t>
      </w:r>
      <w:r w:rsidR="00014C0B">
        <w:t>,</w:t>
      </w:r>
      <w:r w:rsidR="00465DB6" w:rsidRPr="009D5269">
        <w:t xml:space="preserve"> </w:t>
      </w:r>
      <w:r w:rsidR="00014C0B">
        <w:t>p</w:t>
      </w:r>
      <w:r w:rsidR="00C55E22">
        <w:t>or ser una</w:t>
      </w:r>
      <w:r w:rsidR="00465DB6">
        <w:t xml:space="preserve"> especie de fácil manejo, baja inversión, requiere de conocimientos técnicos básicos, la puede desarrollar cualquier individuo y está adaptada a las características geográficas de la zona oriente del Estado de México.  </w:t>
      </w:r>
    </w:p>
    <w:p w14:paraId="01E81D4D" w14:textId="273B6E65" w:rsidR="003F7F84" w:rsidRDefault="003F7F84" w:rsidP="008273DB">
      <w:pPr>
        <w:spacing w:before="0" w:beforeAutospacing="0" w:after="200" w:afterAutospacing="0"/>
        <w:rPr>
          <w:rFonts w:cs="Arial"/>
          <w:szCs w:val="24"/>
          <w:shd w:val="clear" w:color="auto" w:fill="FFFFFF"/>
        </w:rPr>
      </w:pPr>
      <w:r w:rsidRPr="001E4766">
        <w:rPr>
          <w:rFonts w:cs="Arial"/>
          <w:szCs w:val="24"/>
          <w:shd w:val="clear" w:color="auto" w:fill="FFFFFF"/>
        </w:rPr>
        <w:t>Ahora bien,</w:t>
      </w:r>
      <w:r>
        <w:rPr>
          <w:rFonts w:cs="Arial"/>
          <w:szCs w:val="24"/>
          <w:shd w:val="clear" w:color="auto" w:fill="FFFFFF"/>
        </w:rPr>
        <w:t xml:space="preserve"> </w:t>
      </w:r>
      <w:r w:rsidR="009565EA">
        <w:rPr>
          <w:rFonts w:cs="Arial"/>
          <w:szCs w:val="24"/>
          <w:shd w:val="clear" w:color="auto" w:fill="FFFFFF"/>
        </w:rPr>
        <w:t xml:space="preserve">la Organización de la Naciones Unidas para la </w:t>
      </w:r>
      <w:r w:rsidR="002314BD">
        <w:rPr>
          <w:rFonts w:cs="Arial"/>
          <w:szCs w:val="24"/>
          <w:shd w:val="clear" w:color="auto" w:fill="FFFFFF"/>
        </w:rPr>
        <w:t xml:space="preserve">Alimentación y la </w:t>
      </w:r>
      <w:r w:rsidR="009565EA">
        <w:rPr>
          <w:rFonts w:cs="Arial"/>
          <w:szCs w:val="24"/>
          <w:shd w:val="clear" w:color="auto" w:fill="FFFFFF"/>
        </w:rPr>
        <w:t>Agricultura</w:t>
      </w:r>
      <w:r w:rsidR="00071E13">
        <w:rPr>
          <w:rFonts w:cs="Arial"/>
          <w:szCs w:val="24"/>
          <w:shd w:val="clear" w:color="auto" w:fill="FFFFFF"/>
        </w:rPr>
        <w:t>,</w:t>
      </w:r>
      <w:r w:rsidR="00CB1FB4">
        <w:rPr>
          <w:rFonts w:cs="Arial"/>
          <w:szCs w:val="24"/>
          <w:shd w:val="clear" w:color="auto" w:fill="FFFFFF"/>
        </w:rPr>
        <w:t xml:space="preserve"> identifica</w:t>
      </w:r>
      <w:r w:rsidR="002314BD">
        <w:rPr>
          <w:rFonts w:cs="Arial"/>
          <w:szCs w:val="24"/>
          <w:shd w:val="clear" w:color="auto" w:fill="FFFFFF"/>
        </w:rPr>
        <w:t>n</w:t>
      </w:r>
      <w:r w:rsidR="00CB1FB4">
        <w:rPr>
          <w:rFonts w:cs="Arial"/>
          <w:szCs w:val="24"/>
          <w:shd w:val="clear" w:color="auto" w:fill="FFFFFF"/>
        </w:rPr>
        <w:t xml:space="preserve"> la </w:t>
      </w:r>
      <w:r w:rsidR="005B7264">
        <w:rPr>
          <w:rFonts w:cs="Arial"/>
          <w:szCs w:val="24"/>
          <w:shd w:val="clear" w:color="auto" w:fill="FFFFFF"/>
        </w:rPr>
        <w:t>insustentabilidad</w:t>
      </w:r>
      <w:r w:rsidR="00CB1FB4">
        <w:rPr>
          <w:rFonts w:cs="Arial"/>
          <w:szCs w:val="24"/>
          <w:shd w:val="clear" w:color="auto" w:fill="FFFFFF"/>
        </w:rPr>
        <w:t xml:space="preserve"> que generan los sistemas productivos </w:t>
      </w:r>
      <w:r w:rsidR="000E4566">
        <w:rPr>
          <w:rFonts w:cs="Arial"/>
          <w:szCs w:val="24"/>
          <w:shd w:val="clear" w:color="auto" w:fill="FFFFFF"/>
        </w:rPr>
        <w:t>intensivos,</w:t>
      </w:r>
      <w:r w:rsidR="005B7264">
        <w:rPr>
          <w:rFonts w:cs="Arial"/>
          <w:szCs w:val="24"/>
          <w:shd w:val="clear" w:color="auto" w:fill="FFFFFF"/>
        </w:rPr>
        <w:t xml:space="preserve"> pero</w:t>
      </w:r>
      <w:r w:rsidR="00071E13">
        <w:rPr>
          <w:rFonts w:cs="Arial"/>
          <w:szCs w:val="24"/>
          <w:shd w:val="clear" w:color="auto" w:fill="FFFFFF"/>
        </w:rPr>
        <w:t xml:space="preserve"> propone a </w:t>
      </w:r>
      <w:r w:rsidR="005B7264">
        <w:rPr>
          <w:rFonts w:cs="Arial"/>
          <w:szCs w:val="24"/>
          <w:shd w:val="clear" w:color="auto" w:fill="FFFFFF"/>
        </w:rPr>
        <w:t xml:space="preserve">los </w:t>
      </w:r>
      <w:r w:rsidR="00BD5F59">
        <w:rPr>
          <w:rFonts w:cs="Arial"/>
          <w:szCs w:val="24"/>
          <w:shd w:val="clear" w:color="auto" w:fill="FFFFFF"/>
        </w:rPr>
        <w:t>sistemas productivos de traspatio</w:t>
      </w:r>
      <w:r w:rsidR="001E4766">
        <w:rPr>
          <w:rFonts w:cs="Arial"/>
          <w:szCs w:val="24"/>
          <w:shd w:val="clear" w:color="auto" w:fill="FFFFFF"/>
        </w:rPr>
        <w:t xml:space="preserve"> </w:t>
      </w:r>
      <w:r w:rsidR="00BD5F59">
        <w:rPr>
          <w:rFonts w:cs="Arial"/>
          <w:szCs w:val="24"/>
          <w:shd w:val="clear" w:color="auto" w:fill="FFFFFF"/>
        </w:rPr>
        <w:t xml:space="preserve">como alternativa a la seguridad alimentaria, </w:t>
      </w:r>
      <w:r w:rsidR="00071E13">
        <w:rPr>
          <w:rFonts w:cs="Arial"/>
          <w:szCs w:val="24"/>
          <w:shd w:val="clear" w:color="auto" w:fill="FFFFFF"/>
        </w:rPr>
        <w:t xml:space="preserve">los que </w:t>
      </w:r>
      <w:r w:rsidR="00BD5F59">
        <w:rPr>
          <w:rFonts w:cs="Arial"/>
          <w:szCs w:val="24"/>
          <w:shd w:val="clear" w:color="auto" w:fill="FFFFFF"/>
        </w:rPr>
        <w:t>aún no se ha</w:t>
      </w:r>
      <w:r w:rsidR="00071E13">
        <w:rPr>
          <w:rFonts w:cs="Arial"/>
          <w:szCs w:val="24"/>
          <w:shd w:val="clear" w:color="auto" w:fill="FFFFFF"/>
        </w:rPr>
        <w:t>n</w:t>
      </w:r>
      <w:r w:rsidR="00BD5F59">
        <w:rPr>
          <w:rFonts w:cs="Arial"/>
          <w:szCs w:val="24"/>
          <w:shd w:val="clear" w:color="auto" w:fill="FFFFFF"/>
        </w:rPr>
        <w:t xml:space="preserve"> sometido </w:t>
      </w:r>
      <w:r w:rsidR="00104A7B">
        <w:rPr>
          <w:rFonts w:cs="Arial"/>
          <w:szCs w:val="24"/>
          <w:shd w:val="clear" w:color="auto" w:fill="FFFFFF"/>
        </w:rPr>
        <w:t xml:space="preserve">a </w:t>
      </w:r>
      <w:r w:rsidR="00BD5F59">
        <w:rPr>
          <w:rFonts w:cs="Arial"/>
          <w:szCs w:val="24"/>
          <w:shd w:val="clear" w:color="auto" w:fill="FFFFFF"/>
        </w:rPr>
        <w:t>una evaluación de la sustentabilidad.</w:t>
      </w:r>
    </w:p>
    <w:p w14:paraId="606ABD99" w14:textId="2E06EC63" w:rsidR="00104A7B" w:rsidRDefault="00465DB6" w:rsidP="008273DB">
      <w:r>
        <w:t xml:space="preserve">Debido a lo anterior se plantea la siguiente pregunta de investigación, </w:t>
      </w:r>
      <w:r w:rsidRPr="007E28E8">
        <w:t>¿</w:t>
      </w:r>
      <w:r w:rsidRPr="00880AF4">
        <w:t>C</w:t>
      </w:r>
      <w:r>
        <w:t>ó</w:t>
      </w:r>
      <w:r w:rsidRPr="00880AF4">
        <w:t>mo interactúan las dimensiones</w:t>
      </w:r>
      <w:r w:rsidR="000E4566">
        <w:t>,</w:t>
      </w:r>
      <w:r>
        <w:t xml:space="preserve"> </w:t>
      </w:r>
      <w:r w:rsidRPr="00880AF4">
        <w:t>agroecológica, socio-territorial y económica en las unidades productivas cunícolas de traspatio con el empleo de la herbolaria</w:t>
      </w:r>
      <w:r w:rsidRPr="007E28E8">
        <w:t>?</w:t>
      </w:r>
      <w:r w:rsidR="00104A7B">
        <w:br w:type="page"/>
      </w:r>
    </w:p>
    <w:bookmarkEnd w:id="16"/>
    <w:p w14:paraId="6819EB12" w14:textId="539DE291" w:rsidR="00A457F3" w:rsidRPr="00014C0B" w:rsidRDefault="000441C7" w:rsidP="00014C0B">
      <w:pPr>
        <w:rPr>
          <w:b/>
        </w:rPr>
      </w:pPr>
      <w:r w:rsidRPr="00014C0B">
        <w:rPr>
          <w:b/>
        </w:rPr>
        <w:lastRenderedPageBreak/>
        <w:t>V. JUSTIFICACIÓN</w:t>
      </w:r>
    </w:p>
    <w:p w14:paraId="2683512A" w14:textId="3CE6D3BB" w:rsidR="00867E93" w:rsidRDefault="00867E93" w:rsidP="00014C0B">
      <w:r>
        <w:t xml:space="preserve">En la actualidad </w:t>
      </w:r>
      <w:r w:rsidR="00B45388">
        <w:t>la</w:t>
      </w:r>
      <w:r>
        <w:t xml:space="preserve"> producción</w:t>
      </w:r>
      <w:r w:rsidR="00B569AD">
        <w:t xml:space="preserve"> intensiva</w:t>
      </w:r>
      <w:r>
        <w:t xml:space="preserve"> </w:t>
      </w:r>
      <w:r w:rsidR="00C37035">
        <w:t>de alimentos de origen animal es señalada por el alto impacto ambiental</w:t>
      </w:r>
      <w:r w:rsidR="00B569AD">
        <w:t xml:space="preserve"> que genera a nivel mundial</w:t>
      </w:r>
      <w:r w:rsidR="00014C0B">
        <w:t>, los</w:t>
      </w:r>
      <w:r w:rsidR="00C37035">
        <w:t xml:space="preserve"> </w:t>
      </w:r>
      <w:r w:rsidR="00014C0B">
        <w:t>p</w:t>
      </w:r>
      <w:r w:rsidR="00B45388">
        <w:t>roducto</w:t>
      </w:r>
      <w:r w:rsidR="00014C0B">
        <w:t>s</w:t>
      </w:r>
      <w:r w:rsidR="00C37035">
        <w:t xml:space="preserve"> </w:t>
      </w:r>
      <w:r w:rsidR="00B45388">
        <w:t>de</w:t>
      </w:r>
      <w:r w:rsidR="00C37035">
        <w:t xml:space="preserve"> la siembra de monocultivos destinados para los piensos y la cantidad de dióxido de carbono que generan l</w:t>
      </w:r>
      <w:r w:rsidR="00B45388">
        <w:t xml:space="preserve">as explotaciones destinadas al consumo humano. </w:t>
      </w:r>
      <w:r w:rsidR="008C5598">
        <w:t>Aunque estos sistemas no son la única opción para generar alimentos.</w:t>
      </w:r>
    </w:p>
    <w:p w14:paraId="0D8C3693" w14:textId="7FC74A1B" w:rsidR="00517E92" w:rsidRDefault="00DF4BCF" w:rsidP="00014C0B">
      <w:r>
        <w:t xml:space="preserve">Los sistemas semi-intensivos o de traspatio representan </w:t>
      </w:r>
      <w:r w:rsidR="00CB6D03">
        <w:t xml:space="preserve">otra opción de acceso y disponibilidad alimentaria por parte de la población. Es distribuida en las zonas cercanas al lugar de origen del productor, el costo suele ser menor en comparación a los productos de otras zonas </w:t>
      </w:r>
      <w:r w:rsidR="00F35653">
        <w:t>y contribuyen al desarrollo endógeno local.</w:t>
      </w:r>
      <w:r>
        <w:t xml:space="preserve"> </w:t>
      </w:r>
      <w:r w:rsidR="00F35653">
        <w:t>Estas dependen de l</w:t>
      </w:r>
      <w:r w:rsidR="00517E92">
        <w:t>os piensos</w:t>
      </w:r>
      <w:r w:rsidR="00F35653">
        <w:t xml:space="preserve"> desarrollad</w:t>
      </w:r>
      <w:r w:rsidR="00517E92">
        <w:t>o</w:t>
      </w:r>
      <w:r w:rsidR="00F35653">
        <w:t xml:space="preserve">s </w:t>
      </w:r>
      <w:r w:rsidR="00517E92">
        <w:t>con fórmulas que son productivamente comprobadas.</w:t>
      </w:r>
    </w:p>
    <w:p w14:paraId="577E1E3E" w14:textId="05571461" w:rsidR="00380D2B" w:rsidRDefault="00DD52BC" w:rsidP="00014C0B">
      <w:r>
        <w:t>La cunicultura es uno de estos sistemas que puede ser intensivo, semi-intensivo o de traspatio y está siendo retomad</w:t>
      </w:r>
      <w:r w:rsidR="00C25706">
        <w:t>o</w:t>
      </w:r>
      <w:r>
        <w:t xml:space="preserve"> por las políticas públicas alimentarias. En la zona oriente del Estado de México, es una actividad que se realiza de manera tradicional al colaborar en la generación de ingresos económicos locales y forma parte del atractivo turístico gastronómico y cultural.  </w:t>
      </w:r>
    </w:p>
    <w:p w14:paraId="1AAC48B7" w14:textId="7D206237" w:rsidR="000441C7" w:rsidRDefault="00C25706" w:rsidP="00014C0B">
      <w:r>
        <w:t xml:space="preserve">En la misma zona se </w:t>
      </w:r>
      <w:r w:rsidR="00384D03">
        <w:t xml:space="preserve">tiene </w:t>
      </w:r>
      <w:r>
        <w:t>conoc</w:t>
      </w:r>
      <w:r w:rsidR="00384D03">
        <w:t>imiento de</w:t>
      </w:r>
      <w:r>
        <w:t xml:space="preserve"> otra actividad con tradición</w:t>
      </w:r>
      <w:r w:rsidR="00384D03">
        <w:t>,</w:t>
      </w:r>
      <w:r>
        <w:t xml:space="preserve"> cultura </w:t>
      </w:r>
      <w:r w:rsidR="00384D03">
        <w:t>y aceptación</w:t>
      </w:r>
      <w:r w:rsidR="000441C7">
        <w:t>,</w:t>
      </w:r>
      <w:r w:rsidR="000441C7" w:rsidRPr="009D5269">
        <w:t xml:space="preserve"> la herbolaria</w:t>
      </w:r>
      <w:r w:rsidR="00384D03">
        <w:t>.</w:t>
      </w:r>
      <w:r w:rsidR="000441C7" w:rsidRPr="009D5269">
        <w:t xml:space="preserve"> </w:t>
      </w:r>
      <w:r w:rsidR="00384D03">
        <w:t>Esta</w:t>
      </w:r>
      <w:r w:rsidR="000441C7" w:rsidRPr="009D5269">
        <w:t xml:space="preserve"> se ha </w:t>
      </w:r>
      <w:r w:rsidR="000441C7">
        <w:t xml:space="preserve">extendido como alternativa en la prevención y </w:t>
      </w:r>
      <w:r w:rsidR="000441C7" w:rsidRPr="009D5269">
        <w:t>tratamiento de enfermedades, tanto</w:t>
      </w:r>
      <w:r w:rsidR="000441C7">
        <w:t xml:space="preserve"> en humanos como en veterinaria, por ser de fácil acceso, económica y, de acuerdo con la revisión bibliográfica, existen plantas medicinales que pueden ser de utilidad en varias enfermedades. La</w:t>
      </w:r>
      <w:r w:rsidR="000441C7" w:rsidRPr="009D5269">
        <w:t xml:space="preserve"> aceptación de dichas técnicas se basa en que forman parte de la tradición cultural e idiosincrasia mexicana</w:t>
      </w:r>
      <w:r w:rsidR="000441C7">
        <w:t>,</w:t>
      </w:r>
      <w:r w:rsidR="000441C7" w:rsidRPr="009D5269">
        <w:t xml:space="preserve"> pues tienen un fuerte arraigo desde sus antepasados</w:t>
      </w:r>
      <w:r w:rsidR="000441C7">
        <w:t xml:space="preserve"> y se realiza hasta la actualidad, sin importar el área geográfica a la que se ubique la comunidad</w:t>
      </w:r>
      <w:r w:rsidR="000441C7" w:rsidRPr="009D5269">
        <w:t>.</w:t>
      </w:r>
    </w:p>
    <w:p w14:paraId="7704895F" w14:textId="3F5BA5DA" w:rsidR="0018533B" w:rsidRDefault="00384D03" w:rsidP="00014C0B">
      <w:r>
        <w:t xml:space="preserve">La introducción de la herbolaria en los sistemas productivos forma parte de la investigación experimental para mejorar los parámetros productivos y de calidad de </w:t>
      </w:r>
      <w:r>
        <w:lastRenderedPageBreak/>
        <w:t>carne</w:t>
      </w:r>
      <w:r w:rsidR="00F632EC">
        <w:t>,</w:t>
      </w:r>
      <w:r>
        <w:t xml:space="preserve"> </w:t>
      </w:r>
      <w:r w:rsidR="00F632EC">
        <w:t>c</w:t>
      </w:r>
      <w:r>
        <w:t xml:space="preserve">on la finalidad de disminuir el uso de tratamientos veterinarios </w:t>
      </w:r>
      <w:r w:rsidR="00DD682D">
        <w:t>como promotores de crecimiento, utilizando los compuestos bioactivos y antioxidantes contenidos en las plantas medicinales</w:t>
      </w:r>
      <w:r w:rsidR="00746A17">
        <w:t>. Estos tratamientos veterinarios aumentan significativamente el costo global de la producción y limitan la intervención del productor, como actor social, en la toma de decisiones para la mejora de la explotación.</w:t>
      </w:r>
    </w:p>
    <w:p w14:paraId="4863ACD2" w14:textId="39F67A9B" w:rsidR="000441C7" w:rsidRDefault="0018533B" w:rsidP="00014C0B">
      <w:r>
        <w:t>La integración de la herbolaria en la cunicultura tiene otros beneficios</w:t>
      </w:r>
      <w:r w:rsidR="000441C7">
        <w:t xml:space="preserve"> de acuerdo con la sustentabilidad</w:t>
      </w:r>
      <w:r>
        <w:t>.</w:t>
      </w:r>
      <w:r w:rsidR="000441C7">
        <w:t xml:space="preserve"> </w:t>
      </w:r>
      <w:r>
        <w:t>P</w:t>
      </w:r>
      <w:r w:rsidR="000441C7">
        <w:t>ermite analizar de forma general la producción</w:t>
      </w:r>
      <w:r>
        <w:t xml:space="preserve"> como un sistema complejo pues</w:t>
      </w:r>
      <w:r w:rsidR="000441C7">
        <w:t xml:space="preserve"> solo ha sido estudiad</w:t>
      </w:r>
      <w:r>
        <w:t>o</w:t>
      </w:r>
      <w:r w:rsidR="000441C7">
        <w:t xml:space="preserve"> de forma aislada, replantea el abordaje de los </w:t>
      </w:r>
      <w:r w:rsidR="0065351F">
        <w:t xml:space="preserve">sistemas productivos desde la perspectiva de los </w:t>
      </w:r>
      <w:r w:rsidR="000441C7">
        <w:t xml:space="preserve">modelos agroecológicos retomando el conocimiento empírico de la comunidad </w:t>
      </w:r>
      <w:r w:rsidR="0065351F">
        <w:t>y</w:t>
      </w:r>
      <w:r w:rsidR="00F632EC">
        <w:t>,</w:t>
      </w:r>
      <w:r w:rsidR="0065351F">
        <w:t xml:space="preserve"> mediante la retroalimentación complementaria entre los especialistas y los productores para </w:t>
      </w:r>
      <w:r w:rsidR="00B02E1E">
        <w:t xml:space="preserve">generar nuevas opciones de </w:t>
      </w:r>
      <w:r w:rsidR="00B85544">
        <w:t>construcción</w:t>
      </w:r>
      <w:r w:rsidR="00B02E1E">
        <w:t xml:space="preserve"> del conocimiento</w:t>
      </w:r>
      <w:r w:rsidR="000441C7">
        <w:t>.</w:t>
      </w:r>
    </w:p>
    <w:p w14:paraId="32E9D972" w14:textId="0AC5D1FF" w:rsidR="002B33D3" w:rsidRDefault="000441C7" w:rsidP="00014C0B">
      <w:r>
        <w:t>De igual forma,</w:t>
      </w:r>
      <w:r w:rsidRPr="009D5269">
        <w:t xml:space="preserve"> la finalidad de esta investigación </w:t>
      </w:r>
      <w:r w:rsidR="00F632EC">
        <w:t>fue</w:t>
      </w:r>
      <w:r w:rsidRPr="009D5269">
        <w:t xml:space="preserve"> generar una propuesta de p</w:t>
      </w:r>
      <w:r>
        <w:t>roducción cunícola</w:t>
      </w:r>
      <w:r w:rsidR="00B02E1E">
        <w:t xml:space="preserve"> de traspatio</w:t>
      </w:r>
      <w:r>
        <w:t xml:space="preserve"> por medio del empleo </w:t>
      </w:r>
      <w:r w:rsidRPr="009D5269">
        <w:t>de la herbolaria reg</w:t>
      </w:r>
      <w:r>
        <w:t xml:space="preserve">ional al ser evaluada por </w:t>
      </w:r>
      <w:r w:rsidRPr="009D5269">
        <w:t>diferentes</w:t>
      </w:r>
      <w:r>
        <w:t xml:space="preserve"> indicadores</w:t>
      </w:r>
      <w:r w:rsidRPr="009D5269">
        <w:t xml:space="preserve"> d</w:t>
      </w:r>
      <w:r>
        <w:t xml:space="preserve">e la sustentabilidad, </w:t>
      </w:r>
      <w:r w:rsidR="00B02E1E">
        <w:t xml:space="preserve">determinados por </w:t>
      </w:r>
      <w:r>
        <w:t>el método IDEA</w:t>
      </w:r>
      <w:r w:rsidRPr="009D5269">
        <w:t xml:space="preserve">, </w:t>
      </w:r>
      <w:r>
        <w:t>que considera</w:t>
      </w:r>
      <w:r w:rsidRPr="009D5269">
        <w:t xml:space="preserve"> </w:t>
      </w:r>
      <w:r w:rsidR="002B33D3">
        <w:t>el</w:t>
      </w:r>
      <w:r w:rsidRPr="009D5269">
        <w:t xml:space="preserve"> aumento y productividad agrícola, equidad e inclusión social, estabilidad de la producción y la sustentabilidad ambiental en la generación de un producto cárnico </w:t>
      </w:r>
      <w:r w:rsidR="002B33D3">
        <w:t>de calidad</w:t>
      </w:r>
      <w:r>
        <w:t xml:space="preserve"> y de buen sabor; así mismo,</w:t>
      </w:r>
      <w:r w:rsidR="002B33D3">
        <w:t xml:space="preserve"> la </w:t>
      </w:r>
      <w:r w:rsidRPr="009D5269">
        <w:t>gener</w:t>
      </w:r>
      <w:r w:rsidR="002B33D3">
        <w:t>ación de</w:t>
      </w:r>
      <w:r w:rsidRPr="009D5269">
        <w:t xml:space="preserve"> beneficios en la </w:t>
      </w:r>
      <w:r>
        <w:t xml:space="preserve">economía local </w:t>
      </w:r>
      <w:r w:rsidRPr="009D5269">
        <w:t>y la seguridad alimentaria</w:t>
      </w:r>
      <w:r w:rsidRPr="00972E75">
        <w:rPr>
          <w:b/>
          <w:bCs/>
        </w:rPr>
        <w:t xml:space="preserve"> </w:t>
      </w:r>
      <w:r w:rsidRPr="009D5269">
        <w:t>de la zona oriente del Estado de México.</w:t>
      </w:r>
    </w:p>
    <w:p w14:paraId="6215D683" w14:textId="77777777" w:rsidR="002B33D3" w:rsidRDefault="002B33D3">
      <w:pPr>
        <w:spacing w:before="0" w:beforeAutospacing="0" w:after="160" w:afterAutospacing="0"/>
      </w:pPr>
      <w:r>
        <w:br w:type="page"/>
      </w:r>
    </w:p>
    <w:p w14:paraId="28880F30" w14:textId="7652B949" w:rsidR="00746A17" w:rsidRPr="002B33D3" w:rsidRDefault="000441C7" w:rsidP="002B33D3">
      <w:pPr>
        <w:rPr>
          <w:b/>
        </w:rPr>
      </w:pPr>
      <w:r w:rsidRPr="002B33D3">
        <w:rPr>
          <w:b/>
        </w:rPr>
        <w:lastRenderedPageBreak/>
        <w:t>VI. HIP</w:t>
      </w:r>
      <w:r w:rsidR="006B7AAE">
        <w:rPr>
          <w:b/>
        </w:rPr>
        <w:t>Ó</w:t>
      </w:r>
      <w:r w:rsidRPr="002B33D3">
        <w:rPr>
          <w:b/>
        </w:rPr>
        <w:t>T</w:t>
      </w:r>
      <w:r w:rsidR="006B7AAE">
        <w:rPr>
          <w:b/>
        </w:rPr>
        <w:t>E</w:t>
      </w:r>
      <w:r w:rsidRPr="002B33D3">
        <w:rPr>
          <w:b/>
        </w:rPr>
        <w:t>SIS</w:t>
      </w:r>
    </w:p>
    <w:p w14:paraId="7B5F6641" w14:textId="0699CD2C" w:rsidR="00104A7B" w:rsidRDefault="000441C7" w:rsidP="002B33D3">
      <w:r w:rsidRPr="00880AF4">
        <w:t>Al emplear la herbolaria en las unidades productivas cunícolas de traspatio, se aumenta la interacción de las dimensiones agroecológica, socio-territorial y económica</w:t>
      </w:r>
      <w:r w:rsidR="002B33D3">
        <w:t xml:space="preserve"> mejorando la sustentabilidad del sistema.</w:t>
      </w:r>
    </w:p>
    <w:p w14:paraId="25578062" w14:textId="77777777" w:rsidR="00104A7B" w:rsidRDefault="00104A7B">
      <w:pPr>
        <w:spacing w:before="0" w:beforeAutospacing="0" w:after="160" w:afterAutospacing="0"/>
      </w:pPr>
      <w:r>
        <w:br w:type="page"/>
      </w:r>
    </w:p>
    <w:p w14:paraId="63A2187E" w14:textId="7C625EF9" w:rsidR="00516F41" w:rsidRPr="002B33D3" w:rsidRDefault="000441C7" w:rsidP="002B33D3">
      <w:pPr>
        <w:rPr>
          <w:b/>
        </w:rPr>
      </w:pPr>
      <w:r w:rsidRPr="002B33D3">
        <w:rPr>
          <w:b/>
        </w:rPr>
        <w:lastRenderedPageBreak/>
        <w:t>VII. OBJETIVOS</w:t>
      </w:r>
    </w:p>
    <w:p w14:paraId="5C9274E3" w14:textId="77777777" w:rsidR="00516F41" w:rsidRPr="009D5269" w:rsidRDefault="00516F41" w:rsidP="002B33D3">
      <w:r w:rsidRPr="009D5269">
        <w:t>Objetivo general</w:t>
      </w:r>
    </w:p>
    <w:p w14:paraId="799AFD81" w14:textId="050523C1" w:rsidR="00516F41" w:rsidRPr="002B33D3" w:rsidRDefault="00516F41" w:rsidP="002B33D3">
      <w:pPr>
        <w:numPr>
          <w:ilvl w:val="0"/>
          <w:numId w:val="2"/>
        </w:numPr>
      </w:pPr>
      <w:r w:rsidRPr="00880AF4">
        <w:t>Evaluar la interacción de las dimensiones agroecológica, socio-territorial y económica de las unidades productivas cunícolas de traspatio al emplear la herbolaria</w:t>
      </w:r>
      <w:r w:rsidRPr="00880AF4">
        <w:rPr>
          <w:lang w:val="es-419"/>
        </w:rPr>
        <w:t>.</w:t>
      </w:r>
    </w:p>
    <w:p w14:paraId="31395C49" w14:textId="77777777" w:rsidR="002B33D3" w:rsidRPr="00880AF4" w:rsidRDefault="002B33D3" w:rsidP="002B33D3">
      <w:pPr>
        <w:ind w:left="720"/>
      </w:pPr>
    </w:p>
    <w:p w14:paraId="49FC4449" w14:textId="77777777" w:rsidR="00516F41" w:rsidRDefault="00516F41" w:rsidP="002B33D3">
      <w:r w:rsidRPr="007E28E8">
        <w:t xml:space="preserve"> </w:t>
      </w:r>
      <w:r w:rsidRPr="009D5269">
        <w:t>Objetivos específicos</w:t>
      </w:r>
    </w:p>
    <w:p w14:paraId="6DD47943" w14:textId="77777777" w:rsidR="00516F41" w:rsidRPr="00880AF4" w:rsidRDefault="00516F41" w:rsidP="002B33D3">
      <w:pPr>
        <w:numPr>
          <w:ilvl w:val="0"/>
          <w:numId w:val="3"/>
        </w:numPr>
      </w:pPr>
      <w:r w:rsidRPr="00880AF4">
        <w:t xml:space="preserve">Analizar la sustentabilidad de las unidades productivas cunícolas de traspatio de la zona oriente del Estado de México. </w:t>
      </w:r>
    </w:p>
    <w:p w14:paraId="0B3CE9E4" w14:textId="1A118370" w:rsidR="00516F41" w:rsidRPr="00880AF4" w:rsidRDefault="00516F41" w:rsidP="002B33D3">
      <w:pPr>
        <w:numPr>
          <w:ilvl w:val="0"/>
          <w:numId w:val="3"/>
        </w:numPr>
      </w:pPr>
      <w:r w:rsidRPr="00880AF4">
        <w:t>Estima</w:t>
      </w:r>
      <w:r w:rsidR="009A5F3E">
        <w:t>r</w:t>
      </w:r>
      <w:r w:rsidRPr="00880AF4">
        <w:t xml:space="preserve"> la sustentabilidad de la herbolaria en la zona oriente del Estado de México.</w:t>
      </w:r>
    </w:p>
    <w:p w14:paraId="37F9B122" w14:textId="201ABC86" w:rsidR="002B33D3" w:rsidRDefault="00516F41" w:rsidP="002B33D3">
      <w:pPr>
        <w:numPr>
          <w:ilvl w:val="0"/>
          <w:numId w:val="3"/>
        </w:numPr>
      </w:pPr>
      <w:r w:rsidRPr="00880AF4">
        <w:t>Examinar el uso de la herbolaria en las unidades productivas cunícolas de traspatio mediante el método IDEA</w:t>
      </w:r>
      <w:r w:rsidR="002B33D3">
        <w:t>.</w:t>
      </w:r>
    </w:p>
    <w:p w14:paraId="3CBF1BD6" w14:textId="77777777" w:rsidR="002B33D3" w:rsidRDefault="002B33D3">
      <w:pPr>
        <w:spacing w:before="0" w:beforeAutospacing="0" w:after="160" w:afterAutospacing="0"/>
      </w:pPr>
      <w:r>
        <w:br w:type="page"/>
      </w:r>
    </w:p>
    <w:p w14:paraId="151FD252" w14:textId="16B68F64" w:rsidR="000441C7" w:rsidRPr="002B33D3" w:rsidRDefault="000441C7" w:rsidP="002B33D3">
      <w:pPr>
        <w:rPr>
          <w:b/>
        </w:rPr>
      </w:pPr>
      <w:r w:rsidRPr="002B33D3">
        <w:rPr>
          <w:b/>
        </w:rPr>
        <w:lastRenderedPageBreak/>
        <w:t>VIII. METODOLOGÍA</w:t>
      </w:r>
    </w:p>
    <w:p w14:paraId="472488FB" w14:textId="6D4F502B" w:rsidR="00AD3FE6" w:rsidRPr="002B33D3" w:rsidRDefault="000441C7" w:rsidP="002B33D3">
      <w:pPr>
        <w:rPr>
          <w:b/>
          <w:szCs w:val="24"/>
        </w:rPr>
      </w:pPr>
      <w:r w:rsidRPr="002B33D3">
        <w:rPr>
          <w:b/>
        </w:rPr>
        <w:t>8.1</w:t>
      </w:r>
      <w:r w:rsidR="006147FB" w:rsidRPr="002B33D3">
        <w:rPr>
          <w:b/>
        </w:rPr>
        <w:t xml:space="preserve"> </w:t>
      </w:r>
      <w:r w:rsidR="00202870" w:rsidRPr="002B33D3">
        <w:rPr>
          <w:b/>
        </w:rPr>
        <w:t>Zona de estudio</w:t>
      </w:r>
    </w:p>
    <w:p w14:paraId="5FA7CCF7" w14:textId="3C161A98" w:rsidR="00AD3FE6" w:rsidRDefault="00AD3FE6" w:rsidP="002B33D3">
      <w:r w:rsidRPr="009D5269">
        <w:t>El territorio de referencia se localiza al oriente del Estado de México</w:t>
      </w:r>
      <w:r>
        <w:t xml:space="preserve"> </w:t>
      </w:r>
      <w:r w:rsidRPr="009D5269">
        <w:t>(</w:t>
      </w:r>
      <w:r>
        <w:t>f</w:t>
      </w:r>
      <w:r w:rsidRPr="009D5269">
        <w:t xml:space="preserve">igura </w:t>
      </w:r>
      <w:r>
        <w:t>2</w:t>
      </w:r>
      <w:r w:rsidRPr="009D5269">
        <w:t>), integrad</w:t>
      </w:r>
      <w:r w:rsidR="002B33D3">
        <w:t>o</w:t>
      </w:r>
      <w:r w:rsidRPr="009D5269">
        <w:t xml:space="preserve"> por 13 municipios, lo que forma la región I Amecameca: Amecameca</w:t>
      </w:r>
      <w:r>
        <w:t xml:space="preserve"> de Juárez</w:t>
      </w:r>
      <w:r w:rsidRPr="009D5269">
        <w:t>, Atlautla</w:t>
      </w:r>
      <w:r>
        <w:t xml:space="preserve"> de Victoria</w:t>
      </w:r>
      <w:r w:rsidRPr="009D5269">
        <w:t>, Ayapango</w:t>
      </w:r>
      <w:r>
        <w:t xml:space="preserve"> de Gabriel Ramos Millán</w:t>
      </w:r>
      <w:r w:rsidRPr="009D5269">
        <w:t>, Cocotitlán, Chalco</w:t>
      </w:r>
      <w:r>
        <w:t xml:space="preserve"> de Díaz Covarrubias</w:t>
      </w:r>
      <w:r w:rsidRPr="009D5269">
        <w:t>, Ecatzingo</w:t>
      </w:r>
      <w:r>
        <w:t xml:space="preserve"> de Hidalgo</w:t>
      </w:r>
      <w:r w:rsidRPr="009D5269">
        <w:t>, Juchitepec</w:t>
      </w:r>
      <w:r>
        <w:t xml:space="preserve"> de Mariano Riva Palacio</w:t>
      </w:r>
      <w:r w:rsidRPr="009D5269">
        <w:t>, Ozumba</w:t>
      </w:r>
      <w:r>
        <w:t xml:space="preserve"> de Álzate</w:t>
      </w:r>
      <w:r w:rsidRPr="009D5269">
        <w:t>, Temamatla, Tenango del Aire, Tepetlixpa, Tlalmanalco</w:t>
      </w:r>
      <w:r>
        <w:t xml:space="preserve"> de Velázquez</w:t>
      </w:r>
      <w:r w:rsidRPr="009D5269">
        <w:t xml:space="preserve"> y Valle de Chalco Solidaridad (Gobierno del Estado de México, 2001)</w:t>
      </w:r>
      <w:r>
        <w:t>.</w:t>
      </w:r>
      <w:r w:rsidRPr="009D5269">
        <w:t xml:space="preserve"> </w:t>
      </w:r>
    </w:p>
    <w:p w14:paraId="370705DF" w14:textId="77777777" w:rsidR="002B33D3" w:rsidRPr="009D5269" w:rsidRDefault="002B33D3" w:rsidP="002B33D3"/>
    <w:p w14:paraId="59CBC5D9" w14:textId="25CDB477" w:rsidR="00AD3FE6" w:rsidRPr="006A2B80" w:rsidRDefault="00BD14B3" w:rsidP="002B33D3">
      <w:r>
        <w:rPr>
          <w:noProof/>
          <w:lang w:eastAsia="es-MX"/>
        </w:rPr>
        <w:drawing>
          <wp:anchor distT="0" distB="0" distL="114300" distR="114300" simplePos="0" relativeHeight="251658240" behindDoc="0" locked="0" layoutInCell="1" allowOverlap="1" wp14:anchorId="160EB330" wp14:editId="0DF888AF">
            <wp:simplePos x="0" y="0"/>
            <wp:positionH relativeFrom="column">
              <wp:posOffset>691515</wp:posOffset>
            </wp:positionH>
            <wp:positionV relativeFrom="paragraph">
              <wp:posOffset>1905</wp:posOffset>
            </wp:positionV>
            <wp:extent cx="4181475" cy="3486150"/>
            <wp:effectExtent l="0" t="0" r="9525" b="0"/>
            <wp:wrapTopAndBottom/>
            <wp:docPr id="3" name="Imagen 3"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Mapa&#10;&#10;Descripción generada automáticamente"/>
                    <pic:cNvPicPr/>
                  </pic:nvPicPr>
                  <pic:blipFill rotWithShape="1">
                    <a:blip r:embed="rId13">
                      <a:extLst>
                        <a:ext uri="{28A0092B-C50C-407E-A947-70E740481C1C}">
                          <a14:useLocalDpi xmlns:a14="http://schemas.microsoft.com/office/drawing/2010/main" val="0"/>
                        </a:ext>
                      </a:extLst>
                    </a:blip>
                    <a:srcRect l="23386"/>
                    <a:stretch/>
                  </pic:blipFill>
                  <pic:spPr bwMode="auto">
                    <a:xfrm>
                      <a:off x="0" y="0"/>
                      <a:ext cx="4181475" cy="3486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40CDD" w:rsidRPr="00D40CDD" w:rsidDel="00D40CDD">
        <w:rPr>
          <w:noProof/>
        </w:rPr>
        <w:t xml:space="preserve">  </w:t>
      </w:r>
      <w:r w:rsidR="00AD3FE6" w:rsidRPr="00D1290A">
        <w:t xml:space="preserve">Figura </w:t>
      </w:r>
      <w:r w:rsidR="00AD3FE6">
        <w:t>2</w:t>
      </w:r>
      <w:r w:rsidR="00AD3FE6" w:rsidRPr="00D1290A">
        <w:t>. Ubicación de la zona oriente del Estado de México. Fuente: (COPLADEM, S/A).</w:t>
      </w:r>
    </w:p>
    <w:p w14:paraId="654483F0" w14:textId="77FC2AB7" w:rsidR="005F0645" w:rsidRDefault="005F0645" w:rsidP="002B33D3">
      <w:r w:rsidRPr="009D5269">
        <w:t xml:space="preserve">Esta </w:t>
      </w:r>
      <w:r>
        <w:t>zona</w:t>
      </w:r>
      <w:r w:rsidRPr="009D5269">
        <w:t xml:space="preserve"> se localiza al oriente del Estado de México y puede ser conocida como Región 1 o región de Amecameca haciendo referencia a que el municipio coordinador de esta región es el de Amecameca, tiene una superficie total de </w:t>
      </w:r>
      <w:r w:rsidRPr="009D5269">
        <w:lastRenderedPageBreak/>
        <w:t>1</w:t>
      </w:r>
      <w:r w:rsidR="007A20C9">
        <w:t>,</w:t>
      </w:r>
      <w:r w:rsidRPr="009D5269">
        <w:t>193.45 km cuadrados, una población 911</w:t>
      </w:r>
      <w:r w:rsidR="007A20C9">
        <w:t>,</w:t>
      </w:r>
      <w:r w:rsidRPr="009D5269">
        <w:t>179 habitantes y comprende el 21.8% del territorio de la entidad. La cabecera de l</w:t>
      </w:r>
      <w:r>
        <w:t>a región es Amecameca de Juárez (COPLADEM, S/F</w:t>
      </w:r>
      <w:r w:rsidRPr="009D5269">
        <w:t>).</w:t>
      </w:r>
    </w:p>
    <w:p w14:paraId="507888ED" w14:textId="5E0201CD" w:rsidR="005F3114" w:rsidRPr="005F3114" w:rsidRDefault="005F3114" w:rsidP="002B33D3">
      <w:pPr>
        <w:rPr>
          <w:color w:val="000000"/>
          <w:szCs w:val="24"/>
        </w:rPr>
      </w:pPr>
      <w:r w:rsidRPr="005F3114">
        <w:rPr>
          <w:color w:val="000000"/>
          <w:szCs w:val="24"/>
        </w:rPr>
        <w:t>En esta área se encuentran dos de los volcanes más altos del Valle de México (Popocatépetl e Iztaccíhuatl), elevaciones que propician la existencia de bosques de oyamel, pino y encino, así como vegetación secundaria arbustiva y herbácea, también denominada pradera de alta montaña (Gobierno del Estado de México, 201</w:t>
      </w:r>
      <w:r>
        <w:rPr>
          <w:color w:val="000000"/>
          <w:szCs w:val="24"/>
        </w:rPr>
        <w:t>8</w:t>
      </w:r>
      <w:r w:rsidRPr="005F3114">
        <w:rPr>
          <w:color w:val="000000"/>
          <w:szCs w:val="24"/>
        </w:rPr>
        <w:t>).</w:t>
      </w:r>
    </w:p>
    <w:p w14:paraId="3B29D24D" w14:textId="7AF26137" w:rsidR="005F3114" w:rsidRPr="005F3114" w:rsidRDefault="002B33D3" w:rsidP="002B33D3">
      <w:pPr>
        <w:rPr>
          <w:color w:val="000000"/>
          <w:szCs w:val="24"/>
        </w:rPr>
      </w:pPr>
      <w:r>
        <w:rPr>
          <w:color w:val="000000"/>
          <w:szCs w:val="24"/>
        </w:rPr>
        <w:t>C</w:t>
      </w:r>
      <w:r w:rsidR="005F3114" w:rsidRPr="005F3114">
        <w:rPr>
          <w:color w:val="000000"/>
          <w:szCs w:val="24"/>
        </w:rPr>
        <w:t>uenta con tres áreas protegidas, el Parque Nacional Iztaccíhuatl y Popocatépetl, Parque Estatal Santuario del Agua y Forestal Manantial “El Salto de Atlautla–Ecatzingo” y el Parque Estatal Santuario del Agua y Forestal sin decreto “Salto de Amecameca”; los cuales se ubican cerca del área volcánica (Gobierno del Estado de México, 201</w:t>
      </w:r>
      <w:r w:rsidR="005F3114">
        <w:rPr>
          <w:color w:val="000000"/>
          <w:szCs w:val="24"/>
        </w:rPr>
        <w:t>8</w:t>
      </w:r>
      <w:r w:rsidR="005F3114" w:rsidRPr="005F3114">
        <w:rPr>
          <w:color w:val="000000"/>
          <w:szCs w:val="24"/>
        </w:rPr>
        <w:t>).</w:t>
      </w:r>
    </w:p>
    <w:p w14:paraId="78F104BD" w14:textId="2BEC2335" w:rsidR="00D40CDD" w:rsidRDefault="005F3114" w:rsidP="002B33D3">
      <w:pPr>
        <w:rPr>
          <w:color w:val="000000"/>
          <w:szCs w:val="24"/>
        </w:rPr>
      </w:pPr>
      <w:r w:rsidRPr="005F3114">
        <w:rPr>
          <w:color w:val="000000"/>
          <w:szCs w:val="24"/>
        </w:rPr>
        <w:t>La región presenta una variación de tipos de suelo propicios para diferentes actividades como agrícolas, pecuarias y forestales, debido al cambio de uso de suelo la mancha urbana se expande sobre esta. Presenta un promedio de precipitación de 1</w:t>
      </w:r>
      <w:r w:rsidR="007A20C9">
        <w:rPr>
          <w:color w:val="000000"/>
          <w:szCs w:val="24"/>
        </w:rPr>
        <w:t>,</w:t>
      </w:r>
      <w:r w:rsidRPr="005F3114">
        <w:rPr>
          <w:color w:val="000000"/>
          <w:szCs w:val="24"/>
        </w:rPr>
        <w:t>200 mm anuales. La temperatura media varía de los 12 °C a los 18 °C, aunque en invierno puede disminuir hasta los -3 °C.</w:t>
      </w:r>
    </w:p>
    <w:p w14:paraId="79720CAA" w14:textId="45255723" w:rsidR="00AD3FE6" w:rsidRPr="009D5269" w:rsidRDefault="00AD3FE6" w:rsidP="002B33D3">
      <w:pPr>
        <w:rPr>
          <w:color w:val="000000"/>
          <w:szCs w:val="24"/>
        </w:rPr>
      </w:pPr>
      <w:r w:rsidRPr="009D5269">
        <w:rPr>
          <w:color w:val="000000"/>
          <w:szCs w:val="24"/>
        </w:rPr>
        <w:t>En 201</w:t>
      </w:r>
      <w:r w:rsidR="00E40D3C">
        <w:rPr>
          <w:color w:val="000000"/>
          <w:szCs w:val="24"/>
        </w:rPr>
        <w:t>0</w:t>
      </w:r>
      <w:r w:rsidRPr="009D5269">
        <w:rPr>
          <w:color w:val="000000"/>
          <w:szCs w:val="24"/>
        </w:rPr>
        <w:t xml:space="preserve"> se publicó en la Gaceta del Gobierno el proyecto “Programa Regional de Desarrollo Turístico del Corredor Oriente”, “Ruta de Sor Juana Inés de la Cruz, Estado de México”; en el que se resalta el valor cultural e histórico y la cercanía con la Zona Metropolitana del Valle de México, </w:t>
      </w:r>
      <w:r w:rsidR="002B33D3">
        <w:rPr>
          <w:color w:val="000000"/>
          <w:szCs w:val="24"/>
        </w:rPr>
        <w:t>e</w:t>
      </w:r>
      <w:r w:rsidR="00E40D3C">
        <w:rPr>
          <w:color w:val="000000"/>
          <w:szCs w:val="24"/>
        </w:rPr>
        <w:t>n 2015, la Cámara de Diputados</w:t>
      </w:r>
      <w:r w:rsidR="00CF7F76">
        <w:rPr>
          <w:color w:val="000000"/>
          <w:szCs w:val="24"/>
        </w:rPr>
        <w:t xml:space="preserve"> retoma el proyecto y busca rescatar y difundir las tradiciones, festividades</w:t>
      </w:r>
      <w:r w:rsidR="00D40CDD">
        <w:rPr>
          <w:color w:val="000000"/>
          <w:szCs w:val="24"/>
        </w:rPr>
        <w:t xml:space="preserve"> y otras manifestaciones culturales mediante la implementación de recorridos turísticos</w:t>
      </w:r>
      <w:r w:rsidR="00E40D3C">
        <w:rPr>
          <w:color w:val="000000"/>
          <w:szCs w:val="24"/>
        </w:rPr>
        <w:t xml:space="preserve"> </w:t>
      </w:r>
      <w:r w:rsidRPr="009D5269">
        <w:rPr>
          <w:color w:val="000000"/>
          <w:szCs w:val="24"/>
        </w:rPr>
        <w:t>(</w:t>
      </w:r>
      <w:r w:rsidR="00B270F5">
        <w:rPr>
          <w:color w:val="000000"/>
          <w:szCs w:val="24"/>
        </w:rPr>
        <w:t>Cámara de Diputados, 2015</w:t>
      </w:r>
      <w:r w:rsidRPr="009D5269">
        <w:rPr>
          <w:color w:val="000000"/>
          <w:szCs w:val="24"/>
        </w:rPr>
        <w:t xml:space="preserve">). </w:t>
      </w:r>
    </w:p>
    <w:p w14:paraId="275CD91C" w14:textId="77777777" w:rsidR="00AD3FE6" w:rsidRDefault="00AD3FE6" w:rsidP="002B33D3">
      <w:pPr>
        <w:rPr>
          <w:rFonts w:cs="Arial"/>
          <w:szCs w:val="24"/>
        </w:rPr>
      </w:pPr>
      <w:r w:rsidRPr="009D5269">
        <w:rPr>
          <w:color w:val="000000"/>
          <w:szCs w:val="24"/>
        </w:rPr>
        <w:t xml:space="preserve">En 2014, se concluyó la construcción de la Autopista Chalco-Cuautla en el tramo Amecameca-Entronque La Alborada, que comprende una distancia de 24 km con la </w:t>
      </w:r>
      <w:r w:rsidRPr="009D5269">
        <w:rPr>
          <w:color w:val="000000"/>
          <w:szCs w:val="24"/>
        </w:rPr>
        <w:lastRenderedPageBreak/>
        <w:t>finalidad de incrementar la eficiencia y seguridad para los usuarios (</w:t>
      </w:r>
      <w:r w:rsidRPr="009D5269">
        <w:rPr>
          <w:rFonts w:cs="Arial"/>
          <w:szCs w:val="24"/>
        </w:rPr>
        <w:t>Secretaría de Comunicaciones y Transportes, 2014), con esta vía se reduce el tiempo necesario para cruzar la zona</w:t>
      </w:r>
      <w:r>
        <w:rPr>
          <w:rFonts w:cs="Arial"/>
          <w:szCs w:val="24"/>
        </w:rPr>
        <w:t>,</w:t>
      </w:r>
      <w:r w:rsidRPr="009D5269">
        <w:rPr>
          <w:rFonts w:cs="Arial"/>
          <w:szCs w:val="24"/>
        </w:rPr>
        <w:t xml:space="preserve"> pero la afluencia de turismo de cultura se ha visto disminuido y a su vez la economía de la zona.</w:t>
      </w:r>
    </w:p>
    <w:p w14:paraId="49A19752" w14:textId="77777777" w:rsidR="00832F3F" w:rsidRDefault="00832F3F" w:rsidP="002B33D3">
      <w:pPr>
        <w:rPr>
          <w:b/>
          <w:bCs/>
        </w:rPr>
      </w:pPr>
    </w:p>
    <w:p w14:paraId="0AFB75AF" w14:textId="309B1C83" w:rsidR="00C87E13" w:rsidRPr="002B33D3" w:rsidRDefault="005C4B40" w:rsidP="002B33D3">
      <w:pPr>
        <w:rPr>
          <w:b/>
          <w:bCs/>
        </w:rPr>
      </w:pPr>
      <w:r w:rsidRPr="002B33D3">
        <w:rPr>
          <w:b/>
          <w:bCs/>
        </w:rPr>
        <w:t>8.2</w:t>
      </w:r>
      <w:r w:rsidR="00C87E13" w:rsidRPr="002B33D3">
        <w:rPr>
          <w:b/>
          <w:bCs/>
        </w:rPr>
        <w:t xml:space="preserve"> </w:t>
      </w:r>
      <w:r w:rsidR="00202870" w:rsidRPr="002B33D3">
        <w:rPr>
          <w:b/>
          <w:bCs/>
        </w:rPr>
        <w:t xml:space="preserve">Unidades </w:t>
      </w:r>
      <w:r w:rsidR="006E7F3E" w:rsidRPr="002B33D3">
        <w:rPr>
          <w:b/>
          <w:bCs/>
        </w:rPr>
        <w:t>P</w:t>
      </w:r>
      <w:r w:rsidR="00202870" w:rsidRPr="002B33D3">
        <w:rPr>
          <w:b/>
          <w:bCs/>
        </w:rPr>
        <w:t xml:space="preserve">roductivas </w:t>
      </w:r>
      <w:r w:rsidR="006E7F3E" w:rsidRPr="002B33D3">
        <w:rPr>
          <w:b/>
          <w:bCs/>
        </w:rPr>
        <w:t>C</w:t>
      </w:r>
      <w:r w:rsidR="00202870" w:rsidRPr="002B33D3">
        <w:rPr>
          <w:b/>
          <w:bCs/>
        </w:rPr>
        <w:t>un</w:t>
      </w:r>
      <w:r w:rsidRPr="002B33D3">
        <w:rPr>
          <w:b/>
          <w:bCs/>
        </w:rPr>
        <w:t>í</w:t>
      </w:r>
      <w:r w:rsidR="00202870" w:rsidRPr="002B33D3">
        <w:rPr>
          <w:b/>
          <w:bCs/>
        </w:rPr>
        <w:t xml:space="preserve">colas de </w:t>
      </w:r>
      <w:r w:rsidR="006E7F3E" w:rsidRPr="002B33D3">
        <w:rPr>
          <w:b/>
          <w:bCs/>
        </w:rPr>
        <w:t>T</w:t>
      </w:r>
      <w:r w:rsidR="00202870" w:rsidRPr="002B33D3">
        <w:rPr>
          <w:b/>
          <w:bCs/>
        </w:rPr>
        <w:t>raspatio</w:t>
      </w:r>
    </w:p>
    <w:p w14:paraId="64E040F0" w14:textId="5234F6D3" w:rsidR="00202870" w:rsidRDefault="00202870" w:rsidP="002B33D3">
      <w:r>
        <w:t>Se estudiaron</w:t>
      </w:r>
      <w:r w:rsidR="00C87E13" w:rsidRPr="00E051CA">
        <w:t xml:space="preserve"> 50 unidades productivas cunícolas de traspatio (UPCT)</w:t>
      </w:r>
      <w:r>
        <w:t>,</w:t>
      </w:r>
      <w:r w:rsidR="00C87E13" w:rsidRPr="00E051CA">
        <w:t xml:space="preserve"> </w:t>
      </w:r>
      <w:r>
        <w:t>l</w:t>
      </w:r>
      <w:r w:rsidR="00C87E13">
        <w:t>os productores que participaron en la investigación contaban con un mínimo</w:t>
      </w:r>
      <w:r w:rsidR="00F8500B">
        <w:t xml:space="preserve"> de</w:t>
      </w:r>
      <w:r w:rsidR="00C87E13">
        <w:t xml:space="preserve"> </w:t>
      </w:r>
      <w:r w:rsidR="00C87E13" w:rsidRPr="00F8500B">
        <w:t>cinco</w:t>
      </w:r>
      <w:r w:rsidR="00C87E13">
        <w:t xml:space="preserve"> vientres más sus reemplazos y venta periódica de conejo en pie. </w:t>
      </w:r>
    </w:p>
    <w:p w14:paraId="724C49BF" w14:textId="77777777" w:rsidR="00832F3F" w:rsidRDefault="00832F3F" w:rsidP="002B33D3">
      <w:pPr>
        <w:rPr>
          <w:b/>
          <w:bCs/>
        </w:rPr>
      </w:pPr>
    </w:p>
    <w:p w14:paraId="3E89868F" w14:textId="5736F470" w:rsidR="00202870" w:rsidRPr="002B33D3" w:rsidRDefault="00E3027E" w:rsidP="002B33D3">
      <w:pPr>
        <w:rPr>
          <w:b/>
          <w:bCs/>
        </w:rPr>
      </w:pPr>
      <w:r w:rsidRPr="002B33D3">
        <w:rPr>
          <w:b/>
          <w:bCs/>
        </w:rPr>
        <w:t>8.3</w:t>
      </w:r>
      <w:r w:rsidR="00202870" w:rsidRPr="002B33D3">
        <w:rPr>
          <w:b/>
          <w:bCs/>
        </w:rPr>
        <w:t xml:space="preserve"> Método IDEA</w:t>
      </w:r>
    </w:p>
    <w:p w14:paraId="6BDE7ADC" w14:textId="56BF9192" w:rsidR="00C87E13" w:rsidRDefault="00202870" w:rsidP="002B33D3">
      <w:r>
        <w:t xml:space="preserve">A los productores </w:t>
      </w:r>
      <w:r w:rsidR="00E3027E">
        <w:t>s</w:t>
      </w:r>
      <w:r w:rsidR="00C87E13">
        <w:t xml:space="preserve">e les aplicó una encuesta basada en el método IDEA, la cual fue adaptada para este sistema productivo. </w:t>
      </w:r>
    </w:p>
    <w:p w14:paraId="511C4447" w14:textId="77777777" w:rsidR="00C87E13" w:rsidRDefault="00C87E13" w:rsidP="002B33D3">
      <w:r>
        <w:t xml:space="preserve">La adaptación se conformó de la siguiente manera: agroecológica (tres componentes y 14 indicadores), socio-territorial (tres componentes y 17 indicadores) y económica sin modificación. Debido a las características de la especie y método de producción, se descartaron cinco indicadores: A4 Aprovechamiento y conservación del patrimonio genético, A8 Zonas de regulación ecológica, A9 Contribución a los objetivos ambientales del territorio, A10 Carga animal y B2 Aprovechamiento del patrimonio construido y del paisaje. </w:t>
      </w:r>
    </w:p>
    <w:p w14:paraId="5F5A73C6" w14:textId="18BA9FB9" w:rsidR="00A75388" w:rsidRDefault="00C87E13" w:rsidP="002B33D3">
      <w:r>
        <w:t xml:space="preserve">El indicador que se restructuro fue B1 </w:t>
      </w:r>
      <w:r w:rsidR="002B33D3">
        <w:t>p</w:t>
      </w:r>
      <w:r>
        <w:t xml:space="preserve">rocesos de calidad, </w:t>
      </w:r>
      <w:r w:rsidR="009C2944">
        <w:t>debido a</w:t>
      </w:r>
      <w:r w:rsidR="00A75388">
        <w:t xml:space="preserve"> las precisiones</w:t>
      </w:r>
      <w:r w:rsidR="009C2944">
        <w:t xml:space="preserve"> del método IDEA (Vilain, 2008)</w:t>
      </w:r>
      <w:r w:rsidR="002B33D3">
        <w:t>,</w:t>
      </w:r>
      <w:r w:rsidR="009C2944">
        <w:t xml:space="preserve"> este indicador se fundamenta en los medios de producción menos artificiales y generadores de prejuicios</w:t>
      </w:r>
      <w:r w:rsidR="007C7AB8">
        <w:t>, y</w:t>
      </w:r>
      <w:r w:rsidR="009C2944">
        <w:t xml:space="preserve"> lejos de los modelos de producción </w:t>
      </w:r>
      <w:r w:rsidR="003473FE">
        <w:t>en masa</w:t>
      </w:r>
      <w:r w:rsidR="007C7AB8">
        <w:t>.</w:t>
      </w:r>
      <w:r w:rsidR="00A75388">
        <w:t xml:space="preserve"> </w:t>
      </w:r>
      <w:r w:rsidR="007C7AB8">
        <w:t xml:space="preserve">Los productores contribuyen con la preservación de la </w:t>
      </w:r>
      <w:r w:rsidR="007C7AB8">
        <w:lastRenderedPageBreak/>
        <w:t>identidad de los territorios</w:t>
      </w:r>
      <w:r w:rsidR="00F70300">
        <w:t>,</w:t>
      </w:r>
      <w:r w:rsidR="007C7AB8">
        <w:t xml:space="preserve"> la autenticidad de los alimentos</w:t>
      </w:r>
      <w:r w:rsidR="00F70300">
        <w:t xml:space="preserve"> y el modo de producción con el que tengan mayor efectividad</w:t>
      </w:r>
      <w:r w:rsidR="007C7AB8">
        <w:t xml:space="preserve">. </w:t>
      </w:r>
    </w:p>
    <w:p w14:paraId="44744976" w14:textId="292D743B" w:rsidR="00C87E13" w:rsidRDefault="00F70300" w:rsidP="002B33D3">
      <w:r>
        <w:t xml:space="preserve">Para </w:t>
      </w:r>
      <w:r w:rsidR="00832F3F">
        <w:t>determinar</w:t>
      </w:r>
      <w:r>
        <w:t xml:space="preserve"> la calidad de la carne de conejo, se </w:t>
      </w:r>
      <w:r w:rsidR="00C87E13">
        <w:t>considera</w:t>
      </w:r>
      <w:r>
        <w:t>ron</w:t>
      </w:r>
      <w:r w:rsidR="00C87E13">
        <w:t xml:space="preserve"> dos parámetros, los productivos conformados por ganancia de peso diario, conversión alimentaria, eficiencia alimentaria y coeficiente de digestibilidad (Laiño,</w:t>
      </w:r>
      <w:r w:rsidR="00C87E13" w:rsidRPr="00E0236C">
        <w:rPr>
          <w:i/>
          <w:iCs/>
        </w:rPr>
        <w:t xml:space="preserve"> et al</w:t>
      </w:r>
      <w:r w:rsidR="00C87E13">
        <w:t>., 2018); y los de calidad de</w:t>
      </w:r>
      <w:r w:rsidR="00360AC0">
        <w:t xml:space="preserve"> la </w:t>
      </w:r>
      <w:r w:rsidR="00C87E13">
        <w:t>carne conformado por color (Wang</w:t>
      </w:r>
      <w:r w:rsidR="002964D9">
        <w:t>,</w:t>
      </w:r>
      <w:r w:rsidR="00C87E13">
        <w:t xml:space="preserve"> </w:t>
      </w:r>
      <w:r w:rsidR="00C87E13" w:rsidRPr="00C372FC">
        <w:rPr>
          <w:i/>
          <w:iCs/>
        </w:rPr>
        <w:t>et al.,</w:t>
      </w:r>
      <w:r w:rsidR="00C87E13">
        <w:t xml:space="preserve"> 2016), pH (Hajji, </w:t>
      </w:r>
      <w:r w:rsidR="00C87E13" w:rsidRPr="008410A1">
        <w:rPr>
          <w:i/>
          <w:iCs/>
        </w:rPr>
        <w:t>et al</w:t>
      </w:r>
      <w:r w:rsidR="00C87E13">
        <w:t xml:space="preserve">., 2016), pérdida de agua por goteo (Tartrakoon, Tartrakoon </w:t>
      </w:r>
      <w:r w:rsidR="002964D9">
        <w:t>y</w:t>
      </w:r>
      <w:r w:rsidR="00C87E13">
        <w:t xml:space="preserve"> Kitsupee, 2016)</w:t>
      </w:r>
      <w:r w:rsidR="00F72719">
        <w:t xml:space="preserve"> y</w:t>
      </w:r>
      <w:r w:rsidR="00C87E13">
        <w:t xml:space="preserve"> rendimiento </w:t>
      </w:r>
      <w:r w:rsidR="00C87E13" w:rsidRPr="00F72719">
        <w:t>de la canal</w:t>
      </w:r>
      <w:r w:rsidR="00C87E13">
        <w:t xml:space="preserve"> fría y caliente (Jaurez, </w:t>
      </w:r>
      <w:r w:rsidR="00C87E13" w:rsidRPr="008410A1">
        <w:rPr>
          <w:i/>
          <w:iCs/>
        </w:rPr>
        <w:t>et al</w:t>
      </w:r>
      <w:r w:rsidR="00C87E13">
        <w:t>., 2017).</w:t>
      </w:r>
      <w:r w:rsidR="00832F3F">
        <w:t xml:space="preserve"> Estos datos fueron obtenidos de estudios previos realizados en la Posta Zootécnica del Centro Universitario UAEM Amecameca.</w:t>
      </w:r>
    </w:p>
    <w:p w14:paraId="08703230" w14:textId="77777777" w:rsidR="00C87E13" w:rsidRDefault="00C87E13" w:rsidP="002B33D3">
      <w:r w:rsidRPr="005A17DC">
        <w:rPr>
          <w:rFonts w:cs="Arial"/>
          <w:szCs w:val="24"/>
        </w:rPr>
        <w:t xml:space="preserve">Las encuestas fueron aplicadas a los productores mediante visitas a las UPCT, para </w:t>
      </w:r>
      <w:r>
        <w:t xml:space="preserve">la fase descriptiva se tomaron fotografías con la finalidad de identificar los materiales de construcción de las instalaciones y de las áreas de confinamiento. </w:t>
      </w:r>
    </w:p>
    <w:p w14:paraId="53420B3E" w14:textId="77777777" w:rsidR="00C87E13" w:rsidRDefault="00C87E13" w:rsidP="002B33D3">
      <w:r>
        <w:t>Para los resultados financieros de la producción anual de las UPCT se calculó, los ingresos (venta de gazapos, conejo en pie y canal), egresos (depreciación, costos de alimentación, tratamientos veterinarios, unidad de trabajo no asalariado [UTH], agua y energía), utilidad, relación ingreso/egreso, rentabilidad, costos fijos y costos variables.</w:t>
      </w:r>
    </w:p>
    <w:p w14:paraId="27B61F05" w14:textId="73B61527" w:rsidR="00C87E13" w:rsidRDefault="00C87E13" w:rsidP="002B33D3">
      <w:r>
        <w:t xml:space="preserve">Para los costos anuales de producción por conejo se calculó alimento, costo por animal, se consideraron como ingresos los precios de venta de gazapos, conejo vivo y canal, se determinó la utilidad y la relación ingresos/egresos de las tres modalidades de venta. </w:t>
      </w:r>
    </w:p>
    <w:p w14:paraId="2B56613F" w14:textId="2BDD6CE7" w:rsidR="00832F3F" w:rsidRDefault="00832F3F" w:rsidP="002B33D3"/>
    <w:p w14:paraId="66E991CF" w14:textId="624642D2" w:rsidR="00202870" w:rsidRPr="00832F3F" w:rsidRDefault="00E3027E" w:rsidP="00832F3F">
      <w:pPr>
        <w:rPr>
          <w:b/>
          <w:bCs/>
        </w:rPr>
      </w:pPr>
      <w:r w:rsidRPr="00832F3F">
        <w:rPr>
          <w:b/>
          <w:bCs/>
        </w:rPr>
        <w:t xml:space="preserve">8.4 </w:t>
      </w:r>
      <w:r w:rsidR="00202870" w:rsidRPr="00832F3F">
        <w:rPr>
          <w:b/>
          <w:bCs/>
        </w:rPr>
        <w:t>Método etnobotánico</w:t>
      </w:r>
    </w:p>
    <w:p w14:paraId="0A9703A1" w14:textId="564F751B" w:rsidR="00FE516C" w:rsidRDefault="00C278D4" w:rsidP="00832F3F">
      <w:r>
        <w:t xml:space="preserve">La etnobotánica es el estudio de la clasificación, uso y manejo de las plantas por las personas, en ella intervienen disciplinas de las ciencias naturales y sociales, como </w:t>
      </w:r>
      <w:r>
        <w:lastRenderedPageBreak/>
        <w:t xml:space="preserve">la botánica, antropología, ecología, economía y lingüística. El principal objetivo es desarrollar la capacidad de las comunidades locales para trabajar en la conservación de los aspectos botánicos (Martin, 2010). </w:t>
      </w:r>
    </w:p>
    <w:p w14:paraId="5764B872" w14:textId="3FBE823C" w:rsidR="00343566" w:rsidRDefault="00C87E13" w:rsidP="00832F3F">
      <w:r>
        <w:t>S</w:t>
      </w:r>
      <w:r w:rsidRPr="0035231E">
        <w:t>e empleó</w:t>
      </w:r>
      <w:r>
        <w:t xml:space="preserve"> el método etnobotánico (Martin, 2010), para establecer las relaciones entre la comunidad y los conocimientos del mundo vegetal, al proponer la colaboración entre la comunidad y los especialistas para explorar soluciones a la conservación y desarrollo en ciertas áreas productivas o de recolección. </w:t>
      </w:r>
    </w:p>
    <w:p w14:paraId="71FF437D" w14:textId="1200DFD4" w:rsidR="00C87E13" w:rsidRDefault="00C87E13" w:rsidP="00832F3F">
      <w:r>
        <w:t>Los resultados obtenidos mediante este método se procesa</w:t>
      </w:r>
      <w:r w:rsidR="00C278D4">
        <w:t>ron</w:t>
      </w:r>
      <w:r>
        <w:t xml:space="preserve"> tanto cuantitativa como cualitativamente, este último como una evaluación rápida que permite una visión integral de la manera en que funciona la comunidad en su conjunto</w:t>
      </w:r>
      <w:r w:rsidR="00C278D4">
        <w:t xml:space="preserve"> (Martin, 2010)</w:t>
      </w:r>
      <w:r>
        <w:t>. Mediante</w:t>
      </w:r>
      <w:r w:rsidRPr="0035231E">
        <w:t xml:space="preserve"> la técnica de entrevista semiestructurada y el análisis del discurso aplicados a productores/recolectores</w:t>
      </w:r>
      <w:r>
        <w:t xml:space="preserve"> de plantas medicinales considerando las dimensiones de la sustentabilidad y las variables (tabla </w:t>
      </w:r>
      <w:r w:rsidR="007A20C9">
        <w:t>6</w:t>
      </w:r>
      <w:r>
        <w:t>).</w:t>
      </w:r>
    </w:p>
    <w:p w14:paraId="0337C226" w14:textId="48B05CD3" w:rsidR="00832F3F" w:rsidRDefault="00832F3F" w:rsidP="00832F3F">
      <w:pPr>
        <w:spacing w:before="240" w:beforeAutospacing="0"/>
      </w:pPr>
      <w:r>
        <w:t xml:space="preserve">Se determino el </w:t>
      </w:r>
      <m:oMath>
        <m:r>
          <w:rPr>
            <w:rFonts w:ascii="Cambria Math" w:hAnsi="Cambria Math"/>
          </w:rPr>
          <m:t>% citas=</m:t>
        </m:r>
        <m:f>
          <m:fPr>
            <m:ctrlPr>
              <w:rPr>
                <w:rFonts w:ascii="Cambria Math" w:hAnsi="Cambria Math"/>
                <w:i/>
              </w:rPr>
            </m:ctrlPr>
          </m:fPr>
          <m:num>
            <m:r>
              <w:rPr>
                <w:rFonts w:ascii="Cambria Math" w:hAnsi="Cambria Math"/>
              </w:rPr>
              <m:t>Número de personas que citaron el consumo de la especie como té</m:t>
            </m:r>
          </m:num>
          <m:den>
            <m:r>
              <w:rPr>
                <w:rFonts w:ascii="Cambria Math" w:hAnsi="Cambria Math"/>
              </w:rPr>
              <m:t>Número total de entrevistados</m:t>
            </m:r>
          </m:den>
        </m:f>
      </m:oMath>
      <w:r>
        <w:rPr>
          <w:rFonts w:eastAsiaTheme="minorEastAsia"/>
        </w:rPr>
        <w:t xml:space="preserve"> y la p</w:t>
      </w:r>
      <w:r>
        <w:t>r</w:t>
      </w:r>
      <w:r w:rsidRPr="00331E7B">
        <w:t>eferencia</w:t>
      </w:r>
      <w:r>
        <w:t xml:space="preserve"> </w:t>
      </w:r>
      <m:oMath>
        <m:r>
          <w:rPr>
            <w:rFonts w:ascii="Cambria Math" w:hAnsi="Cambria Math"/>
          </w:rPr>
          <m:t>(</m:t>
        </m:r>
        <m:r>
          <m:rPr>
            <m:sty m:val="p"/>
          </m:rPr>
          <w:rPr>
            <w:rFonts w:ascii="Cambria Math" w:hAnsi="Cambria Math"/>
          </w:rPr>
          <m:t>Pr⁡</m:t>
        </m:r>
        <m:r>
          <w:rPr>
            <w:rFonts w:ascii="Cambria Math" w:hAnsi="Cambria Math"/>
          </w:rPr>
          <m:t>)</m:t>
        </m:r>
      </m:oMath>
      <w:r>
        <w:rPr>
          <w:rFonts w:eastAsiaTheme="minorEastAsia"/>
        </w:rPr>
        <w:t xml:space="preserve">, la cual fue </w:t>
      </w:r>
      <w:r w:rsidRPr="00E478A5">
        <w:t>estim</w:t>
      </w:r>
      <w:r>
        <w:t>ada</w:t>
      </w:r>
      <w:r w:rsidRPr="00E478A5">
        <w:t xml:space="preserve"> mediante la ecuación</w:t>
      </w:r>
      <w:r>
        <w:t xml:space="preserve">  </w:t>
      </w:r>
      <m:oMath>
        <m:r>
          <w:rPr>
            <w:rFonts w:ascii="Cambria Math" w:hAnsi="Cambria Math"/>
          </w:rPr>
          <m:t>Pr=[(((p1/t))/1+((p2/t))/2)]</m:t>
        </m:r>
      </m:oMath>
      <w:r w:rsidRPr="00E478A5">
        <w:t>, donde</w:t>
      </w:r>
      <w:r>
        <w:t xml:space="preserve"> </w:t>
      </w:r>
      <m:oMath>
        <m:r>
          <w:rPr>
            <w:rFonts w:ascii="Cambria Math" w:hAnsi="Cambria Math"/>
          </w:rPr>
          <m:t>p1</m:t>
        </m:r>
      </m:oMath>
      <w:r w:rsidRPr="00E478A5">
        <w:t xml:space="preserve"> y </w:t>
      </w:r>
      <m:oMath>
        <m:r>
          <w:rPr>
            <w:rFonts w:ascii="Cambria Math" w:hAnsi="Cambria Math"/>
          </w:rPr>
          <m:t>p2</m:t>
        </m:r>
      </m:oMath>
      <w:r w:rsidRPr="00E478A5">
        <w:t xml:space="preserve"> son el número de personas que citaron la especie como preferencia uno y preferencia dos, respectivamente;</w:t>
      </w:r>
      <w:r>
        <w:t xml:space="preserve"> </w:t>
      </w:r>
      <m:oMath>
        <m:r>
          <w:rPr>
            <w:rFonts w:ascii="Cambria Math" w:hAnsi="Cambria Math"/>
          </w:rPr>
          <m:t>t</m:t>
        </m:r>
      </m:oMath>
      <w:r w:rsidRPr="00E478A5">
        <w:t xml:space="preserve"> es el número total de entrevistados</w:t>
      </w:r>
      <w:r>
        <w:t xml:space="preserve">. </w:t>
      </w:r>
    </w:p>
    <w:p w14:paraId="0D1FDDB6" w14:textId="7E16CC7B" w:rsidR="00832F3F" w:rsidRDefault="00B12182" w:rsidP="00832F3F">
      <w:r>
        <w:t>La p</w:t>
      </w:r>
      <w:r w:rsidR="00832F3F" w:rsidRPr="00331E7B">
        <w:t xml:space="preserve">referencia específica </w:t>
      </w:r>
      <m:oMath>
        <m:r>
          <w:rPr>
            <w:rFonts w:ascii="Cambria Math" w:hAnsi="Cambria Math"/>
          </w:rPr>
          <m:t>(Pre)</m:t>
        </m:r>
      </m:oMath>
      <w:r w:rsidR="00832F3F">
        <w:t>,</w:t>
      </w:r>
      <w:r w:rsidR="00832F3F" w:rsidRPr="00BA59D2">
        <w:t xml:space="preserve"> </w:t>
      </w:r>
      <w:r w:rsidR="00832F3F" w:rsidRPr="00E478A5">
        <w:t>se calcul</w:t>
      </w:r>
      <w:r w:rsidR="00832F3F">
        <w:t>ó</w:t>
      </w:r>
      <w:r w:rsidR="00832F3F" w:rsidRPr="00E478A5">
        <w:t xml:space="preserve"> con la fórmula de </w:t>
      </w:r>
      <m:oMath>
        <m:r>
          <w:rPr>
            <w:rFonts w:ascii="Cambria Math" w:hAnsi="Cambria Math"/>
          </w:rPr>
          <m:t>(</m:t>
        </m:r>
        <m:r>
          <m:rPr>
            <m:sty m:val="p"/>
          </m:rPr>
          <w:rPr>
            <w:rFonts w:ascii="Cambria Math" w:hAnsi="Cambria Math"/>
          </w:rPr>
          <m:t>Pr⁡</m:t>
        </m:r>
        <m:r>
          <w:rPr>
            <w:rFonts w:ascii="Cambria Math" w:hAnsi="Cambria Math"/>
          </w:rPr>
          <m:t>)</m:t>
        </m:r>
      </m:oMath>
      <w:r w:rsidR="00832F3F" w:rsidRPr="00E478A5">
        <w:t xml:space="preserve">, pero en lugar de que </w:t>
      </w:r>
      <m:oMath>
        <m:r>
          <w:rPr>
            <w:rFonts w:ascii="Cambria Math" w:hAnsi="Cambria Math"/>
          </w:rPr>
          <m:t>t</m:t>
        </m:r>
      </m:oMath>
      <w:r w:rsidR="00832F3F" w:rsidRPr="00E478A5">
        <w:t xml:space="preserve"> </w:t>
      </w:r>
      <w:r w:rsidR="00832F3F">
        <w:t>fuera</w:t>
      </w:r>
      <w:r w:rsidR="00832F3F" w:rsidRPr="00E478A5">
        <w:t xml:space="preserve"> el número total de entrevistados, se tom</w:t>
      </w:r>
      <w:r w:rsidR="00832F3F">
        <w:t>ó</w:t>
      </w:r>
      <w:r w:rsidR="00832F3F" w:rsidRPr="00E478A5">
        <w:t xml:space="preserve"> el número total de personas que citaron consumir esa especie</w:t>
      </w:r>
      <w:r w:rsidR="00832F3F">
        <w:t>. El V</w:t>
      </w:r>
      <w:r w:rsidR="00832F3F" w:rsidRPr="00331E7B">
        <w:t xml:space="preserve">alor </w:t>
      </w:r>
      <w:r w:rsidR="00832F3F">
        <w:t>C</w:t>
      </w:r>
      <w:r w:rsidR="00832F3F" w:rsidRPr="00331E7B">
        <w:t xml:space="preserve">ultural </w:t>
      </w:r>
      <m:oMath>
        <m:r>
          <w:rPr>
            <w:rFonts w:ascii="Cambria Math" w:hAnsi="Cambria Math"/>
          </w:rPr>
          <m:t>(VC)</m:t>
        </m:r>
      </m:oMath>
      <w:r w:rsidR="00832F3F" w:rsidRPr="00331E7B">
        <w:t xml:space="preserve"> para cada especie</w:t>
      </w:r>
      <w:r w:rsidR="00832F3F">
        <w:t xml:space="preserve">, </w:t>
      </w:r>
      <w:r w:rsidR="00832F3F" w:rsidRPr="00E478A5">
        <w:t>se calcul</w:t>
      </w:r>
      <w:r w:rsidR="00832F3F">
        <w:t>ó</w:t>
      </w:r>
      <w:r w:rsidR="00832F3F" w:rsidRPr="00E478A5">
        <w:t xml:space="preserve"> como el promedio del porcentaje de citas, </w:t>
      </w:r>
      <m:oMath>
        <m:r>
          <w:rPr>
            <w:rFonts w:ascii="Cambria Math" w:hAnsi="Cambria Math"/>
          </w:rPr>
          <m:t>(</m:t>
        </m:r>
        <m:r>
          <m:rPr>
            <m:sty m:val="p"/>
          </m:rPr>
          <w:rPr>
            <w:rFonts w:ascii="Cambria Math" w:hAnsi="Cambria Math"/>
          </w:rPr>
          <m:t>Pr⁡</m:t>
        </m:r>
        <m:r>
          <w:rPr>
            <w:rFonts w:ascii="Cambria Math" w:hAnsi="Cambria Math"/>
          </w:rPr>
          <m:t>)</m:t>
        </m:r>
      </m:oMath>
      <w:r w:rsidR="00832F3F" w:rsidRPr="00E478A5">
        <w:t xml:space="preserve"> y </w:t>
      </w:r>
      <m:oMath>
        <m:r>
          <w:rPr>
            <w:rFonts w:ascii="Cambria Math" w:hAnsi="Cambria Math"/>
          </w:rPr>
          <m:t>(Pre)</m:t>
        </m:r>
      </m:oMath>
      <w:r w:rsidR="00832F3F" w:rsidRPr="00E478A5">
        <w:t>; mientras que el valor cultural general</w:t>
      </w:r>
      <w:r w:rsidR="00832F3F">
        <w:t xml:space="preserve"> fue</w:t>
      </w:r>
      <w:r w:rsidR="00832F3F" w:rsidRPr="00E478A5">
        <w:t xml:space="preserve"> el promedio de</w:t>
      </w:r>
      <w:r>
        <w:t>l</w:t>
      </w:r>
      <w:r w:rsidR="00832F3F" w:rsidRPr="00E478A5">
        <w:t xml:space="preserve"> </w:t>
      </w:r>
      <m:oMath>
        <m:r>
          <w:rPr>
            <w:rFonts w:ascii="Cambria Math" w:hAnsi="Cambria Math"/>
          </w:rPr>
          <m:t>(VC)</m:t>
        </m:r>
      </m:oMath>
      <w:r w:rsidR="00832F3F" w:rsidRPr="00E478A5">
        <w:t xml:space="preserve"> en </w:t>
      </w:r>
      <w:r w:rsidR="00832F3F">
        <w:t>las</w:t>
      </w:r>
      <w:r w:rsidR="00832F3F" w:rsidRPr="00E478A5">
        <w:t xml:space="preserve"> zonas</w:t>
      </w:r>
      <w:r w:rsidR="00832F3F">
        <w:t>.</w:t>
      </w:r>
    </w:p>
    <w:p w14:paraId="02D55190" w14:textId="53A0CC86" w:rsidR="00B12182" w:rsidRDefault="00B12182" w:rsidP="00B12182">
      <w:pPr>
        <w:sectPr w:rsidR="00B12182">
          <w:pgSz w:w="12240" w:h="15840"/>
          <w:pgMar w:top="1417" w:right="1701" w:bottom="1417" w:left="1701" w:header="708" w:footer="708" w:gutter="0"/>
          <w:cols w:space="708"/>
          <w:docGrid w:linePitch="360"/>
        </w:sectPr>
      </w:pPr>
      <w:r w:rsidRPr="00B12182">
        <w:rPr>
          <w:rFonts w:cs="Arial"/>
        </w:rPr>
        <w:t xml:space="preserve">En cuanto a los usos medicinales adicionales para cada especie, se cuantificaron dos parámetros: Índice de Uso Medicinal específico </w:t>
      </w:r>
      <m:oMath>
        <m:d>
          <m:dPr>
            <m:ctrlPr>
              <w:rPr>
                <w:rFonts w:ascii="Cambria Math" w:hAnsi="Cambria Math" w:cs="Arial"/>
                <w:i/>
              </w:rPr>
            </m:ctrlPr>
          </m:dPr>
          <m:e>
            <m:r>
              <w:rPr>
                <w:rFonts w:ascii="Cambria Math" w:hAnsi="Cambria Math" w:cs="Arial"/>
              </w:rPr>
              <m:t>IUM</m:t>
            </m:r>
          </m:e>
        </m:d>
      </m:oMath>
      <w:r w:rsidRPr="00B12182">
        <w:rPr>
          <w:rFonts w:cs="Arial"/>
        </w:rPr>
        <w:t xml:space="preserve">, definido como: </w:t>
      </w:r>
      <m:oMath>
        <m:r>
          <w:rPr>
            <w:rFonts w:ascii="Cambria Math" w:hAnsi="Cambria Math" w:cs="Arial"/>
          </w:rPr>
          <m:t xml:space="preserve">IUM= </m:t>
        </m:r>
        <m:f>
          <m:fPr>
            <m:ctrlPr>
              <w:rPr>
                <w:rFonts w:ascii="Cambria Math" w:hAnsi="Cambria Math" w:cs="Arial"/>
                <w:i/>
              </w:rPr>
            </m:ctrlPr>
          </m:fPr>
          <m:num>
            <m:r>
              <w:rPr>
                <w:rFonts w:ascii="Cambria Math" w:hAnsi="Cambria Math" w:cs="Arial"/>
              </w:rPr>
              <m:t>Número de personas que citaron un uso medicinal específico</m:t>
            </m:r>
          </m:num>
          <m:den>
            <m:r>
              <w:rPr>
                <w:rFonts w:ascii="Cambria Math" w:hAnsi="Cambria Math" w:cs="Arial"/>
              </w:rPr>
              <m:t>Número de personas que citaron consumir el té</m:t>
            </m:r>
          </m:den>
        </m:f>
      </m:oMath>
      <w:r>
        <w:t xml:space="preserve">. </w:t>
      </w:r>
    </w:p>
    <w:p w14:paraId="68CD0FD7" w14:textId="3C412442" w:rsidR="00C87E13" w:rsidRDefault="00C87E13" w:rsidP="00C87E13">
      <w:pPr>
        <w:pStyle w:val="Sinespaciado"/>
      </w:pPr>
      <w:r>
        <w:lastRenderedPageBreak/>
        <w:t xml:space="preserve">Tabla </w:t>
      </w:r>
      <w:r w:rsidR="007A20C9">
        <w:t>6</w:t>
      </w:r>
      <w:r>
        <w:t>. Dimensiones y variables consideradas en la sustentabilidad en las plantas medicinales.</w:t>
      </w:r>
    </w:p>
    <w:tbl>
      <w:tblPr>
        <w:tblStyle w:val="Tablaconcuadrcula"/>
        <w:tblW w:w="0" w:type="auto"/>
        <w:tblLook w:val="04A0" w:firstRow="1" w:lastRow="0" w:firstColumn="1" w:lastColumn="0" w:noHBand="0" w:noVBand="1"/>
      </w:tblPr>
      <w:tblGrid>
        <w:gridCol w:w="1649"/>
        <w:gridCol w:w="2173"/>
        <w:gridCol w:w="483"/>
        <w:gridCol w:w="5493"/>
        <w:gridCol w:w="1527"/>
        <w:gridCol w:w="1671"/>
      </w:tblGrid>
      <w:tr w:rsidR="00C87E13" w:rsidRPr="00832F3F" w14:paraId="155729AE" w14:textId="77777777" w:rsidTr="002F6DD4">
        <w:tc>
          <w:tcPr>
            <w:tcW w:w="0" w:type="auto"/>
            <w:vAlign w:val="center"/>
          </w:tcPr>
          <w:p w14:paraId="1DE587A5" w14:textId="77777777" w:rsidR="00C87E13" w:rsidRPr="00832F3F" w:rsidRDefault="00C87E13" w:rsidP="00F058D9">
            <w:pPr>
              <w:pStyle w:val="Sinespaciado"/>
              <w:jc w:val="center"/>
              <w:rPr>
                <w:b/>
                <w:bCs/>
                <w:szCs w:val="24"/>
              </w:rPr>
            </w:pPr>
            <w:r w:rsidRPr="00832F3F">
              <w:rPr>
                <w:b/>
                <w:bCs/>
                <w:szCs w:val="24"/>
              </w:rPr>
              <w:t>Dimensión</w:t>
            </w:r>
          </w:p>
        </w:tc>
        <w:tc>
          <w:tcPr>
            <w:tcW w:w="0" w:type="auto"/>
            <w:vAlign w:val="center"/>
          </w:tcPr>
          <w:p w14:paraId="099184EF" w14:textId="77777777" w:rsidR="00C87E13" w:rsidRPr="00832F3F" w:rsidRDefault="00C87E13" w:rsidP="00F058D9">
            <w:pPr>
              <w:pStyle w:val="Sinespaciado"/>
              <w:jc w:val="center"/>
              <w:rPr>
                <w:b/>
                <w:bCs/>
                <w:szCs w:val="24"/>
              </w:rPr>
            </w:pPr>
            <w:r w:rsidRPr="00832F3F">
              <w:rPr>
                <w:b/>
                <w:bCs/>
                <w:szCs w:val="24"/>
              </w:rPr>
              <w:t>Variable</w:t>
            </w:r>
          </w:p>
        </w:tc>
        <w:tc>
          <w:tcPr>
            <w:tcW w:w="0" w:type="auto"/>
            <w:gridSpan w:val="2"/>
            <w:vAlign w:val="center"/>
          </w:tcPr>
          <w:p w14:paraId="2EA57CF2" w14:textId="77777777" w:rsidR="00C87E13" w:rsidRPr="00832F3F" w:rsidRDefault="00C87E13" w:rsidP="00F058D9">
            <w:pPr>
              <w:pStyle w:val="Sinespaciado"/>
              <w:jc w:val="center"/>
              <w:rPr>
                <w:b/>
                <w:bCs/>
                <w:szCs w:val="24"/>
              </w:rPr>
            </w:pPr>
            <w:r w:rsidRPr="00832F3F">
              <w:rPr>
                <w:b/>
                <w:bCs/>
                <w:szCs w:val="24"/>
              </w:rPr>
              <w:t>Indicador</w:t>
            </w:r>
          </w:p>
        </w:tc>
        <w:tc>
          <w:tcPr>
            <w:tcW w:w="0" w:type="auto"/>
            <w:vAlign w:val="center"/>
          </w:tcPr>
          <w:p w14:paraId="1DB72BA1" w14:textId="77777777" w:rsidR="00C87E13" w:rsidRPr="00832F3F" w:rsidRDefault="00C87E13" w:rsidP="00F058D9">
            <w:pPr>
              <w:pStyle w:val="Sinespaciado"/>
              <w:jc w:val="center"/>
              <w:rPr>
                <w:b/>
                <w:bCs/>
                <w:szCs w:val="24"/>
              </w:rPr>
            </w:pPr>
            <w:r w:rsidRPr="00832F3F">
              <w:rPr>
                <w:b/>
                <w:bCs/>
                <w:szCs w:val="24"/>
              </w:rPr>
              <w:t>Unidad de medición</w:t>
            </w:r>
          </w:p>
        </w:tc>
        <w:tc>
          <w:tcPr>
            <w:tcW w:w="0" w:type="auto"/>
            <w:vAlign w:val="center"/>
          </w:tcPr>
          <w:p w14:paraId="17117F8E" w14:textId="77777777" w:rsidR="00C87E13" w:rsidRPr="00832F3F" w:rsidRDefault="00C87E13" w:rsidP="00F058D9">
            <w:pPr>
              <w:pStyle w:val="Sinespaciado"/>
              <w:jc w:val="center"/>
              <w:rPr>
                <w:b/>
                <w:bCs/>
                <w:szCs w:val="24"/>
              </w:rPr>
            </w:pPr>
            <w:r w:rsidRPr="00832F3F">
              <w:rPr>
                <w:b/>
                <w:bCs/>
                <w:szCs w:val="24"/>
              </w:rPr>
              <w:t>Autor</w:t>
            </w:r>
          </w:p>
        </w:tc>
      </w:tr>
      <w:tr w:rsidR="00C87E13" w:rsidRPr="00832F3F" w14:paraId="0A269815" w14:textId="77777777" w:rsidTr="002F6DD4">
        <w:tc>
          <w:tcPr>
            <w:tcW w:w="0" w:type="auto"/>
            <w:vMerge w:val="restart"/>
            <w:vAlign w:val="center"/>
          </w:tcPr>
          <w:p w14:paraId="4BE6A970" w14:textId="77777777" w:rsidR="00C87E13" w:rsidRPr="00832F3F" w:rsidRDefault="00C87E13" w:rsidP="00F058D9">
            <w:pPr>
              <w:pStyle w:val="Sinespaciado"/>
              <w:jc w:val="center"/>
              <w:rPr>
                <w:szCs w:val="24"/>
              </w:rPr>
            </w:pPr>
            <w:r w:rsidRPr="00832F3F">
              <w:rPr>
                <w:szCs w:val="24"/>
              </w:rPr>
              <w:t>Agroecología</w:t>
            </w:r>
          </w:p>
        </w:tc>
        <w:tc>
          <w:tcPr>
            <w:tcW w:w="0" w:type="auto"/>
            <w:vAlign w:val="center"/>
          </w:tcPr>
          <w:p w14:paraId="6AFF147D" w14:textId="77777777" w:rsidR="00C87E13" w:rsidRPr="00832F3F" w:rsidRDefault="00C87E13" w:rsidP="00F058D9">
            <w:pPr>
              <w:pStyle w:val="Sinespaciado"/>
              <w:jc w:val="center"/>
              <w:rPr>
                <w:szCs w:val="24"/>
              </w:rPr>
            </w:pPr>
            <w:r w:rsidRPr="00832F3F">
              <w:rPr>
                <w:szCs w:val="24"/>
              </w:rPr>
              <w:t>Cultivos fuera de sitio y prácticas agrícolas</w:t>
            </w:r>
          </w:p>
        </w:tc>
        <w:tc>
          <w:tcPr>
            <w:tcW w:w="0" w:type="auto"/>
            <w:vAlign w:val="center"/>
          </w:tcPr>
          <w:p w14:paraId="56C1E157" w14:textId="77777777" w:rsidR="00C87E13" w:rsidRPr="00832F3F" w:rsidRDefault="00C87E13" w:rsidP="00F058D9">
            <w:pPr>
              <w:pStyle w:val="Sinespaciado"/>
              <w:jc w:val="center"/>
              <w:rPr>
                <w:szCs w:val="24"/>
              </w:rPr>
            </w:pPr>
            <w:r w:rsidRPr="00832F3F">
              <w:rPr>
                <w:szCs w:val="24"/>
              </w:rPr>
              <w:t>13</w:t>
            </w:r>
          </w:p>
        </w:tc>
        <w:tc>
          <w:tcPr>
            <w:tcW w:w="0" w:type="auto"/>
            <w:vAlign w:val="center"/>
          </w:tcPr>
          <w:p w14:paraId="66EEB007" w14:textId="77777777" w:rsidR="00C87E13" w:rsidRPr="00832F3F" w:rsidRDefault="00C87E13" w:rsidP="002F6DD4">
            <w:pPr>
              <w:pStyle w:val="Sinespaciado"/>
              <w:spacing w:before="100" w:after="100"/>
              <w:jc w:val="center"/>
              <w:rPr>
                <w:szCs w:val="24"/>
              </w:rPr>
            </w:pPr>
            <w:r w:rsidRPr="00832F3F">
              <w:rPr>
                <w:szCs w:val="24"/>
              </w:rPr>
              <w:t>Cultivo regulado, cambios en la efectividad de la planta, uso de fertilizantes, motivo del cultivo de plantas medicinales, destino y origen de la producción, extensión de tierra productiva destinada a plantas medicinales, policultivo, tipo de riego, agua para cultivo, rotación, fertilización, control biológico de plagas y tipo de maquinaria para el cultivo.</w:t>
            </w:r>
          </w:p>
        </w:tc>
        <w:tc>
          <w:tcPr>
            <w:tcW w:w="0" w:type="auto"/>
            <w:vAlign w:val="center"/>
          </w:tcPr>
          <w:p w14:paraId="6DE3EC2F" w14:textId="77777777" w:rsidR="00C87E13" w:rsidRPr="00832F3F" w:rsidRDefault="00C87E13" w:rsidP="00F058D9">
            <w:pPr>
              <w:pStyle w:val="Sinespaciado"/>
              <w:jc w:val="center"/>
              <w:rPr>
                <w:szCs w:val="24"/>
              </w:rPr>
            </w:pPr>
            <w:r w:rsidRPr="00832F3F">
              <w:rPr>
                <w:szCs w:val="24"/>
              </w:rPr>
              <w:t>Vulnerable o no vulnerable</w:t>
            </w:r>
          </w:p>
        </w:tc>
        <w:tc>
          <w:tcPr>
            <w:tcW w:w="0" w:type="auto"/>
            <w:vAlign w:val="center"/>
          </w:tcPr>
          <w:p w14:paraId="5BE8B9A3" w14:textId="14E1AF1B" w:rsidR="00C87E13" w:rsidRPr="00832F3F" w:rsidRDefault="00C87E13" w:rsidP="00F058D9">
            <w:pPr>
              <w:pStyle w:val="Sinespaciado"/>
              <w:jc w:val="center"/>
              <w:rPr>
                <w:szCs w:val="24"/>
              </w:rPr>
            </w:pPr>
            <w:r w:rsidRPr="00832F3F">
              <w:rPr>
                <w:szCs w:val="24"/>
              </w:rPr>
              <w:t xml:space="preserve">Chen </w:t>
            </w:r>
            <w:r w:rsidRPr="00832F3F">
              <w:rPr>
                <w:i/>
                <w:iCs/>
                <w:szCs w:val="24"/>
              </w:rPr>
              <w:t>et al.</w:t>
            </w:r>
            <w:r w:rsidRPr="00832F3F">
              <w:rPr>
                <w:szCs w:val="24"/>
              </w:rPr>
              <w:t>, 2016</w:t>
            </w:r>
          </w:p>
        </w:tc>
      </w:tr>
      <w:tr w:rsidR="00C87E13" w:rsidRPr="00832F3F" w14:paraId="3380519E" w14:textId="77777777" w:rsidTr="002F6DD4">
        <w:tc>
          <w:tcPr>
            <w:tcW w:w="0" w:type="auto"/>
            <w:vMerge/>
            <w:vAlign w:val="center"/>
          </w:tcPr>
          <w:p w14:paraId="05A50665" w14:textId="77777777" w:rsidR="00C87E13" w:rsidRPr="00832F3F" w:rsidRDefault="00C87E13" w:rsidP="00F058D9">
            <w:pPr>
              <w:pStyle w:val="Sinespaciado"/>
              <w:jc w:val="center"/>
              <w:rPr>
                <w:szCs w:val="24"/>
              </w:rPr>
            </w:pPr>
          </w:p>
        </w:tc>
        <w:tc>
          <w:tcPr>
            <w:tcW w:w="0" w:type="auto"/>
            <w:vAlign w:val="center"/>
          </w:tcPr>
          <w:p w14:paraId="26F2FCFA" w14:textId="77777777" w:rsidR="00C87E13" w:rsidRPr="00832F3F" w:rsidRDefault="00C87E13" w:rsidP="00F058D9">
            <w:pPr>
              <w:pStyle w:val="Sinespaciado"/>
              <w:jc w:val="center"/>
              <w:rPr>
                <w:szCs w:val="24"/>
              </w:rPr>
            </w:pPr>
            <w:r w:rsidRPr="00832F3F">
              <w:rPr>
                <w:szCs w:val="24"/>
              </w:rPr>
              <w:t>Conservación en el sitio, reservas naturales y viveros salvajes</w:t>
            </w:r>
          </w:p>
        </w:tc>
        <w:tc>
          <w:tcPr>
            <w:tcW w:w="0" w:type="auto"/>
            <w:vAlign w:val="center"/>
          </w:tcPr>
          <w:p w14:paraId="52DFC3B5" w14:textId="77777777" w:rsidR="00C87E13" w:rsidRPr="00832F3F" w:rsidRDefault="00C87E13" w:rsidP="00F058D9">
            <w:pPr>
              <w:pStyle w:val="Sinespaciado"/>
              <w:jc w:val="center"/>
              <w:rPr>
                <w:szCs w:val="24"/>
              </w:rPr>
            </w:pPr>
            <w:r w:rsidRPr="00832F3F">
              <w:rPr>
                <w:szCs w:val="24"/>
              </w:rPr>
              <w:t>8</w:t>
            </w:r>
          </w:p>
        </w:tc>
        <w:tc>
          <w:tcPr>
            <w:tcW w:w="0" w:type="auto"/>
            <w:vAlign w:val="center"/>
          </w:tcPr>
          <w:p w14:paraId="6D63DC21" w14:textId="77777777" w:rsidR="00C87E13" w:rsidRPr="00832F3F" w:rsidRDefault="00C87E13" w:rsidP="00F058D9">
            <w:pPr>
              <w:pStyle w:val="Sinespaciado"/>
              <w:jc w:val="center"/>
              <w:rPr>
                <w:szCs w:val="24"/>
              </w:rPr>
            </w:pPr>
            <w:r w:rsidRPr="00832F3F">
              <w:rPr>
                <w:szCs w:val="24"/>
              </w:rPr>
              <w:t>Plantas endémicas, propiedades medicinales, áreas de recolección, cambio de uso de suelo, espacio de tiempo entre recolectas, resiliencia entre recolectas, tipo de recolección (arranque o corte) y crecimiento de nuevas especies.</w:t>
            </w:r>
          </w:p>
        </w:tc>
        <w:tc>
          <w:tcPr>
            <w:tcW w:w="0" w:type="auto"/>
            <w:vAlign w:val="center"/>
          </w:tcPr>
          <w:p w14:paraId="2B00D4FA" w14:textId="77777777" w:rsidR="00C87E13" w:rsidRPr="00832F3F" w:rsidRDefault="00C87E13" w:rsidP="00F058D9">
            <w:pPr>
              <w:pStyle w:val="Sinespaciado"/>
              <w:jc w:val="center"/>
              <w:rPr>
                <w:szCs w:val="24"/>
              </w:rPr>
            </w:pPr>
            <w:r w:rsidRPr="00832F3F">
              <w:rPr>
                <w:szCs w:val="24"/>
              </w:rPr>
              <w:t>Vulnerable o no vulnerable</w:t>
            </w:r>
          </w:p>
        </w:tc>
        <w:tc>
          <w:tcPr>
            <w:tcW w:w="0" w:type="auto"/>
            <w:vAlign w:val="center"/>
          </w:tcPr>
          <w:p w14:paraId="59F73F61" w14:textId="77777777" w:rsidR="00C87E13" w:rsidRPr="00832F3F" w:rsidRDefault="00C87E13" w:rsidP="00F058D9">
            <w:pPr>
              <w:pStyle w:val="Sinespaciado"/>
              <w:jc w:val="center"/>
              <w:rPr>
                <w:szCs w:val="24"/>
              </w:rPr>
            </w:pPr>
            <w:r w:rsidRPr="00832F3F">
              <w:rPr>
                <w:szCs w:val="24"/>
              </w:rPr>
              <w:t>Toledo, 2002</w:t>
            </w:r>
          </w:p>
          <w:p w14:paraId="7D474DCB" w14:textId="77777777" w:rsidR="00C87E13" w:rsidRPr="00832F3F" w:rsidRDefault="00C87E13" w:rsidP="00F058D9">
            <w:pPr>
              <w:pStyle w:val="Sinespaciado"/>
              <w:jc w:val="center"/>
              <w:rPr>
                <w:szCs w:val="24"/>
              </w:rPr>
            </w:pPr>
          </w:p>
        </w:tc>
      </w:tr>
      <w:tr w:rsidR="00C87E13" w:rsidRPr="00832F3F" w14:paraId="6FB43C89" w14:textId="77777777" w:rsidTr="002F6DD4">
        <w:tc>
          <w:tcPr>
            <w:tcW w:w="0" w:type="auto"/>
            <w:vAlign w:val="center"/>
          </w:tcPr>
          <w:p w14:paraId="5CC7F164" w14:textId="77777777" w:rsidR="00C87E13" w:rsidRPr="00832F3F" w:rsidRDefault="00C87E13" w:rsidP="00F058D9">
            <w:pPr>
              <w:pStyle w:val="Sinespaciado"/>
              <w:jc w:val="center"/>
              <w:rPr>
                <w:szCs w:val="24"/>
              </w:rPr>
            </w:pPr>
            <w:r w:rsidRPr="00832F3F">
              <w:rPr>
                <w:szCs w:val="24"/>
              </w:rPr>
              <w:t>Economía</w:t>
            </w:r>
          </w:p>
        </w:tc>
        <w:tc>
          <w:tcPr>
            <w:tcW w:w="0" w:type="auto"/>
            <w:vAlign w:val="center"/>
          </w:tcPr>
          <w:p w14:paraId="7D845EBE" w14:textId="77777777" w:rsidR="00C87E13" w:rsidRPr="00832F3F" w:rsidRDefault="00C87E13" w:rsidP="00F058D9">
            <w:pPr>
              <w:pStyle w:val="Sinespaciado"/>
              <w:jc w:val="center"/>
              <w:rPr>
                <w:szCs w:val="24"/>
              </w:rPr>
            </w:pPr>
            <w:r w:rsidRPr="00832F3F">
              <w:rPr>
                <w:szCs w:val="24"/>
              </w:rPr>
              <w:t>Viabilidad y eficiencia</w:t>
            </w:r>
          </w:p>
        </w:tc>
        <w:tc>
          <w:tcPr>
            <w:tcW w:w="0" w:type="auto"/>
            <w:vAlign w:val="center"/>
          </w:tcPr>
          <w:p w14:paraId="5A33A1EC" w14:textId="77777777" w:rsidR="00C87E13" w:rsidRPr="00832F3F" w:rsidRDefault="00C87E13" w:rsidP="00F058D9">
            <w:pPr>
              <w:pStyle w:val="Sinespaciado"/>
              <w:jc w:val="center"/>
              <w:rPr>
                <w:szCs w:val="24"/>
              </w:rPr>
            </w:pPr>
            <w:r w:rsidRPr="00832F3F">
              <w:rPr>
                <w:szCs w:val="24"/>
              </w:rPr>
              <w:t>6</w:t>
            </w:r>
          </w:p>
        </w:tc>
        <w:tc>
          <w:tcPr>
            <w:tcW w:w="0" w:type="auto"/>
            <w:vAlign w:val="center"/>
          </w:tcPr>
          <w:p w14:paraId="09D7C12A" w14:textId="77777777" w:rsidR="00C87E13" w:rsidRPr="00832F3F" w:rsidRDefault="00C87E13" w:rsidP="00F058D9">
            <w:pPr>
              <w:pStyle w:val="Sinespaciado"/>
              <w:jc w:val="center"/>
              <w:rPr>
                <w:szCs w:val="24"/>
              </w:rPr>
            </w:pPr>
            <w:r w:rsidRPr="00832F3F">
              <w:rPr>
                <w:szCs w:val="24"/>
              </w:rPr>
              <w:t>Destino de la producción, tipo de unidad de venta, costo por unidad, valor agregado por inclusión de materiales/transporte, condiciones de venta (picado-atado-otra) y estado vegetativo (fresco-seco)</w:t>
            </w:r>
          </w:p>
        </w:tc>
        <w:tc>
          <w:tcPr>
            <w:tcW w:w="0" w:type="auto"/>
            <w:vAlign w:val="center"/>
          </w:tcPr>
          <w:p w14:paraId="351A2759" w14:textId="77777777" w:rsidR="00C87E13" w:rsidRPr="00832F3F" w:rsidRDefault="00C87E13" w:rsidP="00F058D9">
            <w:pPr>
              <w:pStyle w:val="Sinespaciado"/>
              <w:jc w:val="center"/>
              <w:rPr>
                <w:szCs w:val="24"/>
              </w:rPr>
            </w:pPr>
            <w:r w:rsidRPr="00832F3F">
              <w:rPr>
                <w:szCs w:val="24"/>
              </w:rPr>
              <w:t>Aplica o no aplica</w:t>
            </w:r>
          </w:p>
        </w:tc>
        <w:tc>
          <w:tcPr>
            <w:tcW w:w="0" w:type="auto"/>
            <w:vAlign w:val="center"/>
          </w:tcPr>
          <w:p w14:paraId="476458EC" w14:textId="77777777" w:rsidR="00C87E13" w:rsidRPr="00832F3F" w:rsidRDefault="00C87E13" w:rsidP="00F058D9">
            <w:pPr>
              <w:pStyle w:val="Sinespaciado"/>
              <w:jc w:val="center"/>
              <w:rPr>
                <w:szCs w:val="24"/>
              </w:rPr>
            </w:pPr>
            <w:r w:rsidRPr="00832F3F">
              <w:rPr>
                <w:szCs w:val="24"/>
              </w:rPr>
              <w:t>Martínez, 2005</w:t>
            </w:r>
          </w:p>
        </w:tc>
      </w:tr>
      <w:tr w:rsidR="00C87E13" w:rsidRPr="00832F3F" w14:paraId="7ED1B7A3" w14:textId="77777777" w:rsidTr="002F6DD4">
        <w:tc>
          <w:tcPr>
            <w:tcW w:w="0" w:type="auto"/>
            <w:vAlign w:val="center"/>
          </w:tcPr>
          <w:p w14:paraId="708335B3" w14:textId="77777777" w:rsidR="00C87E13" w:rsidRPr="00832F3F" w:rsidRDefault="00C87E13" w:rsidP="00F058D9">
            <w:pPr>
              <w:pStyle w:val="Sinespaciado"/>
              <w:jc w:val="center"/>
              <w:rPr>
                <w:szCs w:val="24"/>
              </w:rPr>
            </w:pPr>
            <w:r w:rsidRPr="00832F3F">
              <w:rPr>
                <w:szCs w:val="24"/>
              </w:rPr>
              <w:t>Socio-territorial</w:t>
            </w:r>
          </w:p>
        </w:tc>
        <w:tc>
          <w:tcPr>
            <w:tcW w:w="0" w:type="auto"/>
            <w:vAlign w:val="center"/>
          </w:tcPr>
          <w:p w14:paraId="74AFFD73" w14:textId="77777777" w:rsidR="00C87E13" w:rsidRPr="00832F3F" w:rsidRDefault="00C87E13" w:rsidP="00F058D9">
            <w:pPr>
              <w:pStyle w:val="Sinespaciado"/>
              <w:jc w:val="center"/>
              <w:rPr>
                <w:szCs w:val="24"/>
              </w:rPr>
            </w:pPr>
            <w:r w:rsidRPr="00832F3F">
              <w:rPr>
                <w:szCs w:val="24"/>
              </w:rPr>
              <w:t>Trabajo colectivo</w:t>
            </w:r>
          </w:p>
        </w:tc>
        <w:tc>
          <w:tcPr>
            <w:tcW w:w="0" w:type="auto"/>
            <w:vAlign w:val="center"/>
          </w:tcPr>
          <w:p w14:paraId="1E9B147F" w14:textId="77777777" w:rsidR="00C87E13" w:rsidRPr="00832F3F" w:rsidRDefault="00C87E13" w:rsidP="00F058D9">
            <w:pPr>
              <w:pStyle w:val="Sinespaciado"/>
              <w:jc w:val="center"/>
              <w:rPr>
                <w:szCs w:val="24"/>
              </w:rPr>
            </w:pPr>
            <w:r w:rsidRPr="00832F3F">
              <w:rPr>
                <w:szCs w:val="24"/>
              </w:rPr>
              <w:t>7</w:t>
            </w:r>
          </w:p>
        </w:tc>
        <w:tc>
          <w:tcPr>
            <w:tcW w:w="0" w:type="auto"/>
            <w:vAlign w:val="center"/>
          </w:tcPr>
          <w:p w14:paraId="3E6E1F62" w14:textId="77777777" w:rsidR="00C87E13" w:rsidRPr="00832F3F" w:rsidRDefault="00C87E13" w:rsidP="00F058D9">
            <w:pPr>
              <w:pStyle w:val="Sinespaciado"/>
              <w:jc w:val="center"/>
              <w:rPr>
                <w:szCs w:val="24"/>
              </w:rPr>
            </w:pPr>
            <w:r w:rsidRPr="00832F3F">
              <w:rPr>
                <w:szCs w:val="24"/>
              </w:rPr>
              <w:t>Actores sociales, principales colaboradores en la producción/recolección, edad, genero, escolaridad del productor/recolector y actividades complementarias a la producción</w:t>
            </w:r>
          </w:p>
        </w:tc>
        <w:tc>
          <w:tcPr>
            <w:tcW w:w="0" w:type="auto"/>
            <w:vAlign w:val="center"/>
          </w:tcPr>
          <w:p w14:paraId="21B6C4E0" w14:textId="77777777" w:rsidR="00C87E13" w:rsidRPr="00832F3F" w:rsidRDefault="00C87E13" w:rsidP="00F058D9">
            <w:pPr>
              <w:pStyle w:val="Sinespaciado"/>
              <w:jc w:val="center"/>
              <w:rPr>
                <w:szCs w:val="24"/>
              </w:rPr>
            </w:pPr>
            <w:r w:rsidRPr="00832F3F">
              <w:rPr>
                <w:szCs w:val="24"/>
              </w:rPr>
              <w:t>Aplica o no aplica</w:t>
            </w:r>
          </w:p>
        </w:tc>
        <w:tc>
          <w:tcPr>
            <w:tcW w:w="0" w:type="auto"/>
            <w:vAlign w:val="center"/>
          </w:tcPr>
          <w:p w14:paraId="7BAB89C8" w14:textId="13417F2C" w:rsidR="00C87E13" w:rsidRPr="00832F3F" w:rsidRDefault="00C87E13" w:rsidP="00F058D9">
            <w:pPr>
              <w:pStyle w:val="Sinespaciado"/>
              <w:jc w:val="center"/>
              <w:rPr>
                <w:szCs w:val="24"/>
              </w:rPr>
            </w:pPr>
            <w:r w:rsidRPr="00832F3F">
              <w:rPr>
                <w:szCs w:val="24"/>
              </w:rPr>
              <w:t>Chen</w:t>
            </w:r>
            <w:r w:rsidR="002964D9" w:rsidRPr="00832F3F">
              <w:rPr>
                <w:szCs w:val="24"/>
              </w:rPr>
              <w:t xml:space="preserve"> </w:t>
            </w:r>
            <w:r w:rsidR="002964D9" w:rsidRPr="00832F3F">
              <w:rPr>
                <w:i/>
                <w:iCs/>
                <w:szCs w:val="24"/>
              </w:rPr>
              <w:t>et al.</w:t>
            </w:r>
            <w:r w:rsidRPr="00832F3F">
              <w:rPr>
                <w:szCs w:val="24"/>
              </w:rPr>
              <w:t>, 2016; Gudynas, Matarán y López, 2011</w:t>
            </w:r>
          </w:p>
        </w:tc>
      </w:tr>
    </w:tbl>
    <w:p w14:paraId="4E7EDD54" w14:textId="331E2D35" w:rsidR="00C87E13" w:rsidRPr="005A17DC" w:rsidRDefault="00C87E13" w:rsidP="00C87E13">
      <w:pPr>
        <w:pStyle w:val="Sinespaciado"/>
        <w:rPr>
          <w:sz w:val="18"/>
          <w:szCs w:val="18"/>
        </w:rPr>
      </w:pPr>
      <w:r w:rsidRPr="005A17DC">
        <w:rPr>
          <w:sz w:val="18"/>
          <w:szCs w:val="18"/>
        </w:rPr>
        <w:t xml:space="preserve">Fuente: </w:t>
      </w:r>
      <w:r w:rsidR="00C278D4">
        <w:rPr>
          <w:sz w:val="18"/>
          <w:szCs w:val="18"/>
        </w:rPr>
        <w:t xml:space="preserve">Elaboración </w:t>
      </w:r>
      <w:r w:rsidRPr="005A17DC">
        <w:rPr>
          <w:sz w:val="18"/>
          <w:szCs w:val="18"/>
        </w:rPr>
        <w:t>propia</w:t>
      </w:r>
      <w:r w:rsidR="00C278D4">
        <w:rPr>
          <w:sz w:val="18"/>
          <w:szCs w:val="18"/>
        </w:rPr>
        <w:t xml:space="preserve"> con base en los autores citados</w:t>
      </w:r>
      <w:r w:rsidRPr="005A17DC">
        <w:rPr>
          <w:sz w:val="18"/>
          <w:szCs w:val="18"/>
        </w:rPr>
        <w:t>.</w:t>
      </w:r>
    </w:p>
    <w:p w14:paraId="34C2A06B" w14:textId="77777777" w:rsidR="00B12182" w:rsidRDefault="00B12182" w:rsidP="00084498">
      <w:pPr>
        <w:spacing w:line="480" w:lineRule="auto"/>
        <w:sectPr w:rsidR="00B12182" w:rsidSect="00B12182">
          <w:pgSz w:w="15840" w:h="12240" w:orient="landscape"/>
          <w:pgMar w:top="1701" w:right="1417" w:bottom="1701" w:left="1417" w:header="708" w:footer="708" w:gutter="0"/>
          <w:cols w:space="708"/>
          <w:docGrid w:linePitch="360"/>
        </w:sectPr>
      </w:pPr>
    </w:p>
    <w:p w14:paraId="73FDB5C1" w14:textId="01657827" w:rsidR="00C87E13" w:rsidRPr="00B12182" w:rsidRDefault="00B12182" w:rsidP="00B12182">
      <w:pPr>
        <w:rPr>
          <w:rFonts w:eastAsiaTheme="minorEastAsia" w:cs="Arial"/>
        </w:rPr>
      </w:pPr>
      <w:r>
        <w:rPr>
          <w:rFonts w:cs="Arial"/>
        </w:rPr>
        <w:lastRenderedPageBreak/>
        <w:t>E</w:t>
      </w:r>
      <w:r w:rsidR="00084498" w:rsidRPr="00B12182">
        <w:rPr>
          <w:rFonts w:cs="Arial"/>
        </w:rPr>
        <w:t xml:space="preserve">l Índice de Uso Medicinal total </w:t>
      </w:r>
      <m:oMath>
        <m:r>
          <w:rPr>
            <w:rFonts w:ascii="Cambria Math" w:hAnsi="Cambria Math" w:cs="Arial"/>
          </w:rPr>
          <m:t>(IUMt)</m:t>
        </m:r>
      </m:oMath>
      <w:r w:rsidR="00084498" w:rsidRPr="00B12182">
        <w:rPr>
          <w:rFonts w:cs="Arial"/>
        </w:rPr>
        <w:t xml:space="preserve">, se calculó como: </w:t>
      </w:r>
      <m:oMath>
        <m:r>
          <w:rPr>
            <w:rFonts w:ascii="Cambria Math" w:hAnsi="Cambria Math" w:cs="Arial"/>
          </w:rPr>
          <m:t xml:space="preserve">IUMt= </m:t>
        </m:r>
        <m:f>
          <m:fPr>
            <m:ctrlPr>
              <w:rPr>
                <w:rFonts w:ascii="Cambria Math" w:hAnsi="Cambria Math" w:cs="Arial"/>
                <w:i/>
              </w:rPr>
            </m:ctrlPr>
          </m:fPr>
          <m:num>
            <m:r>
              <w:rPr>
                <w:rFonts w:ascii="Cambria Math" w:hAnsi="Cambria Math" w:cs="Arial"/>
              </w:rPr>
              <m:t>Número de personas que citaron cualquier tipo de uso medicinal</m:t>
            </m:r>
          </m:num>
          <m:den>
            <m:r>
              <w:rPr>
                <w:rFonts w:ascii="Cambria Math" w:hAnsi="Cambria Math" w:cs="Arial"/>
              </w:rPr>
              <m:t>Número de personas que citaron consumir ese té</m:t>
            </m:r>
          </m:den>
        </m:f>
      </m:oMath>
      <w:r w:rsidR="00084498" w:rsidRPr="00B12182">
        <w:rPr>
          <w:rFonts w:cs="Arial"/>
        </w:rPr>
        <w:t xml:space="preserve"> (Pio-León</w:t>
      </w:r>
      <w:r w:rsidR="002964D9" w:rsidRPr="00B12182">
        <w:rPr>
          <w:rFonts w:cs="Arial"/>
        </w:rPr>
        <w:t>,</w:t>
      </w:r>
      <w:r w:rsidR="00084498" w:rsidRPr="00B12182">
        <w:rPr>
          <w:rFonts w:cs="Arial"/>
        </w:rPr>
        <w:t xml:space="preserve"> </w:t>
      </w:r>
      <w:r w:rsidR="00084498" w:rsidRPr="00B12182">
        <w:rPr>
          <w:rFonts w:cs="Arial"/>
          <w:i/>
        </w:rPr>
        <w:t xml:space="preserve">et al., </w:t>
      </w:r>
      <w:r w:rsidR="00084498" w:rsidRPr="00B12182">
        <w:rPr>
          <w:rFonts w:cs="Arial"/>
        </w:rPr>
        <w:t xml:space="preserve">2018). </w:t>
      </w:r>
    </w:p>
    <w:p w14:paraId="49A43CD8" w14:textId="77777777" w:rsidR="002F6DD4" w:rsidRPr="002F6DD4" w:rsidRDefault="002F6DD4" w:rsidP="00B12182">
      <w:pPr>
        <w:rPr>
          <w:rFonts w:eastAsiaTheme="minorEastAsia"/>
        </w:rPr>
      </w:pPr>
    </w:p>
    <w:p w14:paraId="08FC4A49" w14:textId="185AA6A3" w:rsidR="00202870" w:rsidRPr="00B12182" w:rsidRDefault="00881540" w:rsidP="00B12182">
      <w:pPr>
        <w:rPr>
          <w:b/>
          <w:bCs/>
        </w:rPr>
      </w:pPr>
      <w:r w:rsidRPr="00B12182">
        <w:rPr>
          <w:b/>
          <w:bCs/>
        </w:rPr>
        <w:t>8.5</w:t>
      </w:r>
      <w:r w:rsidR="00202870" w:rsidRPr="00B12182">
        <w:rPr>
          <w:b/>
          <w:bCs/>
        </w:rPr>
        <w:t xml:space="preserve"> Entrevista semiestructurada</w:t>
      </w:r>
    </w:p>
    <w:p w14:paraId="6732AFF0" w14:textId="75337AA9" w:rsidR="00C87E13" w:rsidRDefault="00C87E13" w:rsidP="00B12182">
      <w:r>
        <w:t xml:space="preserve">Para conocer cuáles son las plantas medicinales de mayor uso y aceptación, se elaboró una entrevista semiestructurada y por muestreo propositivo, dirigida a </w:t>
      </w:r>
      <w:r w:rsidRPr="00086369">
        <w:t>adultos mayores</w:t>
      </w:r>
      <w:r w:rsidRPr="00E1023D">
        <w:t xml:space="preserve"> </w:t>
      </w:r>
      <w:r>
        <w:t>de los municipios de Amecameca de Juárez (17 personas), Tlalmanalco de Velázquez (12 personas) y</w:t>
      </w:r>
      <w:r w:rsidRPr="004233A7">
        <w:t xml:space="preserve"> </w:t>
      </w:r>
      <w:r>
        <w:t xml:space="preserve">Chalco de Díaz Covarrubias (17 personas), </w:t>
      </w:r>
      <w:r w:rsidR="001E643D">
        <w:t>son estos municipios donde se ubican los tianguis con mayor comercialización de herbolaria desde la época prehispánica</w:t>
      </w:r>
      <w:r w:rsidR="00AC7CB0">
        <w:t xml:space="preserve"> (Linares y Bye, 2016)</w:t>
      </w:r>
      <w:r w:rsidR="001E643D">
        <w:t xml:space="preserve">, </w:t>
      </w:r>
      <w:r>
        <w:t>considerando las variables plantas medicinales que conoce y las enfermedades en las que se sugiere el uso.</w:t>
      </w:r>
    </w:p>
    <w:p w14:paraId="1E9469B9" w14:textId="47FA08D2" w:rsidR="00C87E13" w:rsidRPr="00C07666" w:rsidRDefault="00C87E13" w:rsidP="00B12182">
      <w:r w:rsidRPr="00C07666">
        <w:t>Las preguntas que se pla</w:t>
      </w:r>
      <w:r>
        <w:t>n</w:t>
      </w:r>
      <w:r w:rsidRPr="00C07666">
        <w:t xml:space="preserve">tearon fueron las siguientes: ¿Conoce de plantas medicinales de la zona?, ¿Cuál es el nombre común?, ¿En cuáles enfermedades sugiere el uso?, ¿Cómo las utiliza?, ¿Cuál es la de mayor venta?, ¿Dónde las adquiere (las compra o las recolecta)?, ¿Conoce algún uso adicional de la planta? </w:t>
      </w:r>
      <w:r w:rsidR="00B72129">
        <w:t>y</w:t>
      </w:r>
      <w:r w:rsidRPr="00C07666">
        <w:t xml:space="preserve"> ¿Conoce algún limitante de uso?</w:t>
      </w:r>
    </w:p>
    <w:p w14:paraId="4F6288D1" w14:textId="24FB93F7" w:rsidR="00C87E13" w:rsidRDefault="00C87E13" w:rsidP="00B12182">
      <w:r w:rsidRPr="00C07666">
        <w:t>Se proceso la información mediante el análisis del discurso, se elaboraron parámetros etnobotánicos mediante la metodología propuesta por Pío-León</w:t>
      </w:r>
      <w:r>
        <w:t>,</w:t>
      </w:r>
      <w:r w:rsidRPr="00C07666">
        <w:t xml:space="preserve"> </w:t>
      </w:r>
      <w:r w:rsidRPr="00C142E3">
        <w:rPr>
          <w:i/>
          <w:iCs/>
        </w:rPr>
        <w:t>et al</w:t>
      </w:r>
      <w:r w:rsidRPr="00C07666">
        <w:t>. (2018)</w:t>
      </w:r>
      <w:r w:rsidR="00B12182">
        <w:t>.</w:t>
      </w:r>
      <w:r w:rsidRPr="00E478A5">
        <w:t xml:space="preserve"> </w:t>
      </w:r>
      <w:r w:rsidR="00B12182">
        <w:t>Se determino el p</w:t>
      </w:r>
      <w:r w:rsidRPr="00331E7B">
        <w:t>orcentaje de citas</w:t>
      </w:r>
      <w:r>
        <w:t xml:space="preserve"> </w:t>
      </w:r>
      <w:r w:rsidR="00B12182">
        <w:t>(</w:t>
      </w:r>
      <m:oMath>
        <m:r>
          <w:rPr>
            <w:rFonts w:ascii="Cambria Math" w:hAnsi="Cambria Math"/>
          </w:rPr>
          <m:t>% citas</m:t>
        </m:r>
      </m:oMath>
      <w:r w:rsidR="00B12182" w:rsidRPr="00B12182">
        <w:rPr>
          <w:iCs/>
        </w:rPr>
        <w:t>)</w:t>
      </w:r>
      <w:r w:rsidR="00B12182">
        <w:rPr>
          <w:iCs/>
        </w:rPr>
        <w:t>, p</w:t>
      </w:r>
      <w:r>
        <w:t>r</w:t>
      </w:r>
      <w:r w:rsidRPr="00331E7B">
        <w:t>eferencia</w:t>
      </w:r>
      <w:r>
        <w:t xml:space="preserve"> </w:t>
      </w:r>
      <m:oMath>
        <m:r>
          <w:rPr>
            <w:rFonts w:ascii="Cambria Math" w:hAnsi="Cambria Math"/>
          </w:rPr>
          <m:t>(</m:t>
        </m:r>
        <m:r>
          <m:rPr>
            <m:sty m:val="p"/>
          </m:rPr>
          <w:rPr>
            <w:rFonts w:ascii="Cambria Math" w:hAnsi="Cambria Math"/>
          </w:rPr>
          <m:t>Pr⁡</m:t>
        </m:r>
        <m:r>
          <w:rPr>
            <w:rFonts w:ascii="Cambria Math" w:hAnsi="Cambria Math"/>
          </w:rPr>
          <m:t>)</m:t>
        </m:r>
      </m:oMath>
      <w:r w:rsidR="00B12182">
        <w:rPr>
          <w:rFonts w:eastAsiaTheme="minorEastAsia"/>
        </w:rPr>
        <w:t>,</w:t>
      </w:r>
      <w:r w:rsidRPr="00BA59D2">
        <w:t xml:space="preserve"> </w:t>
      </w:r>
      <w:r w:rsidR="00B12182">
        <w:t>p</w:t>
      </w:r>
      <w:r w:rsidRPr="00331E7B">
        <w:t xml:space="preserve">referencia específica </w:t>
      </w:r>
      <m:oMath>
        <m:r>
          <w:rPr>
            <w:rFonts w:ascii="Cambria Math" w:hAnsi="Cambria Math"/>
          </w:rPr>
          <m:t>(Pre)</m:t>
        </m:r>
      </m:oMath>
      <w:r>
        <w:t>,</w:t>
      </w:r>
      <w:r w:rsidRPr="00BA59D2">
        <w:t xml:space="preserve"> </w:t>
      </w:r>
      <w:r w:rsidR="00B12182">
        <w:t>e</w:t>
      </w:r>
      <w:r>
        <w:t>l V</w:t>
      </w:r>
      <w:r w:rsidRPr="00331E7B">
        <w:t xml:space="preserve">alor </w:t>
      </w:r>
      <w:r>
        <w:t>C</w:t>
      </w:r>
      <w:r w:rsidRPr="00331E7B">
        <w:t xml:space="preserve">ultural </w:t>
      </w:r>
      <m:oMath>
        <m:r>
          <w:rPr>
            <w:rFonts w:ascii="Cambria Math" w:hAnsi="Cambria Math"/>
          </w:rPr>
          <m:t>(VC)</m:t>
        </m:r>
      </m:oMath>
      <w:r w:rsidRPr="00331E7B">
        <w:t xml:space="preserve"> </w:t>
      </w:r>
      <w:r w:rsidR="00B12182">
        <w:t>y</w:t>
      </w:r>
      <w:r w:rsidRPr="00E478A5">
        <w:t xml:space="preserve"> el valor cultural general</w:t>
      </w:r>
      <w:r>
        <w:t>.</w:t>
      </w:r>
    </w:p>
    <w:p w14:paraId="581B11E9" w14:textId="471BF854" w:rsidR="00C87E13" w:rsidRPr="00B12182" w:rsidRDefault="00C87E13" w:rsidP="00B12182">
      <w:r w:rsidRPr="00E478A5">
        <w:t xml:space="preserve">En cuanto a </w:t>
      </w:r>
      <w:r>
        <w:t>los</w:t>
      </w:r>
      <w:r w:rsidRPr="00E478A5">
        <w:t xml:space="preserve"> usos medicinales adicionales</w:t>
      </w:r>
      <w:r>
        <w:t xml:space="preserve"> para cada especie</w:t>
      </w:r>
      <w:r w:rsidRPr="00E478A5">
        <w:t>, se cuantific</w:t>
      </w:r>
      <w:r>
        <w:t>aron</w:t>
      </w:r>
      <w:r w:rsidRPr="00E478A5">
        <w:t xml:space="preserve"> dos parámetros:</w:t>
      </w:r>
      <w:r>
        <w:t xml:space="preserve"> </w:t>
      </w:r>
      <w:r w:rsidRPr="00E478A5">
        <w:t xml:space="preserve">Índice de Uso Medicinal específico </w:t>
      </w:r>
      <m:oMath>
        <m:d>
          <m:dPr>
            <m:ctrlPr>
              <w:rPr>
                <w:rFonts w:ascii="Cambria Math" w:hAnsi="Cambria Math"/>
                <w:i/>
              </w:rPr>
            </m:ctrlPr>
          </m:dPr>
          <m:e>
            <m:r>
              <w:rPr>
                <w:rFonts w:ascii="Cambria Math" w:hAnsi="Cambria Math"/>
              </w:rPr>
              <m:t>IUM</m:t>
            </m:r>
          </m:e>
        </m:d>
      </m:oMath>
      <w:r w:rsidRPr="00203999">
        <w:t xml:space="preserve"> </w:t>
      </w:r>
      <w:r w:rsidR="00B12182">
        <w:t xml:space="preserve">y el </w:t>
      </w:r>
      <w:r w:rsidRPr="00E478A5">
        <w:t xml:space="preserve">Índice de Uso Medicinal total </w:t>
      </w:r>
      <m:oMath>
        <m:r>
          <w:rPr>
            <w:rFonts w:ascii="Cambria Math" w:hAnsi="Cambria Math"/>
          </w:rPr>
          <m:t>(IUMt)</m:t>
        </m:r>
      </m:oMath>
      <w:r w:rsidR="00B12182">
        <w:t>.</w:t>
      </w:r>
      <w:r>
        <w:t xml:space="preserve"> </w:t>
      </w:r>
    </w:p>
    <w:p w14:paraId="218B074A" w14:textId="77777777" w:rsidR="00C87E13" w:rsidRDefault="00C87E13" w:rsidP="00B12182">
      <w:pPr>
        <w:rPr>
          <w:u w:val="single"/>
        </w:rPr>
      </w:pPr>
    </w:p>
    <w:p w14:paraId="435B5382" w14:textId="77777777" w:rsidR="00444B27" w:rsidRDefault="00444B27" w:rsidP="005A3761">
      <w:pPr>
        <w:rPr>
          <w:b/>
          <w:bCs/>
        </w:rPr>
      </w:pPr>
    </w:p>
    <w:p w14:paraId="6DA36E15" w14:textId="56C44A18" w:rsidR="00C87E13" w:rsidRPr="00444B27" w:rsidRDefault="00E3027E" w:rsidP="005A3761">
      <w:pPr>
        <w:rPr>
          <w:b/>
          <w:bCs/>
        </w:rPr>
      </w:pPr>
      <w:r w:rsidRPr="00444B27">
        <w:rPr>
          <w:b/>
          <w:bCs/>
        </w:rPr>
        <w:t>8.</w:t>
      </w:r>
      <w:r w:rsidR="00881540" w:rsidRPr="00444B27">
        <w:rPr>
          <w:b/>
          <w:bCs/>
        </w:rPr>
        <w:t>6</w:t>
      </w:r>
      <w:r w:rsidR="00202870" w:rsidRPr="00444B27">
        <w:rPr>
          <w:b/>
          <w:bCs/>
        </w:rPr>
        <w:t xml:space="preserve"> Metaanálisis</w:t>
      </w:r>
    </w:p>
    <w:p w14:paraId="00412950" w14:textId="40013818" w:rsidR="00C87E13" w:rsidRDefault="00C87E13" w:rsidP="005A3761">
      <w:r>
        <w:t>Se realizo una revisión a profundidad</w:t>
      </w:r>
      <w:r w:rsidRPr="00994266">
        <w:t xml:space="preserve"> </w:t>
      </w:r>
      <w:r>
        <w:t>mediante los criterios Preferred Reporting Item for Systematic Reviews and Meta-Analyses (PRISMA) (</w:t>
      </w:r>
      <w:r w:rsidRPr="00A45267">
        <w:t xml:space="preserve">Moher, Liberati, Tetzlaff, Altman </w:t>
      </w:r>
      <w:r w:rsidR="002964D9">
        <w:t>y</w:t>
      </w:r>
      <w:r w:rsidRPr="00A45267">
        <w:t xml:space="preserve"> Prisma Group</w:t>
      </w:r>
      <w:r>
        <w:t xml:space="preserve">, </w:t>
      </w:r>
      <w:r w:rsidRPr="00A45267">
        <w:t>2009)</w:t>
      </w:r>
      <w:r>
        <w:t xml:space="preserve"> de metanálisis en red. Para la búsqueda se utilizaron las palabras clave: supplementation, rabbit production y alternative, combinadas con: carcass quality y meat quality, tanto en título como dentro del resumen del artículo de los últimos 20 años en revistas indexadas en el Journal Citation Reports.</w:t>
      </w:r>
    </w:p>
    <w:p w14:paraId="5EDAA293" w14:textId="77777777" w:rsidR="00C87E13" w:rsidRDefault="00C87E13" w:rsidP="005A3761">
      <w:r>
        <w:t>Se incluyeron todos aquellos estudios que estuvieran escritos en inglés, español o francés que reportaran resultados de los parámetros productivos, de calidad de la carne y el nombre de alguna planta aplicada a la producción. Se excluyeron los escritos con carácter de noticia, comentarios, publicaciones en idiomas diferentes al inglés, español y francés, escritos que pertenecieran a fuentes no oficiales, revistas sin sustento científico y de metabuscadores.</w:t>
      </w:r>
    </w:p>
    <w:p w14:paraId="049BCA4F" w14:textId="2AB62EA8" w:rsidR="00C87E13" w:rsidRDefault="00C87E13" w:rsidP="005A3761">
      <w:r>
        <w:t xml:space="preserve">Se eligieron nueve plantas que han sido aplicadas a la producción cunícola en modelos experimentales y la dosificación seleccionada es la de mejor rendimiento de acuerdo con los parámetros productivos y </w:t>
      </w:r>
      <w:r w:rsidRPr="00DD25D2">
        <w:t>de la canal</w:t>
      </w:r>
      <w:r>
        <w:t>. Siendo, noni (</w:t>
      </w:r>
      <w:r w:rsidRPr="00DD7250">
        <w:rPr>
          <w:i/>
          <w:iCs/>
        </w:rPr>
        <w:t>Morinda citrifolia</w:t>
      </w:r>
      <w:r>
        <w:t>) 4%, agave (</w:t>
      </w:r>
      <w:r w:rsidRPr="00DD7250">
        <w:rPr>
          <w:i/>
          <w:iCs/>
        </w:rPr>
        <w:t>Agave tequilana</w:t>
      </w:r>
      <w:r>
        <w:t>) 1.5%, moringa (</w:t>
      </w:r>
      <w:r w:rsidRPr="00DD7250">
        <w:rPr>
          <w:i/>
          <w:iCs/>
        </w:rPr>
        <w:t>Moringa oleífera</w:t>
      </w:r>
      <w:r>
        <w:t>) 19.64%, epazote (</w:t>
      </w:r>
      <w:r w:rsidRPr="00DD7250">
        <w:rPr>
          <w:i/>
          <w:iCs/>
        </w:rPr>
        <w:t>Chenopodium ambrosioides</w:t>
      </w:r>
      <w:r>
        <w:t>) 10 g/L, colorín (</w:t>
      </w:r>
      <w:r w:rsidRPr="000524D1">
        <w:rPr>
          <w:i/>
          <w:iCs/>
        </w:rPr>
        <w:t>Erythrina coralloides</w:t>
      </w:r>
      <w:r>
        <w:t>) 40 mg de fenoles, cilantro (</w:t>
      </w:r>
      <w:r w:rsidRPr="000524D1">
        <w:rPr>
          <w:i/>
          <w:iCs/>
        </w:rPr>
        <w:t>Coriandrum sativum</w:t>
      </w:r>
      <w:r>
        <w:t>) 50 mg, tomillo (</w:t>
      </w:r>
      <w:r w:rsidRPr="000524D1">
        <w:rPr>
          <w:i/>
          <w:iCs/>
        </w:rPr>
        <w:t>Thymus vulgaris</w:t>
      </w:r>
      <w:r>
        <w:t>) 3.0% y romero (</w:t>
      </w:r>
      <w:r w:rsidRPr="000524D1">
        <w:rPr>
          <w:i/>
          <w:iCs/>
        </w:rPr>
        <w:t>Rosmarinus officinalis</w:t>
      </w:r>
      <w:r>
        <w:t>) 1.5%.</w:t>
      </w:r>
    </w:p>
    <w:p w14:paraId="67ACDF96" w14:textId="53071E7A" w:rsidR="00C87E13" w:rsidRDefault="00C87E13" w:rsidP="005A3761">
      <w:r>
        <w:t xml:space="preserve">Los datos de los parámetros productivos y de la canal obtenidos de los estudios fueron </w:t>
      </w:r>
      <w:r w:rsidR="00444B27">
        <w:t>empleados en</w:t>
      </w:r>
      <w:r>
        <w:t xml:space="preserve"> </w:t>
      </w:r>
      <w:r w:rsidR="00444B27">
        <w:t>el cálculo</w:t>
      </w:r>
      <w:r>
        <w:t xml:space="preserve"> del indicador B1 Procesos de calidad</w:t>
      </w:r>
      <w:r w:rsidR="00E34BBC">
        <w:t xml:space="preserve"> del instrumento aplicado a los productores.</w:t>
      </w:r>
    </w:p>
    <w:p w14:paraId="3B2B7DAC" w14:textId="5328FE7E" w:rsidR="004C16ED" w:rsidRDefault="004C16ED">
      <w:pPr>
        <w:rPr>
          <w:szCs w:val="24"/>
        </w:rPr>
      </w:pPr>
    </w:p>
    <w:p w14:paraId="74D4BBAA" w14:textId="77777777" w:rsidR="00444B27" w:rsidRDefault="00444B27" w:rsidP="00444B27">
      <w:pPr>
        <w:rPr>
          <w:b/>
          <w:bCs/>
          <w:szCs w:val="24"/>
        </w:rPr>
      </w:pPr>
    </w:p>
    <w:p w14:paraId="785AA399" w14:textId="77777777" w:rsidR="00444B27" w:rsidRDefault="00444B27" w:rsidP="00444B27">
      <w:pPr>
        <w:rPr>
          <w:b/>
          <w:bCs/>
          <w:szCs w:val="24"/>
        </w:rPr>
      </w:pPr>
    </w:p>
    <w:p w14:paraId="4FC91F0F" w14:textId="20304F30" w:rsidR="00202870" w:rsidRPr="00444B27" w:rsidRDefault="00E3027E" w:rsidP="00444B27">
      <w:pPr>
        <w:rPr>
          <w:b/>
          <w:bCs/>
          <w:szCs w:val="24"/>
        </w:rPr>
      </w:pPr>
      <w:r w:rsidRPr="00444B27">
        <w:rPr>
          <w:b/>
          <w:bCs/>
          <w:szCs w:val="24"/>
        </w:rPr>
        <w:t>8.7</w:t>
      </w:r>
      <w:r w:rsidR="00202870" w:rsidRPr="00444B27">
        <w:rPr>
          <w:b/>
          <w:bCs/>
          <w:szCs w:val="24"/>
        </w:rPr>
        <w:t xml:space="preserve"> Análisis estadístico</w:t>
      </w:r>
    </w:p>
    <w:p w14:paraId="0C75CC67" w14:textId="539C1CB1" w:rsidR="00202870" w:rsidRDefault="00444B27" w:rsidP="00444B27">
      <w:pPr>
        <w:rPr>
          <w:szCs w:val="24"/>
        </w:rPr>
      </w:pPr>
      <w:r>
        <w:rPr>
          <w:szCs w:val="24"/>
        </w:rPr>
        <w:t>El procesamiento de</w:t>
      </w:r>
      <w:r w:rsidR="002310A5">
        <w:rPr>
          <w:szCs w:val="24"/>
        </w:rPr>
        <w:t xml:space="preserve"> los </w:t>
      </w:r>
      <w:r>
        <w:rPr>
          <w:szCs w:val="24"/>
        </w:rPr>
        <w:t>datos</w:t>
      </w:r>
      <w:r w:rsidR="002310A5">
        <w:rPr>
          <w:szCs w:val="24"/>
        </w:rPr>
        <w:t xml:space="preserve"> se realizó mediante la hoja de c</w:t>
      </w:r>
      <w:r w:rsidR="0016452E">
        <w:rPr>
          <w:szCs w:val="24"/>
        </w:rPr>
        <w:t>á</w:t>
      </w:r>
      <w:r w:rsidR="002310A5">
        <w:rPr>
          <w:szCs w:val="24"/>
        </w:rPr>
        <w:t>lculo Microsoft Excel</w:t>
      </w:r>
      <w:r w:rsidR="0016452E">
        <w:rPr>
          <w:szCs w:val="24"/>
        </w:rPr>
        <w:t xml:space="preserve"> </w:t>
      </w:r>
      <w:r w:rsidR="00C12838">
        <w:rPr>
          <w:szCs w:val="24"/>
        </w:rPr>
        <w:t>de acuerdo con lo establecido en el método IDEA</w:t>
      </w:r>
      <w:r w:rsidR="002C73D0">
        <w:rPr>
          <w:szCs w:val="24"/>
        </w:rPr>
        <w:t xml:space="preserve"> (Vilain, 2008)</w:t>
      </w:r>
      <w:r w:rsidR="00C12838">
        <w:rPr>
          <w:szCs w:val="24"/>
        </w:rPr>
        <w:t xml:space="preserve">. Las tres dimensiones tienen el mismo puntaje y varia de cero a 100, </w:t>
      </w:r>
      <w:r w:rsidR="00D92A50">
        <w:rPr>
          <w:szCs w:val="24"/>
        </w:rPr>
        <w:t>la información fue traducida a unidades determinadas por el puntaje atribuido por el indicador</w:t>
      </w:r>
      <w:r w:rsidR="00083D21">
        <w:rPr>
          <w:szCs w:val="24"/>
        </w:rPr>
        <w:t xml:space="preserve">. La puntuación obtenida por dimensión </w:t>
      </w:r>
      <w:r>
        <w:rPr>
          <w:szCs w:val="24"/>
        </w:rPr>
        <w:t>permitió</w:t>
      </w:r>
      <w:r w:rsidR="002C73D0">
        <w:rPr>
          <w:szCs w:val="24"/>
        </w:rPr>
        <w:t xml:space="preserve"> considerar la sustentabilidad de la explotación.</w:t>
      </w:r>
    </w:p>
    <w:p w14:paraId="68A66BFE" w14:textId="70565A97" w:rsidR="008171FE" w:rsidRDefault="00987517" w:rsidP="00444B27">
      <w:pPr>
        <w:rPr>
          <w:szCs w:val="24"/>
        </w:rPr>
      </w:pPr>
      <w:r>
        <w:rPr>
          <w:szCs w:val="24"/>
        </w:rPr>
        <w:t>Se elaboró un esquema de decisión para atribuir la puntuación final de sustentabilidad. El cual const</w:t>
      </w:r>
      <w:r w:rsidR="00444B27">
        <w:rPr>
          <w:szCs w:val="24"/>
        </w:rPr>
        <w:t>o</w:t>
      </w:r>
      <w:r>
        <w:rPr>
          <w:szCs w:val="24"/>
        </w:rPr>
        <w:t xml:space="preserve"> de una</w:t>
      </w:r>
      <w:r w:rsidR="00C12C05">
        <w:rPr>
          <w:szCs w:val="24"/>
        </w:rPr>
        <w:t xml:space="preserve"> </w:t>
      </w:r>
      <w:r>
        <w:rPr>
          <w:szCs w:val="24"/>
        </w:rPr>
        <w:t>gráfica de barras</w:t>
      </w:r>
      <w:r w:rsidR="00C12C05">
        <w:rPr>
          <w:szCs w:val="24"/>
        </w:rPr>
        <w:t xml:space="preserve"> elaborada con la puntuación global por dimensión y el valor mínimo </w:t>
      </w:r>
      <w:r w:rsidR="008171FE">
        <w:rPr>
          <w:szCs w:val="24"/>
        </w:rPr>
        <w:t>limita la sustentabilidad de la explotación.</w:t>
      </w:r>
    </w:p>
    <w:p w14:paraId="1E398C15" w14:textId="77777777" w:rsidR="00444B27" w:rsidRDefault="008171FE" w:rsidP="00444B27">
      <w:pPr>
        <w:spacing w:before="0" w:beforeAutospacing="0" w:after="160" w:afterAutospacing="0"/>
        <w:rPr>
          <w:szCs w:val="24"/>
        </w:rPr>
      </w:pPr>
      <w:r>
        <w:rPr>
          <w:szCs w:val="24"/>
        </w:rPr>
        <w:t>Para reflejar la forma del manejo de la explotación en forma sintética se estructura una gráfica radial o histograma con los diez componentes de la sustentabilidad. Esto permite que el productor identifique los puntos a fortalecer de su explotación</w:t>
      </w:r>
      <w:r w:rsidR="00482FE6">
        <w:rPr>
          <w:szCs w:val="24"/>
        </w:rPr>
        <w:t>.</w:t>
      </w:r>
    </w:p>
    <w:p w14:paraId="7A92C4ED" w14:textId="3D3125C3" w:rsidR="00444B27" w:rsidRDefault="00444B27" w:rsidP="00444B27">
      <w:pPr>
        <w:spacing w:before="0" w:beforeAutospacing="0" w:after="160" w:afterAutospacing="0"/>
        <w:rPr>
          <w:szCs w:val="24"/>
        </w:rPr>
      </w:pPr>
    </w:p>
    <w:p w14:paraId="24A9B6EA" w14:textId="59DAB291" w:rsidR="00444B27" w:rsidRPr="00444B27" w:rsidRDefault="00444B27" w:rsidP="00444B27">
      <w:pPr>
        <w:rPr>
          <w:b/>
          <w:bCs/>
          <w:szCs w:val="24"/>
        </w:rPr>
      </w:pPr>
      <w:r w:rsidRPr="00444B27">
        <w:rPr>
          <w:b/>
          <w:bCs/>
          <w:szCs w:val="24"/>
        </w:rPr>
        <w:t>8.</w:t>
      </w:r>
      <w:r>
        <w:rPr>
          <w:b/>
          <w:bCs/>
          <w:szCs w:val="24"/>
        </w:rPr>
        <w:t>8</w:t>
      </w:r>
      <w:r w:rsidRPr="00444B27">
        <w:rPr>
          <w:b/>
          <w:bCs/>
          <w:szCs w:val="24"/>
        </w:rPr>
        <w:t xml:space="preserve"> Consideraciones éticas de la investigación</w:t>
      </w:r>
    </w:p>
    <w:p w14:paraId="63FBF8BE" w14:textId="75F13B8D" w:rsidR="008055AF" w:rsidRDefault="00444B27" w:rsidP="00444B27">
      <w:pPr>
        <w:spacing w:before="0" w:beforeAutospacing="0" w:after="160" w:afterAutospacing="0"/>
        <w:rPr>
          <w:szCs w:val="24"/>
        </w:rPr>
      </w:pPr>
      <w:r w:rsidRPr="00444B27">
        <w:rPr>
          <w:szCs w:val="24"/>
        </w:rPr>
        <w:t xml:space="preserve">La presente investigación </w:t>
      </w:r>
      <w:r w:rsidR="001D47FA">
        <w:rPr>
          <w:szCs w:val="24"/>
        </w:rPr>
        <w:t>cuido los</w:t>
      </w:r>
      <w:r w:rsidRPr="00444B27">
        <w:rPr>
          <w:szCs w:val="24"/>
        </w:rPr>
        <w:t xml:space="preserve"> aspectos éticos que se deben tomar en cuenta en cualquier investigación que se realice con individuos. Para ello se </w:t>
      </w:r>
      <w:r w:rsidR="001D47FA">
        <w:rPr>
          <w:szCs w:val="24"/>
        </w:rPr>
        <w:t xml:space="preserve">consideró la </w:t>
      </w:r>
      <w:r w:rsidRPr="00444B27">
        <w:rPr>
          <w:szCs w:val="24"/>
        </w:rPr>
        <w:t>Declaración de Helsinki</w:t>
      </w:r>
      <w:r w:rsidR="001D47FA">
        <w:rPr>
          <w:szCs w:val="24"/>
        </w:rPr>
        <w:t>, la cual menciona</w:t>
      </w:r>
      <w:r w:rsidRPr="00444B27">
        <w:rPr>
          <w:szCs w:val="24"/>
        </w:rPr>
        <w:t xml:space="preserve"> principios éticos que protegen a los sujetos que participen en estudios científicos, cuyo principio básico es el respeto por el individuo, su derecho a la autodeterminación y derecho a tomar decisiones una vez que se le ha informado claramente los pros y contras, riesgos y beneficios de su participación o no en un estudio de investigación. </w:t>
      </w:r>
      <w:r w:rsidR="001D47FA">
        <w:rPr>
          <w:szCs w:val="24"/>
        </w:rPr>
        <w:t>A partir de lo anterior se obtuvo el consentimiento informado de manera verbal de cada participante, después de haberles explicado el objetivo de la investigación.</w:t>
      </w:r>
      <w:r w:rsidR="00987517">
        <w:rPr>
          <w:szCs w:val="24"/>
        </w:rPr>
        <w:t xml:space="preserve"> </w:t>
      </w:r>
      <w:r w:rsidR="008055AF">
        <w:rPr>
          <w:szCs w:val="24"/>
        </w:rPr>
        <w:br w:type="page"/>
      </w:r>
    </w:p>
    <w:p w14:paraId="2CC5DFC0" w14:textId="1F53915A" w:rsidR="00577D79" w:rsidRPr="0060240E" w:rsidRDefault="003F14C4" w:rsidP="0060240E">
      <w:pPr>
        <w:rPr>
          <w:b/>
          <w:bCs/>
          <w:szCs w:val="24"/>
        </w:rPr>
      </w:pPr>
      <w:r w:rsidRPr="0060240E">
        <w:rPr>
          <w:b/>
          <w:bCs/>
          <w:szCs w:val="24"/>
        </w:rPr>
        <w:lastRenderedPageBreak/>
        <w:t>IX. RESULTADOS</w:t>
      </w:r>
    </w:p>
    <w:p w14:paraId="7405D636" w14:textId="3EA8AC28" w:rsidR="003F14C4" w:rsidRPr="002635EE" w:rsidRDefault="008055AF" w:rsidP="0060240E">
      <w:pPr>
        <w:rPr>
          <w:b/>
          <w:bCs/>
        </w:rPr>
      </w:pPr>
      <w:r w:rsidRPr="002635EE">
        <w:rPr>
          <w:b/>
          <w:bCs/>
        </w:rPr>
        <w:t xml:space="preserve">9.1. </w:t>
      </w:r>
      <w:r w:rsidR="002635EE">
        <w:rPr>
          <w:b/>
          <w:bCs/>
        </w:rPr>
        <w:t>Artículo “</w:t>
      </w:r>
      <w:r w:rsidRPr="002635EE">
        <w:rPr>
          <w:b/>
          <w:bCs/>
        </w:rPr>
        <w:t>Análisis de la sustentabilidad de las unidades productivas cunícolas de traspatio de la zona oriente del Estado de México</w:t>
      </w:r>
      <w:r w:rsidR="002635EE">
        <w:rPr>
          <w:b/>
          <w:bCs/>
        </w:rPr>
        <w:t>”</w:t>
      </w:r>
    </w:p>
    <w:p w14:paraId="1EF7BBBF" w14:textId="6E32C0A0" w:rsidR="003F14C4" w:rsidRDefault="008055AF" w:rsidP="0060240E">
      <w:r>
        <w:t>Se</w:t>
      </w:r>
      <w:r w:rsidR="003F14C4">
        <w:t xml:space="preserve"> envió un artículo a la Revista Terra Latinoamericana, </w:t>
      </w:r>
      <w:r w:rsidR="002635EE">
        <w:t xml:space="preserve">con ISBN 239-8030, la cual se encuentra indexada en el Padrón de Revistas Científicas de CONACyT, Scielo, Latindex y Scopues, entre otras. </w:t>
      </w:r>
      <w:r w:rsidR="00DC3D9A">
        <w:t>El</w:t>
      </w:r>
      <w:r w:rsidR="002635EE">
        <w:t xml:space="preserve"> </w:t>
      </w:r>
      <w:r w:rsidR="003F14C4">
        <w:t xml:space="preserve">objetivo </w:t>
      </w:r>
      <w:r w:rsidR="00DC3D9A">
        <w:t xml:space="preserve">del artículo fue </w:t>
      </w:r>
      <w:r w:rsidR="003F14C4" w:rsidRPr="00027BD6">
        <w:t>analizar los puntos de fortaleza e interrelaciones de las dimensiones agroecológica, socio-territorial y económica de las unidades productivas cunícolas de traspatio del Estado de México</w:t>
      </w:r>
      <w:r w:rsidR="003F14C4">
        <w:t xml:space="preserve">. </w:t>
      </w:r>
    </w:p>
    <w:p w14:paraId="0F950F1C" w14:textId="6DD82DA7" w:rsidR="0060240E" w:rsidRDefault="002635EE" w:rsidP="0060240E">
      <w:r>
        <w:t>En este documento s</w:t>
      </w:r>
      <w:r w:rsidR="003F14C4" w:rsidRPr="00D52609">
        <w:t xml:space="preserve">e </w:t>
      </w:r>
      <w:r w:rsidR="00DC3D9A" w:rsidRPr="00D52609">
        <w:t>concluy</w:t>
      </w:r>
      <w:r w:rsidR="00DC3D9A">
        <w:t>ó</w:t>
      </w:r>
      <w:r w:rsidR="003F14C4" w:rsidRPr="00D52609">
        <w:t xml:space="preserve"> que</w:t>
      </w:r>
      <w:r w:rsidR="003F14C4">
        <w:t>,</w:t>
      </w:r>
      <w:r w:rsidR="003F14C4" w:rsidRPr="00D52609">
        <w:t xml:space="preserve"> la cunicultura de traspatio es una opción favorable para el desarrollo endógeno de la zona oriente del Estado de México por la coherencia ciudadana en la interacción, reforzamiento e interdependencia de las dimensiones por acción del actor social y autonomía de capacidades en el establecimiento de pautas hacia una transición agroecológica de los sistemas productivos alimentarios.</w:t>
      </w:r>
      <w:r w:rsidR="0060240E">
        <w:t xml:space="preserve"> </w:t>
      </w:r>
      <w:r w:rsidR="0060240E">
        <w:br w:type="page"/>
      </w:r>
    </w:p>
    <w:p w14:paraId="594066AD" w14:textId="170090C5" w:rsidR="003F14C4" w:rsidRPr="0025605B" w:rsidRDefault="006D4DD8" w:rsidP="0060240E">
      <w:r>
        <w:rPr>
          <w:noProof/>
          <w:lang w:eastAsia="es-MX"/>
        </w:rPr>
        <w:lastRenderedPageBreak/>
        <w:drawing>
          <wp:inline distT="0" distB="0" distL="0" distR="0" wp14:anchorId="0BBE9110" wp14:editId="1DCC0E43">
            <wp:extent cx="5612130" cy="4199255"/>
            <wp:effectExtent l="0" t="0" r="7620" b="0"/>
            <wp:docPr id="1"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Texto, Aplicación, Correo electrónico&#10;&#10;Descripción generada automáticamente"/>
                    <pic:cNvPicPr/>
                  </pic:nvPicPr>
                  <pic:blipFill>
                    <a:blip r:embed="rId14">
                      <a:extLst>
                        <a:ext uri="{28A0092B-C50C-407E-A947-70E740481C1C}">
                          <a14:useLocalDpi xmlns:a14="http://schemas.microsoft.com/office/drawing/2010/main" val="0"/>
                        </a:ext>
                      </a:extLst>
                    </a:blip>
                    <a:stretch>
                      <a:fillRect/>
                    </a:stretch>
                  </pic:blipFill>
                  <pic:spPr>
                    <a:xfrm>
                      <a:off x="0" y="0"/>
                      <a:ext cx="5612130" cy="4199255"/>
                    </a:xfrm>
                    <a:prstGeom prst="rect">
                      <a:avLst/>
                    </a:prstGeom>
                  </pic:spPr>
                </pic:pic>
              </a:graphicData>
            </a:graphic>
          </wp:inline>
        </w:drawing>
      </w:r>
    </w:p>
    <w:p w14:paraId="66BA0C81" w14:textId="05D72BD0" w:rsidR="008055AF" w:rsidRDefault="008055AF" w:rsidP="0060240E">
      <w:pPr>
        <w:rPr>
          <w:b/>
          <w:vertAlign w:val="superscript"/>
        </w:rPr>
      </w:pPr>
    </w:p>
    <w:p w14:paraId="518D2A10" w14:textId="77777777" w:rsidR="00DC3D9A" w:rsidRPr="00DC3D9A" w:rsidRDefault="008055AF" w:rsidP="0060240E">
      <w:pPr>
        <w:spacing w:before="0" w:beforeAutospacing="0" w:after="160" w:afterAutospacing="0"/>
        <w:rPr>
          <w:b/>
        </w:rPr>
      </w:pPr>
      <w:r>
        <w:rPr>
          <w:b/>
          <w:vertAlign w:val="superscript"/>
        </w:rPr>
        <w:br w:type="page"/>
      </w:r>
      <w:r w:rsidR="00DC3D9A">
        <w:rPr>
          <w:b/>
        </w:rPr>
        <w:lastRenderedPageBreak/>
        <w:t xml:space="preserve">9.2. </w:t>
      </w:r>
      <w:r w:rsidR="00DC3D9A" w:rsidRPr="00DC3D9A">
        <w:rPr>
          <w:b/>
        </w:rPr>
        <w:t>C</w:t>
      </w:r>
      <w:r w:rsidR="00136FEF" w:rsidRPr="00DC3D9A">
        <w:rPr>
          <w:b/>
        </w:rPr>
        <w:t>apítulo de libro titulado “</w:t>
      </w:r>
      <w:bookmarkStart w:id="17" w:name="_Hlk71833434"/>
      <w:r w:rsidR="00136FEF" w:rsidRPr="00DC3D9A">
        <w:rPr>
          <w:b/>
        </w:rPr>
        <w:t>A</w:t>
      </w:r>
      <w:r w:rsidR="0044119F" w:rsidRPr="00DC3D9A">
        <w:rPr>
          <w:b/>
        </w:rPr>
        <w:t>daptación del método IDEA</w:t>
      </w:r>
      <w:r w:rsidR="00136FEF" w:rsidRPr="00DC3D9A">
        <w:rPr>
          <w:b/>
        </w:rPr>
        <w:t xml:space="preserve"> para evaluar la sustentabilidad en unidades productivas cunícolas de traspatio</w:t>
      </w:r>
      <w:bookmarkEnd w:id="17"/>
      <w:r w:rsidR="00136FEF" w:rsidRPr="00DC3D9A">
        <w:rPr>
          <w:b/>
        </w:rPr>
        <w:t>”</w:t>
      </w:r>
    </w:p>
    <w:p w14:paraId="6DB42B31" w14:textId="31009B2F" w:rsidR="0060240E" w:rsidRDefault="00101348" w:rsidP="0060240E">
      <w:r>
        <w:t xml:space="preserve">En el método “Indicadores de la Sostenibilidad de Explotaciones Agrícolas” (IDEA), de origen francés, se plantean los indicadores para la evaluación de la sustentabilidad de sistemas agropecuarios, considerándolos como económicamente viables, ambientalmente racionales y socialmente equitativos. Propone tres dimensiones: agroecológica (tres componentes y 18 indicadores), socio-territorial (tres componentes y 18 indicadores) y económica (tres componentes y seis indicadores). La cunicultura en México es desarrollada bajo el esquema de unidades productivas de traspatio, caracterizada por baja inversión, conocimientos técnicos básicos, adaptable a diferentes áreas geográficas y atendido por integrantes de la familia. El objetivo del presente estudio fue adaptar el método IDEA para evaluar la sustentabilidad de las unidades productoras cunícolas de traspatio. La investigación fue exploratoria, con base en el método “Preferred Reporting Item for Systematic Reviews and Meta-Analyses” (PRISMA), las palabras claves utilizadas fueron: </w:t>
      </w:r>
      <w:r>
        <w:rPr>
          <w:i/>
        </w:rPr>
        <w:t>sustainability, cuniculture y agricultural;</w:t>
      </w:r>
      <w:r>
        <w:t xml:space="preserve"> combinadas con </w:t>
      </w:r>
      <w:r>
        <w:rPr>
          <w:i/>
        </w:rPr>
        <w:t>IDEA method</w:t>
      </w:r>
      <w:r>
        <w:t>, tanto en título y resumen del artículo. Después de la adaptación las dimensiones quedaron de la siguiente manera: agroecológica (tres componentes y 14 indicadores), socio-territorial (tres componentes y 17 indicadores) y económica sin modificación. En conclusión, es importante contar con instrumentos para la evaluación de la sustentabilidad de sistemas agropecuarios en pequeña escala que consideren las características de éstos.</w:t>
      </w:r>
      <w:r w:rsidR="0060240E">
        <w:t xml:space="preserve"> </w:t>
      </w:r>
      <w:r w:rsidR="0060240E">
        <w:br w:type="page"/>
      </w:r>
    </w:p>
    <w:p w14:paraId="4C987B24" w14:textId="5DA021ED" w:rsidR="00101348" w:rsidRDefault="00F81ED6" w:rsidP="000A6CAD">
      <w:pPr>
        <w:spacing w:line="480" w:lineRule="auto"/>
        <w:rPr>
          <w:u w:val="single"/>
        </w:rPr>
      </w:pPr>
      <w:r w:rsidRPr="00F81ED6">
        <w:rPr>
          <w:noProof/>
          <w:u w:val="single"/>
          <w:lang w:eastAsia="es-MX"/>
        </w:rPr>
        <w:lastRenderedPageBreak/>
        <w:drawing>
          <wp:inline distT="0" distB="0" distL="0" distR="0" wp14:anchorId="185B91ED" wp14:editId="66BA850F">
            <wp:extent cx="5612130" cy="7259320"/>
            <wp:effectExtent l="0" t="0" r="762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2130" cy="7259320"/>
                    </a:xfrm>
                    <a:prstGeom prst="rect">
                      <a:avLst/>
                    </a:prstGeom>
                    <a:noFill/>
                    <a:ln>
                      <a:noFill/>
                    </a:ln>
                  </pic:spPr>
                </pic:pic>
              </a:graphicData>
            </a:graphic>
          </wp:inline>
        </w:drawing>
      </w:r>
    </w:p>
    <w:p w14:paraId="20EB294A" w14:textId="77777777" w:rsidR="00101348" w:rsidRDefault="00101348" w:rsidP="000A6CAD">
      <w:pPr>
        <w:spacing w:line="480" w:lineRule="auto"/>
        <w:rPr>
          <w:u w:val="single"/>
        </w:rPr>
      </w:pPr>
    </w:p>
    <w:p w14:paraId="5A5DB33D" w14:textId="5FB6F0C5" w:rsidR="004B334A" w:rsidRPr="00F81ED6" w:rsidRDefault="008055AF" w:rsidP="0060240E">
      <w:pPr>
        <w:rPr>
          <w:b/>
          <w:bCs/>
        </w:rPr>
      </w:pPr>
      <w:r w:rsidRPr="00F81ED6">
        <w:rPr>
          <w:b/>
          <w:bCs/>
        </w:rPr>
        <w:lastRenderedPageBreak/>
        <w:t>9.</w:t>
      </w:r>
      <w:r w:rsidR="00F81ED6" w:rsidRPr="00F81ED6">
        <w:rPr>
          <w:b/>
          <w:bCs/>
        </w:rPr>
        <w:t>3</w:t>
      </w:r>
      <w:r w:rsidRPr="00F81ED6">
        <w:rPr>
          <w:b/>
          <w:bCs/>
        </w:rPr>
        <w:t xml:space="preserve">. </w:t>
      </w:r>
      <w:r w:rsidR="00F81ED6">
        <w:rPr>
          <w:b/>
          <w:bCs/>
        </w:rPr>
        <w:t>Artículo “</w:t>
      </w:r>
      <w:r w:rsidR="000C25A3">
        <w:rPr>
          <w:b/>
          <w:bCs/>
        </w:rPr>
        <w:t>Conocimiento y Práctica de la Herbolaria en el Estado de México, Pautas hacia la Sustentabilidad</w:t>
      </w:r>
      <w:r w:rsidR="00F81ED6">
        <w:rPr>
          <w:b/>
          <w:bCs/>
        </w:rPr>
        <w:t>”</w:t>
      </w:r>
      <w:r w:rsidRPr="00F81ED6" w:rsidDel="008055AF">
        <w:rPr>
          <w:b/>
          <w:bCs/>
        </w:rPr>
        <w:t xml:space="preserve"> </w:t>
      </w:r>
    </w:p>
    <w:p w14:paraId="5347210B" w14:textId="47F5195C" w:rsidR="00F81ED6" w:rsidRDefault="004B334A" w:rsidP="0060240E">
      <w:pPr>
        <w:rPr>
          <w:rFonts w:cs="Arial"/>
          <w:szCs w:val="24"/>
        </w:rPr>
      </w:pPr>
      <w:r>
        <w:t>S</w:t>
      </w:r>
      <w:r w:rsidR="000A6CAD">
        <w:rPr>
          <w:rFonts w:cs="Arial"/>
          <w:szCs w:val="24"/>
        </w:rPr>
        <w:t xml:space="preserve">e publicó un artículo </w:t>
      </w:r>
      <w:r w:rsidR="008055AF">
        <w:rPr>
          <w:rFonts w:cs="Arial"/>
          <w:szCs w:val="24"/>
        </w:rPr>
        <w:t>en</w:t>
      </w:r>
      <w:r w:rsidR="000A6CAD">
        <w:rPr>
          <w:rFonts w:cs="Arial"/>
          <w:szCs w:val="24"/>
        </w:rPr>
        <w:t xml:space="preserve"> la Revista Agrociencia, </w:t>
      </w:r>
      <w:r w:rsidR="00F81ED6">
        <w:rPr>
          <w:rFonts w:cs="Arial"/>
          <w:szCs w:val="24"/>
        </w:rPr>
        <w:t>la cual se encuentra en el Padrón de Revistas Científicas de CONACyT y esta indexada en el Journal Citation Report, Latindex, Scielo, Scopus, entre otras.</w:t>
      </w:r>
    </w:p>
    <w:p w14:paraId="1EEF5853" w14:textId="03FCDA5C" w:rsidR="000A6CAD" w:rsidRPr="00F344E2" w:rsidRDefault="00F81ED6" w:rsidP="0060240E">
      <w:r>
        <w:rPr>
          <w:rFonts w:cs="Arial"/>
          <w:szCs w:val="24"/>
        </w:rPr>
        <w:t>E</w:t>
      </w:r>
      <w:r w:rsidR="000A6CAD">
        <w:rPr>
          <w:rFonts w:cs="Arial"/>
          <w:szCs w:val="24"/>
        </w:rPr>
        <w:t xml:space="preserve">l objetivo </w:t>
      </w:r>
      <w:r>
        <w:rPr>
          <w:rFonts w:cs="Arial"/>
          <w:szCs w:val="24"/>
        </w:rPr>
        <w:t>fue</w:t>
      </w:r>
      <w:r w:rsidR="000A6CAD" w:rsidRPr="00B02E57">
        <w:rPr>
          <w:rFonts w:cs="Arial"/>
          <w:szCs w:val="24"/>
        </w:rPr>
        <w:t xml:space="preserve"> identificar y documentar el conocimiento y prácticas sustentables realizadas por los recolectores/productores y consumidores de plantas medicinales del este del Estado de México</w:t>
      </w:r>
      <w:r w:rsidR="000A6CAD">
        <w:rPr>
          <w:rFonts w:cs="Arial"/>
          <w:szCs w:val="24"/>
        </w:rPr>
        <w:t>.</w:t>
      </w:r>
    </w:p>
    <w:p w14:paraId="5F1C2657" w14:textId="2AB874C0" w:rsidR="000A6CAD" w:rsidRDefault="000A6CAD" w:rsidP="0060240E">
      <w:pPr>
        <w:rPr>
          <w:rFonts w:cs="Arial"/>
          <w:szCs w:val="24"/>
        </w:rPr>
      </w:pPr>
      <w:r>
        <w:rPr>
          <w:rFonts w:cs="Arial"/>
          <w:szCs w:val="24"/>
        </w:rPr>
        <w:t>Del cual se observó que e</w:t>
      </w:r>
      <w:r w:rsidRPr="00B02E57">
        <w:rPr>
          <w:rFonts w:cs="Arial"/>
          <w:szCs w:val="24"/>
        </w:rPr>
        <w:t xml:space="preserve">l uso de la herbolaria es una práctica persistente en la población, involucra los saberes locales, tradiciones y cosmovisión de los individuos que la desarrollan. </w:t>
      </w:r>
      <w:r>
        <w:rPr>
          <w:rFonts w:cs="Arial"/>
          <w:szCs w:val="24"/>
        </w:rPr>
        <w:t>También los productores/recolectores e</w:t>
      </w:r>
      <w:r w:rsidRPr="00B02E57">
        <w:rPr>
          <w:rFonts w:cs="Arial"/>
          <w:szCs w:val="24"/>
        </w:rPr>
        <w:t>stablece</w:t>
      </w:r>
      <w:r>
        <w:rPr>
          <w:rFonts w:cs="Arial"/>
          <w:szCs w:val="24"/>
        </w:rPr>
        <w:t>n</w:t>
      </w:r>
      <w:r w:rsidRPr="00B02E57">
        <w:rPr>
          <w:rFonts w:cs="Arial"/>
          <w:szCs w:val="24"/>
        </w:rPr>
        <w:t xml:space="preserve"> una estrecha colaboración con la agroecología, práctica que tiende a la sustentabilidad </w:t>
      </w:r>
      <w:r>
        <w:rPr>
          <w:rFonts w:cs="Arial"/>
          <w:szCs w:val="24"/>
        </w:rPr>
        <w:t xml:space="preserve">y que puede conservar </w:t>
      </w:r>
      <w:r w:rsidRPr="00B02E57">
        <w:rPr>
          <w:rFonts w:cs="Arial"/>
          <w:szCs w:val="24"/>
        </w:rPr>
        <w:t xml:space="preserve">el frágil equilibrio ecosistémico de la zona oriente del Estado de México. </w:t>
      </w:r>
    </w:p>
    <w:p w14:paraId="07121302" w14:textId="77777777" w:rsidR="006D7CC9" w:rsidRDefault="006D7CC9" w:rsidP="0060240E">
      <w:pPr>
        <w:rPr>
          <w:rFonts w:cs="Arial"/>
          <w:szCs w:val="24"/>
        </w:rPr>
      </w:pPr>
      <w:r>
        <w:rPr>
          <w:rFonts w:cs="Arial"/>
          <w:szCs w:val="24"/>
        </w:rPr>
        <w:t xml:space="preserve">Disponible en </w:t>
      </w:r>
    </w:p>
    <w:p w14:paraId="0163A758" w14:textId="12496A6B" w:rsidR="006D4DD8" w:rsidRDefault="007559EE" w:rsidP="0060240E">
      <w:pPr>
        <w:rPr>
          <w:rFonts w:cs="Arial"/>
          <w:szCs w:val="24"/>
        </w:rPr>
      </w:pPr>
      <w:hyperlink r:id="rId16" w:history="1">
        <w:r w:rsidR="00F97959" w:rsidRPr="00275C7F">
          <w:rPr>
            <w:rStyle w:val="Hipervnculo"/>
            <w:rFonts w:cs="Arial"/>
            <w:szCs w:val="24"/>
          </w:rPr>
          <w:t>https://agrociencia-colpos.mx/index.php/agrociencia/article/view/2301</w:t>
        </w:r>
      </w:hyperlink>
      <w:r w:rsidR="00F97959">
        <w:rPr>
          <w:rFonts w:cs="Arial"/>
          <w:szCs w:val="24"/>
        </w:rPr>
        <w:t xml:space="preserve"> </w:t>
      </w:r>
    </w:p>
    <w:p w14:paraId="73EC8F48" w14:textId="6843A603" w:rsidR="009A5F3E" w:rsidRDefault="0060240E" w:rsidP="00EC6ABE">
      <w:pPr>
        <w:spacing w:before="0" w:beforeAutospacing="0" w:after="160" w:afterAutospacing="0"/>
        <w:rPr>
          <w:lang w:val="es-ES"/>
        </w:rPr>
      </w:pPr>
      <w:r>
        <w:rPr>
          <w:lang w:val="es-ES"/>
        </w:rPr>
        <w:br w:type="page"/>
      </w:r>
    </w:p>
    <w:p w14:paraId="3D3D412B" w14:textId="7DF5983D" w:rsidR="00F81ED6" w:rsidRPr="00F81ED6" w:rsidRDefault="00F81ED6" w:rsidP="0060240E">
      <w:pPr>
        <w:spacing w:before="0" w:beforeAutospacing="0" w:after="200" w:afterAutospacing="0"/>
        <w:rPr>
          <w:noProof/>
          <w:lang w:val="en-US"/>
        </w:rPr>
      </w:pPr>
      <w:r w:rsidRPr="00F81ED6">
        <w:rPr>
          <w:b/>
          <w:bCs/>
          <w:noProof/>
          <w:lang w:val="en-US"/>
        </w:rPr>
        <w:lastRenderedPageBreak/>
        <w:t>9.4. Artículo</w:t>
      </w:r>
      <w:r w:rsidR="007750F8" w:rsidRPr="00F81ED6">
        <w:rPr>
          <w:b/>
          <w:bCs/>
          <w:noProof/>
          <w:lang w:val="en-US"/>
        </w:rPr>
        <w:t xml:space="preserve"> "Ethnobotanical evaluation of the Mexican medicinal plants collected from the Popocatepetl-Iztaccíhualt ecological reserve: Production, consumption and conservation"</w:t>
      </w:r>
      <w:r>
        <w:rPr>
          <w:noProof/>
          <w:lang w:val="en-US"/>
        </w:rPr>
        <w:t>.</w:t>
      </w:r>
      <w:r w:rsidR="007750F8" w:rsidRPr="00F81ED6">
        <w:rPr>
          <w:noProof/>
          <w:lang w:val="en-US"/>
        </w:rPr>
        <w:t xml:space="preserve"> </w:t>
      </w:r>
    </w:p>
    <w:p w14:paraId="4D3571C8" w14:textId="234F4FEC" w:rsidR="007750F8" w:rsidRPr="00F81ED6" w:rsidRDefault="00F81ED6" w:rsidP="0060240E">
      <w:pPr>
        <w:spacing w:before="0" w:beforeAutospacing="0" w:after="200" w:afterAutospacing="0"/>
        <w:rPr>
          <w:noProof/>
          <w:lang w:val="es-ES"/>
        </w:rPr>
      </w:pPr>
      <w:r>
        <w:rPr>
          <w:noProof/>
          <w:lang w:val="es-ES"/>
        </w:rPr>
        <w:t xml:space="preserve">El articulo fue enviado </w:t>
      </w:r>
      <w:r w:rsidR="007750F8" w:rsidRPr="00F81ED6">
        <w:rPr>
          <w:noProof/>
          <w:lang w:val="es-ES"/>
        </w:rPr>
        <w:t>a la Revista Nova Scientia</w:t>
      </w:r>
      <w:r>
        <w:rPr>
          <w:noProof/>
          <w:lang w:val="es-ES"/>
        </w:rPr>
        <w:t xml:space="preserve">, la cual pertenece al Padrón ed Revistas Científicas del CONACyT, y esta indexada en Latindez, Scielo, </w:t>
      </w:r>
      <w:r w:rsidR="001C2DFA">
        <w:rPr>
          <w:noProof/>
          <w:lang w:val="es-ES"/>
        </w:rPr>
        <w:t xml:space="preserve">Redalyc, Web of Science, entre otros. </w:t>
      </w:r>
      <w:r w:rsidR="007750F8" w:rsidRPr="00F81ED6">
        <w:rPr>
          <w:noProof/>
          <w:lang w:val="es-ES"/>
        </w:rPr>
        <w:t xml:space="preserve"> </w:t>
      </w:r>
    </w:p>
    <w:p w14:paraId="2A57C14B" w14:textId="77777777" w:rsidR="0044119F" w:rsidRDefault="00A67DC7" w:rsidP="0060240E">
      <w:pPr>
        <w:spacing w:before="0" w:beforeAutospacing="0" w:after="200" w:afterAutospacing="0"/>
        <w:rPr>
          <w:noProof/>
        </w:rPr>
      </w:pPr>
      <w:r>
        <w:rPr>
          <w:noProof/>
        </w:rPr>
        <w:t>La presencia cultural e histórica del uso de las plantas medicinales en la zona oriente del Estado de México como parte complementaria en el tratamiento de enfermedades incidentes en la población, propicia la importancia de considerar a la sustentabilidad como una estrategia para la conservación del patrimonio natural, en el cual perpetúan los productores/recolectores a pequeña escala desde una perspectiva empirista y racionalista. Por lo que el motivo del presente estudio fue determinar la producción, uso y consumo sustentable de las plantas medicinales en la zona oriente del Estado de México.</w:t>
      </w:r>
      <w:r w:rsidR="0044119F">
        <w:rPr>
          <w:noProof/>
        </w:rPr>
        <w:t xml:space="preserve"> </w:t>
      </w:r>
    </w:p>
    <w:p w14:paraId="6EDA2C32" w14:textId="6D3877C5" w:rsidR="00A67DC7" w:rsidRDefault="00A67DC7" w:rsidP="0060240E">
      <w:pPr>
        <w:spacing w:before="0" w:beforeAutospacing="0" w:after="200" w:afterAutospacing="0"/>
        <w:rPr>
          <w:noProof/>
        </w:rPr>
      </w:pPr>
      <w:r>
        <w:rPr>
          <w:noProof/>
        </w:rPr>
        <w:t xml:space="preserve">Método: Se identificaron un total de 46 especies de plantas con sus usos medicinales por medio de entrevistas semiestructuradas, de las cuales 29 fueron reportadas por los productores/recolectores, 16 en Chalco de Díaz Covarrubias, 18 en Tlalmanalco de Velázquez y 24 en Amecameca de Juárez.  </w:t>
      </w:r>
    </w:p>
    <w:p w14:paraId="42DE6922" w14:textId="77777777" w:rsidR="00A67DC7" w:rsidRDefault="00A67DC7" w:rsidP="0060240E">
      <w:pPr>
        <w:spacing w:before="0" w:beforeAutospacing="0" w:after="200" w:afterAutospacing="0"/>
        <w:rPr>
          <w:noProof/>
        </w:rPr>
      </w:pPr>
      <w:r>
        <w:rPr>
          <w:noProof/>
        </w:rPr>
        <w:t xml:space="preserve">Resultados: Para la obtención de las plantas medicinales se reconocieron prácticas de conservación y resiliencia de las áreas de recolección en las que el productor/recolector preserva in situ el material fitogeográfico, en el caso de los cultivos fuera de sitio las prácticas tienden a la agroecología con cultivos de traspatio, la semilla la obtienen de tres formas: la conservan del ciclo anterior, la traen del área de recolección o la trasplantan del lugar de origen a un espacio controlado y fertilizan con deshechos y/o estiércol orgánico con rotación de cultivos los cuales son complementarios a otras actividades económicas. El consumidor prefiere la planta medicinal en fresco y el precio es determinado por la época del año que se esté cursando. A partir del Valor Cultural general se identificaron cinco </w:t>
      </w:r>
      <w:r>
        <w:rPr>
          <w:noProof/>
        </w:rPr>
        <w:lastRenderedPageBreak/>
        <w:t xml:space="preserve">especies coincidentes en las tres localidades, estas son: manzanilla (Chamaemelum nobile) 23.41, ajo (Allium sativum) 16.45, hierbabuena (Mentha spicata) 15.26, haba (Vicia faba) 6.72 y níspero (Eriobotrya japónica) 5.15, estas plantas no son endémicas pero se han naturalizado a la zona y son utilizadas en el tratamiento de enfermedades gastrointestinales, respiratorias, crónico degenerativas, dolor en general, antiparasitarios, antipiréticos, oftálmicos, estrés, anemia, té recreativos y acné. </w:t>
      </w:r>
    </w:p>
    <w:p w14:paraId="79BE6FDB" w14:textId="697417A3" w:rsidR="00A67DC7" w:rsidRDefault="00A67DC7" w:rsidP="0060240E">
      <w:pPr>
        <w:spacing w:before="0" w:beforeAutospacing="0" w:after="200" w:afterAutospacing="0"/>
        <w:rPr>
          <w:noProof/>
        </w:rPr>
      </w:pPr>
      <w:r>
        <w:rPr>
          <w:noProof/>
        </w:rPr>
        <w:t>Discusión o Conclusión: El Valor Cultural otorgado por la población a las plantas medicinales demuestra la relación entre el ecosistema y la sociedad quien desde el empirismo y racionalismo obtiene beneficios tanto económicos como de salud. La revaloración de la naturaleza como patrimonio permitiría una adecuada regulación ecológica y social en una ética de responsabilidad, como una estrategia para la sustentabilidad en beneficio de las generaciones futuras.</w:t>
      </w:r>
    </w:p>
    <w:p w14:paraId="2A278E40" w14:textId="45558298" w:rsidR="0022052F" w:rsidRDefault="007750F8" w:rsidP="0022052F">
      <w:pPr>
        <w:spacing w:before="0" w:beforeAutospacing="0" w:after="200" w:afterAutospacing="0"/>
        <w:rPr>
          <w:u w:val="single"/>
          <w:lang w:val="es-ES"/>
        </w:rPr>
      </w:pPr>
      <w:r>
        <w:rPr>
          <w:noProof/>
          <w:lang w:eastAsia="es-MX"/>
        </w:rPr>
        <w:drawing>
          <wp:inline distT="0" distB="0" distL="0" distR="0" wp14:anchorId="45A20744" wp14:editId="37BF6A15">
            <wp:extent cx="5611929" cy="4147718"/>
            <wp:effectExtent l="0" t="0" r="8255" b="571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BEBA8EAE-BF5A-486C-A8C5-ECC9F3942E4B}">
                          <a14:imgProps xmlns:a14="http://schemas.microsoft.com/office/drawing/2010/main">
                            <a14:imgLayer r:embed="rId18">
                              <a14:imgEffect>
                                <a14:saturation sat="200000"/>
                              </a14:imgEffect>
                            </a14:imgLayer>
                          </a14:imgProps>
                        </a:ext>
                      </a:extLst>
                    </a:blip>
                    <a:srcRect b="7929"/>
                    <a:stretch/>
                  </pic:blipFill>
                  <pic:spPr bwMode="auto">
                    <a:xfrm>
                      <a:off x="0" y="0"/>
                      <a:ext cx="5617307" cy="4151693"/>
                    </a:xfrm>
                    <a:prstGeom prst="rect">
                      <a:avLst/>
                    </a:prstGeom>
                    <a:ln>
                      <a:noFill/>
                    </a:ln>
                    <a:extLst>
                      <a:ext uri="{53640926-AAD7-44D8-BBD7-CCE9431645EC}">
                        <a14:shadowObscured xmlns:a14="http://schemas.microsoft.com/office/drawing/2010/main"/>
                      </a:ext>
                    </a:extLst>
                  </pic:spPr>
                </pic:pic>
              </a:graphicData>
            </a:graphic>
          </wp:inline>
        </w:drawing>
      </w:r>
      <w:r w:rsidR="0022052F">
        <w:rPr>
          <w:u w:val="single"/>
          <w:lang w:val="es-ES"/>
        </w:rPr>
        <w:br w:type="page"/>
      </w:r>
    </w:p>
    <w:p w14:paraId="15494B08" w14:textId="77777777" w:rsidR="00EC6ABE" w:rsidRDefault="00A41052" w:rsidP="0060240E">
      <w:pPr>
        <w:spacing w:before="0" w:beforeAutospacing="0" w:after="200" w:afterAutospacing="0"/>
        <w:rPr>
          <w:b/>
          <w:bCs/>
          <w:lang w:val="es-ES"/>
        </w:rPr>
      </w:pPr>
      <w:r w:rsidRPr="00E269EF">
        <w:rPr>
          <w:noProof/>
          <w:lang w:eastAsia="es-MX"/>
        </w:rPr>
        <w:lastRenderedPageBreak/>
        <w:drawing>
          <wp:anchor distT="0" distB="0" distL="114300" distR="114300" simplePos="0" relativeHeight="251660288" behindDoc="1" locked="0" layoutInCell="1" allowOverlap="1" wp14:anchorId="25DCF1E8" wp14:editId="2F74822A">
            <wp:simplePos x="0" y="0"/>
            <wp:positionH relativeFrom="column">
              <wp:posOffset>-5080</wp:posOffset>
            </wp:positionH>
            <wp:positionV relativeFrom="paragraph">
              <wp:posOffset>305</wp:posOffset>
            </wp:positionV>
            <wp:extent cx="5612130" cy="7331075"/>
            <wp:effectExtent l="0" t="0" r="7620" b="3175"/>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2130" cy="7331075"/>
                    </a:xfrm>
                    <a:prstGeom prst="rect">
                      <a:avLst/>
                    </a:prstGeom>
                    <a:noFill/>
                    <a:ln>
                      <a:noFill/>
                    </a:ln>
                  </pic:spPr>
                </pic:pic>
              </a:graphicData>
            </a:graphic>
          </wp:anchor>
        </w:drawing>
      </w:r>
      <w:r w:rsidR="00EC6ABE">
        <w:rPr>
          <w:b/>
          <w:bCs/>
          <w:lang w:val="es-ES"/>
        </w:rPr>
        <w:t xml:space="preserve">                                                                                                                                                                                   </w:t>
      </w:r>
    </w:p>
    <w:p w14:paraId="055F15B1" w14:textId="3D26D1BE" w:rsidR="009A5F3E" w:rsidRPr="00CD7B3C" w:rsidRDefault="009A5F3E" w:rsidP="0060240E">
      <w:pPr>
        <w:spacing w:before="0" w:beforeAutospacing="0" w:after="200" w:afterAutospacing="0"/>
        <w:rPr>
          <w:b/>
          <w:bCs/>
        </w:rPr>
      </w:pPr>
      <w:r w:rsidRPr="00CD7B3C">
        <w:rPr>
          <w:b/>
          <w:bCs/>
          <w:lang w:val="es-ES"/>
        </w:rPr>
        <w:lastRenderedPageBreak/>
        <w:t>9.</w:t>
      </w:r>
      <w:r w:rsidR="001C2DFA" w:rsidRPr="00CD7B3C">
        <w:rPr>
          <w:b/>
          <w:bCs/>
          <w:lang w:val="es-ES"/>
        </w:rPr>
        <w:t>5. Artículo</w:t>
      </w:r>
      <w:r w:rsidRPr="00CD7B3C">
        <w:rPr>
          <w:b/>
          <w:bCs/>
          <w:lang w:val="es-ES"/>
        </w:rPr>
        <w:t xml:space="preserve"> </w:t>
      </w:r>
      <w:r w:rsidR="00CD7B3C" w:rsidRPr="00CD7B3C">
        <w:rPr>
          <w:b/>
          <w:bCs/>
          <w:lang w:val="es-ES"/>
        </w:rPr>
        <w:t>“</w:t>
      </w:r>
      <w:bookmarkStart w:id="18" w:name="_Hlk71871291"/>
      <w:r w:rsidR="00713278">
        <w:rPr>
          <w:b/>
          <w:bCs/>
          <w:lang w:val="es-ES"/>
        </w:rPr>
        <w:t>Análisis</w:t>
      </w:r>
      <w:r w:rsidRPr="00CD7B3C">
        <w:rPr>
          <w:b/>
          <w:bCs/>
        </w:rPr>
        <w:t xml:space="preserve"> de la herbolaria en las unidades productivas cunícolas de traspatio mediante el método IDEA</w:t>
      </w:r>
      <w:bookmarkEnd w:id="18"/>
      <w:r w:rsidR="00CD7B3C" w:rsidRPr="00CD7B3C">
        <w:rPr>
          <w:b/>
          <w:bCs/>
        </w:rPr>
        <w:t>”</w:t>
      </w:r>
    </w:p>
    <w:p w14:paraId="26782FCE" w14:textId="2144D3CC" w:rsidR="003B666C" w:rsidRPr="00D87B2D" w:rsidRDefault="003B666C" w:rsidP="0060240E">
      <w:pPr>
        <w:spacing w:before="0" w:beforeAutospacing="0" w:after="200" w:afterAutospacing="0"/>
        <w:rPr>
          <w:lang w:val="es-ES"/>
        </w:rPr>
      </w:pPr>
      <w:r>
        <w:t xml:space="preserve">Se </w:t>
      </w:r>
      <w:r w:rsidR="00D87B2D">
        <w:t>escribió el borrador de un artículo denominado “Análisis de la</w:t>
      </w:r>
      <w:r w:rsidR="00907762">
        <w:t xml:space="preserve"> herbolaria en las unidades productivas cunícolas de traspatio mediante el método IDEA</w:t>
      </w:r>
      <w:r w:rsidR="00D87B2D">
        <w:rPr>
          <w:rFonts w:cs="Arial"/>
        </w:rPr>
        <w:t>”</w:t>
      </w:r>
      <w:r w:rsidRPr="00D87B2D">
        <w:rPr>
          <w:rFonts w:cs="Arial"/>
        </w:rPr>
        <w:t>.</w:t>
      </w:r>
    </w:p>
    <w:p w14:paraId="6BCEC8C0" w14:textId="77777777" w:rsidR="003B666C" w:rsidRDefault="003B666C" w:rsidP="0060240E">
      <w:pPr>
        <w:pStyle w:val="Sinespaciado"/>
        <w:spacing w:line="360" w:lineRule="auto"/>
        <w:rPr>
          <w:b/>
          <w:bCs/>
        </w:rPr>
      </w:pPr>
      <w:r>
        <w:rPr>
          <w:b/>
          <w:bCs/>
        </w:rPr>
        <w:t xml:space="preserve">Resumen </w:t>
      </w:r>
    </w:p>
    <w:p w14:paraId="04A49A51" w14:textId="21BEDD39" w:rsidR="00CD7B3C" w:rsidRDefault="003B666C" w:rsidP="0060240E">
      <w:r>
        <w:t xml:space="preserve">La sustentabilidad puede ser abordada desde diferentes posturas e incluir el conocimiento tradicional en los modelos productivos. El objetivo es </w:t>
      </w:r>
      <w:bookmarkStart w:id="19" w:name="_Hlk71871314"/>
      <w:r w:rsidR="00713278">
        <w:t>analizar la herbolaria en las unidades productivas cunícolas de traspatio mediante el método IDEA</w:t>
      </w:r>
      <w:bookmarkEnd w:id="19"/>
      <w:r>
        <w:t>. Materiales y Métodos: se adaptó el método IDEA para ser aplicado a 50 productores de la zona oriente del Estado de México. Mediante el método PRISMA se identificaron ocho plantas mexicanas adicionadas en la alimentación</w:t>
      </w:r>
      <w:r>
        <w:rPr>
          <w:rFonts w:cs="Arial"/>
          <w:color w:val="202124"/>
          <w:shd w:val="clear" w:color="auto" w:fill="FFFFFF"/>
        </w:rPr>
        <w:t>.</w:t>
      </w:r>
      <w:r>
        <w:t xml:space="preserve"> En la dimensión agroecológica la puntuación obtenida se conserva debido al manejo de la especie. La dimensión socio-territorial, B1 Procesos de calidad presenta variabilidad debido a la introducción de las plantas, siendo el cilantro, noni, romero y tomillo mejoran los parámetros productivos manteniendo la calidad de carne y el resto de los indicadores conserva la misma puntuación. La dimensión económica, los indicadores con modificaciones son C3 Autonomía financiera y C6 Eficiencia del proceso, el costo de alimentación y número de días de alimentación de la engorda depende de la planta introducida, el romero obtiene la puntuación más alta. Se concluye, adicionar plantas locales a la alimentación de los conejos tiende a la sustentabilidad por la coherencia con la protección y manejo de la biodiversidad, suelo y agua, se caracterizan por el manejo de productores-agricultores o productores con cercanía a áreas agrícolas debido a las prácticas agroecológicas. La eficiencia económica identificada al adicionar romero hace más atractivo para la conservación y reproducción en generaciones actuales y futuras</w:t>
      </w:r>
      <w:r w:rsidR="00CD7B3C">
        <w:t>.</w:t>
      </w:r>
      <w:r w:rsidR="00CD7B3C">
        <w:br w:type="page"/>
      </w:r>
    </w:p>
    <w:p w14:paraId="6C79FD15" w14:textId="77777777" w:rsidR="00522B7B" w:rsidRPr="00CD7B3C" w:rsidRDefault="000A6CAD" w:rsidP="0060240E">
      <w:pPr>
        <w:rPr>
          <w:b/>
          <w:bCs/>
          <w:szCs w:val="24"/>
        </w:rPr>
      </w:pPr>
      <w:r w:rsidRPr="00CD7B3C">
        <w:rPr>
          <w:b/>
          <w:bCs/>
          <w:szCs w:val="24"/>
        </w:rPr>
        <w:lastRenderedPageBreak/>
        <w:t>X. CONCLUSIONES</w:t>
      </w:r>
    </w:p>
    <w:p w14:paraId="30918198" w14:textId="0A6138E9" w:rsidR="00E34C0A" w:rsidRDefault="00114C05" w:rsidP="0060240E">
      <w:pPr>
        <w:rPr>
          <w:lang w:val="es-419"/>
        </w:rPr>
      </w:pPr>
      <w:r>
        <w:rPr>
          <w:lang w:val="es-419"/>
        </w:rPr>
        <w:t>En esta investigación se analizaron dos sistemas m</w:t>
      </w:r>
      <w:r w:rsidR="00E34C0A">
        <w:rPr>
          <w:lang w:val="es-419"/>
        </w:rPr>
        <w:t>ediante la teoría de Sistemas Complejo</w:t>
      </w:r>
      <w:r>
        <w:rPr>
          <w:lang w:val="es-419"/>
        </w:rPr>
        <w:t>s</w:t>
      </w:r>
      <w:r w:rsidR="00E34C0A">
        <w:rPr>
          <w:lang w:val="es-419"/>
        </w:rPr>
        <w:t>, cunicultura y herbolaria.</w:t>
      </w:r>
      <w:r>
        <w:rPr>
          <w:lang w:val="es-419"/>
        </w:rPr>
        <w:t xml:space="preserve"> Ambos se reproducen</w:t>
      </w:r>
      <w:r w:rsidR="00983199">
        <w:rPr>
          <w:lang w:val="es-419"/>
        </w:rPr>
        <w:t>, cuentan con</w:t>
      </w:r>
      <w:r>
        <w:rPr>
          <w:lang w:val="es-419"/>
        </w:rPr>
        <w:t xml:space="preserve"> aceptación</w:t>
      </w:r>
      <w:r w:rsidR="00983199">
        <w:rPr>
          <w:lang w:val="es-419"/>
        </w:rPr>
        <w:t>,</w:t>
      </w:r>
      <w:r>
        <w:rPr>
          <w:lang w:val="es-419"/>
        </w:rPr>
        <w:t xml:space="preserve"> tradición</w:t>
      </w:r>
      <w:r w:rsidR="00983199">
        <w:rPr>
          <w:lang w:val="es-419"/>
        </w:rPr>
        <w:t xml:space="preserve"> y comercialización</w:t>
      </w:r>
      <w:r>
        <w:rPr>
          <w:lang w:val="es-419"/>
        </w:rPr>
        <w:t xml:space="preserve"> en la zona oriente</w:t>
      </w:r>
      <w:r w:rsidR="00983199">
        <w:rPr>
          <w:lang w:val="es-419"/>
        </w:rPr>
        <w:t xml:space="preserve"> del Estado de México. Con amplia aceptación social</w:t>
      </w:r>
      <w:r w:rsidR="006056C2">
        <w:rPr>
          <w:lang w:val="es-419"/>
        </w:rPr>
        <w:t xml:space="preserve"> y se reconocen como </w:t>
      </w:r>
      <w:r w:rsidR="005C07C6">
        <w:rPr>
          <w:lang w:val="es-419"/>
        </w:rPr>
        <w:t>producciones</w:t>
      </w:r>
      <w:r w:rsidR="006056C2">
        <w:rPr>
          <w:lang w:val="es-419"/>
        </w:rPr>
        <w:t xml:space="preserve"> </w:t>
      </w:r>
      <w:r w:rsidR="005C07C6">
        <w:rPr>
          <w:lang w:val="es-419"/>
        </w:rPr>
        <w:t>ambientalmente amigables.</w:t>
      </w:r>
      <w:r w:rsidR="00E34C0A">
        <w:rPr>
          <w:lang w:val="es-419"/>
        </w:rPr>
        <w:t xml:space="preserve"> </w:t>
      </w:r>
    </w:p>
    <w:p w14:paraId="759E1BAE" w14:textId="331920E7" w:rsidR="00AD6833" w:rsidRDefault="00100C4C" w:rsidP="0060240E">
      <w:pPr>
        <w:rPr>
          <w:szCs w:val="24"/>
        </w:rPr>
      </w:pPr>
      <w:r>
        <w:rPr>
          <w:szCs w:val="24"/>
        </w:rPr>
        <w:t>Al observar la dinámica de las Unidades Productivas Cunícolas de Traspatio</w:t>
      </w:r>
      <w:r w:rsidR="00E32945">
        <w:rPr>
          <w:szCs w:val="24"/>
        </w:rPr>
        <w:t xml:space="preserve"> </w:t>
      </w:r>
      <w:r w:rsidR="00447410">
        <w:rPr>
          <w:szCs w:val="24"/>
        </w:rPr>
        <w:t xml:space="preserve">es posible identificar que la cunicultura es una explotación de relevancia en la zona oriente del Estado de México. </w:t>
      </w:r>
      <w:r w:rsidR="008F27CF">
        <w:rPr>
          <w:szCs w:val="24"/>
        </w:rPr>
        <w:t>L</w:t>
      </w:r>
      <w:r w:rsidR="00C30447">
        <w:rPr>
          <w:szCs w:val="24"/>
        </w:rPr>
        <w:t xml:space="preserve">a </w:t>
      </w:r>
      <w:r w:rsidR="00A07708">
        <w:rPr>
          <w:szCs w:val="24"/>
        </w:rPr>
        <w:t>participación</w:t>
      </w:r>
      <w:r w:rsidR="008F27CF">
        <w:rPr>
          <w:szCs w:val="24"/>
        </w:rPr>
        <w:t xml:space="preserve"> </w:t>
      </w:r>
      <w:r w:rsidR="00C30447">
        <w:rPr>
          <w:szCs w:val="24"/>
        </w:rPr>
        <w:t xml:space="preserve">de </w:t>
      </w:r>
      <w:r w:rsidR="008F27CF">
        <w:rPr>
          <w:szCs w:val="24"/>
        </w:rPr>
        <w:t xml:space="preserve">los productores fomenta diferentes aspectos </w:t>
      </w:r>
      <w:r w:rsidR="00A07708">
        <w:rPr>
          <w:szCs w:val="24"/>
        </w:rPr>
        <w:t>de la sustentabilidad</w:t>
      </w:r>
      <w:r w:rsidR="005C07C6">
        <w:rPr>
          <w:szCs w:val="24"/>
        </w:rPr>
        <w:t>, principalmente productores que son agricultores o tienen contacto con los mismos</w:t>
      </w:r>
      <w:r w:rsidR="00A07708">
        <w:rPr>
          <w:szCs w:val="24"/>
        </w:rPr>
        <w:t xml:space="preserve">. </w:t>
      </w:r>
      <w:r w:rsidR="005C07C6">
        <w:rPr>
          <w:szCs w:val="24"/>
        </w:rPr>
        <w:t>A pesar de la amplia aceptación social</w:t>
      </w:r>
      <w:r w:rsidR="000D5478">
        <w:rPr>
          <w:szCs w:val="24"/>
        </w:rPr>
        <w:t>, no</w:t>
      </w:r>
      <w:r w:rsidR="007D5DF4">
        <w:rPr>
          <w:szCs w:val="24"/>
        </w:rPr>
        <w:t xml:space="preserve"> se</w:t>
      </w:r>
      <w:r w:rsidR="000D5478">
        <w:rPr>
          <w:szCs w:val="24"/>
        </w:rPr>
        <w:t xml:space="preserve"> reconoce como </w:t>
      </w:r>
      <w:r w:rsidR="001E20A5">
        <w:rPr>
          <w:szCs w:val="24"/>
        </w:rPr>
        <w:t xml:space="preserve">una </w:t>
      </w:r>
      <w:r w:rsidR="000D5478">
        <w:rPr>
          <w:szCs w:val="24"/>
        </w:rPr>
        <w:t>producci</w:t>
      </w:r>
      <w:r w:rsidR="001E20A5">
        <w:rPr>
          <w:szCs w:val="24"/>
        </w:rPr>
        <w:t xml:space="preserve">ón </w:t>
      </w:r>
      <w:r w:rsidR="007D5DF4">
        <w:rPr>
          <w:szCs w:val="24"/>
        </w:rPr>
        <w:t xml:space="preserve">relevante para integrarla en los censos agrícolas que realiza la SAGARPA. </w:t>
      </w:r>
    </w:p>
    <w:p w14:paraId="09D87681" w14:textId="32B0B1B9" w:rsidR="00B249B0" w:rsidRPr="00503B94" w:rsidRDefault="00AD6833" w:rsidP="0060240E">
      <w:pPr>
        <w:rPr>
          <w:szCs w:val="24"/>
        </w:rPr>
      </w:pPr>
      <w:r>
        <w:rPr>
          <w:szCs w:val="24"/>
        </w:rPr>
        <w:t xml:space="preserve">Una de las razones para la negativa del organismo </w:t>
      </w:r>
      <w:r w:rsidR="00CD7B3C">
        <w:rPr>
          <w:szCs w:val="24"/>
        </w:rPr>
        <w:t xml:space="preserve">es </w:t>
      </w:r>
      <w:r w:rsidR="00503B94">
        <w:rPr>
          <w:szCs w:val="24"/>
        </w:rPr>
        <w:t>la ausencia de</w:t>
      </w:r>
      <w:r>
        <w:rPr>
          <w:szCs w:val="24"/>
        </w:rPr>
        <w:t xml:space="preserve"> asociaciones</w:t>
      </w:r>
      <w:r w:rsidR="00503B94">
        <w:rPr>
          <w:szCs w:val="24"/>
        </w:rPr>
        <w:t xml:space="preserve"> que ayude</w:t>
      </w:r>
      <w:r w:rsidR="00DD3A9C">
        <w:rPr>
          <w:szCs w:val="24"/>
        </w:rPr>
        <w:t xml:space="preserve"> a los productores</w:t>
      </w:r>
      <w:r w:rsidR="00503B94">
        <w:rPr>
          <w:szCs w:val="24"/>
        </w:rPr>
        <w:t xml:space="preserve"> a</w:t>
      </w:r>
      <w:r>
        <w:rPr>
          <w:szCs w:val="24"/>
        </w:rPr>
        <w:t xml:space="preserve"> gestionar apoyos económicos otorgados por la institución antes mencionada. Se limita a </w:t>
      </w:r>
      <w:r w:rsidR="00C133CE">
        <w:rPr>
          <w:szCs w:val="24"/>
        </w:rPr>
        <w:t xml:space="preserve">proporcionar </w:t>
      </w:r>
      <w:r w:rsidR="00947FEC">
        <w:rPr>
          <w:szCs w:val="24"/>
        </w:rPr>
        <w:t xml:space="preserve">paquetes de </w:t>
      </w:r>
      <w:r w:rsidR="00947FEC" w:rsidRPr="009D5269">
        <w:t>conejos reproductores (1 macho + 3 hembras)</w:t>
      </w:r>
      <w:r w:rsidR="00947FEC">
        <w:t xml:space="preserve"> </w:t>
      </w:r>
      <w:r w:rsidR="004E1B87">
        <w:t>destinados a autoconsumo y</w:t>
      </w:r>
      <w:r w:rsidR="004E1B87" w:rsidRPr="009D5269">
        <w:t xml:space="preserve"> </w:t>
      </w:r>
      <w:r w:rsidR="00503B94">
        <w:t xml:space="preserve">con </w:t>
      </w:r>
      <w:r w:rsidR="004E1B87" w:rsidRPr="009D5269">
        <w:t>apoyo técnico</w:t>
      </w:r>
      <w:r w:rsidR="004E1B87">
        <w:t xml:space="preserve">. Este </w:t>
      </w:r>
      <w:r w:rsidR="00B41FBA">
        <w:t xml:space="preserve">modelo de </w:t>
      </w:r>
      <w:r w:rsidR="004E1B87">
        <w:t>proyecto</w:t>
      </w:r>
      <w:r w:rsidR="00B41FBA">
        <w:t xml:space="preserve"> responde a lo establecido por la Revolución verde donde se estandarizan las explotaciones, tanto en manejo como alimentación, demeritando a los piensos vegetales alternativos disponibles en la región. </w:t>
      </w:r>
      <w:r w:rsidR="004E1B87">
        <w:t xml:space="preserve"> </w:t>
      </w:r>
    </w:p>
    <w:p w14:paraId="7D4E39A8" w14:textId="60FA6442" w:rsidR="00A1376F" w:rsidRDefault="00FE6E40" w:rsidP="0060240E">
      <w:r>
        <w:t>Por otro lado, la herbolaria</w:t>
      </w:r>
      <w:r w:rsidR="002A0787">
        <w:t xml:space="preserve"> de la zona oriente del Estado de México</w:t>
      </w:r>
      <w:r>
        <w:t xml:space="preserve"> </w:t>
      </w:r>
      <w:r w:rsidR="00503B94">
        <w:t xml:space="preserve">presenta </w:t>
      </w:r>
      <w:r w:rsidR="00CD7B3C">
        <w:t xml:space="preserve">una </w:t>
      </w:r>
      <w:r w:rsidR="00410FAD">
        <w:t xml:space="preserve">dinámica con mayor interacción con el medio ambiente y la sociedad. La producción/recolección responde a las exigencias del consumidor bajo la condicionante de la temporada de lluvia o </w:t>
      </w:r>
      <w:r w:rsidR="002A0787">
        <w:t>sequía.</w:t>
      </w:r>
      <w:r w:rsidR="00044139">
        <w:t xml:space="preserve"> </w:t>
      </w:r>
      <w:r w:rsidR="002A0787">
        <w:t>L</w:t>
      </w:r>
      <w:r w:rsidR="00044139">
        <w:t>a comercialización</w:t>
      </w:r>
      <w:r w:rsidR="00DD3A9C">
        <w:t xml:space="preserve"> </w:t>
      </w:r>
      <w:r w:rsidR="000E484D">
        <w:t>se realiza mediante dos modalidades. El menudeo con cadenas cortas de comercialización, el costo es determinado por el o la comerciante y sin intervención de algún organismo regulado</w:t>
      </w:r>
      <w:r w:rsidR="007B0F64">
        <w:t>r</w:t>
      </w:r>
      <w:r w:rsidR="000E484D">
        <w:t>. El mayoreo, comparte la determinación de costos con el menudeo, en la comercialización se identifica la intervención de intermediarios</w:t>
      </w:r>
      <w:r w:rsidR="00166DB7">
        <w:t xml:space="preserve">, quienes </w:t>
      </w:r>
      <w:r w:rsidR="001B7CC4">
        <w:t>concentran</w:t>
      </w:r>
      <w:r w:rsidR="00166DB7">
        <w:t xml:space="preserve"> a las plantas medicinales </w:t>
      </w:r>
      <w:r w:rsidR="001B7CC4">
        <w:t>en</w:t>
      </w:r>
      <w:r w:rsidR="00166DB7">
        <w:t xml:space="preserve"> mercados con presencia </w:t>
      </w:r>
      <w:r w:rsidR="004230CE">
        <w:t xml:space="preserve">y distribución </w:t>
      </w:r>
      <w:r w:rsidR="00166DB7">
        <w:t xml:space="preserve">nacional, como </w:t>
      </w:r>
      <w:r w:rsidR="00166DB7">
        <w:lastRenderedPageBreak/>
        <w:t>el Mercado Sonora</w:t>
      </w:r>
      <w:r w:rsidR="001B7CC4">
        <w:t>.</w:t>
      </w:r>
      <w:r w:rsidR="007B0F64">
        <w:t xml:space="preserve"> </w:t>
      </w:r>
      <w:r w:rsidR="002451D9">
        <w:t>Siendo</w:t>
      </w:r>
      <w:r w:rsidR="009B5D38">
        <w:t xml:space="preserve"> COFEPRIS</w:t>
      </w:r>
      <w:r w:rsidR="004230CE">
        <w:t xml:space="preserve"> </w:t>
      </w:r>
      <w:r w:rsidR="002451D9">
        <w:t>el organismo que regula</w:t>
      </w:r>
      <w:r w:rsidR="007B0F64">
        <w:t xml:space="preserve"> la aplicación experimental </w:t>
      </w:r>
      <w:r w:rsidR="00A1376F">
        <w:t xml:space="preserve">de las plantas, </w:t>
      </w:r>
      <w:r w:rsidR="007B0F64">
        <w:t>considera las siguientes</w:t>
      </w:r>
      <w:r w:rsidR="002451D9">
        <w:t xml:space="preserve"> </w:t>
      </w:r>
      <w:r w:rsidR="007B0F64">
        <w:t>características</w:t>
      </w:r>
      <w:r w:rsidR="00A1376F">
        <w:t xml:space="preserve"> para la aprobación de los protocolos</w:t>
      </w:r>
      <w:r w:rsidR="007B0F64">
        <w:t>,</w:t>
      </w:r>
      <w:r w:rsidR="002451D9">
        <w:t xml:space="preserve"> tipo</w:t>
      </w:r>
      <w:r w:rsidR="007B0F64">
        <w:t xml:space="preserve"> de planta</w:t>
      </w:r>
      <w:r w:rsidR="002451D9">
        <w:t>, dosis</w:t>
      </w:r>
      <w:r w:rsidR="00A1376F">
        <w:t xml:space="preserve"> y</w:t>
      </w:r>
      <w:r w:rsidR="002451D9">
        <w:t xml:space="preserve"> modalidad de aplicación</w:t>
      </w:r>
      <w:r w:rsidR="00A1376F">
        <w:t>.</w:t>
      </w:r>
    </w:p>
    <w:p w14:paraId="511395FD" w14:textId="667C9DA8" w:rsidR="00522B7B" w:rsidRDefault="00A1376F" w:rsidP="0060240E">
      <w:r>
        <w:t>La hipótesis planteada en esta investigación es</w:t>
      </w:r>
      <w:r w:rsidR="002451D9">
        <w:t xml:space="preserve"> </w:t>
      </w:r>
      <w:r>
        <w:t>a</w:t>
      </w:r>
      <w:r w:rsidR="00522B7B" w:rsidRPr="00880AF4">
        <w:t>l emplear la herbolaria en las unidades productivas cunícolas de traspatio, se aumenta la interacción de las dimensiones agroecológica, socio-territorial y económica</w:t>
      </w:r>
      <w:r w:rsidR="006B7AAE">
        <w:t xml:space="preserve"> mejorando la sustentabilidad del sistema</w:t>
      </w:r>
      <w:r w:rsidR="00522B7B">
        <w:t>.</w:t>
      </w:r>
      <w:r>
        <w:t xml:space="preserve"> </w:t>
      </w:r>
      <w:r w:rsidR="00CC0999">
        <w:t>Al analizar la relación entre las dimensiones mediante el método IDEA, se observ</w:t>
      </w:r>
      <w:r w:rsidR="009B2BCC">
        <w:t>ó</w:t>
      </w:r>
      <w:r w:rsidR="00CC0999">
        <w:t xml:space="preserve"> </w:t>
      </w:r>
      <w:r w:rsidR="00CB4392">
        <w:t>que se presentan diferentes niveles de interacción entre productor-medio ambiente y productor-agroecología.</w:t>
      </w:r>
    </w:p>
    <w:p w14:paraId="0FD2853F" w14:textId="593DD4E3" w:rsidR="002579A2" w:rsidRDefault="009B0722" w:rsidP="0060240E">
      <w:r>
        <w:t xml:space="preserve">Las prácticas agroecológicas realizadas </w:t>
      </w:r>
      <w:r w:rsidR="00FB0C03">
        <w:t xml:space="preserve">por </w:t>
      </w:r>
      <w:r>
        <w:t>los productores</w:t>
      </w:r>
      <w:r w:rsidR="002579A2">
        <w:t xml:space="preserve"> tienden hacia la sustentabilidad por la coherencia con la protección y manejo de la biodiversidad, suelo y agua, son las manejadas por productores-agricultores o productores con cercanía a áreas agrícolas por las prácticas agroecológicas. Pues son ellos quienes realizan explotaciones consientes y éticas, donde la interacción entre actores sociales y la conservación del medio ambiente </w:t>
      </w:r>
      <w:r w:rsidR="00FB0C03">
        <w:t>s</w:t>
      </w:r>
      <w:r w:rsidR="002579A2">
        <w:t>e evidencia por la trascendencia y adaptabilidad siendo una opción de desarrollo humano y local en la mejora y conservación de la calidad de vida de los productores.</w:t>
      </w:r>
    </w:p>
    <w:p w14:paraId="1A4E6E2C" w14:textId="77777777" w:rsidR="002579A2" w:rsidRDefault="002579A2" w:rsidP="0060240E">
      <w:pPr>
        <w:pStyle w:val="Sinespaciado"/>
        <w:spacing w:before="240" w:after="240" w:line="360" w:lineRule="auto"/>
      </w:pPr>
      <w:r>
        <w:t xml:space="preserve">La dimensión que aporta mayores áreas de oportunidad es la agroecología. Aunque existen áreas de oportunidad para que la sustentabilidad sea una práctica habitual entre los productores podrían obtener beneficios en las tres dimensiones propuestas por el método IDEA. En la dimensión agroecológica, cada una de las plantas tiene importancia en los agroecosistemas donde se ha adaptado. El cultivo puede ser en el traspatio e </w:t>
      </w:r>
      <w:r w:rsidRPr="00981CC2">
        <w:rPr>
          <w:i/>
          <w:iCs/>
        </w:rPr>
        <w:t>in situ</w:t>
      </w:r>
      <w:r>
        <w:t xml:space="preserve">, fomentando la diversidad y el aprovechamiento de los recursos locales. </w:t>
      </w:r>
    </w:p>
    <w:p w14:paraId="6FBF2413" w14:textId="316D44B1" w:rsidR="00F341B1" w:rsidRDefault="002579A2" w:rsidP="0060240E">
      <w:pPr>
        <w:pStyle w:val="Sinespaciado"/>
        <w:spacing w:before="240" w:after="240" w:line="360" w:lineRule="auto"/>
        <w:rPr>
          <w:rFonts w:cs="Arial"/>
          <w:bCs/>
        </w:rPr>
      </w:pPr>
      <w:r>
        <w:t>Los beneficios se traspasan a las dimensiones socio-territorial y económica mediante el fomento</w:t>
      </w:r>
      <w:r>
        <w:rPr>
          <w:rFonts w:cs="Arial"/>
          <w:bCs/>
        </w:rPr>
        <w:t xml:space="preserve"> del dialogo entre el productor y consumidor (turista y la comunidad) es posible se genere la aceptación social del conejo, como un alimento habitual de la población.   </w:t>
      </w:r>
    </w:p>
    <w:p w14:paraId="47F11989" w14:textId="195FBF3B" w:rsidR="00231AC5" w:rsidRDefault="00231AC5" w:rsidP="0060240E">
      <w:pPr>
        <w:pStyle w:val="Sinespaciado"/>
        <w:spacing w:before="240" w:after="240" w:line="360" w:lineRule="auto"/>
        <w:rPr>
          <w:rFonts w:cs="Arial"/>
          <w:bCs/>
        </w:rPr>
      </w:pPr>
      <w:r>
        <w:rPr>
          <w:rFonts w:cs="Arial"/>
          <w:bCs/>
        </w:rPr>
        <w:lastRenderedPageBreak/>
        <w:t xml:space="preserve">En la adaptación y aplicación del método IDEA </w:t>
      </w:r>
      <w:r w:rsidR="00C06098">
        <w:rPr>
          <w:rFonts w:cs="Arial"/>
          <w:bCs/>
        </w:rPr>
        <w:t xml:space="preserve">a los sistemas productivos cunícolas de traspatio permitió observar </w:t>
      </w:r>
      <w:r w:rsidR="006E05A3">
        <w:rPr>
          <w:rFonts w:cs="Arial"/>
          <w:bCs/>
        </w:rPr>
        <w:t>que el método por si mismo aborda de forma superficial los aspectos culturales de la producción. Debido a que la finalidad del sistema es generar ingresos económicos</w:t>
      </w:r>
      <w:r w:rsidR="00E127DA">
        <w:rPr>
          <w:rFonts w:cs="Arial"/>
          <w:bCs/>
        </w:rPr>
        <w:t xml:space="preserve"> se deja de lado el valor agregado de la cultura. El componente </w:t>
      </w:r>
      <w:r w:rsidR="00B65A88">
        <w:rPr>
          <w:rFonts w:cs="Arial"/>
          <w:bCs/>
        </w:rPr>
        <w:t xml:space="preserve">la calidad de los productos y del territorio busca establecer el diálogo </w:t>
      </w:r>
      <w:r w:rsidR="00137B4B">
        <w:rPr>
          <w:rFonts w:cs="Arial"/>
          <w:bCs/>
        </w:rPr>
        <w:t>entre la cultura y la producción, aunque en este caso no se logra.</w:t>
      </w:r>
      <w:r w:rsidR="00603B34">
        <w:rPr>
          <w:rFonts w:cs="Arial"/>
          <w:bCs/>
        </w:rPr>
        <w:t xml:space="preserve"> Por tanto, se</w:t>
      </w:r>
      <w:r w:rsidR="00137B4B">
        <w:rPr>
          <w:rFonts w:cs="Arial"/>
          <w:bCs/>
        </w:rPr>
        <w:t xml:space="preserve"> propone que el aspecto cultural </w:t>
      </w:r>
      <w:r w:rsidR="003D2908">
        <w:rPr>
          <w:rFonts w:cs="Arial"/>
          <w:bCs/>
        </w:rPr>
        <w:t xml:space="preserve">se relacione con el consumo, de esta manera </w:t>
      </w:r>
      <w:r w:rsidR="00734BA8">
        <w:rPr>
          <w:rFonts w:cs="Arial"/>
          <w:bCs/>
        </w:rPr>
        <w:t xml:space="preserve">se trasciende a la aceptabilidad social y, en consecuencia, acceso a los apoyos gubernamentales. </w:t>
      </w:r>
      <w:r w:rsidR="003D2908">
        <w:rPr>
          <w:rFonts w:cs="Arial"/>
          <w:bCs/>
        </w:rPr>
        <w:t xml:space="preserve"> </w:t>
      </w:r>
      <w:r w:rsidR="00603B34">
        <w:rPr>
          <w:rFonts w:cs="Arial"/>
          <w:bCs/>
        </w:rPr>
        <w:t xml:space="preserve"> </w:t>
      </w:r>
    </w:p>
    <w:p w14:paraId="49A81C5B" w14:textId="2D519D08" w:rsidR="00E24296" w:rsidRDefault="00791018" w:rsidP="0060240E">
      <w:pPr>
        <w:pStyle w:val="Sinespaciado"/>
        <w:spacing w:line="360" w:lineRule="auto"/>
        <w:rPr>
          <w:rFonts w:cs="Arial"/>
          <w:bCs/>
        </w:rPr>
      </w:pPr>
      <w:r>
        <w:rPr>
          <w:rFonts w:cs="Arial"/>
          <w:bCs/>
        </w:rPr>
        <w:t xml:space="preserve">Por lo que se sugiere se cree una asociación de productores pertenecientes a la zona oriente del Estado de México </w:t>
      </w:r>
      <w:r w:rsidR="007D193C">
        <w:rPr>
          <w:rFonts w:cs="Arial"/>
          <w:bCs/>
        </w:rPr>
        <w:t>con la finalidad de</w:t>
      </w:r>
      <w:r w:rsidR="00FB0C03">
        <w:rPr>
          <w:rFonts w:cs="Arial"/>
          <w:bCs/>
        </w:rPr>
        <w:t>:</w:t>
      </w:r>
      <w:r w:rsidR="007D193C">
        <w:rPr>
          <w:rFonts w:cs="Arial"/>
          <w:bCs/>
        </w:rPr>
        <w:t xml:space="preserve"> </w:t>
      </w:r>
    </w:p>
    <w:p w14:paraId="2371717B" w14:textId="77777777" w:rsidR="00B46DF7" w:rsidRPr="00B46DF7" w:rsidRDefault="00E24296" w:rsidP="0060240E">
      <w:pPr>
        <w:pStyle w:val="Sinespaciado"/>
        <w:numPr>
          <w:ilvl w:val="0"/>
          <w:numId w:val="9"/>
        </w:numPr>
        <w:spacing w:line="360" w:lineRule="auto"/>
      </w:pPr>
      <w:r>
        <w:rPr>
          <w:rFonts w:cs="Arial"/>
          <w:bCs/>
        </w:rPr>
        <w:t>G</w:t>
      </w:r>
      <w:r w:rsidR="007D193C">
        <w:rPr>
          <w:rFonts w:cs="Arial"/>
          <w:bCs/>
        </w:rPr>
        <w:t xml:space="preserve">estionar apoyos necesarios para </w:t>
      </w:r>
      <w:r w:rsidR="005044D6">
        <w:rPr>
          <w:rFonts w:cs="Arial"/>
          <w:bCs/>
        </w:rPr>
        <w:t>potencializar la producción y comercialización de la carne de conejo</w:t>
      </w:r>
      <w:r w:rsidR="00B46DF7">
        <w:rPr>
          <w:rFonts w:cs="Arial"/>
          <w:bCs/>
        </w:rPr>
        <w:t>.</w:t>
      </w:r>
    </w:p>
    <w:p w14:paraId="3280F374" w14:textId="77777777" w:rsidR="00723B39" w:rsidRPr="00723B39" w:rsidRDefault="004B324A" w:rsidP="0060240E">
      <w:pPr>
        <w:pStyle w:val="Sinespaciado"/>
        <w:numPr>
          <w:ilvl w:val="0"/>
          <w:numId w:val="9"/>
        </w:numPr>
        <w:spacing w:line="360" w:lineRule="auto"/>
      </w:pPr>
      <w:r>
        <w:rPr>
          <w:rFonts w:cs="Arial"/>
          <w:bCs/>
        </w:rPr>
        <w:t>Generar s</w:t>
      </w:r>
      <w:r w:rsidR="00B46DF7">
        <w:rPr>
          <w:rFonts w:cs="Arial"/>
          <w:bCs/>
        </w:rPr>
        <w:t xml:space="preserve">esiones de retroalimentación entre productores y especialistas en el área para </w:t>
      </w:r>
      <w:r w:rsidR="002335A0">
        <w:rPr>
          <w:rFonts w:cs="Arial"/>
          <w:bCs/>
        </w:rPr>
        <w:t xml:space="preserve">fortalecerse mediante la articulación técnica para generar conocimiento </w:t>
      </w:r>
      <w:r w:rsidR="00723B39">
        <w:rPr>
          <w:rFonts w:cs="Arial"/>
          <w:bCs/>
        </w:rPr>
        <w:t>de forma equitativa.</w:t>
      </w:r>
    </w:p>
    <w:p w14:paraId="30454F3B" w14:textId="753FCF8B" w:rsidR="00791018" w:rsidRDefault="00A17F5F" w:rsidP="0060240E">
      <w:pPr>
        <w:pStyle w:val="Sinespaciado"/>
        <w:numPr>
          <w:ilvl w:val="0"/>
          <w:numId w:val="9"/>
        </w:numPr>
        <w:spacing w:line="360" w:lineRule="auto"/>
      </w:pPr>
      <w:r>
        <w:rPr>
          <w:rFonts w:cs="Arial"/>
          <w:bCs/>
        </w:rPr>
        <w:t xml:space="preserve">Informar a los productores las innovaciones en alimentación generada por los especialistas en el área experimental y que benefician a las </w:t>
      </w:r>
      <w:r w:rsidRPr="00E051CA">
        <w:t>unidades productivas cunícolas de traspatio</w:t>
      </w:r>
      <w:r>
        <w:t xml:space="preserve"> en los ámbitos productivos, económicos y socio-territorial.</w:t>
      </w:r>
    </w:p>
    <w:p w14:paraId="619D93E6" w14:textId="3BE547ED" w:rsidR="00A17F5F" w:rsidRDefault="00A17F5F" w:rsidP="0060240E">
      <w:pPr>
        <w:pStyle w:val="Sinespaciado"/>
        <w:numPr>
          <w:ilvl w:val="0"/>
          <w:numId w:val="9"/>
        </w:numPr>
        <w:spacing w:line="360" w:lineRule="auto"/>
      </w:pPr>
      <w:r>
        <w:t xml:space="preserve">Para los productores que no son agricultores o no tienen </w:t>
      </w:r>
      <w:r w:rsidR="004E6FEB">
        <w:t>contacto directo con las zonas agrícolas, fomentar las prácticas agroecológicas. Pues son estas la base para la sustentabilidad.</w:t>
      </w:r>
    </w:p>
    <w:p w14:paraId="6605214B" w14:textId="77777777" w:rsidR="004E6FEB" w:rsidRPr="00441B95" w:rsidRDefault="004E6FEB" w:rsidP="0060240E">
      <w:pPr>
        <w:pStyle w:val="Sinespaciado"/>
        <w:spacing w:line="360" w:lineRule="auto"/>
        <w:ind w:left="720"/>
      </w:pPr>
    </w:p>
    <w:p w14:paraId="73794ED7" w14:textId="77777777" w:rsidR="002579A2" w:rsidRDefault="002579A2" w:rsidP="0060240E"/>
    <w:p w14:paraId="3C93AE14" w14:textId="46F65DBD" w:rsidR="00F23813" w:rsidRDefault="00F23813" w:rsidP="0060240E">
      <w:pPr>
        <w:rPr>
          <w:szCs w:val="24"/>
        </w:rPr>
      </w:pPr>
    </w:p>
    <w:p w14:paraId="304D74B1" w14:textId="268286B0" w:rsidR="00F23813" w:rsidRDefault="00F23813" w:rsidP="0060240E">
      <w:pPr>
        <w:spacing w:before="0" w:beforeAutospacing="0" w:after="160" w:afterAutospacing="0"/>
        <w:rPr>
          <w:szCs w:val="24"/>
        </w:rPr>
      </w:pPr>
      <w:r>
        <w:rPr>
          <w:szCs w:val="24"/>
        </w:rPr>
        <w:br w:type="page"/>
      </w:r>
    </w:p>
    <w:p w14:paraId="45B89892" w14:textId="483E541A" w:rsidR="00AD3A4F" w:rsidRPr="00AD3A4F" w:rsidRDefault="000A6CAD" w:rsidP="00D271FA">
      <w:pPr>
        <w:tabs>
          <w:tab w:val="left" w:pos="2670"/>
        </w:tabs>
        <w:rPr>
          <w:szCs w:val="24"/>
        </w:rPr>
      </w:pPr>
      <w:r>
        <w:rPr>
          <w:szCs w:val="24"/>
        </w:rPr>
        <w:lastRenderedPageBreak/>
        <w:t>XI. REFERENCIAS</w:t>
      </w:r>
      <w:r w:rsidR="00D271FA">
        <w:rPr>
          <w:szCs w:val="24"/>
        </w:rPr>
        <w:tab/>
      </w:r>
    </w:p>
    <w:p w14:paraId="2AE771D0" w14:textId="77777777" w:rsidR="005630F8" w:rsidRPr="009D5269" w:rsidRDefault="005630F8" w:rsidP="005630F8">
      <w:pPr>
        <w:ind w:hanging="709"/>
        <w:jc w:val="left"/>
        <w:rPr>
          <w:rFonts w:eastAsia="Times New Roman"/>
        </w:rPr>
      </w:pPr>
      <w:r w:rsidRPr="00437D1F">
        <w:rPr>
          <w:rFonts w:eastAsia="Times New Roman"/>
          <w:lang w:val="en-US"/>
        </w:rPr>
        <w:t xml:space="preserve">Aarestrup, F. M., Seyfarth, A. M., Emborg, H. D., Bager, F., Pedersen, K., &amp; Jorsal, S. E. (2000). </w:t>
      </w:r>
      <w:r w:rsidRPr="00331FE9">
        <w:rPr>
          <w:rFonts w:eastAsia="Times New Roman"/>
        </w:rPr>
        <w:t xml:space="preserve">Uso antibiótico en cría de ganado en Dinamarca. </w:t>
      </w:r>
      <w:r w:rsidRPr="00331FE9">
        <w:rPr>
          <w:rFonts w:eastAsia="Times New Roman"/>
          <w:i/>
          <w:iCs/>
        </w:rPr>
        <w:t>Enfermedades Infecciosas y Microbiología, 20</w:t>
      </w:r>
      <w:r w:rsidRPr="00331FE9">
        <w:rPr>
          <w:rFonts w:eastAsia="Times New Roman"/>
        </w:rPr>
        <w:t>(6), 220-222.</w:t>
      </w:r>
    </w:p>
    <w:p w14:paraId="0C060AD6" w14:textId="77777777" w:rsidR="005630F8" w:rsidRDefault="005630F8" w:rsidP="005630F8">
      <w:pPr>
        <w:ind w:hanging="709"/>
        <w:rPr>
          <w:color w:val="000000"/>
        </w:rPr>
      </w:pPr>
      <w:r w:rsidRPr="009D5269">
        <w:rPr>
          <w:color w:val="000000"/>
        </w:rPr>
        <w:t xml:space="preserve">Acosta, M. E., Ladio, A. H. </w:t>
      </w:r>
      <w:r>
        <w:rPr>
          <w:color w:val="000000"/>
        </w:rPr>
        <w:t>y</w:t>
      </w:r>
      <w:r w:rsidRPr="009D5269">
        <w:rPr>
          <w:color w:val="000000"/>
        </w:rPr>
        <w:t xml:space="preserve"> Vignale, N. D. (2017). </w:t>
      </w:r>
      <w:bookmarkStart w:id="20" w:name="_Hlk11064975"/>
      <w:r w:rsidRPr="009D5269">
        <w:rPr>
          <w:color w:val="000000"/>
        </w:rPr>
        <w:t>Plantas medicinales comercializadas en la ciudad de San Salvador de Jujuy (Argentina) y su calidad botánica.</w:t>
      </w:r>
      <w:bookmarkEnd w:id="20"/>
      <w:r w:rsidRPr="009D5269">
        <w:rPr>
          <w:color w:val="000000"/>
        </w:rPr>
        <w:t xml:space="preserve"> </w:t>
      </w:r>
      <w:r w:rsidRPr="000A11E9">
        <w:rPr>
          <w:i/>
          <w:iCs/>
          <w:color w:val="000000"/>
        </w:rPr>
        <w:t>Boletín Latinoamericano y del Caribe de Plantas Medicinales y Aromáticas</w:t>
      </w:r>
      <w:r w:rsidRPr="009D5269">
        <w:rPr>
          <w:color w:val="000000"/>
        </w:rPr>
        <w:t xml:space="preserve">, </w:t>
      </w:r>
      <w:r w:rsidRPr="008307C2">
        <w:rPr>
          <w:i/>
          <w:iCs/>
          <w:color w:val="000000"/>
        </w:rPr>
        <w:t>16</w:t>
      </w:r>
      <w:r>
        <w:rPr>
          <w:color w:val="000000"/>
        </w:rPr>
        <w:t>(1)</w:t>
      </w:r>
      <w:r w:rsidRPr="009D5269">
        <w:rPr>
          <w:color w:val="000000"/>
        </w:rPr>
        <w:t xml:space="preserve">, 34-52. </w:t>
      </w:r>
    </w:p>
    <w:p w14:paraId="5EDA7826" w14:textId="77777777" w:rsidR="005630F8" w:rsidRDefault="005630F8" w:rsidP="005630F8">
      <w:pPr>
        <w:ind w:hanging="709"/>
        <w:rPr>
          <w:rFonts w:eastAsia="Times New Roman"/>
          <w:lang w:val="es-ES"/>
        </w:rPr>
      </w:pPr>
      <w:r w:rsidRPr="00E44B54">
        <w:rPr>
          <w:rFonts w:eastAsia="Times New Roman"/>
          <w:lang w:val="es-ES"/>
        </w:rPr>
        <w:t>Acosta</w:t>
      </w:r>
      <w:r>
        <w:rPr>
          <w:rFonts w:eastAsia="Times New Roman"/>
          <w:lang w:val="es-ES"/>
        </w:rPr>
        <w:t>-</w:t>
      </w:r>
      <w:r w:rsidRPr="00E44B54">
        <w:rPr>
          <w:rFonts w:eastAsia="Times New Roman"/>
          <w:lang w:val="es-ES"/>
        </w:rPr>
        <w:t>Acosta, Y., La-O Michel, A. L., Valdivié</w:t>
      </w:r>
      <w:r>
        <w:rPr>
          <w:rFonts w:eastAsia="Times New Roman"/>
          <w:lang w:val="es-ES"/>
        </w:rPr>
        <w:t>-</w:t>
      </w:r>
      <w:r w:rsidRPr="00E44B54">
        <w:rPr>
          <w:rFonts w:eastAsia="Times New Roman"/>
          <w:lang w:val="es-ES"/>
        </w:rPr>
        <w:t xml:space="preserve">Navarro, M. I., </w:t>
      </w:r>
      <w:r>
        <w:rPr>
          <w:rFonts w:eastAsia="Times New Roman"/>
          <w:lang w:val="es-ES"/>
        </w:rPr>
        <w:t>y</w:t>
      </w:r>
      <w:r w:rsidRPr="00E44B54">
        <w:rPr>
          <w:rFonts w:eastAsia="Times New Roman"/>
          <w:lang w:val="es-ES"/>
        </w:rPr>
        <w:t xml:space="preserve"> Cantalapiedra</w:t>
      </w:r>
      <w:r>
        <w:rPr>
          <w:rFonts w:eastAsia="Times New Roman"/>
          <w:lang w:val="es-ES"/>
        </w:rPr>
        <w:t>-</w:t>
      </w:r>
      <w:r w:rsidRPr="00E44B54">
        <w:rPr>
          <w:rFonts w:eastAsia="Times New Roman"/>
          <w:lang w:val="es-ES"/>
        </w:rPr>
        <w:t xml:space="preserve">Bello, J. (2018). Digestibilidad de dietas con niveles crecientes de harina de coco desgrasada en conejos en crecimiento. </w:t>
      </w:r>
      <w:r w:rsidRPr="00D6563A">
        <w:rPr>
          <w:rFonts w:eastAsia="Times New Roman"/>
          <w:i/>
          <w:iCs/>
          <w:lang w:val="es-ES"/>
        </w:rPr>
        <w:t>Revista Ciencia y Agricultura</w:t>
      </w:r>
      <w:r>
        <w:rPr>
          <w:rFonts w:eastAsia="Times New Roman"/>
          <w:lang w:val="es-ES"/>
        </w:rPr>
        <w:t>,</w:t>
      </w:r>
      <w:r w:rsidRPr="00E44B54">
        <w:rPr>
          <w:rFonts w:eastAsia="Times New Roman"/>
          <w:lang w:val="es-ES"/>
        </w:rPr>
        <w:t xml:space="preserve"> </w:t>
      </w:r>
      <w:r w:rsidRPr="00D6563A">
        <w:rPr>
          <w:rFonts w:eastAsia="Times New Roman"/>
          <w:i/>
          <w:iCs/>
          <w:lang w:val="es-ES"/>
        </w:rPr>
        <w:t>15</w:t>
      </w:r>
      <w:r>
        <w:rPr>
          <w:rFonts w:eastAsia="Times New Roman"/>
          <w:lang w:val="es-ES"/>
        </w:rPr>
        <w:t>(</w:t>
      </w:r>
      <w:r w:rsidRPr="00E44B54">
        <w:rPr>
          <w:rFonts w:eastAsia="Times New Roman"/>
          <w:lang w:val="es-ES"/>
        </w:rPr>
        <w:t>1</w:t>
      </w:r>
      <w:r>
        <w:rPr>
          <w:rFonts w:eastAsia="Times New Roman"/>
          <w:lang w:val="es-ES"/>
        </w:rPr>
        <w:t>), 45-51.</w:t>
      </w:r>
    </w:p>
    <w:p w14:paraId="7E4043C9" w14:textId="77777777" w:rsidR="005630F8" w:rsidRDefault="005630F8" w:rsidP="005630F8">
      <w:pPr>
        <w:ind w:hanging="709"/>
      </w:pPr>
      <w:r w:rsidRPr="00ED6323">
        <w:t>Agromejor. (</w:t>
      </w:r>
      <w:r>
        <w:t xml:space="preserve">22 de diciembre de </w:t>
      </w:r>
      <w:r w:rsidRPr="00ED6323">
        <w:t xml:space="preserve">2016). La cunicultura en México. </w:t>
      </w:r>
      <w:r w:rsidRPr="00ED6323">
        <w:rPr>
          <w:i/>
          <w:iCs/>
        </w:rPr>
        <w:t>Agromejor.com</w:t>
      </w:r>
      <w:r w:rsidRPr="00ED6323">
        <w:t xml:space="preserve">. </w:t>
      </w:r>
      <w:r>
        <w:t>Recuperado de</w:t>
      </w:r>
      <w:r w:rsidRPr="00ED6323">
        <w:t xml:space="preserve"> </w:t>
      </w:r>
      <w:hyperlink r:id="rId20" w:history="1">
        <w:r w:rsidRPr="008F7997">
          <w:rPr>
            <w:rStyle w:val="Hipervnculo"/>
          </w:rPr>
          <w:t>https://agromejor.com/la-cunicultura-en-mexico/</w:t>
        </w:r>
      </w:hyperlink>
    </w:p>
    <w:p w14:paraId="02756B23" w14:textId="77777777" w:rsidR="005630F8" w:rsidRPr="00437D1F" w:rsidRDefault="005630F8" w:rsidP="005630F8">
      <w:pPr>
        <w:ind w:hanging="709"/>
        <w:rPr>
          <w:lang w:val="en-US"/>
        </w:rPr>
      </w:pPr>
      <w:r w:rsidRPr="00594D2B">
        <w:t xml:space="preserve">Alfaro, A. C. (2018). Economía, salud, desarrollo humano e innovación en el desarrollo sustentable. </w:t>
      </w:r>
      <w:r w:rsidRPr="00437D1F">
        <w:rPr>
          <w:i/>
          <w:iCs/>
          <w:lang w:val="en-US"/>
        </w:rPr>
        <w:t>Conocimiento global, 3</w:t>
      </w:r>
      <w:r w:rsidRPr="00437D1F">
        <w:rPr>
          <w:lang w:val="en-US"/>
        </w:rPr>
        <w:t>(1), 1-9.</w:t>
      </w:r>
    </w:p>
    <w:p w14:paraId="6D9BCD97" w14:textId="77777777" w:rsidR="005630F8" w:rsidRDefault="005630F8" w:rsidP="005630F8">
      <w:pPr>
        <w:ind w:hanging="709"/>
        <w:rPr>
          <w:rFonts w:eastAsia="Times New Roman"/>
          <w:lang w:val="en-US"/>
        </w:rPr>
      </w:pPr>
      <w:r w:rsidRPr="00020142">
        <w:rPr>
          <w:rFonts w:eastAsia="Times New Roman"/>
          <w:lang w:val="en-US"/>
        </w:rPr>
        <w:t>Altieri, M. A. (2004). Linking ecologists and traditional farmers in the search for sustainable agriculture</w:t>
      </w:r>
      <w:r w:rsidRPr="00020142">
        <w:rPr>
          <w:rFonts w:eastAsia="Times New Roman"/>
          <w:i/>
          <w:lang w:val="en-US"/>
        </w:rPr>
        <w:t>. Frontiers in Ecology and the Environment</w:t>
      </w:r>
      <w:r w:rsidRPr="00020142">
        <w:rPr>
          <w:rFonts w:eastAsia="Times New Roman"/>
          <w:lang w:val="en-US"/>
        </w:rPr>
        <w:t xml:space="preserve">, </w:t>
      </w:r>
      <w:r w:rsidRPr="001334EA">
        <w:rPr>
          <w:rFonts w:eastAsia="Times New Roman"/>
          <w:i/>
          <w:iCs/>
          <w:lang w:val="en-US"/>
        </w:rPr>
        <w:t>2</w:t>
      </w:r>
      <w:r w:rsidRPr="00020142">
        <w:rPr>
          <w:rFonts w:eastAsia="Times New Roman"/>
          <w:lang w:val="en-US"/>
        </w:rPr>
        <w:t>(1), 35-42.</w:t>
      </w:r>
    </w:p>
    <w:p w14:paraId="0D2B1CB0" w14:textId="77777777" w:rsidR="005630F8" w:rsidRDefault="005630F8" w:rsidP="005630F8">
      <w:pPr>
        <w:ind w:hanging="709"/>
        <w:rPr>
          <w:rFonts w:eastAsia="Times New Roman"/>
        </w:rPr>
      </w:pPr>
      <w:r w:rsidRPr="00AF2941">
        <w:rPr>
          <w:rFonts w:eastAsia="Times New Roman"/>
          <w:lang w:val="en-US"/>
        </w:rPr>
        <w:t xml:space="preserve">Altieri, M., y Nicholls, C. I. (2000). </w:t>
      </w:r>
      <w:r w:rsidRPr="00F524F8">
        <w:rPr>
          <w:rFonts w:eastAsia="Times New Roman"/>
          <w:i/>
        </w:rPr>
        <w:t>Agroecología: teoría y práctica para una agricultura sustentable</w:t>
      </w:r>
      <w:r w:rsidRPr="00F524F8">
        <w:rPr>
          <w:rFonts w:eastAsia="Times New Roman"/>
        </w:rPr>
        <w:t>.</w:t>
      </w:r>
      <w:r>
        <w:rPr>
          <w:rFonts w:eastAsia="Times New Roman"/>
        </w:rPr>
        <w:t xml:space="preserve"> Distrito Federal, México:</w:t>
      </w:r>
      <w:r w:rsidRPr="00F524F8">
        <w:rPr>
          <w:rFonts w:eastAsia="Times New Roman"/>
        </w:rPr>
        <w:t xml:space="preserve"> Programa de las Naciones Unidas para el Medio Ambiente, Red de Formación Ambiental para América Latina y el Caribe.</w:t>
      </w:r>
    </w:p>
    <w:p w14:paraId="49F835AC" w14:textId="77777777" w:rsidR="005630F8" w:rsidRDefault="005630F8" w:rsidP="005630F8">
      <w:pPr>
        <w:ind w:hanging="709"/>
        <w:rPr>
          <w:color w:val="000000"/>
        </w:rPr>
      </w:pPr>
      <w:r w:rsidRPr="009D5269">
        <w:rPr>
          <w:color w:val="000000"/>
        </w:rPr>
        <w:t xml:space="preserve">Alvarez-Quiroz, V., Caso-Barrera, L., Aliphat-Fernández, M. </w:t>
      </w:r>
      <w:r>
        <w:rPr>
          <w:color w:val="000000"/>
        </w:rPr>
        <w:t>y</w:t>
      </w:r>
      <w:r w:rsidRPr="009D5269">
        <w:rPr>
          <w:color w:val="000000"/>
        </w:rPr>
        <w:t xml:space="preserve"> Galmiche-Tejeda, </w:t>
      </w:r>
      <w:r>
        <w:rPr>
          <w:color w:val="000000"/>
        </w:rPr>
        <w:t>Á</w:t>
      </w:r>
      <w:r w:rsidRPr="009D5269">
        <w:rPr>
          <w:color w:val="000000"/>
        </w:rPr>
        <w:t xml:space="preserve">. (2017). </w:t>
      </w:r>
      <w:bookmarkStart w:id="21" w:name="_Hlk11066352"/>
      <w:r w:rsidRPr="009D5269">
        <w:rPr>
          <w:color w:val="000000"/>
        </w:rPr>
        <w:t>Plantas medicinales con propiedades frías y calientes en la cultura Zoque de Ayapa, Tabasco, México</w:t>
      </w:r>
      <w:bookmarkEnd w:id="21"/>
      <w:r w:rsidRPr="009D5269">
        <w:rPr>
          <w:color w:val="000000"/>
        </w:rPr>
        <w:t xml:space="preserve">. </w:t>
      </w:r>
      <w:r w:rsidRPr="000A11E9">
        <w:rPr>
          <w:i/>
          <w:iCs/>
          <w:color w:val="000000"/>
        </w:rPr>
        <w:t>Boletín Latinoamericano y del Caribe de Plantas Medicinales y Aromáticas</w:t>
      </w:r>
      <w:r w:rsidRPr="009D5269">
        <w:rPr>
          <w:color w:val="000000"/>
        </w:rPr>
        <w:t xml:space="preserve">, </w:t>
      </w:r>
      <w:r w:rsidRPr="00482F8F">
        <w:rPr>
          <w:i/>
          <w:iCs/>
          <w:color w:val="000000"/>
        </w:rPr>
        <w:t>16</w:t>
      </w:r>
      <w:r>
        <w:rPr>
          <w:color w:val="000000"/>
        </w:rPr>
        <w:t>(4)</w:t>
      </w:r>
      <w:r w:rsidRPr="009D5269">
        <w:rPr>
          <w:color w:val="000000"/>
        </w:rPr>
        <w:t xml:space="preserve">, 428-454. </w:t>
      </w:r>
    </w:p>
    <w:p w14:paraId="522FE7FE" w14:textId="77777777" w:rsidR="005630F8" w:rsidRPr="0072400D" w:rsidRDefault="005630F8" w:rsidP="005630F8">
      <w:pPr>
        <w:ind w:hanging="709"/>
        <w:rPr>
          <w:color w:val="000000"/>
        </w:rPr>
      </w:pPr>
      <w:r w:rsidRPr="00497217">
        <w:lastRenderedPageBreak/>
        <w:t>Anes, J., Astier, A., Bastien, J., Berger, R., Bianchi, F., B</w:t>
      </w:r>
      <w:r>
        <w:t>lumen</w:t>
      </w:r>
      <w:r w:rsidRPr="00497217">
        <w:t>, G., ... &amp; B</w:t>
      </w:r>
      <w:r>
        <w:t>ranco</w:t>
      </w:r>
      <w:r w:rsidRPr="00497217">
        <w:t xml:space="preserve">, A. C. (1994). Carta de la Transdisciplinariedad. </w:t>
      </w:r>
      <w:r w:rsidRPr="00497217">
        <w:rPr>
          <w:i/>
          <w:iCs/>
        </w:rPr>
        <w:t>Convento de Arrábida</w:t>
      </w:r>
      <w:r w:rsidRPr="00497217">
        <w:t>.</w:t>
      </w:r>
    </w:p>
    <w:p w14:paraId="12E3D351" w14:textId="77777777" w:rsidR="005630F8" w:rsidRDefault="005630F8" w:rsidP="005630F8">
      <w:pPr>
        <w:ind w:hanging="709"/>
        <w:rPr>
          <w:rFonts w:eastAsia="Times New Roman"/>
        </w:rPr>
      </w:pPr>
      <w:r w:rsidRPr="00CD25E3">
        <w:rPr>
          <w:rFonts w:eastAsia="Times New Roman"/>
        </w:rPr>
        <w:t xml:space="preserve">Ardoino, S. M., Toso, R. E., Álvarez, H. L., Mariani, E. L., Cachau, P. D., Mancilla, M. V., &amp; Oriani, D. S. (2018). Antimicrobianos como promotores de crecimiento (AGP) en alimentos balanceados para aves: uso, resistencia bacteriana, nuevas alternativas y opciones de reemplazo. </w:t>
      </w:r>
      <w:r w:rsidRPr="00CD25E3">
        <w:rPr>
          <w:rFonts w:eastAsia="Times New Roman"/>
          <w:i/>
          <w:iCs/>
        </w:rPr>
        <w:t>Ciencia Veterinaria, 19</w:t>
      </w:r>
      <w:r w:rsidRPr="00CD25E3">
        <w:rPr>
          <w:rFonts w:eastAsia="Times New Roman"/>
        </w:rPr>
        <w:t>(1), 50-66.</w:t>
      </w:r>
    </w:p>
    <w:p w14:paraId="492E8E50" w14:textId="77777777" w:rsidR="005630F8" w:rsidRPr="0072400D" w:rsidRDefault="005630F8" w:rsidP="005630F8">
      <w:pPr>
        <w:ind w:hanging="709"/>
        <w:rPr>
          <w:rFonts w:eastAsia="Times New Roman"/>
        </w:rPr>
      </w:pPr>
      <w:r>
        <w:t>Argueta, A.</w:t>
      </w:r>
      <w:r w:rsidRPr="00300FFC">
        <w:t xml:space="preserve"> (2016). </w:t>
      </w:r>
      <w:r>
        <w:t>Los saberes y las prácticas tradicionales: Conceptos y propuestas para la construcción de un enorme campo transdisciplinario</w:t>
      </w:r>
      <w:r w:rsidRPr="00300FFC">
        <w:t>. En F. Delgado y S. Rist</w:t>
      </w:r>
      <w:r>
        <w:t>.</w:t>
      </w:r>
      <w:r w:rsidRPr="00300FFC">
        <w:t xml:space="preserve"> (Ed.) </w:t>
      </w:r>
      <w:r w:rsidRPr="00300FFC">
        <w:rPr>
          <w:i/>
        </w:rPr>
        <w:t>Ciencias, diálogo de saberes y transdisciplinariedad</w:t>
      </w:r>
      <w:r w:rsidRPr="00300FFC">
        <w:t xml:space="preserve"> (pp. </w:t>
      </w:r>
      <w:r>
        <w:t>169</w:t>
      </w:r>
      <w:r w:rsidRPr="00300FFC">
        <w:t>-</w:t>
      </w:r>
      <w:r>
        <w:t>188</w:t>
      </w:r>
      <w:r w:rsidRPr="00300FFC">
        <w:t xml:space="preserve">). La Paz, Bolivia: Plural editors. </w:t>
      </w:r>
    </w:p>
    <w:p w14:paraId="1A165C45" w14:textId="77777777" w:rsidR="005630F8" w:rsidRDefault="005630F8" w:rsidP="005630F8">
      <w:pPr>
        <w:ind w:hanging="709"/>
      </w:pPr>
      <w:r w:rsidRPr="00300FFC">
        <w:t xml:space="preserve">Argueta, </w:t>
      </w:r>
      <w:r>
        <w:t xml:space="preserve">V. A. y Pérez, R. M. L. (2019). Los saberes tradicionales y los desafíos para el Diálogo de Conocimientos. </w:t>
      </w:r>
      <w:r w:rsidRPr="00933091">
        <w:rPr>
          <w:i/>
          <w:iCs/>
        </w:rPr>
        <w:t>Desenvolvimento e Meio Ambiente</w:t>
      </w:r>
      <w:r w:rsidRPr="00933091">
        <w:t>,</w:t>
      </w:r>
      <w:r>
        <w:t xml:space="preserve"> </w:t>
      </w:r>
      <w:r w:rsidRPr="00933091">
        <w:rPr>
          <w:i/>
          <w:iCs/>
        </w:rPr>
        <w:t>50</w:t>
      </w:r>
      <w:r>
        <w:t>, 49-72.</w:t>
      </w:r>
    </w:p>
    <w:p w14:paraId="66DE884C" w14:textId="77777777" w:rsidR="005630F8" w:rsidRDefault="005630F8" w:rsidP="005630F8">
      <w:pPr>
        <w:ind w:hanging="709"/>
      </w:pPr>
      <w:r w:rsidRPr="009D5269">
        <w:t>Ayala, L.</w:t>
      </w:r>
      <w:r>
        <w:t>,</w:t>
      </w:r>
      <w:r w:rsidRPr="009D5269">
        <w:t xml:space="preserve"> Silvana, N.</w:t>
      </w:r>
      <w:r>
        <w:t>,</w:t>
      </w:r>
      <w:r w:rsidRPr="009D5269">
        <w:t xml:space="preserve"> Zocarrato, I. &amp; Gómez, S. (2011). Utilización del orégano vulgar (</w:t>
      </w:r>
      <w:r w:rsidRPr="005725AF">
        <w:rPr>
          <w:i/>
          <w:iCs/>
        </w:rPr>
        <w:t>Origanum vulgare</w:t>
      </w:r>
      <w:r w:rsidRPr="009D5269">
        <w:t xml:space="preserve">) como fitobiótico en conejos de ceba. </w:t>
      </w:r>
      <w:r w:rsidRPr="00801C44">
        <w:rPr>
          <w:i/>
        </w:rPr>
        <w:t>Revista Cubana de Ciencia Agrícola</w:t>
      </w:r>
      <w:r w:rsidRPr="00801C44">
        <w:t xml:space="preserve">, </w:t>
      </w:r>
      <w:r w:rsidRPr="005725AF">
        <w:rPr>
          <w:i/>
          <w:iCs/>
        </w:rPr>
        <w:t>45</w:t>
      </w:r>
      <w:r w:rsidRPr="00801C44">
        <w:t>(2), 159-161.</w:t>
      </w:r>
    </w:p>
    <w:p w14:paraId="021FC586" w14:textId="77777777" w:rsidR="005630F8" w:rsidRDefault="005630F8" w:rsidP="005630F8">
      <w:pPr>
        <w:ind w:hanging="709"/>
        <w:rPr>
          <w:rFonts w:eastAsia="Times New Roman"/>
          <w:lang w:val="en-US"/>
        </w:rPr>
      </w:pPr>
      <w:r w:rsidRPr="00AF2941">
        <w:rPr>
          <w:rFonts w:eastAsia="Times New Roman"/>
          <w:lang w:val="es-ES"/>
        </w:rPr>
        <w:t xml:space="preserve">Ayrle, H., Mevissen, M., Kaske, M., Nathues, H., Gruetzner, N., Melzig, M., &amp; Walkenhorst, M. (2016). </w:t>
      </w:r>
      <w:r w:rsidRPr="00DC6B6C">
        <w:rPr>
          <w:rFonts w:eastAsia="Times New Roman"/>
          <w:lang w:val="en-US"/>
        </w:rPr>
        <w:t xml:space="preserve">Medicinal plants - prophylactic and therapeutic options for gastrointestinal and respiratory diseases in calves and piglets? A systematic review. </w:t>
      </w:r>
      <w:r w:rsidRPr="00DC6B6C">
        <w:rPr>
          <w:rFonts w:eastAsia="Times New Roman"/>
          <w:i/>
          <w:iCs/>
          <w:lang w:val="en-US"/>
        </w:rPr>
        <w:t>BMC Veterinary Research</w:t>
      </w:r>
      <w:r w:rsidRPr="00DC6B6C">
        <w:rPr>
          <w:rFonts w:eastAsia="Times New Roman"/>
          <w:lang w:val="en-US"/>
        </w:rPr>
        <w:t xml:space="preserve">, </w:t>
      </w:r>
      <w:r w:rsidRPr="00DC6B6C">
        <w:rPr>
          <w:rFonts w:eastAsia="Times New Roman"/>
          <w:i/>
          <w:iCs/>
          <w:lang w:val="en-US"/>
        </w:rPr>
        <w:t>12</w:t>
      </w:r>
      <w:r w:rsidRPr="00DC6B6C">
        <w:rPr>
          <w:rFonts w:eastAsia="Times New Roman"/>
          <w:lang w:val="en-US"/>
        </w:rPr>
        <w:t xml:space="preserve">(1). </w:t>
      </w:r>
    </w:p>
    <w:p w14:paraId="17E9471A" w14:textId="77777777" w:rsidR="005630F8" w:rsidRPr="00DC6B6C" w:rsidRDefault="005630F8" w:rsidP="005630F8">
      <w:pPr>
        <w:ind w:hanging="709"/>
        <w:rPr>
          <w:rFonts w:eastAsia="Times New Roman"/>
          <w:lang w:val="en-US"/>
        </w:rPr>
      </w:pPr>
      <w:bookmarkStart w:id="22" w:name="_Hlk526695460"/>
      <w:r w:rsidRPr="00355B15">
        <w:rPr>
          <w:rFonts w:eastAsia="Times New Roman"/>
          <w:lang w:val="en-US"/>
        </w:rPr>
        <w:t>Aziz, M. A., Adnan, M., Khan, A. H., &amp; U</w:t>
      </w:r>
      <w:r>
        <w:rPr>
          <w:rFonts w:eastAsia="Times New Roman"/>
          <w:lang w:val="en-US"/>
        </w:rPr>
        <w:t>s</w:t>
      </w:r>
      <w:r w:rsidRPr="00355B15">
        <w:rPr>
          <w:rFonts w:eastAsia="Times New Roman"/>
          <w:lang w:val="en-US"/>
        </w:rPr>
        <w:t xml:space="preserve">ufyan, M. (2017).  </w:t>
      </w:r>
      <w:r w:rsidRPr="00DC6B6C">
        <w:rPr>
          <w:rFonts w:eastAsia="Times New Roman"/>
          <w:lang w:val="en-US"/>
        </w:rPr>
        <w:t xml:space="preserve">Cros-Cultural Analysis of medicinal Plants commonly used in Ethnoveterinary Practices at South Waziristan Agency and Bajaur Agency, Federally Administrated Tribal Areas (FATA), Pakistan. </w:t>
      </w:r>
      <w:r w:rsidRPr="00DC6B6C">
        <w:rPr>
          <w:rFonts w:eastAsia="Times New Roman"/>
          <w:i/>
          <w:lang w:val="en-US"/>
        </w:rPr>
        <w:t>Journal of Ethnopharmacology</w:t>
      </w:r>
      <w:r>
        <w:rPr>
          <w:rFonts w:eastAsia="Times New Roman"/>
          <w:i/>
          <w:lang w:val="en-US"/>
        </w:rPr>
        <w:t>,</w:t>
      </w:r>
      <w:r w:rsidRPr="00DC6B6C">
        <w:rPr>
          <w:rFonts w:eastAsia="Times New Roman"/>
          <w:i/>
          <w:lang w:val="en-US"/>
        </w:rPr>
        <w:t xml:space="preserve"> </w:t>
      </w:r>
      <w:r w:rsidRPr="00DC6B6C">
        <w:rPr>
          <w:rFonts w:eastAsia="Times New Roman"/>
          <w:lang w:val="en-US"/>
        </w:rPr>
        <w:t xml:space="preserve">210, 443-468. </w:t>
      </w:r>
      <w:bookmarkEnd w:id="22"/>
    </w:p>
    <w:p w14:paraId="6B59645F" w14:textId="77777777" w:rsidR="005630F8" w:rsidRDefault="005630F8" w:rsidP="005630F8">
      <w:pPr>
        <w:ind w:hanging="709"/>
        <w:rPr>
          <w:rFonts w:eastAsia="Times New Roman"/>
          <w:lang w:val="en-US"/>
        </w:rPr>
      </w:pPr>
      <w:r w:rsidRPr="00DC6B6C">
        <w:rPr>
          <w:rFonts w:eastAsia="Times New Roman"/>
          <w:lang w:val="en-US"/>
        </w:rPr>
        <w:t xml:space="preserve">Aziz, M. A., Khan, A. H., Adnan, M., &amp; Ullah, H. (2018). Traditional uses of medicinal plants used by Indigenous communities for veterinary practices at Bajaur Agency, Pakistan. </w:t>
      </w:r>
      <w:r w:rsidRPr="00DC6B6C">
        <w:rPr>
          <w:rFonts w:eastAsia="Times New Roman"/>
          <w:i/>
          <w:iCs/>
          <w:lang w:val="en-US"/>
        </w:rPr>
        <w:t>Journal of Ethnobiology and Ethnomedicine</w:t>
      </w:r>
      <w:r w:rsidRPr="00DC6B6C">
        <w:rPr>
          <w:rFonts w:eastAsia="Times New Roman"/>
          <w:lang w:val="en-US"/>
        </w:rPr>
        <w:t xml:space="preserve">, </w:t>
      </w:r>
      <w:r w:rsidRPr="00DC6B6C">
        <w:rPr>
          <w:rFonts w:eastAsia="Times New Roman"/>
          <w:i/>
          <w:iCs/>
          <w:lang w:val="en-US"/>
        </w:rPr>
        <w:t>14</w:t>
      </w:r>
      <w:r w:rsidRPr="00DC6B6C">
        <w:rPr>
          <w:rFonts w:eastAsia="Times New Roman"/>
          <w:lang w:val="en-US"/>
        </w:rPr>
        <w:t xml:space="preserve">(1), 1–18. </w:t>
      </w:r>
    </w:p>
    <w:p w14:paraId="5F6C7CA2" w14:textId="77777777" w:rsidR="005630F8" w:rsidRDefault="005630F8" w:rsidP="005630F8">
      <w:pPr>
        <w:ind w:hanging="709"/>
        <w:rPr>
          <w:color w:val="000000"/>
          <w:lang w:val="en-US"/>
        </w:rPr>
      </w:pPr>
      <w:r w:rsidRPr="00DC6B6C">
        <w:rPr>
          <w:color w:val="000000"/>
          <w:lang w:val="en-US"/>
        </w:rPr>
        <w:lastRenderedPageBreak/>
        <w:t xml:space="preserve">Bannerman, R. M. (1977). WHO’S programme in traditional medicine. </w:t>
      </w:r>
      <w:r w:rsidRPr="000920D5">
        <w:rPr>
          <w:i/>
          <w:iCs/>
          <w:color w:val="000000"/>
          <w:lang w:val="en-US"/>
        </w:rPr>
        <w:t>WHO Chronicle, 31</w:t>
      </w:r>
      <w:r w:rsidRPr="00801C44">
        <w:rPr>
          <w:color w:val="000000"/>
          <w:lang w:val="en-US"/>
        </w:rPr>
        <w:t>, 427-428.</w:t>
      </w:r>
    </w:p>
    <w:p w14:paraId="5FF630E3" w14:textId="77777777" w:rsidR="005630F8" w:rsidRDefault="005630F8" w:rsidP="005630F8">
      <w:pPr>
        <w:ind w:hanging="709"/>
        <w:rPr>
          <w:rFonts w:eastAsia="Times New Roman"/>
          <w:lang w:val="en-US"/>
        </w:rPr>
      </w:pPr>
      <w:r w:rsidRPr="00DC6B6C">
        <w:rPr>
          <w:rFonts w:eastAsia="Times New Roman"/>
          <w:lang w:val="en-US"/>
        </w:rPr>
        <w:t xml:space="preserve">Bartha, S. G., Quave, C. L., Balogh, L., &amp; Papp, N. (2015). Ethnoveterinary practices of Covasna County, Transylvania, Romania. </w:t>
      </w:r>
      <w:r w:rsidRPr="009D1DE2">
        <w:rPr>
          <w:rFonts w:eastAsia="Times New Roman"/>
          <w:i/>
          <w:iCs/>
          <w:lang w:val="en-US"/>
        </w:rPr>
        <w:t>Journal of Ethnobiology and Ethnomedicine</w:t>
      </w:r>
      <w:r w:rsidRPr="009D1DE2">
        <w:rPr>
          <w:rFonts w:eastAsia="Times New Roman"/>
          <w:lang w:val="en-US"/>
        </w:rPr>
        <w:t xml:space="preserve">, </w:t>
      </w:r>
      <w:r w:rsidRPr="009D1DE2">
        <w:rPr>
          <w:rFonts w:eastAsia="Times New Roman"/>
          <w:i/>
          <w:iCs/>
          <w:lang w:val="en-US"/>
        </w:rPr>
        <w:t>11</w:t>
      </w:r>
      <w:r w:rsidRPr="009D1DE2">
        <w:rPr>
          <w:rFonts w:eastAsia="Times New Roman"/>
          <w:lang w:val="en-US"/>
        </w:rPr>
        <w:t>(1)</w:t>
      </w:r>
      <w:r>
        <w:rPr>
          <w:rFonts w:eastAsia="Times New Roman"/>
          <w:lang w:val="en-US"/>
        </w:rPr>
        <w:t>, 1-22.</w:t>
      </w:r>
    </w:p>
    <w:p w14:paraId="02BE4CBC" w14:textId="77777777" w:rsidR="005630F8" w:rsidRDefault="005630F8" w:rsidP="005630F8">
      <w:pPr>
        <w:ind w:hanging="709"/>
        <w:rPr>
          <w:rFonts w:eastAsia="Times New Roman"/>
        </w:rPr>
      </w:pPr>
      <w:r w:rsidRPr="00AF2941">
        <w:rPr>
          <w:rFonts w:eastAsia="Times New Roman"/>
          <w:lang w:val="en-US"/>
        </w:rPr>
        <w:t xml:space="preserve">Bartl, B., </w:t>
      </w:r>
      <w:r>
        <w:rPr>
          <w:rFonts w:eastAsia="Times New Roman"/>
          <w:lang w:val="en-US"/>
        </w:rPr>
        <w:t>y</w:t>
      </w:r>
      <w:r w:rsidRPr="00AF2941">
        <w:rPr>
          <w:rFonts w:eastAsia="Times New Roman"/>
          <w:lang w:val="en-US"/>
        </w:rPr>
        <w:t xml:space="preserve"> Pérez, M. L. (2015). </w:t>
      </w:r>
      <w:r w:rsidRPr="009D5269">
        <w:rPr>
          <w:rFonts w:eastAsia="Times New Roman"/>
        </w:rPr>
        <w:t xml:space="preserve">Modelos </w:t>
      </w:r>
      <w:r>
        <w:rPr>
          <w:rFonts w:eastAsia="Times New Roman"/>
        </w:rPr>
        <w:t>m</w:t>
      </w:r>
      <w:r w:rsidRPr="009D5269">
        <w:rPr>
          <w:rFonts w:eastAsia="Times New Roman"/>
        </w:rPr>
        <w:t xml:space="preserve">édicos </w:t>
      </w:r>
      <w:r>
        <w:rPr>
          <w:rFonts w:eastAsia="Times New Roman"/>
        </w:rPr>
        <w:t>y</w:t>
      </w:r>
      <w:r w:rsidRPr="009D5269">
        <w:rPr>
          <w:rFonts w:eastAsia="Times New Roman"/>
        </w:rPr>
        <w:t xml:space="preserve"> </w:t>
      </w:r>
      <w:r>
        <w:rPr>
          <w:rFonts w:eastAsia="Times New Roman"/>
        </w:rPr>
        <w:t>p</w:t>
      </w:r>
      <w:r w:rsidRPr="009D5269">
        <w:rPr>
          <w:rFonts w:eastAsia="Times New Roman"/>
        </w:rPr>
        <w:t xml:space="preserve">lantas </w:t>
      </w:r>
      <w:r>
        <w:rPr>
          <w:rFonts w:eastAsia="Times New Roman"/>
        </w:rPr>
        <w:t>m</w:t>
      </w:r>
      <w:r w:rsidRPr="009D5269">
        <w:rPr>
          <w:rFonts w:eastAsia="Times New Roman"/>
        </w:rPr>
        <w:t xml:space="preserve">edicinales </w:t>
      </w:r>
      <w:r>
        <w:rPr>
          <w:rFonts w:eastAsia="Times New Roman"/>
        </w:rPr>
        <w:t>d</w:t>
      </w:r>
      <w:r w:rsidRPr="009D5269">
        <w:rPr>
          <w:rFonts w:eastAsia="Times New Roman"/>
        </w:rPr>
        <w:t xml:space="preserve">e </w:t>
      </w:r>
      <w:r>
        <w:rPr>
          <w:rFonts w:eastAsia="Times New Roman"/>
        </w:rPr>
        <w:t>u</w:t>
      </w:r>
      <w:r w:rsidRPr="009D5269">
        <w:rPr>
          <w:rFonts w:eastAsia="Times New Roman"/>
        </w:rPr>
        <w:t xml:space="preserve">so </w:t>
      </w:r>
      <w:r>
        <w:rPr>
          <w:rFonts w:eastAsia="Times New Roman"/>
        </w:rPr>
        <w:t>v</w:t>
      </w:r>
      <w:r w:rsidRPr="009D5269">
        <w:rPr>
          <w:rFonts w:eastAsia="Times New Roman"/>
        </w:rPr>
        <w:t xml:space="preserve">eterinario: </w:t>
      </w:r>
      <w:r>
        <w:rPr>
          <w:rFonts w:eastAsia="Times New Roman"/>
        </w:rPr>
        <w:t>r</w:t>
      </w:r>
      <w:r w:rsidRPr="009D5269">
        <w:rPr>
          <w:rFonts w:eastAsia="Times New Roman"/>
        </w:rPr>
        <w:t xml:space="preserve">epensando </w:t>
      </w:r>
      <w:r>
        <w:rPr>
          <w:rFonts w:eastAsia="Times New Roman"/>
        </w:rPr>
        <w:t>s</w:t>
      </w:r>
      <w:r w:rsidRPr="009D5269">
        <w:rPr>
          <w:rFonts w:eastAsia="Times New Roman"/>
        </w:rPr>
        <w:t xml:space="preserve">aberes </w:t>
      </w:r>
      <w:r>
        <w:rPr>
          <w:rFonts w:eastAsia="Times New Roman"/>
        </w:rPr>
        <w:t>l</w:t>
      </w:r>
      <w:r w:rsidRPr="009D5269">
        <w:rPr>
          <w:rFonts w:eastAsia="Times New Roman"/>
        </w:rPr>
        <w:t>ocales-</w:t>
      </w:r>
      <w:r>
        <w:rPr>
          <w:rFonts w:eastAsia="Times New Roman"/>
        </w:rPr>
        <w:t>u</w:t>
      </w:r>
      <w:r w:rsidRPr="009D5269">
        <w:rPr>
          <w:rFonts w:eastAsia="Times New Roman"/>
        </w:rPr>
        <w:t xml:space="preserve">rbanos. </w:t>
      </w:r>
      <w:r w:rsidRPr="009D5269">
        <w:rPr>
          <w:rFonts w:eastAsia="Times New Roman"/>
          <w:i/>
          <w:iCs/>
        </w:rPr>
        <w:t>Gaia Scientia</w:t>
      </w:r>
      <w:r w:rsidRPr="009D5269">
        <w:rPr>
          <w:rFonts w:eastAsia="Times New Roman"/>
        </w:rPr>
        <w:t xml:space="preserve">, </w:t>
      </w:r>
      <w:r w:rsidRPr="009D5269">
        <w:rPr>
          <w:rFonts w:eastAsia="Times New Roman"/>
          <w:i/>
          <w:iCs/>
        </w:rPr>
        <w:t>9</w:t>
      </w:r>
      <w:r>
        <w:rPr>
          <w:rFonts w:eastAsia="Times New Roman"/>
        </w:rPr>
        <w:t>(3)</w:t>
      </w:r>
      <w:r w:rsidRPr="009D5269">
        <w:rPr>
          <w:rFonts w:eastAsia="Times New Roman"/>
        </w:rPr>
        <w:t>, 60–68.</w:t>
      </w:r>
    </w:p>
    <w:p w14:paraId="59927AB9" w14:textId="77777777" w:rsidR="005630F8" w:rsidRDefault="005630F8" w:rsidP="005630F8">
      <w:pPr>
        <w:ind w:hanging="709"/>
      </w:pPr>
      <w:r w:rsidRPr="003F612E">
        <w:t xml:space="preserve">Becerra, G. (2020). La Teoría de los Sistemas Complejos y la Teoría de los Sistemas Sociales en las controversias de la complejidad. </w:t>
      </w:r>
      <w:r w:rsidRPr="003F612E">
        <w:rPr>
          <w:i/>
          <w:iCs/>
        </w:rPr>
        <w:t>Convergencia, 27</w:t>
      </w:r>
      <w:r>
        <w:t>, 1-23.</w:t>
      </w:r>
    </w:p>
    <w:p w14:paraId="637AEE6A" w14:textId="77777777" w:rsidR="005630F8" w:rsidRPr="009D5269" w:rsidRDefault="005630F8" w:rsidP="005630F8">
      <w:pPr>
        <w:ind w:hanging="709"/>
      </w:pPr>
      <w:bookmarkStart w:id="23" w:name="_Hlk526693773"/>
      <w:bookmarkStart w:id="24" w:name="_Hlk526694462"/>
      <w:bookmarkStart w:id="25" w:name="_Hlk526694411"/>
      <w:r w:rsidRPr="009D5269">
        <w:t xml:space="preserve">Biblioteca Digital Mundial. (2014). </w:t>
      </w:r>
      <w:r w:rsidRPr="003014E4">
        <w:rPr>
          <w:i/>
          <w:iCs/>
        </w:rPr>
        <w:t>Historia general de las cosas de Nueva España por el fray Bernardino de Sahagún: el Códice Florentino</w:t>
      </w:r>
      <w:r w:rsidRPr="009D5269">
        <w:t xml:space="preserve">. Libro XI: de las cosas naturales. </w:t>
      </w:r>
      <w:r>
        <w:t xml:space="preserve">Recuperado de </w:t>
      </w:r>
      <w:hyperlink r:id="rId21" w:history="1">
        <w:r w:rsidRPr="009D5269">
          <w:rPr>
            <w:rStyle w:val="Hipervnculo"/>
          </w:rPr>
          <w:t>https://www.wdl.org/es/item/10622/</w:t>
        </w:r>
      </w:hyperlink>
    </w:p>
    <w:bookmarkEnd w:id="23"/>
    <w:p w14:paraId="7E1935DD" w14:textId="77777777" w:rsidR="005630F8" w:rsidRPr="00437D1F" w:rsidRDefault="005630F8" w:rsidP="005630F8">
      <w:pPr>
        <w:ind w:hanging="709"/>
        <w:rPr>
          <w:lang w:val="en-US"/>
        </w:rPr>
      </w:pPr>
      <w:r w:rsidRPr="008C292E">
        <w:t xml:space="preserve">Boni, A., Belda-Miquel, S., </w:t>
      </w:r>
      <w:r>
        <w:t>y</w:t>
      </w:r>
      <w:r w:rsidRPr="008C292E">
        <w:t xml:space="preserve"> Pellicer-Sifres, V. (2018). Innovación transformadora. Propuestas desde la innovación social colectiva para el desarrollo humano.</w:t>
      </w:r>
      <w:r>
        <w:t xml:space="preserve"> </w:t>
      </w:r>
      <w:r w:rsidRPr="00437D1F">
        <w:rPr>
          <w:i/>
          <w:iCs/>
          <w:lang w:val="en-US"/>
        </w:rPr>
        <w:t>Recerca. Revista de Pensament i Anàlisi, 23,</w:t>
      </w:r>
      <w:r w:rsidRPr="00437D1F">
        <w:rPr>
          <w:lang w:val="en-US"/>
        </w:rPr>
        <w:t xml:space="preserve"> 67-94.</w:t>
      </w:r>
    </w:p>
    <w:bookmarkEnd w:id="24"/>
    <w:bookmarkEnd w:id="25"/>
    <w:p w14:paraId="28346BED" w14:textId="77777777" w:rsidR="005630F8" w:rsidRDefault="005630F8" w:rsidP="005630F8">
      <w:pPr>
        <w:ind w:hanging="709"/>
      </w:pPr>
      <w:r w:rsidRPr="00DC6B6C">
        <w:rPr>
          <w:lang w:val="en-US"/>
        </w:rPr>
        <w:t xml:space="preserve">Botsoglou, N., Chistaki A, E., Fletouris J., Florou-Paneri P. &amp; Spais A. B. (2002). The effect of dietary oregano essential oil on lipid oxidation in raw and cooked chicken during refrigerated store. </w:t>
      </w:r>
      <w:r w:rsidRPr="009D5269">
        <w:rPr>
          <w:i/>
        </w:rPr>
        <w:t>Meat Sci</w:t>
      </w:r>
      <w:r>
        <w:t xml:space="preserve">ence, </w:t>
      </w:r>
      <w:r w:rsidRPr="00EE1DC0">
        <w:rPr>
          <w:i/>
          <w:iCs/>
        </w:rPr>
        <w:t>62</w:t>
      </w:r>
      <w:r w:rsidRPr="009D5269">
        <w:t>(2), 259-265.</w:t>
      </w:r>
    </w:p>
    <w:p w14:paraId="7E1D3AAF" w14:textId="77777777" w:rsidR="005630F8" w:rsidRPr="00437D1F" w:rsidRDefault="005630F8" w:rsidP="005630F8">
      <w:pPr>
        <w:ind w:hanging="709"/>
        <w:rPr>
          <w:lang w:val="es-ES"/>
        </w:rPr>
      </w:pPr>
      <w:r w:rsidRPr="00437D1F">
        <w:rPr>
          <w:lang w:val="es-ES"/>
        </w:rPr>
        <w:t>Braña, D., Ramírez, E., Rubio, M., Sánchez, A., Torrescano, G., Arenas, M., ... &amp; Ríos, F. (2011</w:t>
      </w:r>
      <w:r w:rsidRPr="00437D1F">
        <w:rPr>
          <w:i/>
          <w:iCs/>
          <w:lang w:val="es-ES"/>
        </w:rPr>
        <w:t>). Manual de análisis de calidad en muestras de carne, Folleto Técnico, 11</w:t>
      </w:r>
      <w:r w:rsidRPr="00437D1F">
        <w:rPr>
          <w:lang w:val="es-ES"/>
        </w:rPr>
        <w:t>. Queretaro, México: Centro Nacional de Investigación Disciplinaria en Fisiología y Mejoramiento Animal, Instituto Nacional de Investigaciones Forestales, Agrícolas y Pecuarias.</w:t>
      </w:r>
    </w:p>
    <w:p w14:paraId="426158BD" w14:textId="77777777" w:rsidR="005630F8" w:rsidRDefault="005630F8" w:rsidP="005630F8">
      <w:pPr>
        <w:ind w:hanging="709"/>
        <w:rPr>
          <w:color w:val="000000"/>
        </w:rPr>
      </w:pPr>
      <w:bookmarkStart w:id="26" w:name="_Hlk526694257"/>
      <w:r w:rsidRPr="009D5269">
        <w:rPr>
          <w:color w:val="000000"/>
        </w:rPr>
        <w:lastRenderedPageBreak/>
        <w:t xml:space="preserve">Bravo, M., Arteaga, M. I. </w:t>
      </w:r>
      <w:r>
        <w:rPr>
          <w:color w:val="000000"/>
        </w:rPr>
        <w:t>y</w:t>
      </w:r>
      <w:r w:rsidRPr="009D5269">
        <w:rPr>
          <w:color w:val="000000"/>
        </w:rPr>
        <w:t xml:space="preserve"> Herrera, F. F. (2017). Bioinventario de especies subutilizadas comestibles y medicinales en el norte de Venezuela. </w:t>
      </w:r>
      <w:r w:rsidRPr="00901AF6">
        <w:rPr>
          <w:i/>
          <w:iCs/>
          <w:color w:val="000000"/>
        </w:rPr>
        <w:t>Boletín Latinoamericano y del Caribe de Plantas Medicinales y Aromáticas</w:t>
      </w:r>
      <w:r w:rsidRPr="009D5269">
        <w:rPr>
          <w:color w:val="000000"/>
        </w:rPr>
        <w:t>,</w:t>
      </w:r>
      <w:r w:rsidRPr="00B547E7">
        <w:rPr>
          <w:i/>
          <w:iCs/>
          <w:color w:val="000000"/>
        </w:rPr>
        <w:t xml:space="preserve"> 16</w:t>
      </w:r>
      <w:r>
        <w:rPr>
          <w:color w:val="000000"/>
        </w:rPr>
        <w:t>(4)</w:t>
      </w:r>
      <w:r w:rsidRPr="009D5269">
        <w:rPr>
          <w:color w:val="000000"/>
        </w:rPr>
        <w:t xml:space="preserve">, 347-360. </w:t>
      </w:r>
      <w:bookmarkEnd w:id="26"/>
    </w:p>
    <w:p w14:paraId="2B962C98" w14:textId="77777777" w:rsidR="005630F8" w:rsidRDefault="005630F8" w:rsidP="005630F8">
      <w:pPr>
        <w:ind w:hanging="709"/>
        <w:rPr>
          <w:rFonts w:eastAsia="Times New Roman"/>
        </w:rPr>
      </w:pPr>
      <w:r w:rsidRPr="009D5269">
        <w:rPr>
          <w:rFonts w:eastAsia="Times New Roman"/>
        </w:rPr>
        <w:t>Camacho-Escobar, M. A., Ramírez-Cancino, L., Hernández-Sanchez, V., Arroyo-Ledezma, J., Sánchez-Bernal, E. I. &amp; Magaña-Sevilla, H. F. (2007). Guajolotes de traspatio en el trópico de M</w:t>
      </w:r>
      <w:r>
        <w:rPr>
          <w:rFonts w:eastAsia="Times New Roman"/>
        </w:rPr>
        <w:t>é</w:t>
      </w:r>
      <w:r w:rsidRPr="009D5269">
        <w:rPr>
          <w:rFonts w:eastAsia="Times New Roman"/>
        </w:rPr>
        <w:t>xico: Alimentaci</w:t>
      </w:r>
      <w:r>
        <w:rPr>
          <w:rFonts w:eastAsia="Times New Roman"/>
        </w:rPr>
        <w:t>ó</w:t>
      </w:r>
      <w:r w:rsidRPr="009D5269">
        <w:rPr>
          <w:rFonts w:eastAsia="Times New Roman"/>
        </w:rPr>
        <w:t xml:space="preserve">n, sanidad y medicina etnoveterinaria. </w:t>
      </w:r>
      <w:r w:rsidRPr="009D5269">
        <w:rPr>
          <w:rFonts w:eastAsia="Times New Roman"/>
          <w:i/>
          <w:iCs/>
        </w:rPr>
        <w:t>ResearchGate</w:t>
      </w:r>
      <w:r w:rsidRPr="009D5269">
        <w:rPr>
          <w:rFonts w:eastAsia="Times New Roman"/>
        </w:rPr>
        <w:t>, 1–19.</w:t>
      </w:r>
    </w:p>
    <w:p w14:paraId="3B398635" w14:textId="77777777" w:rsidR="005630F8" w:rsidRDefault="005630F8" w:rsidP="005630F8">
      <w:pPr>
        <w:ind w:hanging="709"/>
      </w:pPr>
      <w:r w:rsidRPr="009D5269">
        <w:t>Caporal, F. R. &amp; Costabeber, J. A</w:t>
      </w:r>
      <w:r>
        <w:t>. (2011)</w:t>
      </w:r>
      <w:r w:rsidRPr="009D5269">
        <w:t xml:space="preserve"> La extensión rural hacia un enfoque agroecológico y las políticas públicas hacia la sustentabilidad rural. En </w:t>
      </w:r>
      <w:r w:rsidRPr="00045B40">
        <w:rPr>
          <w:i/>
          <w:iCs/>
        </w:rPr>
        <w:t>La agroecología en la construcción de alternativas hacia la sustentabilidad rural</w:t>
      </w:r>
      <w:r w:rsidRPr="009D5269">
        <w:t xml:space="preserve"> (190-215). </w:t>
      </w:r>
      <w:r>
        <w:t xml:space="preserve">Distrito Federal, </w:t>
      </w:r>
      <w:r w:rsidRPr="009D5269">
        <w:t>México: Siglo Veintiuno Editores.</w:t>
      </w:r>
    </w:p>
    <w:p w14:paraId="28DE6191" w14:textId="77777777" w:rsidR="005630F8" w:rsidRPr="00801C44" w:rsidRDefault="005630F8" w:rsidP="005630F8">
      <w:pPr>
        <w:ind w:hanging="709"/>
        <w:rPr>
          <w:color w:val="000000"/>
        </w:rPr>
      </w:pPr>
      <w:bookmarkStart w:id="27" w:name="_Hlk526694284"/>
      <w:r w:rsidRPr="009D5269">
        <w:rPr>
          <w:color w:val="000000"/>
        </w:rPr>
        <w:t xml:space="preserve">Castillo-Vera H., Cochachin J. </w:t>
      </w:r>
      <w:r>
        <w:rPr>
          <w:color w:val="000000"/>
        </w:rPr>
        <w:t>y</w:t>
      </w:r>
      <w:r w:rsidRPr="009D5269">
        <w:rPr>
          <w:color w:val="000000"/>
        </w:rPr>
        <w:t xml:space="preserve"> Albán J. (2017). </w:t>
      </w:r>
      <w:bookmarkStart w:id="28" w:name="_Hlk11065909"/>
      <w:r w:rsidRPr="009D5269">
        <w:rPr>
          <w:color w:val="000000"/>
        </w:rPr>
        <w:t>Plantas comercializadas por herbolarios en el mercado del distrito de Cajabamba (Cajamarca, Perú)</w:t>
      </w:r>
      <w:bookmarkEnd w:id="28"/>
      <w:r w:rsidRPr="009D5269">
        <w:rPr>
          <w:color w:val="000000"/>
        </w:rPr>
        <w:t xml:space="preserve">. </w:t>
      </w:r>
      <w:r w:rsidRPr="00B547E7">
        <w:rPr>
          <w:i/>
          <w:iCs/>
          <w:color w:val="000000"/>
        </w:rPr>
        <w:t>Boletín Latinoamericano y del Caribe de Plantas Medicinales y Aromáticas, 16</w:t>
      </w:r>
      <w:r>
        <w:rPr>
          <w:color w:val="000000"/>
        </w:rPr>
        <w:t>(4)</w:t>
      </w:r>
      <w:r w:rsidRPr="009D5269">
        <w:rPr>
          <w:color w:val="000000"/>
        </w:rPr>
        <w:t xml:space="preserve">, 303-318. </w:t>
      </w:r>
    </w:p>
    <w:bookmarkEnd w:id="27"/>
    <w:p w14:paraId="7651C7FF" w14:textId="77777777" w:rsidR="005630F8" w:rsidRDefault="005630F8" w:rsidP="005630F8">
      <w:pPr>
        <w:ind w:hanging="709"/>
      </w:pPr>
      <w:r>
        <w:t xml:space="preserve">Ceccon, E. (2008). La revolución verde tragedia en dos actos. </w:t>
      </w:r>
      <w:r w:rsidRPr="00A622C2">
        <w:rPr>
          <w:i/>
          <w:iCs/>
        </w:rPr>
        <w:t>Ciencias, 1</w:t>
      </w:r>
      <w:r>
        <w:t>(91), 21-29.</w:t>
      </w:r>
    </w:p>
    <w:p w14:paraId="3A72770D" w14:textId="77777777" w:rsidR="005630F8" w:rsidRDefault="005630F8" w:rsidP="005630F8">
      <w:pPr>
        <w:ind w:hanging="709"/>
        <w:rPr>
          <w:rFonts w:eastAsia="Times New Roman"/>
        </w:rPr>
      </w:pPr>
      <w:r w:rsidRPr="009D5269">
        <w:rPr>
          <w:rFonts w:eastAsia="Times New Roman"/>
        </w:rPr>
        <w:t>Chávez, M. M. C., White, O. L., Moctezuma, P. S.</w:t>
      </w:r>
      <w:r>
        <w:rPr>
          <w:rFonts w:eastAsia="Times New Roman"/>
        </w:rPr>
        <w:t xml:space="preserve"> y</w:t>
      </w:r>
      <w:r w:rsidRPr="009D5269">
        <w:rPr>
          <w:rFonts w:eastAsia="Times New Roman"/>
        </w:rPr>
        <w:t xml:space="preserve"> Herrera, T. F. (2017). Prácticas curativas y plantas medicinales: un acercamiento a la etnomedicina de San Nicolás, México. </w:t>
      </w:r>
      <w:r w:rsidRPr="009D5269">
        <w:rPr>
          <w:rFonts w:eastAsia="Times New Roman"/>
          <w:i/>
          <w:iCs/>
        </w:rPr>
        <w:t>Cuadernos Geográficos</w:t>
      </w:r>
      <w:r w:rsidRPr="009D5269">
        <w:rPr>
          <w:rFonts w:eastAsia="Times New Roman"/>
        </w:rPr>
        <w:t xml:space="preserve">, </w:t>
      </w:r>
      <w:r w:rsidRPr="009D5269">
        <w:rPr>
          <w:rFonts w:eastAsia="Times New Roman"/>
          <w:i/>
          <w:iCs/>
        </w:rPr>
        <w:t>56</w:t>
      </w:r>
      <w:r w:rsidRPr="009D5269">
        <w:rPr>
          <w:rFonts w:eastAsia="Times New Roman"/>
        </w:rPr>
        <w:t xml:space="preserve">(2), 26–47. </w:t>
      </w:r>
    </w:p>
    <w:p w14:paraId="544DF979" w14:textId="77777777" w:rsidR="005630F8" w:rsidRPr="00AF2941" w:rsidRDefault="005630F8" w:rsidP="005630F8">
      <w:pPr>
        <w:ind w:hanging="709"/>
        <w:rPr>
          <w:rFonts w:eastAsia="Times New Roman"/>
          <w:lang w:val="es-ES"/>
        </w:rPr>
      </w:pPr>
      <w:r w:rsidRPr="00A63A7E">
        <w:rPr>
          <w:rFonts w:eastAsia="Times New Roman"/>
          <w:lang w:val="es-ES"/>
        </w:rPr>
        <w:t>Chen S. L.,</w:t>
      </w:r>
      <w:r>
        <w:rPr>
          <w:rFonts w:eastAsia="Times New Roman"/>
          <w:lang w:val="es-ES"/>
        </w:rPr>
        <w:t xml:space="preserve"> </w:t>
      </w:r>
      <w:r w:rsidRPr="00A63A7E">
        <w:rPr>
          <w:rFonts w:eastAsia="Times New Roman"/>
          <w:lang w:val="es-ES"/>
        </w:rPr>
        <w:t>Yu</w:t>
      </w:r>
      <w:r>
        <w:rPr>
          <w:rFonts w:eastAsia="Times New Roman"/>
          <w:lang w:val="es-ES"/>
        </w:rPr>
        <w:t>, H.</w:t>
      </w:r>
      <w:r w:rsidRPr="00A63A7E">
        <w:rPr>
          <w:rFonts w:eastAsia="Times New Roman"/>
          <w:lang w:val="es-ES"/>
        </w:rPr>
        <w:t>, Luo</w:t>
      </w:r>
      <w:r>
        <w:rPr>
          <w:rFonts w:eastAsia="Times New Roman"/>
          <w:lang w:val="es-ES"/>
        </w:rPr>
        <w:t>,</w:t>
      </w:r>
      <w:r w:rsidRPr="00A63A7E">
        <w:rPr>
          <w:rFonts w:eastAsia="Times New Roman"/>
          <w:lang w:val="es-ES"/>
        </w:rPr>
        <w:t xml:space="preserve"> H.</w:t>
      </w:r>
      <w:r>
        <w:rPr>
          <w:rFonts w:eastAsia="Times New Roman"/>
          <w:lang w:val="es-ES"/>
        </w:rPr>
        <w:t xml:space="preserve"> </w:t>
      </w:r>
      <w:r w:rsidRPr="00A63A7E">
        <w:rPr>
          <w:rFonts w:eastAsia="Times New Roman"/>
          <w:lang w:val="es-ES"/>
        </w:rPr>
        <w:t>M., Wu</w:t>
      </w:r>
      <w:r>
        <w:rPr>
          <w:rFonts w:eastAsia="Times New Roman"/>
          <w:lang w:val="es-ES"/>
        </w:rPr>
        <w:t>, Q.</w:t>
      </w:r>
      <w:r w:rsidRPr="00A63A7E">
        <w:rPr>
          <w:rFonts w:eastAsia="Times New Roman"/>
          <w:lang w:val="es-ES"/>
        </w:rPr>
        <w:t>, Li</w:t>
      </w:r>
      <w:r>
        <w:rPr>
          <w:rFonts w:eastAsia="Times New Roman"/>
          <w:lang w:val="es-ES"/>
        </w:rPr>
        <w:t>,</w:t>
      </w:r>
      <w:r w:rsidRPr="00A63A7E">
        <w:rPr>
          <w:rFonts w:eastAsia="Times New Roman"/>
          <w:lang w:val="es-ES"/>
        </w:rPr>
        <w:t xml:space="preserve"> C.</w:t>
      </w:r>
      <w:r>
        <w:rPr>
          <w:rFonts w:eastAsia="Times New Roman"/>
          <w:lang w:val="es-ES"/>
        </w:rPr>
        <w:t xml:space="preserve"> F. &amp;</w:t>
      </w:r>
      <w:r w:rsidRPr="00A63A7E">
        <w:rPr>
          <w:rFonts w:eastAsia="Times New Roman"/>
          <w:lang w:val="es-ES"/>
        </w:rPr>
        <w:t xml:space="preserve"> Steinmetz</w:t>
      </w:r>
      <w:r>
        <w:rPr>
          <w:rFonts w:eastAsia="Times New Roman"/>
          <w:lang w:val="es-ES"/>
        </w:rPr>
        <w:t>, A. (</w:t>
      </w:r>
      <w:r w:rsidRPr="00A63A7E">
        <w:rPr>
          <w:rFonts w:eastAsia="Times New Roman"/>
          <w:lang w:val="es-ES"/>
        </w:rPr>
        <w:t>2016</w:t>
      </w:r>
      <w:r>
        <w:rPr>
          <w:rFonts w:eastAsia="Times New Roman"/>
          <w:lang w:val="es-ES"/>
        </w:rPr>
        <w:t>)</w:t>
      </w:r>
      <w:r w:rsidRPr="00A63A7E">
        <w:rPr>
          <w:rFonts w:eastAsia="Times New Roman"/>
          <w:lang w:val="es-ES"/>
        </w:rPr>
        <w:t xml:space="preserve">. </w:t>
      </w:r>
      <w:r w:rsidRPr="00437D1F">
        <w:rPr>
          <w:rFonts w:eastAsia="Times New Roman"/>
          <w:lang w:val="en-US"/>
        </w:rPr>
        <w:t xml:space="preserve">Conservation and sustainable use of medicinal plants: problems, progress, and prospects. </w:t>
      </w:r>
      <w:r w:rsidRPr="00BC352C">
        <w:rPr>
          <w:rFonts w:eastAsia="Times New Roman"/>
          <w:i/>
          <w:iCs/>
          <w:lang w:val="es-ES"/>
        </w:rPr>
        <w:t>Chinese Medicine</w:t>
      </w:r>
      <w:r>
        <w:rPr>
          <w:rFonts w:eastAsia="Times New Roman"/>
          <w:lang w:val="es-ES"/>
        </w:rPr>
        <w:t>,</w:t>
      </w:r>
      <w:r w:rsidRPr="00A63A7E">
        <w:rPr>
          <w:rFonts w:eastAsia="Times New Roman"/>
          <w:lang w:val="es-ES"/>
        </w:rPr>
        <w:t xml:space="preserve"> </w:t>
      </w:r>
      <w:r w:rsidRPr="00BC352C">
        <w:rPr>
          <w:rFonts w:eastAsia="Times New Roman"/>
          <w:i/>
          <w:iCs/>
          <w:lang w:val="es-ES"/>
        </w:rPr>
        <w:t>11</w:t>
      </w:r>
      <w:r>
        <w:rPr>
          <w:rFonts w:eastAsia="Times New Roman"/>
          <w:lang w:val="es-ES"/>
        </w:rPr>
        <w:t>(1),</w:t>
      </w:r>
      <w:r w:rsidRPr="00A63A7E">
        <w:rPr>
          <w:rFonts w:eastAsia="Times New Roman"/>
          <w:lang w:val="es-ES"/>
        </w:rPr>
        <w:t xml:space="preserve"> </w:t>
      </w:r>
      <w:r>
        <w:rPr>
          <w:rFonts w:eastAsia="Times New Roman"/>
          <w:lang w:val="es-ES"/>
        </w:rPr>
        <w:t>1-10.</w:t>
      </w:r>
    </w:p>
    <w:p w14:paraId="4E68894C" w14:textId="77777777" w:rsidR="005630F8" w:rsidRDefault="005630F8" w:rsidP="005630F8">
      <w:pPr>
        <w:ind w:hanging="709"/>
        <w:rPr>
          <w:rFonts w:eastAsia="Times New Roman"/>
        </w:rPr>
      </w:pPr>
      <w:r w:rsidRPr="00924E79">
        <w:rPr>
          <w:rFonts w:eastAsia="Times New Roman"/>
        </w:rPr>
        <w:t xml:space="preserve">Comisión Nacional del Medio Ambiente. (2001). Guía metodológica Estudio de Ciclo de Vida ECV.  Recuperado de </w:t>
      </w:r>
      <w:hyperlink r:id="rId22" w:history="1">
        <w:r w:rsidRPr="002E20CE">
          <w:rPr>
            <w:rStyle w:val="Hipervnculo"/>
            <w:rFonts w:eastAsia="Times New Roman"/>
          </w:rPr>
          <w:t>http://www.ingenieroambiental.com/4014/ciclo.pdf</w:t>
        </w:r>
      </w:hyperlink>
    </w:p>
    <w:p w14:paraId="1B68097F" w14:textId="77777777" w:rsidR="005630F8" w:rsidRDefault="005630F8" w:rsidP="005630F8">
      <w:pPr>
        <w:ind w:hanging="709"/>
      </w:pPr>
      <w:r>
        <w:lastRenderedPageBreak/>
        <w:t xml:space="preserve">Constanza, C. N. (2011). De la Epistemología constructivista piagetiana, el reconocimiento de la cultura y de la diversidad para la formación en escenarios culturalmente diversos. </w:t>
      </w:r>
      <w:r w:rsidRPr="00C34118">
        <w:rPr>
          <w:i/>
          <w:iCs/>
        </w:rPr>
        <w:t>Revista Colombiana de Educación</w:t>
      </w:r>
      <w:r>
        <w:t xml:space="preserve">, (60), 107-122. </w:t>
      </w:r>
    </w:p>
    <w:p w14:paraId="0140FB4C" w14:textId="77777777" w:rsidR="005630F8" w:rsidRDefault="005630F8" w:rsidP="005630F8">
      <w:pPr>
        <w:autoSpaceDE w:val="0"/>
        <w:autoSpaceDN w:val="0"/>
        <w:adjustRightInd w:val="0"/>
        <w:spacing w:after="0"/>
        <w:ind w:hanging="709"/>
      </w:pPr>
      <w:r w:rsidRPr="009D5269">
        <w:t>COPLADEM. (S/</w:t>
      </w:r>
      <w:r>
        <w:t>F</w:t>
      </w:r>
      <w:r w:rsidRPr="009D5269">
        <w:t xml:space="preserve">). </w:t>
      </w:r>
      <w:r w:rsidRPr="00102ED6">
        <w:rPr>
          <w:i/>
          <w:iCs/>
        </w:rPr>
        <w:t>Regiones y Municipios.</w:t>
      </w:r>
      <w:r>
        <w:t xml:space="preserve"> Recuperado de</w:t>
      </w:r>
      <w:r w:rsidRPr="009D5269">
        <w:t xml:space="preserve"> </w:t>
      </w:r>
      <w:hyperlink r:id="rId23" w:history="1">
        <w:r w:rsidRPr="00E27ACC">
          <w:rPr>
            <w:rStyle w:val="Hipervnculo"/>
          </w:rPr>
          <w:t>http://copladem.edomex.gob.mx/regiones_y_municipios</w:t>
        </w:r>
      </w:hyperlink>
    </w:p>
    <w:p w14:paraId="34F541E4" w14:textId="77777777" w:rsidR="005630F8" w:rsidRDefault="005630F8" w:rsidP="005630F8">
      <w:pPr>
        <w:ind w:hanging="709"/>
        <w:rPr>
          <w:color w:val="000000"/>
        </w:rPr>
      </w:pPr>
      <w:r w:rsidRPr="009D5269">
        <w:rPr>
          <w:color w:val="000000"/>
        </w:rPr>
        <w:t>Cussy-Poma, V</w:t>
      </w:r>
      <w:bookmarkStart w:id="29" w:name="_Hlk61602851"/>
      <w:r>
        <w:rPr>
          <w:color w:val="000000"/>
        </w:rPr>
        <w:t>, Fernández, E., Rondevaldova, J., Foffová, H., &amp; Russo</w:t>
      </w:r>
      <w:bookmarkEnd w:id="29"/>
      <w:r>
        <w:rPr>
          <w:color w:val="000000"/>
        </w:rPr>
        <w:t>, D</w:t>
      </w:r>
      <w:r w:rsidRPr="009D5269">
        <w:rPr>
          <w:color w:val="000000"/>
        </w:rPr>
        <w:t xml:space="preserve">. </w:t>
      </w:r>
      <w:r w:rsidRPr="00437D1F">
        <w:rPr>
          <w:color w:val="000000"/>
          <w:lang w:val="es-ES"/>
        </w:rPr>
        <w:t xml:space="preserve">(2017). </w:t>
      </w:r>
      <w:bookmarkStart w:id="30" w:name="_Hlk11065664"/>
      <w:r w:rsidRPr="00DC6B6C">
        <w:rPr>
          <w:color w:val="000000"/>
          <w:lang w:val="en-US"/>
        </w:rPr>
        <w:t>Ethnobotanical inventory of medicinal plants used in the Qampaya District, Bolivia.</w:t>
      </w:r>
      <w:bookmarkEnd w:id="30"/>
      <w:r w:rsidRPr="00DC6B6C">
        <w:rPr>
          <w:color w:val="000000"/>
          <w:lang w:val="en-US"/>
        </w:rPr>
        <w:t xml:space="preserve"> </w:t>
      </w:r>
      <w:r w:rsidRPr="00B547E7">
        <w:rPr>
          <w:i/>
          <w:iCs/>
          <w:color w:val="000000"/>
        </w:rPr>
        <w:t>Boletín Latinoamericano y del Caribe de Plantas Medicinales y Aromáticas</w:t>
      </w:r>
      <w:r w:rsidRPr="009D5269">
        <w:rPr>
          <w:color w:val="000000"/>
        </w:rPr>
        <w:t xml:space="preserve">, </w:t>
      </w:r>
      <w:r w:rsidRPr="00B547E7">
        <w:rPr>
          <w:i/>
          <w:iCs/>
          <w:color w:val="000000"/>
        </w:rPr>
        <w:t>16</w:t>
      </w:r>
      <w:r>
        <w:rPr>
          <w:color w:val="000000"/>
        </w:rPr>
        <w:t>(1)</w:t>
      </w:r>
      <w:r w:rsidRPr="009D5269">
        <w:rPr>
          <w:color w:val="000000"/>
        </w:rPr>
        <w:t xml:space="preserve">, 68-77. </w:t>
      </w:r>
    </w:p>
    <w:p w14:paraId="3FED92E8" w14:textId="77777777" w:rsidR="005630F8" w:rsidRPr="00437D1F" w:rsidRDefault="005630F8" w:rsidP="005630F8">
      <w:pPr>
        <w:ind w:hanging="709"/>
        <w:rPr>
          <w:color w:val="000000"/>
          <w:lang w:val="es-ES"/>
        </w:rPr>
      </w:pPr>
      <w:r w:rsidRPr="009D5269">
        <w:rPr>
          <w:color w:val="000000"/>
        </w:rPr>
        <w:t xml:space="preserve">Da Costa I. B. C., Bonfim, F. P. G., Pasa, M. C. &amp; Montero D. A. V. (2017). </w:t>
      </w:r>
      <w:bookmarkStart w:id="31" w:name="_Hlk11064257"/>
      <w:r w:rsidRPr="00DC6B6C">
        <w:rPr>
          <w:color w:val="000000"/>
          <w:lang w:val="en-US"/>
        </w:rPr>
        <w:t>Ethnobotanical survey of medicinal flora in the rural community Rio dos Couros, state of Mato Grosso, Brazil</w:t>
      </w:r>
      <w:bookmarkEnd w:id="31"/>
      <w:r w:rsidRPr="00DC6B6C">
        <w:rPr>
          <w:color w:val="000000"/>
          <w:lang w:val="en-US"/>
        </w:rPr>
        <w:t xml:space="preserve">. </w:t>
      </w:r>
      <w:r w:rsidRPr="00AA6C15">
        <w:rPr>
          <w:i/>
          <w:iCs/>
          <w:color w:val="000000"/>
        </w:rPr>
        <w:t>Boletín Latinoamericano y del Caribe de Plantas Medicinales y Aromáticas</w:t>
      </w:r>
      <w:r w:rsidRPr="00437D1F">
        <w:rPr>
          <w:color w:val="000000"/>
          <w:lang w:val="es-ES"/>
        </w:rPr>
        <w:t xml:space="preserve">, </w:t>
      </w:r>
      <w:r w:rsidRPr="00437D1F">
        <w:rPr>
          <w:i/>
          <w:iCs/>
          <w:color w:val="000000"/>
          <w:lang w:val="es-ES"/>
        </w:rPr>
        <w:t>16</w:t>
      </w:r>
      <w:r w:rsidRPr="00437D1F">
        <w:rPr>
          <w:color w:val="000000"/>
          <w:lang w:val="es-ES"/>
        </w:rPr>
        <w:t xml:space="preserve">(1), 53-67. </w:t>
      </w:r>
    </w:p>
    <w:p w14:paraId="1829B3C6" w14:textId="77777777" w:rsidR="005630F8" w:rsidRPr="006A1F6C" w:rsidRDefault="005630F8" w:rsidP="005630F8">
      <w:pPr>
        <w:ind w:hanging="709"/>
        <w:rPr>
          <w:lang w:val="en-US"/>
        </w:rPr>
      </w:pPr>
      <w:r>
        <w:t xml:space="preserve">Delgado, F. C. y Morin, E. (2010). Diálogo de saberes para una reforma del pensamiento y la enseñanza de Ámerica Latina: Morin, Potter, Freire. </w:t>
      </w:r>
      <w:r w:rsidRPr="006A1F6C">
        <w:rPr>
          <w:i/>
          <w:lang w:val="en-US"/>
        </w:rPr>
        <w:t>Estudios</w:t>
      </w:r>
      <w:r w:rsidRPr="006A1F6C">
        <w:rPr>
          <w:lang w:val="en-US"/>
        </w:rPr>
        <w:t xml:space="preserve">. </w:t>
      </w:r>
      <w:r w:rsidRPr="00D9572D">
        <w:rPr>
          <w:i/>
          <w:iCs/>
          <w:lang w:val="en-US"/>
        </w:rPr>
        <w:t>93</w:t>
      </w:r>
      <w:r w:rsidRPr="006A1F6C">
        <w:rPr>
          <w:lang w:val="en-US"/>
        </w:rPr>
        <w:t>(</w:t>
      </w:r>
      <w:r>
        <w:rPr>
          <w:lang w:val="en-US"/>
        </w:rPr>
        <w:t>8</w:t>
      </w:r>
      <w:r w:rsidRPr="006A1F6C">
        <w:rPr>
          <w:lang w:val="en-US"/>
        </w:rPr>
        <w:t>)</w:t>
      </w:r>
      <w:r>
        <w:rPr>
          <w:lang w:val="en-US"/>
        </w:rPr>
        <w:t>,</w:t>
      </w:r>
      <w:r w:rsidRPr="006A1F6C">
        <w:rPr>
          <w:lang w:val="en-US"/>
        </w:rPr>
        <w:t xml:space="preserve"> 24-44.</w:t>
      </w:r>
    </w:p>
    <w:p w14:paraId="12E27ADD" w14:textId="77777777" w:rsidR="005630F8" w:rsidRPr="00437D1F" w:rsidRDefault="005630F8" w:rsidP="005630F8">
      <w:pPr>
        <w:ind w:hanging="709"/>
        <w:rPr>
          <w:rFonts w:eastAsia="Times New Roman"/>
          <w:lang w:val="es-ES"/>
        </w:rPr>
      </w:pPr>
      <w:r w:rsidRPr="00DC6B6C">
        <w:rPr>
          <w:rFonts w:eastAsia="Times New Roman"/>
          <w:lang w:val="en-US"/>
        </w:rPr>
        <w:t xml:space="preserve">Devkota, S., Chaudhary, R. P., Werth, S., &amp; Scheidegger, C. (2017). Indigenous knowledge and use of lichens by the lichenophilic communities of the Nepal Himalaya. </w:t>
      </w:r>
      <w:r w:rsidRPr="00437D1F">
        <w:rPr>
          <w:rFonts w:eastAsia="Times New Roman"/>
          <w:i/>
          <w:iCs/>
          <w:lang w:val="es-ES"/>
        </w:rPr>
        <w:t>Journal of Ethnobiology and Ethnomedicine</w:t>
      </w:r>
      <w:r w:rsidRPr="00437D1F">
        <w:rPr>
          <w:rFonts w:eastAsia="Times New Roman"/>
          <w:lang w:val="es-ES"/>
        </w:rPr>
        <w:t xml:space="preserve">, </w:t>
      </w:r>
      <w:r w:rsidRPr="00437D1F">
        <w:rPr>
          <w:rFonts w:eastAsia="Times New Roman"/>
          <w:i/>
          <w:iCs/>
          <w:lang w:val="es-ES"/>
        </w:rPr>
        <w:t>13</w:t>
      </w:r>
      <w:r w:rsidRPr="00437D1F">
        <w:rPr>
          <w:rFonts w:eastAsia="Times New Roman"/>
          <w:lang w:val="es-ES"/>
        </w:rPr>
        <w:t xml:space="preserve">(1), 1–10. </w:t>
      </w:r>
    </w:p>
    <w:p w14:paraId="15903226" w14:textId="77777777" w:rsidR="005630F8" w:rsidRDefault="005630F8" w:rsidP="005630F8">
      <w:pPr>
        <w:ind w:hanging="709"/>
      </w:pPr>
      <w:r>
        <w:t xml:space="preserve">Díaz, H. J., Castillo, M. Á. M. y López, C. A. G. (01 de abril de 2018) Unidad 10 Zootecnia Cunícola. </w:t>
      </w:r>
      <w:r w:rsidRPr="00A41999">
        <w:rPr>
          <w:i/>
          <w:iCs/>
        </w:rPr>
        <w:t>UNAM</w:t>
      </w:r>
      <w:r>
        <w:t xml:space="preserve">. Recuperado de </w:t>
      </w:r>
      <w:r w:rsidRPr="00A41999">
        <w:t>https://fmvz.unam.mx/fmvz/p_estudios/apuntes_zoo/unidad_10_zootecniacunicola.pdf</w:t>
      </w:r>
      <w:r>
        <w:t xml:space="preserve"> </w:t>
      </w:r>
    </w:p>
    <w:p w14:paraId="57E0A8AE" w14:textId="77777777" w:rsidR="005630F8" w:rsidRDefault="005630F8" w:rsidP="005630F8">
      <w:pPr>
        <w:ind w:hanging="709"/>
      </w:pPr>
      <w:r>
        <w:t xml:space="preserve">Dreser, M. A. C., Zaidi, J. M. y Peredo, V. M. Á. (2010) </w:t>
      </w:r>
      <w:r w:rsidRPr="00F85F83">
        <w:rPr>
          <w:i/>
          <w:iCs/>
        </w:rPr>
        <w:t>Regulación y promoción para el uso adecuado de antibióticos en México. Propuesta de lineamientos para la acción</w:t>
      </w:r>
      <w:r>
        <w:t xml:space="preserve">. México: Instituto de Salud Pública. </w:t>
      </w:r>
    </w:p>
    <w:p w14:paraId="60B402FC" w14:textId="77777777" w:rsidR="005630F8" w:rsidRDefault="005630F8" w:rsidP="005630F8">
      <w:pPr>
        <w:ind w:hanging="709"/>
      </w:pPr>
      <w:r>
        <w:lastRenderedPageBreak/>
        <w:t xml:space="preserve">Dussel, E. D. (1991). </w:t>
      </w:r>
      <w:r w:rsidRPr="008054BB">
        <w:rPr>
          <w:i/>
          <w:iCs/>
        </w:rPr>
        <w:t>2. El método dialéctico de lo abstracto a lo concreto</w:t>
      </w:r>
      <w:r>
        <w:t>. Distrito Federal, México: Siglo XXI.</w:t>
      </w:r>
    </w:p>
    <w:p w14:paraId="74E36D56" w14:textId="77777777" w:rsidR="005630F8" w:rsidRPr="009D5269" w:rsidRDefault="005630F8" w:rsidP="005630F8">
      <w:pPr>
        <w:ind w:hanging="709"/>
        <w:rPr>
          <w:color w:val="000000"/>
        </w:rPr>
      </w:pPr>
      <w:bookmarkStart w:id="32" w:name="_Hlk526693958"/>
      <w:r w:rsidRPr="009D5269">
        <w:rPr>
          <w:color w:val="000000"/>
        </w:rPr>
        <w:t>Ecoosfera. (</w:t>
      </w:r>
      <w:r>
        <w:rPr>
          <w:color w:val="000000"/>
        </w:rPr>
        <w:t xml:space="preserve">20 de octubre de </w:t>
      </w:r>
      <w:r w:rsidRPr="009D5269">
        <w:rPr>
          <w:color w:val="000000"/>
        </w:rPr>
        <w:t xml:space="preserve">2015). La medicina alternativa es parte de la tradición mexicana, piensa el 84%. </w:t>
      </w:r>
      <w:r w:rsidRPr="00A834D2">
        <w:rPr>
          <w:i/>
          <w:iCs/>
          <w:color w:val="000000"/>
        </w:rPr>
        <w:t>Ecoosfera</w:t>
      </w:r>
      <w:r>
        <w:rPr>
          <w:color w:val="000000"/>
        </w:rPr>
        <w:t xml:space="preserve">. Recuperado de </w:t>
      </w:r>
      <w:r w:rsidRPr="009D5269">
        <w:rPr>
          <w:color w:val="000000"/>
        </w:rPr>
        <w:t xml:space="preserve"> </w:t>
      </w:r>
      <w:hyperlink r:id="rId24" w:history="1">
        <w:r w:rsidRPr="009D5269">
          <w:rPr>
            <w:rStyle w:val="Hipervnculo"/>
          </w:rPr>
          <w:t>https://ecoosfera.com/2015/10/la-medicina-alternativa-es-parte-de-la-tradicion-mexicana-piensa-el-84/</w:t>
        </w:r>
      </w:hyperlink>
    </w:p>
    <w:bookmarkEnd w:id="32"/>
    <w:p w14:paraId="53E67CBE" w14:textId="77777777" w:rsidR="005630F8" w:rsidRDefault="005630F8" w:rsidP="005630F8">
      <w:pPr>
        <w:ind w:hanging="709"/>
        <w:rPr>
          <w:rFonts w:eastAsia="Times New Roman"/>
        </w:rPr>
      </w:pPr>
      <w:r w:rsidRPr="00594D66">
        <w:rPr>
          <w:rFonts w:eastAsia="Times New Roman"/>
        </w:rPr>
        <w:t>Errecalde, J. (2004). Uso de antimicrobianos en animales de consumo, desarrollo de resistencias, su incidencia en salud p</w:t>
      </w:r>
      <w:r>
        <w:rPr>
          <w:rFonts w:eastAsia="Times New Roman"/>
        </w:rPr>
        <w:t>ú</w:t>
      </w:r>
      <w:r w:rsidRPr="00594D66">
        <w:rPr>
          <w:rFonts w:eastAsia="Times New Roman"/>
        </w:rPr>
        <w:t>blica. FAO producción y sanidad animal.</w:t>
      </w:r>
      <w:r>
        <w:rPr>
          <w:rFonts w:eastAsia="Times New Roman"/>
        </w:rPr>
        <w:t xml:space="preserve"> Recuperado de </w:t>
      </w:r>
      <w:hyperlink r:id="rId25" w:history="1">
        <w:r w:rsidRPr="00EC0CE2">
          <w:rPr>
            <w:rStyle w:val="Hipervnculo"/>
            <w:rFonts w:eastAsia="Times New Roman"/>
          </w:rPr>
          <w:t>http://www.fao.org/3/y5468s/y5468s0k.htm</w:t>
        </w:r>
      </w:hyperlink>
    </w:p>
    <w:p w14:paraId="4C4C72A5" w14:textId="77777777" w:rsidR="005630F8" w:rsidRDefault="005630F8" w:rsidP="005630F8">
      <w:pPr>
        <w:ind w:hanging="709"/>
      </w:pPr>
      <w:bookmarkStart w:id="33" w:name="_Hlk65779075"/>
      <w:bookmarkStart w:id="34" w:name="_Hlk65779137"/>
      <w:r w:rsidRPr="009D5269">
        <w:t>Espinosa</w:t>
      </w:r>
      <w:r>
        <w:t>, A. E., Rodríguez, A. G. I., Jiménez, M. R., Brunett, P. L., Márquez, M. O. y Terán V. O. E.</w:t>
      </w:r>
      <w:r w:rsidRPr="009D5269">
        <w:t xml:space="preserve"> (2014). La cunicultura familiar, una opción para la obtención de ingresos económicos y bienes alimentarios</w:t>
      </w:r>
      <w:r>
        <w:t>,</w:t>
      </w:r>
      <w:r w:rsidRPr="009D5269">
        <w:t xml:space="preserve"> El caso de la zona Suroriente del </w:t>
      </w:r>
      <w:bookmarkEnd w:id="33"/>
      <w:r w:rsidRPr="009D5269">
        <w:t xml:space="preserve">Estado de México. En </w:t>
      </w:r>
      <w:r>
        <w:t xml:space="preserve">C. M. J. Arriaga y J. P. O. Anaya (Comp.), </w:t>
      </w:r>
      <w:r w:rsidRPr="005C67AB">
        <w:rPr>
          <w:i/>
          <w:iCs/>
        </w:rPr>
        <w:t>Contribución de la producción animal en pequeña escala al desarrollo rural</w:t>
      </w:r>
      <w:r w:rsidRPr="009D5269">
        <w:t xml:space="preserve"> (231-244). </w:t>
      </w:r>
      <w:r>
        <w:t xml:space="preserve">Distrito Federal, </w:t>
      </w:r>
      <w:r w:rsidRPr="009D5269">
        <w:t xml:space="preserve">México: Editorial Reverté. </w:t>
      </w:r>
    </w:p>
    <w:p w14:paraId="2BD6F3D1" w14:textId="77777777" w:rsidR="005630F8" w:rsidRPr="009D5269" w:rsidRDefault="005630F8" w:rsidP="005630F8">
      <w:pPr>
        <w:ind w:hanging="709"/>
        <w:rPr>
          <w:rFonts w:eastAsia="Times New Roman"/>
        </w:rPr>
      </w:pPr>
      <w:bookmarkStart w:id="35" w:name="_Hlk526696324"/>
      <w:bookmarkEnd w:id="34"/>
      <w:r w:rsidRPr="009D5269">
        <w:rPr>
          <w:rFonts w:eastAsia="Times New Roman"/>
        </w:rPr>
        <w:t xml:space="preserve">Espinosa-Moreno, J., Centurión-Hidalgo, D., Guillermo, G., Pérez-Castañeda, E., &amp; Zaragoza-Vera, C. V. (2016). Actividad antihelmíntica in vitro de tres especies vegetales utilizadas tradicionalmente en Tabasco, México. </w:t>
      </w:r>
      <w:r w:rsidRPr="009D5269">
        <w:rPr>
          <w:rFonts w:eastAsia="Times New Roman"/>
          <w:i/>
          <w:iCs/>
        </w:rPr>
        <w:t>Polibotánica</w:t>
      </w:r>
      <w:r w:rsidRPr="009D5269">
        <w:rPr>
          <w:rFonts w:eastAsia="Times New Roman"/>
        </w:rPr>
        <w:t xml:space="preserve">, </w:t>
      </w:r>
      <w:r w:rsidRPr="009D5269">
        <w:rPr>
          <w:rFonts w:eastAsia="Times New Roman"/>
          <w:i/>
          <w:iCs/>
        </w:rPr>
        <w:t>41</w:t>
      </w:r>
      <w:r w:rsidRPr="009D5269">
        <w:rPr>
          <w:rFonts w:eastAsia="Times New Roman"/>
        </w:rPr>
        <w:t xml:space="preserve">, 91–100. </w:t>
      </w:r>
      <w:bookmarkEnd w:id="35"/>
    </w:p>
    <w:p w14:paraId="70546487" w14:textId="77777777" w:rsidR="005630F8" w:rsidRDefault="005630F8" w:rsidP="005630F8">
      <w:pPr>
        <w:ind w:hanging="709"/>
      </w:pPr>
      <w:r>
        <w:t xml:space="preserve">Eurocarnedigital (22 de diciembre de 2020). Destacan que el comercio mundial de carne de conejo hasta los 6.400 millones de dólares. </w:t>
      </w:r>
      <w:r w:rsidRPr="00244111">
        <w:rPr>
          <w:i/>
          <w:iCs/>
        </w:rPr>
        <w:t>Eurocarnedigital</w:t>
      </w:r>
      <w:r>
        <w:t xml:space="preserve">. Recuperado de </w:t>
      </w:r>
      <w:hyperlink r:id="rId26" w:history="1">
        <w:r w:rsidRPr="00EC1D4E">
          <w:rPr>
            <w:rStyle w:val="Hipervnculo"/>
          </w:rPr>
          <w:t>https://eurocarne.com/noticias/codigo/43145/kw/Destacan+que+el+comercio+mundial+de+carne+de+conejo+creci%C3%B3+hasta+los+6.400+millones+de+d%C3%B3lares</w:t>
        </w:r>
      </w:hyperlink>
    </w:p>
    <w:p w14:paraId="70A17372" w14:textId="77777777" w:rsidR="005630F8" w:rsidRPr="00300FFC" w:rsidRDefault="005630F8" w:rsidP="005630F8">
      <w:pPr>
        <w:ind w:hanging="709"/>
      </w:pPr>
      <w:r w:rsidRPr="00300FFC">
        <w:lastRenderedPageBreak/>
        <w:t>FAO. (2014</w:t>
      </w:r>
      <w:r>
        <w:t>c</w:t>
      </w:r>
      <w:r w:rsidRPr="00300FFC">
        <w:t xml:space="preserve">). </w:t>
      </w:r>
      <w:r w:rsidRPr="00CE08C6">
        <w:rPr>
          <w:i/>
          <w:iCs/>
        </w:rPr>
        <w:t>Evaluación de la Sostenibilidad para la Agricultura y la Alimentación</w:t>
      </w:r>
      <w:r w:rsidRPr="00300FFC">
        <w:t xml:space="preserve">. Recuperado </w:t>
      </w:r>
      <w:r>
        <w:t>de</w:t>
      </w:r>
      <w:r w:rsidRPr="00300FFC">
        <w:t>: http://www.fao.org/nr/sustainability/evaluaciones-de-la-sostenibilidad-safa/es/</w:t>
      </w:r>
    </w:p>
    <w:p w14:paraId="7CD6C589" w14:textId="77777777" w:rsidR="005630F8" w:rsidRDefault="005630F8" w:rsidP="005630F8">
      <w:pPr>
        <w:ind w:hanging="709"/>
        <w:rPr>
          <w:rStyle w:val="Hipervnculo"/>
        </w:rPr>
      </w:pPr>
      <w:bookmarkStart w:id="36" w:name="_Hlk65790338"/>
      <w:r w:rsidRPr="009D5269">
        <w:rPr>
          <w:color w:val="000000"/>
        </w:rPr>
        <w:t>FAO. (2018</w:t>
      </w:r>
      <w:r>
        <w:rPr>
          <w:color w:val="000000"/>
        </w:rPr>
        <w:t>b</w:t>
      </w:r>
      <w:r w:rsidRPr="009D5269">
        <w:rPr>
          <w:color w:val="000000"/>
        </w:rPr>
        <w:t xml:space="preserve">). </w:t>
      </w:r>
      <w:r w:rsidRPr="0009517C">
        <w:rPr>
          <w:i/>
          <w:iCs/>
          <w:color w:val="000000"/>
        </w:rPr>
        <w:t>Producción y Sanidad Animal. Calidad de la carne</w:t>
      </w:r>
      <w:r w:rsidRPr="009D5269">
        <w:rPr>
          <w:color w:val="000000"/>
        </w:rPr>
        <w:t xml:space="preserve">. </w:t>
      </w:r>
      <w:r>
        <w:rPr>
          <w:color w:val="000000"/>
        </w:rPr>
        <w:t>Recuperado de</w:t>
      </w:r>
      <w:r w:rsidRPr="009D5269">
        <w:rPr>
          <w:color w:val="000000"/>
        </w:rPr>
        <w:t xml:space="preserve">: </w:t>
      </w:r>
      <w:hyperlink r:id="rId27" w:history="1">
        <w:r w:rsidRPr="009D5269">
          <w:rPr>
            <w:rStyle w:val="Hipervnculo"/>
          </w:rPr>
          <w:t>http://www.fao.org/ag/againfo/themes/es/meat/quality_meat.html</w:t>
        </w:r>
      </w:hyperlink>
    </w:p>
    <w:bookmarkEnd w:id="36"/>
    <w:p w14:paraId="566512FA" w14:textId="77777777" w:rsidR="005630F8" w:rsidRDefault="005630F8" w:rsidP="005630F8">
      <w:pPr>
        <w:ind w:hanging="709"/>
        <w:rPr>
          <w:rFonts w:eastAsia="Times New Roman"/>
        </w:rPr>
      </w:pPr>
      <w:r w:rsidRPr="00853DEA">
        <w:rPr>
          <w:rFonts w:eastAsia="Times New Roman"/>
        </w:rPr>
        <w:t>FAO. (</w:t>
      </w:r>
      <w:r>
        <w:rPr>
          <w:rFonts w:eastAsia="Times New Roman"/>
        </w:rPr>
        <w:t>2021a</w:t>
      </w:r>
      <w:r w:rsidRPr="00853DEA">
        <w:rPr>
          <w:rFonts w:eastAsia="Times New Roman"/>
        </w:rPr>
        <w:t xml:space="preserve">). </w:t>
      </w:r>
      <w:r w:rsidRPr="0009517C">
        <w:rPr>
          <w:rFonts w:eastAsia="Times New Roman"/>
          <w:i/>
          <w:iCs/>
        </w:rPr>
        <w:t>Modelo de Evaluación Ambiental de la Ganadería Mundial</w:t>
      </w:r>
      <w:r>
        <w:rPr>
          <w:rFonts w:eastAsia="Times New Roman"/>
        </w:rPr>
        <w:t xml:space="preserve">. </w:t>
      </w:r>
      <w:r w:rsidRPr="0009517C">
        <w:rPr>
          <w:rFonts w:eastAsia="Times New Roman"/>
        </w:rPr>
        <w:t xml:space="preserve">Organización de las Naciones Unidas para la Agricultura y la Alimentación. </w:t>
      </w:r>
      <w:r>
        <w:rPr>
          <w:rFonts w:eastAsia="Times New Roman"/>
        </w:rPr>
        <w:t>Recuperado de</w:t>
      </w:r>
      <w:r w:rsidRPr="00853DEA">
        <w:rPr>
          <w:rFonts w:eastAsia="Times New Roman"/>
        </w:rPr>
        <w:t xml:space="preserve"> </w:t>
      </w:r>
      <w:hyperlink r:id="rId28" w:history="1">
        <w:r w:rsidRPr="00E36C88">
          <w:rPr>
            <w:rStyle w:val="Hipervnculo"/>
            <w:rFonts w:eastAsia="Times New Roman"/>
          </w:rPr>
          <w:t>http://www.fao.org/gleam/results/es/</w:t>
        </w:r>
      </w:hyperlink>
    </w:p>
    <w:p w14:paraId="7E95E48C" w14:textId="77777777" w:rsidR="005630F8" w:rsidRDefault="005630F8" w:rsidP="005630F8">
      <w:pPr>
        <w:ind w:hanging="709"/>
      </w:pPr>
      <w:r>
        <w:rPr>
          <w:rFonts w:eastAsia="Times New Roman"/>
        </w:rPr>
        <w:t xml:space="preserve">FAO/OMS. (2001). </w:t>
      </w:r>
      <w:r w:rsidRPr="00C8240A">
        <w:rPr>
          <w:i/>
          <w:iCs/>
        </w:rPr>
        <w:t>Documento de Debate sobre la Resistencia Antimicrobiana y el Empleo de Antimicrobianos en la Producción Animal</w:t>
      </w:r>
      <w:r>
        <w:t xml:space="preserve"> (Tema 10). Recuperado de </w:t>
      </w:r>
      <w:hyperlink r:id="rId29" w:history="1">
        <w:r w:rsidRPr="00EC0CE2">
          <w:rPr>
            <w:rStyle w:val="Hipervnculo"/>
          </w:rPr>
          <w:t>http://www.fao.org/tempref/codex/Meetings/CCRVDF/ccrvdf13/rv01_10s.pdf</w:t>
        </w:r>
      </w:hyperlink>
    </w:p>
    <w:p w14:paraId="576DC5FF" w14:textId="77777777" w:rsidR="005630F8" w:rsidRPr="00437D1F" w:rsidRDefault="005630F8" w:rsidP="005630F8">
      <w:pPr>
        <w:ind w:hanging="709"/>
        <w:rPr>
          <w:rFonts w:eastAsia="Times New Roman"/>
          <w:lang w:val="es-ES"/>
        </w:rPr>
      </w:pPr>
      <w:r w:rsidRPr="00437D1F">
        <w:rPr>
          <w:rFonts w:eastAsia="Times New Roman"/>
          <w:lang w:val="es-ES"/>
        </w:rPr>
        <w:t xml:space="preserve">FAOSTAT. (2020). </w:t>
      </w:r>
      <w:r w:rsidRPr="00437D1F">
        <w:rPr>
          <w:rFonts w:eastAsia="Times New Roman"/>
          <w:i/>
          <w:iCs/>
          <w:lang w:val="es-ES"/>
        </w:rPr>
        <w:t>Ganadería primaria</w:t>
      </w:r>
      <w:r w:rsidRPr="00437D1F">
        <w:rPr>
          <w:rFonts w:eastAsia="Times New Roman"/>
          <w:lang w:val="es-ES"/>
        </w:rPr>
        <w:t>. Recuperado de http://www.fao.org/faostat/es/#data/QL</w:t>
      </w:r>
    </w:p>
    <w:p w14:paraId="29519A49" w14:textId="77777777" w:rsidR="005630F8" w:rsidRPr="006A1F6C" w:rsidRDefault="005630F8" w:rsidP="005630F8">
      <w:pPr>
        <w:ind w:hanging="709"/>
        <w:rPr>
          <w:rFonts w:eastAsia="Times New Roman"/>
          <w:lang w:val="en-US"/>
        </w:rPr>
      </w:pPr>
      <w:r w:rsidRPr="009D5269">
        <w:rPr>
          <w:color w:val="000000"/>
        </w:rPr>
        <w:t xml:space="preserve">Fennema, R., O. &amp; Parkin, L., K. (2008). Química de los alimentos. </w:t>
      </w:r>
      <w:r w:rsidRPr="006A1F6C">
        <w:rPr>
          <w:color w:val="000000"/>
          <w:lang w:val="en-US"/>
        </w:rPr>
        <w:t>España: Editorial Acribia.</w:t>
      </w:r>
    </w:p>
    <w:p w14:paraId="3A98A368" w14:textId="77777777" w:rsidR="005630F8" w:rsidRPr="009D5269" w:rsidRDefault="005630F8" w:rsidP="005630F8">
      <w:pPr>
        <w:ind w:hanging="709"/>
        <w:rPr>
          <w:color w:val="000000"/>
        </w:rPr>
      </w:pPr>
      <w:bookmarkStart w:id="37" w:name="_Hlk526694127"/>
      <w:bookmarkStart w:id="38" w:name="_Hlk526695717"/>
      <w:r w:rsidRPr="00DC6B6C">
        <w:rPr>
          <w:color w:val="000000"/>
          <w:lang w:val="en-US"/>
        </w:rPr>
        <w:t xml:space="preserve">Fernandes, P. &amp; Boff, P. (2017). </w:t>
      </w:r>
      <w:bookmarkStart w:id="39" w:name="_Hlk11064667"/>
      <w:r w:rsidRPr="00DC6B6C">
        <w:rPr>
          <w:color w:val="000000"/>
          <w:lang w:val="en-US"/>
        </w:rPr>
        <w:t>Medicinal plants in the family farms of rural areas in southern Brazil: ecological and ethnobotanical aspects</w:t>
      </w:r>
      <w:bookmarkEnd w:id="39"/>
      <w:r w:rsidRPr="00DC6B6C">
        <w:rPr>
          <w:color w:val="000000"/>
          <w:lang w:val="en-US"/>
        </w:rPr>
        <w:t xml:space="preserve">. </w:t>
      </w:r>
      <w:r w:rsidRPr="008307C2">
        <w:rPr>
          <w:i/>
          <w:iCs/>
          <w:color w:val="000000"/>
        </w:rPr>
        <w:t>Boletín Latinoamericano y del Caribe de Plantas Medicinales y Aromáticas, 16</w:t>
      </w:r>
      <w:r>
        <w:rPr>
          <w:color w:val="000000"/>
        </w:rPr>
        <w:t>(5)</w:t>
      </w:r>
      <w:r w:rsidRPr="009D5269">
        <w:rPr>
          <w:color w:val="000000"/>
        </w:rPr>
        <w:t xml:space="preserve">, 493-505. </w:t>
      </w:r>
    </w:p>
    <w:p w14:paraId="0CC1B22A" w14:textId="77777777" w:rsidR="005630F8" w:rsidRPr="00437D1F" w:rsidRDefault="005630F8" w:rsidP="005630F8">
      <w:pPr>
        <w:ind w:hanging="709"/>
        <w:rPr>
          <w:rFonts w:eastAsia="Times New Roman"/>
          <w:lang w:val="en-US"/>
        </w:rPr>
      </w:pPr>
      <w:bookmarkStart w:id="40" w:name="_Hlk526695025"/>
      <w:bookmarkStart w:id="41" w:name="_Hlk526696417"/>
      <w:bookmarkStart w:id="42" w:name="_Hlk526695777"/>
      <w:bookmarkEnd w:id="37"/>
      <w:r w:rsidRPr="00DC6B6C">
        <w:rPr>
          <w:rFonts w:eastAsia="Times New Roman"/>
          <w:lang w:val="en-US"/>
        </w:rPr>
        <w:t xml:space="preserve">Feyera, T., Mekonnen, E., Wakayo, B. U., &amp; Assefa, S. (2017). Botanical ethnoveterinary therapies used by agro-pastoralists of Fafan zone, Eastern Ethiopia. </w:t>
      </w:r>
      <w:r w:rsidRPr="00437D1F">
        <w:rPr>
          <w:rFonts w:eastAsia="Times New Roman"/>
          <w:i/>
          <w:iCs/>
          <w:lang w:val="en-US"/>
        </w:rPr>
        <w:t>BMC Veterinary Research</w:t>
      </w:r>
      <w:r w:rsidRPr="00437D1F">
        <w:rPr>
          <w:rFonts w:eastAsia="Times New Roman"/>
          <w:lang w:val="en-US"/>
        </w:rPr>
        <w:t xml:space="preserve">, </w:t>
      </w:r>
      <w:r w:rsidRPr="00437D1F">
        <w:rPr>
          <w:rFonts w:eastAsia="Times New Roman"/>
          <w:i/>
          <w:iCs/>
          <w:lang w:val="en-US"/>
        </w:rPr>
        <w:t>13</w:t>
      </w:r>
      <w:r w:rsidRPr="00437D1F">
        <w:rPr>
          <w:rFonts w:eastAsia="Times New Roman"/>
          <w:lang w:val="en-US"/>
        </w:rPr>
        <w:t>(1), 1–11</w:t>
      </w:r>
    </w:p>
    <w:p w14:paraId="7DDC9F84" w14:textId="77777777" w:rsidR="005630F8" w:rsidRPr="00437D1F" w:rsidRDefault="005630F8" w:rsidP="005630F8">
      <w:pPr>
        <w:ind w:hanging="709"/>
        <w:rPr>
          <w:lang w:val="en-US"/>
        </w:rPr>
      </w:pPr>
      <w:bookmarkStart w:id="43" w:name="_Hlk526695805"/>
      <w:bookmarkEnd w:id="40"/>
      <w:r w:rsidRPr="0046516F">
        <w:t xml:space="preserve">Fiego, D. L., Santoro, P., Macchioni, P., Mazzoni, D., Piattoni, F., Tassone, F., &amp; De Leonibus, E. (2004). </w:t>
      </w:r>
      <w:r w:rsidRPr="00437D1F">
        <w:rPr>
          <w:lang w:val="en-US"/>
        </w:rPr>
        <w:t xml:space="preserve">The effect of dietary supplementation of vitamins C and E on the </w:t>
      </w:r>
      <w:r w:rsidRPr="005725AF">
        <w:t>α</w:t>
      </w:r>
      <w:r w:rsidRPr="00437D1F">
        <w:rPr>
          <w:lang w:val="en-US"/>
        </w:rPr>
        <w:t xml:space="preserve">-tocopherol content of muscles, liver and kidney, on the stability of lipids, and </w:t>
      </w:r>
      <w:r w:rsidRPr="00437D1F">
        <w:rPr>
          <w:lang w:val="en-US"/>
        </w:rPr>
        <w:lastRenderedPageBreak/>
        <w:t xml:space="preserve">on certain meat quality parameters of the longissimus dorsi of rabbits. </w:t>
      </w:r>
      <w:r w:rsidRPr="00437D1F">
        <w:rPr>
          <w:i/>
          <w:iCs/>
          <w:lang w:val="en-US"/>
        </w:rPr>
        <w:t>Meat Science</w:t>
      </w:r>
      <w:r w:rsidRPr="00437D1F">
        <w:rPr>
          <w:lang w:val="en-US"/>
        </w:rPr>
        <w:t xml:space="preserve">, </w:t>
      </w:r>
      <w:r w:rsidRPr="00437D1F">
        <w:rPr>
          <w:i/>
          <w:iCs/>
          <w:lang w:val="en-US"/>
        </w:rPr>
        <w:t>67</w:t>
      </w:r>
      <w:r w:rsidRPr="00437D1F">
        <w:rPr>
          <w:lang w:val="en-US"/>
        </w:rPr>
        <w:t>(2), 319-327.</w:t>
      </w:r>
    </w:p>
    <w:p w14:paraId="13E075E1" w14:textId="77777777" w:rsidR="005630F8" w:rsidRPr="00437D1F" w:rsidRDefault="005630F8" w:rsidP="005630F8">
      <w:pPr>
        <w:ind w:hanging="709"/>
        <w:rPr>
          <w:color w:val="000000"/>
          <w:shd w:val="clear" w:color="auto" w:fill="FFFFFF"/>
          <w:lang w:val="en-US"/>
        </w:rPr>
      </w:pPr>
      <w:bookmarkStart w:id="44" w:name="_Hlk526695960"/>
      <w:r w:rsidRPr="00437D1F">
        <w:rPr>
          <w:color w:val="000000"/>
          <w:shd w:val="clear" w:color="auto" w:fill="FFFFFF"/>
          <w:lang w:val="en-US"/>
        </w:rPr>
        <w:t>Francis, C., Lieblein, G., Gliessman, S., Breland, T. A., Creamer, N., Harwood, R., … Poincelot, R. (2003). </w:t>
      </w:r>
      <w:r w:rsidRPr="00437D1F">
        <w:rPr>
          <w:i/>
          <w:iCs/>
          <w:color w:val="000000"/>
          <w:shd w:val="clear" w:color="auto" w:fill="FFFFFF"/>
          <w:lang w:val="en-US"/>
        </w:rPr>
        <w:t>Agroecology: The Ecology of Food Systems. Journal of Sustainable Agriculture, 22</w:t>
      </w:r>
      <w:r w:rsidRPr="00437D1F">
        <w:rPr>
          <w:color w:val="000000"/>
          <w:shd w:val="clear" w:color="auto" w:fill="FFFFFF"/>
          <w:lang w:val="en-US"/>
        </w:rPr>
        <w:t>(3), 99–118.</w:t>
      </w:r>
    </w:p>
    <w:p w14:paraId="2516F402" w14:textId="77777777" w:rsidR="005630F8" w:rsidRDefault="005630F8" w:rsidP="005630F8">
      <w:pPr>
        <w:ind w:hanging="709"/>
        <w:rPr>
          <w:color w:val="000000"/>
        </w:rPr>
      </w:pPr>
      <w:bookmarkStart w:id="45" w:name="_Hlk526696177"/>
      <w:r w:rsidRPr="009D5269">
        <w:rPr>
          <w:color w:val="000000"/>
        </w:rPr>
        <w:t xml:space="preserve">Gallegos-Zurita M. (2016). Las plantas medicinales: principal alternativa para el cuidado de la salud, en la población rural de Babahoyo, Ecuador. </w:t>
      </w:r>
      <w:r w:rsidRPr="009461D2">
        <w:rPr>
          <w:i/>
          <w:iCs/>
          <w:color w:val="000000"/>
        </w:rPr>
        <w:t>Anales de la Facultad de Medicina</w:t>
      </w:r>
      <w:r>
        <w:rPr>
          <w:color w:val="000000"/>
        </w:rPr>
        <w:t>, 17(4), 327-332.</w:t>
      </w:r>
    </w:p>
    <w:p w14:paraId="7C9BBE33" w14:textId="77777777" w:rsidR="005630F8" w:rsidRDefault="005630F8" w:rsidP="005630F8">
      <w:pPr>
        <w:ind w:hanging="709"/>
        <w:rPr>
          <w:rFonts w:eastAsia="Times New Roman"/>
        </w:rPr>
      </w:pPr>
      <w:bookmarkStart w:id="46" w:name="_Hlk46434988"/>
      <w:r w:rsidRPr="00D1154F">
        <w:rPr>
          <w:rFonts w:eastAsia="Times New Roman"/>
        </w:rPr>
        <w:t xml:space="preserve">García, M. L., </w:t>
      </w:r>
      <w:r>
        <w:rPr>
          <w:rFonts w:eastAsia="Times New Roman"/>
        </w:rPr>
        <w:t xml:space="preserve">y </w:t>
      </w:r>
      <w:r w:rsidRPr="00D1154F">
        <w:rPr>
          <w:rFonts w:eastAsia="Times New Roman"/>
        </w:rPr>
        <w:t xml:space="preserve">Vergara, J. M. R. (2000). La evolución del concepto de sostenibilidad y su introducción en la enseñanza. </w:t>
      </w:r>
      <w:r w:rsidRPr="00D1154F">
        <w:rPr>
          <w:rFonts w:eastAsia="Times New Roman"/>
          <w:i/>
        </w:rPr>
        <w:t>Enseñanza de las ciencias:</w:t>
      </w:r>
      <w:r>
        <w:rPr>
          <w:rFonts w:eastAsia="Times New Roman"/>
          <w:i/>
        </w:rPr>
        <w:t xml:space="preserve"> </w:t>
      </w:r>
      <w:r w:rsidRPr="00D1154F">
        <w:rPr>
          <w:rFonts w:eastAsia="Times New Roman"/>
          <w:i/>
        </w:rPr>
        <w:t>revista de investigación y experiencias didácticas</w:t>
      </w:r>
      <w:r w:rsidRPr="00D1154F">
        <w:rPr>
          <w:rFonts w:eastAsia="Times New Roman"/>
        </w:rPr>
        <w:t xml:space="preserve">, </w:t>
      </w:r>
      <w:r w:rsidRPr="008A261E">
        <w:rPr>
          <w:rFonts w:eastAsia="Times New Roman"/>
          <w:i/>
          <w:iCs/>
        </w:rPr>
        <w:t>18</w:t>
      </w:r>
      <w:r w:rsidRPr="00D1154F">
        <w:rPr>
          <w:rFonts w:eastAsia="Times New Roman"/>
        </w:rPr>
        <w:t>(3), 473-486.</w:t>
      </w:r>
    </w:p>
    <w:p w14:paraId="7DDCA3AF" w14:textId="77777777" w:rsidR="005630F8" w:rsidRDefault="005630F8" w:rsidP="005630F8">
      <w:pPr>
        <w:ind w:hanging="709"/>
        <w:rPr>
          <w:rFonts w:eastAsia="Times New Roman"/>
        </w:rPr>
      </w:pPr>
      <w:bookmarkStart w:id="47" w:name="_Hlk526696236"/>
      <w:bookmarkEnd w:id="44"/>
      <w:bookmarkEnd w:id="45"/>
      <w:bookmarkEnd w:id="46"/>
      <w:r w:rsidRPr="005031F1">
        <w:rPr>
          <w:rFonts w:eastAsia="Times New Roman"/>
        </w:rPr>
        <w:t xml:space="preserve">García, R. (2006). </w:t>
      </w:r>
      <w:r w:rsidRPr="004E4EEA">
        <w:rPr>
          <w:rFonts w:eastAsia="Times New Roman"/>
          <w:i/>
          <w:iCs/>
        </w:rPr>
        <w:t>Sistemas complejos</w:t>
      </w:r>
      <w:r w:rsidRPr="005031F1">
        <w:rPr>
          <w:rFonts w:eastAsia="Times New Roman"/>
        </w:rPr>
        <w:t>.</w:t>
      </w:r>
      <w:r w:rsidRPr="004E4EEA">
        <w:rPr>
          <w:rFonts w:eastAsia="Times New Roman"/>
        </w:rPr>
        <w:t xml:space="preserve"> Barcelona</w:t>
      </w:r>
      <w:r>
        <w:rPr>
          <w:rFonts w:eastAsia="Times New Roman"/>
        </w:rPr>
        <w:t>, España</w:t>
      </w:r>
      <w:r w:rsidRPr="004E4EEA">
        <w:rPr>
          <w:rFonts w:eastAsia="Times New Roman"/>
        </w:rPr>
        <w:t>: Gedisa.</w:t>
      </w:r>
    </w:p>
    <w:p w14:paraId="148065D7" w14:textId="77777777" w:rsidR="005630F8" w:rsidRDefault="005630F8" w:rsidP="005630F8">
      <w:pPr>
        <w:ind w:hanging="709"/>
        <w:rPr>
          <w:rFonts w:eastAsia="Times New Roman"/>
        </w:rPr>
      </w:pPr>
      <w:r w:rsidRPr="00437D1F">
        <w:rPr>
          <w:rFonts w:eastAsia="Times New Roman"/>
          <w:lang w:val="es-ES"/>
        </w:rPr>
        <w:t xml:space="preserve">Geerlings, E. y Perezgrovas, G. R. (1998). </w:t>
      </w:r>
      <w:r w:rsidRPr="009D5269">
        <w:rPr>
          <w:rFonts w:eastAsia="Times New Roman"/>
        </w:rPr>
        <w:t xml:space="preserve">Tsa´nel, estudio etnoveterinario sobre prácticas de manejo y medicina tradicional realizadas por pastoras tzotziles. </w:t>
      </w:r>
      <w:r w:rsidRPr="009D5269">
        <w:rPr>
          <w:rFonts w:eastAsia="Times New Roman"/>
          <w:i/>
          <w:iCs/>
        </w:rPr>
        <w:t>Instituto de Estudios Indígenas-U</w:t>
      </w:r>
      <w:r>
        <w:rPr>
          <w:rFonts w:eastAsia="Times New Roman"/>
          <w:i/>
          <w:iCs/>
        </w:rPr>
        <w:t xml:space="preserve">niversidad Autónoma de </w:t>
      </w:r>
      <w:r w:rsidRPr="009D5269">
        <w:rPr>
          <w:rFonts w:eastAsia="Times New Roman"/>
          <w:i/>
          <w:iCs/>
        </w:rPr>
        <w:t>C</w:t>
      </w:r>
      <w:r>
        <w:rPr>
          <w:rFonts w:eastAsia="Times New Roman"/>
          <w:i/>
          <w:iCs/>
        </w:rPr>
        <w:t>hiapas</w:t>
      </w:r>
      <w:r w:rsidRPr="009D5269">
        <w:rPr>
          <w:rFonts w:eastAsia="Times New Roman"/>
        </w:rPr>
        <w:t>, 352–377.</w:t>
      </w:r>
    </w:p>
    <w:p w14:paraId="1CCFA6EC" w14:textId="77777777" w:rsidR="005630F8" w:rsidRDefault="005630F8" w:rsidP="005630F8">
      <w:pPr>
        <w:ind w:hanging="709"/>
        <w:rPr>
          <w:rStyle w:val="Hipervnculo"/>
        </w:rPr>
      </w:pPr>
      <w:bookmarkStart w:id="48" w:name="_Hlk65779164"/>
      <w:bookmarkEnd w:id="47"/>
      <w:r w:rsidRPr="009D5269">
        <w:t>Gobierno del Estado de México. (</w:t>
      </w:r>
      <w:r>
        <w:t xml:space="preserve">11 de abril de </w:t>
      </w:r>
      <w:r w:rsidRPr="009D5269">
        <w:t>2018). Pueblos Mágicos y con Encanto.</w:t>
      </w:r>
      <w:r>
        <w:t xml:space="preserve"> </w:t>
      </w:r>
      <w:r w:rsidRPr="00E54A07">
        <w:rPr>
          <w:i/>
          <w:iCs/>
        </w:rPr>
        <w:t>Gobierno del Estado de México</w:t>
      </w:r>
      <w:r>
        <w:t xml:space="preserve">. Recuperado de </w:t>
      </w:r>
      <w:r w:rsidRPr="009D5269">
        <w:t xml:space="preserve"> </w:t>
      </w:r>
      <w:hyperlink r:id="rId30" w:history="1">
        <w:r w:rsidRPr="009D5269">
          <w:rPr>
            <w:rStyle w:val="Hipervnculo"/>
          </w:rPr>
          <w:t>http://edomex.gob.mx/pueblos_magicos_con_encanto</w:t>
        </w:r>
      </w:hyperlink>
    </w:p>
    <w:p w14:paraId="65437FF4" w14:textId="77777777" w:rsidR="005630F8" w:rsidRDefault="005630F8" w:rsidP="005630F8">
      <w:pPr>
        <w:ind w:hanging="709"/>
      </w:pPr>
      <w:bookmarkStart w:id="49" w:name="_Hlk526696366"/>
      <w:bookmarkEnd w:id="48"/>
      <w:r w:rsidRPr="009D5269">
        <w:t xml:space="preserve">Gobierno del Estado de México. (2001). </w:t>
      </w:r>
      <w:r w:rsidRPr="0059657A">
        <w:rPr>
          <w:i/>
          <w:iCs/>
        </w:rPr>
        <w:t>Reglamento de la Ley de Planeación del Estado de México y Municipios</w:t>
      </w:r>
      <w:r w:rsidRPr="009D5269">
        <w:t xml:space="preserve">. </w:t>
      </w:r>
      <w:r>
        <w:t>Recuperado de</w:t>
      </w:r>
      <w:r w:rsidRPr="009D5269">
        <w:t xml:space="preserve"> </w:t>
      </w:r>
      <w:hyperlink r:id="rId31" w:history="1">
        <w:r w:rsidRPr="00E27ACC">
          <w:rPr>
            <w:rStyle w:val="Hipervnculo"/>
          </w:rPr>
          <w:t>http://legislacion.edomex.gob.mx/node/869</w:t>
        </w:r>
      </w:hyperlink>
    </w:p>
    <w:p w14:paraId="699093C5" w14:textId="77777777" w:rsidR="005630F8" w:rsidRDefault="005630F8" w:rsidP="005630F8">
      <w:pPr>
        <w:ind w:hanging="709"/>
        <w:rPr>
          <w:rFonts w:eastAsia="Times New Roman"/>
        </w:rPr>
      </w:pPr>
      <w:bookmarkStart w:id="50" w:name="_Hlk526696398"/>
      <w:r w:rsidRPr="00331B03">
        <w:rPr>
          <w:rFonts w:eastAsia="Times New Roman"/>
        </w:rPr>
        <w:t xml:space="preserve">Gómez, C. (2015). </w:t>
      </w:r>
      <w:r w:rsidRPr="00331B03">
        <w:rPr>
          <w:rFonts w:eastAsia="Times New Roman"/>
          <w:i/>
          <w:iCs/>
        </w:rPr>
        <w:t>El desarrollo sostenible: conceptos básicos, alcance y criterios para su evaluación.</w:t>
      </w:r>
      <w:r w:rsidRPr="00331B03">
        <w:rPr>
          <w:rFonts w:eastAsia="Times New Roman"/>
        </w:rPr>
        <w:t xml:space="preserve"> Recuperado de http://www. unesco. org/new/fileadmin/MULTIMEDIA/FIELD/Havana/pdf/Cap3. pdf.</w:t>
      </w:r>
    </w:p>
    <w:p w14:paraId="6A81EE7D" w14:textId="77777777" w:rsidR="005630F8" w:rsidRDefault="005630F8" w:rsidP="005630F8">
      <w:pPr>
        <w:ind w:hanging="709"/>
        <w:rPr>
          <w:color w:val="000000"/>
        </w:rPr>
      </w:pPr>
      <w:r w:rsidRPr="009D5269">
        <w:rPr>
          <w:color w:val="000000"/>
        </w:rPr>
        <w:lastRenderedPageBreak/>
        <w:t xml:space="preserve">Gonzaga, C., França, F. &amp; de Melo, E. (2016). </w:t>
      </w:r>
      <w:bookmarkStart w:id="51" w:name="_Hlk11063789"/>
      <w:r w:rsidRPr="00DC6B6C">
        <w:rPr>
          <w:color w:val="000000"/>
          <w:lang w:val="en-US"/>
        </w:rPr>
        <w:t>Medicinal uses of plant species in background pasture areas in Northeast Brazil.</w:t>
      </w:r>
      <w:bookmarkEnd w:id="51"/>
      <w:r w:rsidRPr="00DC6B6C">
        <w:rPr>
          <w:color w:val="000000"/>
          <w:lang w:val="en-US"/>
        </w:rPr>
        <w:t xml:space="preserve"> </w:t>
      </w:r>
      <w:r w:rsidRPr="00AA6C15">
        <w:rPr>
          <w:i/>
          <w:iCs/>
          <w:color w:val="000000"/>
        </w:rPr>
        <w:t>Boletín Latinoamericano y del Caribe de Plantas Medicinales y Aromáticas</w:t>
      </w:r>
      <w:r w:rsidRPr="009D5269">
        <w:rPr>
          <w:color w:val="000000"/>
        </w:rPr>
        <w:t xml:space="preserve">, </w:t>
      </w:r>
      <w:r w:rsidRPr="00AA6C15">
        <w:rPr>
          <w:i/>
          <w:iCs/>
          <w:color w:val="000000"/>
        </w:rPr>
        <w:t>15</w:t>
      </w:r>
      <w:r>
        <w:rPr>
          <w:color w:val="000000"/>
        </w:rPr>
        <w:t>(5)</w:t>
      </w:r>
      <w:r w:rsidRPr="009D5269">
        <w:rPr>
          <w:color w:val="000000"/>
        </w:rPr>
        <w:t xml:space="preserve">, 323-336. </w:t>
      </w:r>
    </w:p>
    <w:p w14:paraId="15A73044" w14:textId="77777777" w:rsidR="005630F8" w:rsidRDefault="005630F8" w:rsidP="005630F8">
      <w:pPr>
        <w:ind w:hanging="709"/>
        <w:rPr>
          <w:rFonts w:eastAsia="Times New Roman"/>
        </w:rPr>
      </w:pPr>
      <w:r w:rsidRPr="008F381A">
        <w:rPr>
          <w:rFonts w:eastAsia="Times New Roman"/>
        </w:rPr>
        <w:t xml:space="preserve">Gudynas, E. (2003). </w:t>
      </w:r>
      <w:r w:rsidRPr="00E00F3D">
        <w:rPr>
          <w:rFonts w:eastAsia="Times New Roman"/>
          <w:i/>
          <w:iCs/>
        </w:rPr>
        <w:t>Ecología, economía y ética del desarrollo sostenible</w:t>
      </w:r>
      <w:r w:rsidRPr="008F381A">
        <w:rPr>
          <w:rFonts w:eastAsia="Times New Roman"/>
        </w:rPr>
        <w:t>.</w:t>
      </w:r>
      <w:r>
        <w:rPr>
          <w:rFonts w:eastAsia="Times New Roman"/>
        </w:rPr>
        <w:t xml:space="preserve"> Montevideo</w:t>
      </w:r>
      <w:r w:rsidRPr="008F381A">
        <w:rPr>
          <w:rFonts w:eastAsia="Times New Roman"/>
        </w:rPr>
        <w:t>,</w:t>
      </w:r>
      <w:r>
        <w:rPr>
          <w:rFonts w:eastAsia="Times New Roman"/>
        </w:rPr>
        <w:t xml:space="preserve"> Uruguay: Coscoroba Ediciones.</w:t>
      </w:r>
    </w:p>
    <w:p w14:paraId="49F36809" w14:textId="77777777" w:rsidR="005630F8" w:rsidRDefault="005630F8" w:rsidP="005630F8">
      <w:pPr>
        <w:ind w:hanging="709"/>
        <w:rPr>
          <w:rFonts w:eastAsia="Times New Roman"/>
        </w:rPr>
      </w:pPr>
      <w:r w:rsidRPr="00235D38">
        <w:rPr>
          <w:rFonts w:eastAsia="Times New Roman"/>
        </w:rPr>
        <w:t xml:space="preserve">Gudynas, E., Matarán, A., </w:t>
      </w:r>
      <w:r>
        <w:rPr>
          <w:rFonts w:eastAsia="Times New Roman"/>
        </w:rPr>
        <w:t>y</w:t>
      </w:r>
      <w:r w:rsidRPr="00235D38">
        <w:rPr>
          <w:rFonts w:eastAsia="Times New Roman"/>
        </w:rPr>
        <w:t xml:space="preserve"> López, F. (2011). Desarrollo y sustentabilidad ambiental: diversidad de posturas, tensiones persistentes. </w:t>
      </w:r>
      <w:r w:rsidRPr="00235D38">
        <w:rPr>
          <w:rFonts w:eastAsia="Times New Roman"/>
          <w:i/>
        </w:rPr>
        <w:t>La Tierra no es muda: diálogos entre el desarrollo sostenible y el postdesarrollo</w:t>
      </w:r>
      <w:r w:rsidRPr="00235D38">
        <w:rPr>
          <w:rFonts w:eastAsia="Times New Roman"/>
        </w:rPr>
        <w:t>, 69-96.</w:t>
      </w:r>
    </w:p>
    <w:p w14:paraId="19EAF81D" w14:textId="77777777" w:rsidR="005630F8" w:rsidRPr="00437D1F" w:rsidRDefault="005630F8" w:rsidP="005630F8">
      <w:pPr>
        <w:ind w:hanging="709"/>
        <w:rPr>
          <w:lang w:val="en-US"/>
        </w:rPr>
      </w:pPr>
      <w:r w:rsidRPr="009D5269">
        <w:t xml:space="preserve">Guimarães, R. P. (2003). </w:t>
      </w:r>
      <w:r w:rsidRPr="00BC16C0">
        <w:rPr>
          <w:i/>
          <w:iCs/>
        </w:rPr>
        <w:t>Tierra de sombras: desafíos de la sustentabilidad y del desarrollo territorial y local ante la globalización corporativa</w:t>
      </w:r>
      <w:r w:rsidRPr="009D5269">
        <w:t xml:space="preserve">. </w:t>
      </w:r>
      <w:r w:rsidRPr="00437D1F">
        <w:rPr>
          <w:lang w:val="en-US"/>
        </w:rPr>
        <w:t>Chile: CEPAL.</w:t>
      </w:r>
    </w:p>
    <w:p w14:paraId="663D3804" w14:textId="77777777" w:rsidR="005630F8" w:rsidRDefault="005630F8" w:rsidP="005630F8">
      <w:pPr>
        <w:ind w:hanging="709"/>
        <w:rPr>
          <w:rFonts w:eastAsia="Times New Roman"/>
          <w:lang w:val="en-US"/>
        </w:rPr>
      </w:pPr>
      <w:bookmarkStart w:id="52" w:name="_Hlk526696557"/>
      <w:bookmarkEnd w:id="50"/>
      <w:r w:rsidRPr="00B2642B">
        <w:rPr>
          <w:rFonts w:eastAsia="Times New Roman"/>
          <w:lang w:val="en-US"/>
        </w:rPr>
        <w:t>Hajji, H., Joy, M., Ripoll, G., Smeti, S., Mekki, I., Gahete, F. M.</w:t>
      </w:r>
      <w:r>
        <w:rPr>
          <w:rFonts w:eastAsia="Times New Roman"/>
          <w:lang w:val="en-US"/>
        </w:rPr>
        <w:t xml:space="preserve"> &amp;</w:t>
      </w:r>
      <w:r w:rsidRPr="00B2642B">
        <w:rPr>
          <w:rFonts w:eastAsia="Times New Roman"/>
          <w:lang w:val="en-US"/>
        </w:rPr>
        <w:t xml:space="preserve"> Atti, N. (2016). Meat physicochemical properties, fatty acid profile, lipid oxidation and sensory characteristics from three North African lamb breeds, as influenced by concentrate or pasture finishing diets. </w:t>
      </w:r>
      <w:r w:rsidRPr="00B2642B">
        <w:rPr>
          <w:rFonts w:eastAsia="Times New Roman"/>
          <w:i/>
          <w:lang w:val="en-US"/>
        </w:rPr>
        <w:t>Journal of Food Composition and Analysis</w:t>
      </w:r>
      <w:r w:rsidRPr="00B2642B">
        <w:rPr>
          <w:rFonts w:eastAsia="Times New Roman"/>
          <w:lang w:val="en-US"/>
        </w:rPr>
        <w:t>, 48, 102-110.</w:t>
      </w:r>
    </w:p>
    <w:bookmarkEnd w:id="49"/>
    <w:bookmarkEnd w:id="52"/>
    <w:p w14:paraId="559AD63B" w14:textId="77777777" w:rsidR="005630F8" w:rsidRDefault="005630F8" w:rsidP="005630F8">
      <w:pPr>
        <w:ind w:hanging="709"/>
        <w:rPr>
          <w:lang w:val="en-US"/>
        </w:rPr>
      </w:pPr>
      <w:r w:rsidRPr="00355B15">
        <w:rPr>
          <w:lang w:val="en-US"/>
        </w:rPr>
        <w:t>Hargreaves, A. Barrales, L. Larrain, R.</w:t>
      </w:r>
      <w:r>
        <w:rPr>
          <w:lang w:val="en-US"/>
        </w:rPr>
        <w:t xml:space="preserve"> y</w:t>
      </w:r>
      <w:r w:rsidRPr="00355B15">
        <w:rPr>
          <w:lang w:val="en-US"/>
        </w:rPr>
        <w:t xml:space="preserve"> Zamora, L. </w:t>
      </w:r>
      <w:r>
        <w:rPr>
          <w:lang w:val="en-US"/>
        </w:rPr>
        <w:t>(</w:t>
      </w:r>
      <w:r w:rsidRPr="00355B15">
        <w:rPr>
          <w:lang w:val="en-US"/>
        </w:rPr>
        <w:t>2004</w:t>
      </w:r>
      <w:r>
        <w:rPr>
          <w:lang w:val="en-US"/>
        </w:rPr>
        <w:t>)</w:t>
      </w:r>
      <w:r w:rsidRPr="00355B15">
        <w:rPr>
          <w:lang w:val="en-US"/>
        </w:rPr>
        <w:t xml:space="preserve">. </w:t>
      </w:r>
      <w:r w:rsidRPr="009D5269">
        <w:t xml:space="preserve">Factores que influyen el pH último e incidencia de corte obscuro en canales de bovinos. </w:t>
      </w:r>
      <w:r w:rsidRPr="00AF0E47">
        <w:rPr>
          <w:i/>
          <w:iCs/>
          <w:lang w:val="en-US"/>
        </w:rPr>
        <w:t xml:space="preserve">Cien, </w:t>
      </w:r>
      <w:r>
        <w:rPr>
          <w:i/>
          <w:iCs/>
          <w:lang w:val="en-US"/>
        </w:rPr>
        <w:t>I</w:t>
      </w:r>
      <w:r w:rsidRPr="00AF0E47">
        <w:rPr>
          <w:i/>
          <w:iCs/>
          <w:lang w:val="en-US"/>
        </w:rPr>
        <w:t>nv. Agri. 31</w:t>
      </w:r>
      <w:r w:rsidRPr="006A1F6C">
        <w:rPr>
          <w:lang w:val="en-US"/>
        </w:rPr>
        <w:t>(3) pp.145-229.</w:t>
      </w:r>
    </w:p>
    <w:bookmarkEnd w:id="38"/>
    <w:bookmarkEnd w:id="41"/>
    <w:bookmarkEnd w:id="42"/>
    <w:bookmarkEnd w:id="43"/>
    <w:p w14:paraId="30197B0A" w14:textId="77777777" w:rsidR="005630F8" w:rsidRPr="00437D1F" w:rsidRDefault="005630F8" w:rsidP="005630F8">
      <w:pPr>
        <w:ind w:hanging="709"/>
        <w:rPr>
          <w:rFonts w:eastAsia="Times New Roman"/>
          <w:lang w:val="en-US"/>
        </w:rPr>
      </w:pPr>
      <w:r w:rsidRPr="00DC6B6C">
        <w:rPr>
          <w:rFonts w:eastAsia="Times New Roman"/>
          <w:lang w:val="en-US"/>
        </w:rPr>
        <w:t xml:space="preserve">Harun, N., Chaudhry, A. S., Shaheen, S., Ullah, K., &amp; Khan, F. (2017). Ethnobotanical studies of fodder grass resources for ruminant animals, based on the traditional knowledge of indigenous communities in Central Punjab Pakistan. </w:t>
      </w:r>
      <w:r w:rsidRPr="00437D1F">
        <w:rPr>
          <w:rFonts w:eastAsia="Times New Roman"/>
          <w:i/>
          <w:iCs/>
          <w:lang w:val="en-US"/>
        </w:rPr>
        <w:t>Journal of Ethnobiology and Ethnomedicine</w:t>
      </w:r>
      <w:r w:rsidRPr="00437D1F">
        <w:rPr>
          <w:rFonts w:eastAsia="Times New Roman"/>
          <w:lang w:val="en-US"/>
        </w:rPr>
        <w:t xml:space="preserve">, </w:t>
      </w:r>
      <w:r w:rsidRPr="00437D1F">
        <w:rPr>
          <w:rFonts w:eastAsia="Times New Roman"/>
          <w:i/>
          <w:iCs/>
          <w:lang w:val="en-US"/>
        </w:rPr>
        <w:t>13</w:t>
      </w:r>
      <w:r w:rsidRPr="00437D1F">
        <w:rPr>
          <w:rFonts w:eastAsia="Times New Roman"/>
          <w:lang w:val="en-US"/>
        </w:rPr>
        <w:t>(1), 1-16.</w:t>
      </w:r>
    </w:p>
    <w:p w14:paraId="5C91EDCC" w14:textId="77777777" w:rsidR="005630F8" w:rsidRPr="001C5B96" w:rsidRDefault="005630F8" w:rsidP="005630F8">
      <w:pPr>
        <w:ind w:hanging="709"/>
        <w:rPr>
          <w:rFonts w:eastAsia="Times New Roman"/>
          <w:lang w:val="es-ES"/>
        </w:rPr>
      </w:pPr>
      <w:r w:rsidRPr="00437D1F">
        <w:rPr>
          <w:lang w:val="en-US"/>
        </w:rPr>
        <w:t xml:space="preserve">Haverkort, B., Delgado, F., Millar, D. y Shankar, D. (2016). </w:t>
      </w:r>
      <w:r w:rsidRPr="00300FFC">
        <w:t xml:space="preserve">Hacia el diálogo </w:t>
      </w:r>
      <w:r>
        <w:t>i</w:t>
      </w:r>
      <w:r w:rsidRPr="00300FFC">
        <w:t>ntercientífico: Conclusiones de un programa internacional en Bolivia, Ghana e India. En F. Delgado y S. Rist</w:t>
      </w:r>
      <w:r>
        <w:t>.</w:t>
      </w:r>
      <w:r w:rsidRPr="00300FFC">
        <w:t xml:space="preserve"> (Ed.) </w:t>
      </w:r>
      <w:r w:rsidRPr="00300FFC">
        <w:rPr>
          <w:i/>
        </w:rPr>
        <w:t>Ciencias, diálogo de saberes y transdisciplinariedad</w:t>
      </w:r>
      <w:r w:rsidRPr="00300FFC">
        <w:t xml:space="preserve"> (pp. 35-60). La Paz, Bolivia: Plural editors. </w:t>
      </w:r>
    </w:p>
    <w:p w14:paraId="655C89AB" w14:textId="77777777" w:rsidR="005630F8" w:rsidRDefault="005630F8" w:rsidP="005630F8">
      <w:pPr>
        <w:ind w:hanging="709"/>
        <w:rPr>
          <w:lang w:val="en-US"/>
        </w:rPr>
      </w:pPr>
      <w:r w:rsidRPr="00355B15">
        <w:rPr>
          <w:lang w:val="es-ES"/>
        </w:rPr>
        <w:lastRenderedPageBreak/>
        <w:t xml:space="preserve">Hermida, M., González, M., Miranda, M. &amp; Rodríguez-Otero, J.L. </w:t>
      </w:r>
      <w:r>
        <w:rPr>
          <w:lang w:val="es-ES"/>
        </w:rPr>
        <w:t>(</w:t>
      </w:r>
      <w:r w:rsidRPr="00355B15">
        <w:rPr>
          <w:lang w:val="es-ES"/>
        </w:rPr>
        <w:t>2006</w:t>
      </w:r>
      <w:r>
        <w:rPr>
          <w:lang w:val="es-ES"/>
        </w:rPr>
        <w:t>)</w:t>
      </w:r>
      <w:r w:rsidRPr="00355B15">
        <w:rPr>
          <w:lang w:val="es-ES"/>
        </w:rPr>
        <w:t xml:space="preserve">. </w:t>
      </w:r>
      <w:r w:rsidRPr="00DC6B6C">
        <w:rPr>
          <w:lang w:val="en-US"/>
        </w:rPr>
        <w:t xml:space="preserve">Mineral analysis in rabbit meat from Galicia (NW Spain). </w:t>
      </w:r>
      <w:r w:rsidRPr="002371F3">
        <w:rPr>
          <w:i/>
          <w:iCs/>
          <w:lang w:val="en-US"/>
        </w:rPr>
        <w:t>Meat Science</w:t>
      </w:r>
      <w:r>
        <w:rPr>
          <w:lang w:val="en-US"/>
        </w:rPr>
        <w:t>,</w:t>
      </w:r>
      <w:r w:rsidRPr="00DC6B6C">
        <w:rPr>
          <w:lang w:val="en-US"/>
        </w:rPr>
        <w:t xml:space="preserve"> 73(4):635–639.</w:t>
      </w:r>
    </w:p>
    <w:p w14:paraId="2A1A47CE" w14:textId="77777777" w:rsidR="005630F8" w:rsidRDefault="005630F8" w:rsidP="005630F8">
      <w:pPr>
        <w:ind w:hanging="709"/>
      </w:pPr>
      <w:r w:rsidRPr="00355B15">
        <w:rPr>
          <w:lang w:val="es-ES"/>
        </w:rPr>
        <w:t xml:space="preserve">Hernández, F., Madrid, J., García, J., Orego, M. &amp; Megías, D. (2004). </w:t>
      </w:r>
      <w:r w:rsidRPr="00DC6B6C">
        <w:rPr>
          <w:lang w:val="en-US"/>
        </w:rPr>
        <w:t xml:space="preserve">Influence of two plant extracts on broilers performance digestibility, and digestive organ size. </w:t>
      </w:r>
      <w:r w:rsidRPr="009D5269">
        <w:rPr>
          <w:i/>
        </w:rPr>
        <w:t>Poultry Science</w:t>
      </w:r>
      <w:r>
        <w:t xml:space="preserve">, </w:t>
      </w:r>
      <w:r w:rsidRPr="005B27D3">
        <w:rPr>
          <w:i/>
          <w:iCs/>
        </w:rPr>
        <w:t>83</w:t>
      </w:r>
      <w:r>
        <w:t xml:space="preserve">(2), </w:t>
      </w:r>
      <w:r w:rsidRPr="009D5269">
        <w:t>169–174</w:t>
      </w:r>
      <w:r>
        <w:t>.</w:t>
      </w:r>
    </w:p>
    <w:p w14:paraId="4D4165C7" w14:textId="77777777" w:rsidR="005630F8" w:rsidRPr="00AF2941" w:rsidRDefault="005630F8" w:rsidP="005630F8">
      <w:pPr>
        <w:ind w:hanging="709"/>
        <w:rPr>
          <w:lang w:val="en-US"/>
        </w:rPr>
      </w:pPr>
      <w:r w:rsidRPr="009D5269">
        <w:t xml:space="preserve">Hernández, P. </w:t>
      </w:r>
      <w:r>
        <w:t>(</w:t>
      </w:r>
      <w:r w:rsidRPr="009D5269">
        <w:t>2012</w:t>
      </w:r>
      <w:r>
        <w:t>)</w:t>
      </w:r>
      <w:r w:rsidRPr="009D5269">
        <w:t xml:space="preserve">. Carne de conejo como alimento funcional. </w:t>
      </w:r>
      <w:r w:rsidRPr="00313D82">
        <w:rPr>
          <w:i/>
          <w:iCs/>
          <w:lang w:val="en-US"/>
        </w:rPr>
        <w:t>Cunicultura</w:t>
      </w:r>
      <w:r>
        <w:rPr>
          <w:lang w:val="en-US"/>
        </w:rPr>
        <w:t xml:space="preserve">, </w:t>
      </w:r>
      <w:r w:rsidRPr="00AF2941">
        <w:rPr>
          <w:lang w:val="en-US"/>
        </w:rPr>
        <w:t>37(218)</w:t>
      </w:r>
      <w:r>
        <w:rPr>
          <w:lang w:val="en-US"/>
        </w:rPr>
        <w:t xml:space="preserve">, </w:t>
      </w:r>
      <w:r w:rsidRPr="00AF2941">
        <w:rPr>
          <w:lang w:val="en-US"/>
        </w:rPr>
        <w:t>21-24.</w:t>
      </w:r>
    </w:p>
    <w:p w14:paraId="60EA691E" w14:textId="77777777" w:rsidR="005630F8" w:rsidRPr="00437D1F" w:rsidRDefault="005630F8" w:rsidP="005630F8">
      <w:pPr>
        <w:ind w:hanging="709"/>
        <w:rPr>
          <w:lang w:val="en-US"/>
        </w:rPr>
      </w:pPr>
      <w:bookmarkStart w:id="53" w:name="_Hlk65790279"/>
      <w:r w:rsidRPr="00437D1F">
        <w:rPr>
          <w:lang w:val="en-US"/>
        </w:rPr>
        <w:t xml:space="preserve">Hocquette, J. F., Botreau, R., Picard, B., Jacquet, A., Pethick, D. W., &amp; Scollan, N. D. (2012). Opportunities for predicting and manipulating beef quality. </w:t>
      </w:r>
      <w:r w:rsidRPr="00437D1F">
        <w:rPr>
          <w:i/>
          <w:iCs/>
          <w:lang w:val="en-US"/>
        </w:rPr>
        <w:t>Meat Science</w:t>
      </w:r>
      <w:r w:rsidRPr="00437D1F">
        <w:rPr>
          <w:lang w:val="en-US"/>
        </w:rPr>
        <w:t>, 92(3), 197-209.</w:t>
      </w:r>
    </w:p>
    <w:bookmarkEnd w:id="53"/>
    <w:p w14:paraId="1BCF9E55" w14:textId="77777777" w:rsidR="005630F8" w:rsidRDefault="005630F8" w:rsidP="005630F8">
      <w:pPr>
        <w:ind w:hanging="709"/>
      </w:pPr>
      <w:r w:rsidRPr="00437D1F">
        <w:rPr>
          <w:lang w:val="en-US"/>
        </w:rPr>
        <w:t xml:space="preserve">Hofman, A., Mas, M., Aravena, C., y Guevara, J. F. D. (2017). </w:t>
      </w:r>
      <w:r w:rsidRPr="00594D2B">
        <w:t xml:space="preserve">Crecimiento económico y productividad en Latinoamérica. El proyecto LA-KLEMS. </w:t>
      </w:r>
      <w:r w:rsidRPr="00594D2B">
        <w:rPr>
          <w:i/>
          <w:iCs/>
        </w:rPr>
        <w:t>El trimestre económico</w:t>
      </w:r>
      <w:r w:rsidRPr="00594D2B">
        <w:t xml:space="preserve">, </w:t>
      </w:r>
      <w:r w:rsidRPr="00594D2B">
        <w:rPr>
          <w:i/>
          <w:iCs/>
        </w:rPr>
        <w:t>84</w:t>
      </w:r>
      <w:r w:rsidRPr="00594D2B">
        <w:t>(334), 259-306.</w:t>
      </w:r>
    </w:p>
    <w:p w14:paraId="06F9F514" w14:textId="77777777" w:rsidR="005630F8" w:rsidRDefault="005630F8" w:rsidP="005630F8">
      <w:pPr>
        <w:ind w:hanging="709"/>
        <w:rPr>
          <w:rFonts w:eastAsia="Times New Roman"/>
          <w:lang w:val="en-US"/>
        </w:rPr>
      </w:pPr>
      <w:r w:rsidRPr="00437D1F">
        <w:rPr>
          <w:rFonts w:eastAsia="Times New Roman"/>
          <w:lang w:val="es-ES"/>
        </w:rPr>
        <w:t xml:space="preserve">Holt-Giménez, E. (2006). </w:t>
      </w:r>
      <w:r w:rsidRPr="00AF2941">
        <w:rPr>
          <w:rFonts w:eastAsia="Times New Roman"/>
          <w:i/>
          <w:lang w:val="en-US"/>
        </w:rPr>
        <w:t>Campesino a Campesino: voices from Latin America’s farmer to farmer movement for sustainable agricultur</w:t>
      </w:r>
      <w:r>
        <w:rPr>
          <w:rFonts w:eastAsia="Times New Roman"/>
          <w:i/>
          <w:lang w:val="en-US"/>
        </w:rPr>
        <w:t>e</w:t>
      </w:r>
      <w:r w:rsidRPr="00AF2941">
        <w:rPr>
          <w:rFonts w:eastAsia="Times New Roman"/>
          <w:lang w:val="en-US"/>
        </w:rPr>
        <w:t>. Oakland, CA: Food First Books.</w:t>
      </w:r>
    </w:p>
    <w:p w14:paraId="3E3BBDB5" w14:textId="77777777" w:rsidR="005630F8" w:rsidRDefault="005630F8" w:rsidP="005630F8">
      <w:pPr>
        <w:ind w:hanging="709"/>
        <w:rPr>
          <w:color w:val="000000"/>
        </w:rPr>
      </w:pPr>
      <w:bookmarkStart w:id="54" w:name="_Hlk526696727"/>
      <w:r w:rsidRPr="009D5269">
        <w:rPr>
          <w:color w:val="000000"/>
        </w:rPr>
        <w:t xml:space="preserve">Huicochea, L. (2015). </w:t>
      </w:r>
      <w:r w:rsidRPr="004F2F45">
        <w:rPr>
          <w:i/>
          <w:iCs/>
          <w:color w:val="000000"/>
        </w:rPr>
        <w:t>Herbolaria Curativa y Sanadora. La Experiencia Terapéutica de Hombres y Mujeres del Sur-Sureste Mexicano</w:t>
      </w:r>
      <w:r w:rsidRPr="009D5269">
        <w:rPr>
          <w:color w:val="000000"/>
        </w:rPr>
        <w:t xml:space="preserve">. </w:t>
      </w:r>
      <w:r>
        <w:rPr>
          <w:color w:val="000000"/>
        </w:rPr>
        <w:t xml:space="preserve">Campeche, </w:t>
      </w:r>
      <w:r w:rsidRPr="006A1F6C">
        <w:rPr>
          <w:color w:val="000000"/>
        </w:rPr>
        <w:t xml:space="preserve">México: </w:t>
      </w:r>
      <w:r>
        <w:rPr>
          <w:color w:val="000000"/>
        </w:rPr>
        <w:t xml:space="preserve">Secretaria de Cultura del Gobierno del Estado de Campeche, </w:t>
      </w:r>
      <w:r w:rsidRPr="006A1F6C">
        <w:rPr>
          <w:color w:val="000000"/>
        </w:rPr>
        <w:t>ECOSUR.</w:t>
      </w:r>
    </w:p>
    <w:p w14:paraId="14E9A07F" w14:textId="77777777" w:rsidR="005630F8" w:rsidRDefault="005630F8" w:rsidP="005630F8">
      <w:pPr>
        <w:ind w:hanging="709"/>
      </w:pPr>
      <w:r w:rsidRPr="00B94A42">
        <w:t>Jaurez</w:t>
      </w:r>
      <w:r>
        <w:t>, E. M.</w:t>
      </w:r>
      <w:r w:rsidRPr="00B94A42">
        <w:t>, Espinosa</w:t>
      </w:r>
      <w:r>
        <w:t>, A. E.</w:t>
      </w:r>
      <w:r w:rsidRPr="00B94A42">
        <w:t>, Hernández</w:t>
      </w:r>
      <w:r>
        <w:t>, G. P. A.</w:t>
      </w:r>
      <w:r w:rsidRPr="00B94A42">
        <w:t>, Márquez</w:t>
      </w:r>
      <w:r>
        <w:t>, M. O.</w:t>
      </w:r>
      <w:r w:rsidRPr="00B94A42">
        <w:t>, Tapia</w:t>
      </w:r>
      <w:r>
        <w:t>, R. M. Z.</w:t>
      </w:r>
      <w:r w:rsidRPr="00B94A42">
        <w:t xml:space="preserve"> y Mireles</w:t>
      </w:r>
      <w:r>
        <w:t>, A. A. I.</w:t>
      </w:r>
      <w:r w:rsidRPr="00B94A42">
        <w:t xml:space="preserve"> (2017)</w:t>
      </w:r>
      <w:r>
        <w:t>. Efecto de romero (</w:t>
      </w:r>
      <w:r w:rsidRPr="00754A4E">
        <w:rPr>
          <w:i/>
          <w:iCs/>
        </w:rPr>
        <w:t>Rosmarinus officinalis</w:t>
      </w:r>
      <w:r>
        <w:t xml:space="preserve"> L.) y tomillo (</w:t>
      </w:r>
      <w:r w:rsidRPr="00754A4E">
        <w:rPr>
          <w:i/>
          <w:iCs/>
        </w:rPr>
        <w:t>Thymus vulgaris</w:t>
      </w:r>
      <w:r>
        <w:t xml:space="preserve">) sobre parámetros productivos, características de la canal y calidad de la carne en conejos en finalización. En A. M. Yamasaki y G. Á. Yong. (Comps.) </w:t>
      </w:r>
      <w:r w:rsidRPr="009076D4">
        <w:rPr>
          <w:i/>
          <w:iCs/>
        </w:rPr>
        <w:t>Clima y Ganadería: productividad sustentable</w:t>
      </w:r>
      <w:r>
        <w:t xml:space="preserve"> (pp. 322-327). Tuxtla Gutiérrez, Chiapas: Universidad Autónoma de Chiapas. </w:t>
      </w:r>
    </w:p>
    <w:bookmarkEnd w:id="54"/>
    <w:p w14:paraId="61BEF683" w14:textId="77777777" w:rsidR="005630F8" w:rsidRPr="00437D1F" w:rsidRDefault="005630F8" w:rsidP="005630F8">
      <w:pPr>
        <w:ind w:hanging="709"/>
        <w:rPr>
          <w:color w:val="000000"/>
          <w:lang w:val="en-US"/>
        </w:rPr>
      </w:pPr>
      <w:r w:rsidRPr="009D5269">
        <w:rPr>
          <w:color w:val="000000"/>
        </w:rPr>
        <w:lastRenderedPageBreak/>
        <w:t xml:space="preserve">Jorand, B. (2008). Formas de transformación del conocimiento de la medicina tradicional en los pueblos nahuas del municipio de Hueyapan, Sierra Norte de Puebla. </w:t>
      </w:r>
      <w:r w:rsidRPr="00437D1F">
        <w:rPr>
          <w:i/>
          <w:iCs/>
          <w:color w:val="000000"/>
          <w:lang w:val="en-US"/>
        </w:rPr>
        <w:t>Cuicuilco, 15</w:t>
      </w:r>
      <w:r w:rsidRPr="00437D1F">
        <w:rPr>
          <w:color w:val="000000"/>
          <w:lang w:val="en-US"/>
        </w:rPr>
        <w:t xml:space="preserve">(44), 181-196. </w:t>
      </w:r>
    </w:p>
    <w:p w14:paraId="7603D947" w14:textId="77777777" w:rsidR="005630F8" w:rsidRDefault="005630F8" w:rsidP="005630F8">
      <w:pPr>
        <w:ind w:hanging="709"/>
        <w:rPr>
          <w:rFonts w:eastAsia="Times New Roman"/>
          <w:lang w:val="en-US"/>
        </w:rPr>
      </w:pPr>
      <w:bookmarkStart w:id="55" w:name="_Hlk526696815"/>
      <w:r w:rsidRPr="00DC6B6C">
        <w:rPr>
          <w:rFonts w:eastAsia="Times New Roman"/>
          <w:lang w:val="en-US"/>
        </w:rPr>
        <w:t xml:space="preserve">Kanojiya, D., Shanker, D., Sudan, V., Jaiswal, A. K., &amp; Parashar, R. (2015). Assessment of in vitro and in vivo anthelminthic potential of extracts of Allium sativum bulb against naturally occurring ovine gastrointestinal nematodiosis. </w:t>
      </w:r>
      <w:r w:rsidRPr="00DC6B6C">
        <w:rPr>
          <w:rFonts w:eastAsia="Times New Roman"/>
          <w:i/>
          <w:iCs/>
          <w:lang w:val="en-US"/>
        </w:rPr>
        <w:t>Veterinary Quarterly</w:t>
      </w:r>
      <w:r w:rsidRPr="00DC6B6C">
        <w:rPr>
          <w:rFonts w:eastAsia="Times New Roman"/>
          <w:lang w:val="en-US"/>
        </w:rPr>
        <w:t xml:space="preserve">, </w:t>
      </w:r>
      <w:r w:rsidRPr="00DC6B6C">
        <w:rPr>
          <w:rFonts w:eastAsia="Times New Roman"/>
          <w:i/>
          <w:iCs/>
          <w:lang w:val="en-US"/>
        </w:rPr>
        <w:t>35</w:t>
      </w:r>
      <w:r w:rsidRPr="00DC6B6C">
        <w:rPr>
          <w:rFonts w:eastAsia="Times New Roman"/>
          <w:lang w:val="en-US"/>
        </w:rPr>
        <w:t xml:space="preserve">(4), 200–206. </w:t>
      </w:r>
    </w:p>
    <w:p w14:paraId="0CB362E5" w14:textId="77777777" w:rsidR="005630F8" w:rsidRPr="00DC6B6C" w:rsidRDefault="005630F8" w:rsidP="005630F8">
      <w:pPr>
        <w:ind w:hanging="709"/>
        <w:rPr>
          <w:rFonts w:eastAsia="Times New Roman"/>
          <w:lang w:val="en-US"/>
        </w:rPr>
      </w:pPr>
      <w:bookmarkStart w:id="56" w:name="_Hlk526694780"/>
      <w:r w:rsidRPr="00DC6B6C">
        <w:rPr>
          <w:rFonts w:eastAsia="Times New Roman"/>
          <w:lang w:val="en-US"/>
        </w:rPr>
        <w:t xml:space="preserve">Kioko, J., Baker, J., Shannon, A., &amp; Kiffner, C. (2015). Ethnoecological knowledge of ticks and treatment of tick-borne diseasesamong maasai people in northern Tanzania. </w:t>
      </w:r>
      <w:r w:rsidRPr="00DC6B6C">
        <w:rPr>
          <w:rFonts w:eastAsia="Times New Roman"/>
          <w:i/>
          <w:iCs/>
          <w:lang w:val="en-US"/>
        </w:rPr>
        <w:t>Veterinary World</w:t>
      </w:r>
      <w:r w:rsidRPr="00DC6B6C">
        <w:rPr>
          <w:rFonts w:eastAsia="Times New Roman"/>
          <w:lang w:val="en-US"/>
        </w:rPr>
        <w:t xml:space="preserve">, </w:t>
      </w:r>
      <w:r w:rsidRPr="00DC6B6C">
        <w:rPr>
          <w:rFonts w:eastAsia="Times New Roman"/>
          <w:i/>
          <w:iCs/>
          <w:lang w:val="en-US"/>
        </w:rPr>
        <w:t>8</w:t>
      </w:r>
      <w:r w:rsidRPr="00DC6B6C">
        <w:rPr>
          <w:rFonts w:eastAsia="Times New Roman"/>
          <w:lang w:val="en-US"/>
        </w:rPr>
        <w:t xml:space="preserve">(6), 755–762. </w:t>
      </w:r>
    </w:p>
    <w:p w14:paraId="58E5A675" w14:textId="77777777" w:rsidR="005630F8" w:rsidRDefault="005630F8" w:rsidP="005630F8">
      <w:pPr>
        <w:ind w:hanging="709"/>
        <w:rPr>
          <w:rFonts w:eastAsia="Times New Roman"/>
        </w:rPr>
      </w:pPr>
      <w:bookmarkStart w:id="57" w:name="_Hlk526694758"/>
      <w:bookmarkEnd w:id="56"/>
      <w:r w:rsidRPr="00DC6B6C">
        <w:rPr>
          <w:rFonts w:eastAsia="Times New Roman"/>
          <w:lang w:val="en-US"/>
        </w:rPr>
        <w:t>Kpodékon, T. M., Ogni, C. A., Dassou, H., Dougnon, T. J., Boko, C., Koutinhouin, G. B.,</w:t>
      </w:r>
      <w:r>
        <w:rPr>
          <w:rFonts w:eastAsia="Times New Roman"/>
          <w:lang w:val="en-US"/>
        </w:rPr>
        <w:t xml:space="preserve"> &amp;</w:t>
      </w:r>
      <w:r w:rsidRPr="00DC6B6C">
        <w:rPr>
          <w:rFonts w:eastAsia="Times New Roman"/>
          <w:lang w:val="en-US"/>
        </w:rPr>
        <w:t xml:space="preserve"> Youssao, I. (2015). Dominant viral pathologies in the extensive and semi-intensive animal breeding and their treatment mode in ethno veterinary medicine in Benin. </w:t>
      </w:r>
      <w:r w:rsidRPr="006A1F6C">
        <w:rPr>
          <w:rFonts w:eastAsia="Times New Roman"/>
          <w:i/>
          <w:iCs/>
        </w:rPr>
        <w:t>Veterinary World</w:t>
      </w:r>
      <w:r w:rsidRPr="006A1F6C">
        <w:rPr>
          <w:rFonts w:eastAsia="Times New Roman"/>
        </w:rPr>
        <w:t xml:space="preserve">, </w:t>
      </w:r>
      <w:r w:rsidRPr="006A1F6C">
        <w:rPr>
          <w:rFonts w:eastAsia="Times New Roman"/>
          <w:i/>
          <w:iCs/>
        </w:rPr>
        <w:t>8</w:t>
      </w:r>
      <w:r w:rsidRPr="006A1F6C">
        <w:rPr>
          <w:rFonts w:eastAsia="Times New Roman"/>
        </w:rPr>
        <w:t xml:space="preserve">(12), 1424–1434. </w:t>
      </w:r>
      <w:bookmarkEnd w:id="57"/>
    </w:p>
    <w:p w14:paraId="7D2FCA57" w14:textId="77777777" w:rsidR="005630F8" w:rsidRPr="001C5B96" w:rsidRDefault="005630F8" w:rsidP="005630F8">
      <w:pPr>
        <w:ind w:hanging="709"/>
        <w:rPr>
          <w:rFonts w:eastAsia="Times New Roman"/>
        </w:rPr>
      </w:pPr>
      <w:r w:rsidRPr="00300FFC">
        <w:t xml:space="preserve">Kunh, T. (1975). La ciencia normal y sus peligros. En I. Lakatos, y A. Musgrave. (Ed). </w:t>
      </w:r>
      <w:r w:rsidRPr="00300FFC">
        <w:rPr>
          <w:i/>
        </w:rPr>
        <w:t>La crítica y el desarrollo del conocimiento</w:t>
      </w:r>
      <w:r w:rsidRPr="00300FFC">
        <w:t xml:space="preserve"> (149-158). Barcelona, España: Grijalvo.</w:t>
      </w:r>
    </w:p>
    <w:p w14:paraId="2D7264C4" w14:textId="77777777" w:rsidR="005630F8" w:rsidRDefault="005630F8" w:rsidP="005630F8">
      <w:pPr>
        <w:ind w:hanging="709"/>
      </w:pPr>
      <w:bookmarkStart w:id="58" w:name="_Hlk526696918"/>
      <w:r>
        <w:t xml:space="preserve">Lebas, F., Coudert, P. y De </w:t>
      </w:r>
      <w:bookmarkStart w:id="59" w:name="_Hlk60954829"/>
      <w:r>
        <w:t>Rochambeau</w:t>
      </w:r>
      <w:bookmarkEnd w:id="59"/>
      <w:r>
        <w:t xml:space="preserve">, H. (01 de abril de 2018). El conejo: cría y patología. </w:t>
      </w:r>
      <w:r w:rsidRPr="00E437F5">
        <w:rPr>
          <w:i/>
          <w:iCs/>
        </w:rPr>
        <w:t>FAO</w:t>
      </w:r>
      <w:r>
        <w:t xml:space="preserve">. Recuperado de </w:t>
      </w:r>
      <w:hyperlink r:id="rId32" w:history="1">
        <w:r w:rsidRPr="00EC1D4E">
          <w:rPr>
            <w:rStyle w:val="Hipervnculo"/>
          </w:rPr>
          <w:t>http://www.fao.org/3/t1690s/t1690s09.pdf</w:t>
        </w:r>
      </w:hyperlink>
    </w:p>
    <w:p w14:paraId="1890821B" w14:textId="77777777" w:rsidR="005630F8" w:rsidRDefault="005630F8" w:rsidP="005630F8">
      <w:pPr>
        <w:ind w:hanging="709"/>
      </w:pPr>
      <w:r w:rsidRPr="00DC6B6C">
        <w:rPr>
          <w:lang w:val="en-US"/>
        </w:rPr>
        <w:t xml:space="preserve">Lee, K. W, </w:t>
      </w:r>
      <w:bookmarkStart w:id="60" w:name="_Hlk61899865"/>
      <w:r w:rsidRPr="00DC6B6C">
        <w:rPr>
          <w:lang w:val="en-US"/>
        </w:rPr>
        <w:t xml:space="preserve">Everts, H. &amp; Beynen </w:t>
      </w:r>
      <w:bookmarkEnd w:id="60"/>
      <w:r w:rsidRPr="00DC6B6C">
        <w:rPr>
          <w:lang w:val="en-US"/>
        </w:rPr>
        <w:t xml:space="preserve">A, C. (2004). Essential oils in broiler nutrition. </w:t>
      </w:r>
      <w:r w:rsidRPr="006A1F6C">
        <w:rPr>
          <w:i/>
        </w:rPr>
        <w:t>Int</w:t>
      </w:r>
      <w:r>
        <w:rPr>
          <w:i/>
        </w:rPr>
        <w:t>ernational</w:t>
      </w:r>
      <w:r w:rsidRPr="006A1F6C">
        <w:rPr>
          <w:i/>
        </w:rPr>
        <w:t xml:space="preserve"> J</w:t>
      </w:r>
      <w:r>
        <w:rPr>
          <w:i/>
        </w:rPr>
        <w:t>ournal of</w:t>
      </w:r>
      <w:r w:rsidRPr="006A1F6C">
        <w:rPr>
          <w:i/>
        </w:rPr>
        <w:t xml:space="preserve"> Po</w:t>
      </w:r>
      <w:r>
        <w:rPr>
          <w:i/>
        </w:rPr>
        <w:t>u</w:t>
      </w:r>
      <w:r w:rsidRPr="006A1F6C">
        <w:rPr>
          <w:i/>
        </w:rPr>
        <w:t>l</w:t>
      </w:r>
      <w:r>
        <w:rPr>
          <w:i/>
        </w:rPr>
        <w:t xml:space="preserve">try </w:t>
      </w:r>
      <w:r w:rsidRPr="006A1F6C">
        <w:rPr>
          <w:i/>
        </w:rPr>
        <w:t>Sci</w:t>
      </w:r>
      <w:r>
        <w:rPr>
          <w:i/>
        </w:rPr>
        <w:t>ence,</w:t>
      </w:r>
      <w:r w:rsidRPr="006A1F6C">
        <w:t xml:space="preserve"> </w:t>
      </w:r>
      <w:r w:rsidRPr="00B04E2D">
        <w:rPr>
          <w:i/>
          <w:iCs/>
        </w:rPr>
        <w:t>3</w:t>
      </w:r>
      <w:r>
        <w:t>(12</w:t>
      </w:r>
      <w:r w:rsidRPr="006A1F6C">
        <w:t>), 738-752.</w:t>
      </w:r>
    </w:p>
    <w:bookmarkEnd w:id="55"/>
    <w:bookmarkEnd w:id="58"/>
    <w:p w14:paraId="7ADC038C" w14:textId="77777777" w:rsidR="005630F8" w:rsidRPr="00437D1F" w:rsidRDefault="005630F8" w:rsidP="005630F8">
      <w:pPr>
        <w:ind w:hanging="709"/>
        <w:rPr>
          <w:lang w:val="es-ES"/>
        </w:rPr>
      </w:pPr>
      <w:r w:rsidRPr="00DC6B6C">
        <w:rPr>
          <w:lang w:val="en-US"/>
        </w:rPr>
        <w:t>Lee, K., Everts W. H., Kappert H. J., Frehner M., Losa R. &amp; Beynen A.C. (2003). Effects of dietary essential oil components on growth performance, digestive enzymes and lipid metabolism in female broiler chic</w:t>
      </w:r>
      <w:r>
        <w:rPr>
          <w:lang w:val="en-US"/>
        </w:rPr>
        <w:t>k</w:t>
      </w:r>
      <w:r w:rsidRPr="00DC6B6C">
        <w:rPr>
          <w:lang w:val="en-US"/>
        </w:rPr>
        <w:t xml:space="preserve">ens. </w:t>
      </w:r>
      <w:r w:rsidRPr="00437D1F">
        <w:rPr>
          <w:i/>
          <w:lang w:val="es-ES"/>
        </w:rPr>
        <w:t>British Poultry Sci</w:t>
      </w:r>
      <w:r w:rsidRPr="00437D1F">
        <w:rPr>
          <w:i/>
          <w:iCs/>
          <w:lang w:val="es-ES"/>
        </w:rPr>
        <w:t>ence, 44</w:t>
      </w:r>
      <w:r w:rsidRPr="00437D1F">
        <w:rPr>
          <w:lang w:val="es-ES"/>
        </w:rPr>
        <w:t>(3) 450-457.</w:t>
      </w:r>
    </w:p>
    <w:p w14:paraId="65810579" w14:textId="77777777" w:rsidR="005630F8" w:rsidRPr="00437D1F" w:rsidRDefault="005630F8" w:rsidP="005630F8">
      <w:pPr>
        <w:ind w:hanging="709"/>
        <w:rPr>
          <w:lang w:val="es-ES"/>
        </w:rPr>
      </w:pPr>
      <w:r>
        <w:t xml:space="preserve">Leff, E. (2000). Pensar la complejidad ambiental. En E. Leff (Coord.). </w:t>
      </w:r>
      <w:r w:rsidRPr="00B14EB9">
        <w:rPr>
          <w:i/>
          <w:iCs/>
        </w:rPr>
        <w:t>La complejidad ambiental</w:t>
      </w:r>
      <w:r>
        <w:t>. (pp. 7-53). Distrito Federal, México: Siglo XXI Editores.</w:t>
      </w:r>
    </w:p>
    <w:p w14:paraId="21BBD74A" w14:textId="77777777" w:rsidR="005630F8" w:rsidRDefault="005630F8" w:rsidP="005630F8">
      <w:pPr>
        <w:ind w:hanging="709"/>
      </w:pPr>
      <w:r w:rsidRPr="004C715F">
        <w:lastRenderedPageBreak/>
        <w:t xml:space="preserve">Leff, E. (2004). </w:t>
      </w:r>
      <w:r w:rsidRPr="007275E2">
        <w:rPr>
          <w:i/>
          <w:iCs/>
        </w:rPr>
        <w:t>Racionalidad ambiental. La reapropiación social de la naturaleza</w:t>
      </w:r>
      <w:r w:rsidRPr="004C715F">
        <w:t xml:space="preserve">. </w:t>
      </w:r>
      <w:r>
        <w:t xml:space="preserve">Distrito Federal, </w:t>
      </w:r>
      <w:r w:rsidRPr="004C715F">
        <w:t>México: Siglo XXI Editores</w:t>
      </w:r>
      <w:r>
        <w:t>.</w:t>
      </w:r>
    </w:p>
    <w:p w14:paraId="3E3EEDAD" w14:textId="77777777" w:rsidR="005630F8" w:rsidRDefault="005630F8" w:rsidP="005630F8">
      <w:pPr>
        <w:ind w:hanging="709"/>
      </w:pPr>
      <w:r w:rsidRPr="007F2D18">
        <w:t>Leff, E. (2006</w:t>
      </w:r>
      <w:r w:rsidRPr="00A76764">
        <w:rPr>
          <w:i/>
          <w:iCs/>
        </w:rPr>
        <w:t>). Aventuras de la epistemología ambiental. De la articulación de las ciencias al diálogo de saberes</w:t>
      </w:r>
      <w:r w:rsidRPr="007F2D18">
        <w:t xml:space="preserve">. </w:t>
      </w:r>
      <w:r>
        <w:t xml:space="preserve">Distrito Federal, </w:t>
      </w:r>
      <w:r w:rsidRPr="007F2D18">
        <w:t>México: Siglo XXI Editores.</w:t>
      </w:r>
    </w:p>
    <w:p w14:paraId="0F30DDBE" w14:textId="77777777" w:rsidR="005630F8" w:rsidRDefault="005630F8" w:rsidP="005630F8">
      <w:pPr>
        <w:ind w:hanging="709"/>
      </w:pPr>
      <w:r>
        <w:t xml:space="preserve">Leff, E. (2008). </w:t>
      </w:r>
      <w:r w:rsidRPr="00A76764">
        <w:rPr>
          <w:i/>
          <w:iCs/>
        </w:rPr>
        <w:t>Discursos sustentables</w:t>
      </w:r>
      <w:r>
        <w:t xml:space="preserve">. Distrito Federal, México: Siglo XXI Editores. </w:t>
      </w:r>
    </w:p>
    <w:p w14:paraId="07714A08" w14:textId="0862AC6E" w:rsidR="004953EA" w:rsidRDefault="005630F8" w:rsidP="004953EA">
      <w:r>
        <w:t xml:space="preserve">Leporati, M., Salcedo, S., Jara, B., Boero, V. y Muñoz, M. (2014). La agricultura familiar en cifras. En S. Salcedo y L. Guzmán (Ed.) </w:t>
      </w:r>
      <w:r w:rsidRPr="000E5290">
        <w:rPr>
          <w:i/>
          <w:iCs/>
        </w:rPr>
        <w:t>Agricultura Familiar en América Latina y el Caribe: Recomendaciones de Política</w:t>
      </w:r>
      <w:r>
        <w:t xml:space="preserve"> (pp. 37-56). Santiago, Chile: Organización de las Naciones Unidas para la Alimentación y la Agricultura</w:t>
      </w:r>
    </w:p>
    <w:p w14:paraId="21BE12A5" w14:textId="0ADF081B" w:rsidR="00AC7CB0" w:rsidRDefault="00AC7CB0" w:rsidP="004953EA">
      <w:r w:rsidRPr="00911DE0">
        <w:rPr>
          <w:color w:val="000000" w:themeColor="text1"/>
        </w:rPr>
        <w:t>Linares</w:t>
      </w:r>
      <w:r>
        <w:rPr>
          <w:color w:val="000000" w:themeColor="text1"/>
        </w:rPr>
        <w:t>,</w:t>
      </w:r>
      <w:r w:rsidRPr="00911DE0">
        <w:rPr>
          <w:color w:val="000000" w:themeColor="text1"/>
        </w:rPr>
        <w:t xml:space="preserve"> M</w:t>
      </w:r>
      <w:r>
        <w:rPr>
          <w:color w:val="000000" w:themeColor="text1"/>
        </w:rPr>
        <w:t>.</w:t>
      </w:r>
      <w:r w:rsidRPr="00911DE0">
        <w:rPr>
          <w:color w:val="000000" w:themeColor="text1"/>
        </w:rPr>
        <w:t xml:space="preserve"> M.</w:t>
      </w:r>
      <w:r>
        <w:rPr>
          <w:color w:val="000000" w:themeColor="text1"/>
        </w:rPr>
        <w:t xml:space="preserve"> y</w:t>
      </w:r>
      <w:r w:rsidRPr="00911DE0">
        <w:rPr>
          <w:color w:val="000000" w:themeColor="text1"/>
        </w:rPr>
        <w:t xml:space="preserve"> Bye, R.</w:t>
      </w:r>
      <w:r>
        <w:rPr>
          <w:color w:val="000000" w:themeColor="text1"/>
        </w:rPr>
        <w:t xml:space="preserve"> E.</w:t>
      </w:r>
      <w:r w:rsidRPr="00911DE0">
        <w:rPr>
          <w:color w:val="000000" w:themeColor="text1"/>
        </w:rPr>
        <w:t xml:space="preserve"> </w:t>
      </w:r>
      <w:r>
        <w:rPr>
          <w:color w:val="000000" w:themeColor="text1"/>
        </w:rPr>
        <w:t>(</w:t>
      </w:r>
      <w:r w:rsidRPr="00911DE0">
        <w:rPr>
          <w:color w:val="000000" w:themeColor="text1"/>
        </w:rPr>
        <w:t>2016</w:t>
      </w:r>
      <w:r>
        <w:rPr>
          <w:color w:val="000000" w:themeColor="text1"/>
        </w:rPr>
        <w:t>)</w:t>
      </w:r>
      <w:r w:rsidRPr="00911DE0">
        <w:rPr>
          <w:color w:val="000000" w:themeColor="text1"/>
        </w:rPr>
        <w:t>. La dinámica de un mercado periférico de plantas medicinales en México: el tianguis de Ozumba, Estado de México, como centro acopiador para el mercado de Sonora (mercado central</w:t>
      </w:r>
      <w:r w:rsidRPr="00AC7CB0">
        <w:rPr>
          <w:i/>
          <w:iCs/>
          <w:color w:val="000000" w:themeColor="text1"/>
        </w:rPr>
        <w:t>). Históricas Digital. Serie Historia General</w:t>
      </w:r>
      <w:r w:rsidRPr="00911DE0">
        <w:rPr>
          <w:color w:val="000000" w:themeColor="text1"/>
        </w:rPr>
        <w:t>.</w:t>
      </w:r>
      <w:r>
        <w:rPr>
          <w:color w:val="000000" w:themeColor="text1"/>
        </w:rPr>
        <w:t xml:space="preserve"> Recuperado de</w:t>
      </w:r>
      <w:r w:rsidRPr="00911DE0">
        <w:rPr>
          <w:color w:val="000000" w:themeColor="text1"/>
        </w:rPr>
        <w:t xml:space="preserve"> http://www.historicas.unam.mx/publicaciones/publicadigital/libros/caminosymercados/cm031.pdf.</w:t>
      </w:r>
    </w:p>
    <w:p w14:paraId="79825CE7" w14:textId="77777777" w:rsidR="005630F8" w:rsidRPr="009D5269" w:rsidRDefault="005630F8" w:rsidP="005630F8">
      <w:pPr>
        <w:ind w:hanging="709"/>
        <w:rPr>
          <w:color w:val="000000"/>
        </w:rPr>
      </w:pPr>
      <w:bookmarkStart w:id="61" w:name="_Hlk528451691"/>
      <w:r w:rsidRPr="009D5269">
        <w:rPr>
          <w:color w:val="000000"/>
        </w:rPr>
        <w:t xml:space="preserve">López L. V. M. (2008). </w:t>
      </w:r>
      <w:r w:rsidRPr="006D7579">
        <w:rPr>
          <w:i/>
          <w:iCs/>
          <w:color w:val="000000"/>
        </w:rPr>
        <w:t>Sustentabilidad y desarrollo sustentable</w:t>
      </w:r>
      <w:r w:rsidRPr="009D5269">
        <w:rPr>
          <w:color w:val="000000"/>
        </w:rPr>
        <w:t>. México: Trillas.</w:t>
      </w:r>
    </w:p>
    <w:bookmarkEnd w:id="61"/>
    <w:p w14:paraId="1932F4C5" w14:textId="77777777" w:rsidR="005630F8" w:rsidRDefault="005630F8" w:rsidP="005630F8">
      <w:pPr>
        <w:ind w:hanging="709"/>
        <w:rPr>
          <w:rStyle w:val="Hipervnculo"/>
        </w:rPr>
      </w:pPr>
      <w:r w:rsidRPr="009D5269">
        <w:rPr>
          <w:color w:val="000000"/>
        </w:rPr>
        <w:t xml:space="preserve">López S. J. A. (2016). </w:t>
      </w:r>
      <w:r w:rsidRPr="00E97BCD">
        <w:rPr>
          <w:i/>
          <w:iCs/>
          <w:color w:val="000000"/>
        </w:rPr>
        <w:t>Herbolaria, apuntes</w:t>
      </w:r>
      <w:r w:rsidRPr="009D5269">
        <w:rPr>
          <w:color w:val="000000"/>
        </w:rPr>
        <w:t xml:space="preserve">. México: Universidad Autónoma del Estado de México. </w:t>
      </w:r>
      <w:r>
        <w:rPr>
          <w:color w:val="000000"/>
        </w:rPr>
        <w:t xml:space="preserve">Recuperado de </w:t>
      </w:r>
      <w:hyperlink r:id="rId33" w:history="1">
        <w:r w:rsidRPr="00407182">
          <w:rPr>
            <w:rStyle w:val="Hipervnculo"/>
          </w:rPr>
          <w:t>http://ri.uaemex.mx/bitstream/handle/20.500.11799/63020/secme-5145.pdf?sequence=1</w:t>
        </w:r>
      </w:hyperlink>
    </w:p>
    <w:p w14:paraId="52E4DDF1" w14:textId="77777777" w:rsidR="005630F8" w:rsidRDefault="005630F8" w:rsidP="005630F8">
      <w:pPr>
        <w:ind w:hanging="709"/>
        <w:rPr>
          <w:color w:val="000000"/>
        </w:rPr>
      </w:pPr>
      <w:r w:rsidRPr="009D5269">
        <w:rPr>
          <w:color w:val="000000"/>
        </w:rPr>
        <w:t>Lozaya, L. X. (1982). Visión Histórica de la Medicina Tradicional. En</w:t>
      </w:r>
      <w:r>
        <w:rPr>
          <w:color w:val="000000"/>
        </w:rPr>
        <w:t xml:space="preserve"> F.  Q. Ortiz. (Ed.),</w:t>
      </w:r>
      <w:r w:rsidRPr="009D5269">
        <w:rPr>
          <w:color w:val="000000"/>
        </w:rPr>
        <w:t xml:space="preserve"> </w:t>
      </w:r>
      <w:r w:rsidRPr="005B7F79">
        <w:rPr>
          <w:i/>
          <w:iCs/>
          <w:color w:val="000000"/>
        </w:rPr>
        <w:t>Vida y Muerte del Mexicano, II</w:t>
      </w:r>
      <w:r w:rsidRPr="009D5269">
        <w:rPr>
          <w:color w:val="000000"/>
        </w:rPr>
        <w:t xml:space="preserve"> (</w:t>
      </w:r>
      <w:r>
        <w:rPr>
          <w:color w:val="000000"/>
        </w:rPr>
        <w:t>pp.</w:t>
      </w:r>
      <w:r w:rsidRPr="009D5269">
        <w:rPr>
          <w:color w:val="000000"/>
        </w:rPr>
        <w:t xml:space="preserve">15-46). </w:t>
      </w:r>
      <w:r>
        <w:rPr>
          <w:color w:val="000000"/>
        </w:rPr>
        <w:t xml:space="preserve">Distrito Federal, </w:t>
      </w:r>
      <w:r w:rsidRPr="009D5269">
        <w:rPr>
          <w:color w:val="000000"/>
        </w:rPr>
        <w:t>México: Folios.</w:t>
      </w:r>
    </w:p>
    <w:p w14:paraId="31233F1E" w14:textId="77777777" w:rsidR="005630F8" w:rsidRDefault="005630F8" w:rsidP="005630F8">
      <w:pPr>
        <w:ind w:hanging="709"/>
        <w:rPr>
          <w:color w:val="000000"/>
        </w:rPr>
      </w:pPr>
      <w:r w:rsidRPr="009D5269">
        <w:rPr>
          <w:color w:val="000000"/>
        </w:rPr>
        <w:t xml:space="preserve">Lozaya, L. X. (1989). La medicina tradicional en la realidad político-social de México. </w:t>
      </w:r>
      <w:r w:rsidRPr="000920D5">
        <w:rPr>
          <w:i/>
          <w:iCs/>
          <w:color w:val="000000"/>
        </w:rPr>
        <w:t>Revista Ciencias, 14</w:t>
      </w:r>
      <w:r w:rsidRPr="009D5269">
        <w:rPr>
          <w:color w:val="000000"/>
        </w:rPr>
        <w:t xml:space="preserve">, 27-33. </w:t>
      </w:r>
    </w:p>
    <w:p w14:paraId="30393033" w14:textId="77777777" w:rsidR="005630F8" w:rsidRDefault="005630F8" w:rsidP="005630F8">
      <w:pPr>
        <w:ind w:hanging="709"/>
        <w:rPr>
          <w:color w:val="000000"/>
        </w:rPr>
      </w:pPr>
      <w:r w:rsidRPr="009D5269">
        <w:rPr>
          <w:color w:val="000000"/>
        </w:rPr>
        <w:lastRenderedPageBreak/>
        <w:t>Macías, C. H.</w:t>
      </w:r>
      <w:r>
        <w:rPr>
          <w:color w:val="000000"/>
        </w:rPr>
        <w:t xml:space="preserve"> y Téllez, V. O. </w:t>
      </w:r>
      <w:r w:rsidRPr="009D5269">
        <w:rPr>
          <w:color w:val="000000"/>
        </w:rPr>
        <w:t xml:space="preserve">(2006). Los estudios de sustentabilidad. </w:t>
      </w:r>
      <w:r w:rsidRPr="002B6DFB">
        <w:rPr>
          <w:i/>
          <w:iCs/>
          <w:color w:val="000000"/>
        </w:rPr>
        <w:t>Ciencias</w:t>
      </w:r>
      <w:r w:rsidRPr="009D5269">
        <w:rPr>
          <w:color w:val="000000"/>
        </w:rPr>
        <w:t>,</w:t>
      </w:r>
      <w:r>
        <w:rPr>
          <w:color w:val="000000"/>
        </w:rPr>
        <w:t xml:space="preserve"> </w:t>
      </w:r>
      <w:r w:rsidRPr="00127C42">
        <w:rPr>
          <w:i/>
          <w:iCs/>
          <w:color w:val="000000"/>
        </w:rPr>
        <w:t>81</w:t>
      </w:r>
      <w:r>
        <w:rPr>
          <w:color w:val="000000"/>
        </w:rPr>
        <w:t>,</w:t>
      </w:r>
      <w:r w:rsidRPr="009D5269">
        <w:rPr>
          <w:color w:val="000000"/>
        </w:rPr>
        <w:t xml:space="preserve"> 20–31. </w:t>
      </w:r>
    </w:p>
    <w:p w14:paraId="1CFAE740" w14:textId="77777777" w:rsidR="005630F8" w:rsidRDefault="005630F8" w:rsidP="005630F8">
      <w:pPr>
        <w:ind w:hanging="709"/>
        <w:rPr>
          <w:rFonts w:eastAsia="Times New Roman"/>
          <w:lang w:val="en-US"/>
        </w:rPr>
      </w:pPr>
      <w:bookmarkStart w:id="62" w:name="_Hlk52192676"/>
      <w:bookmarkStart w:id="63" w:name="_Hlk526696533"/>
      <w:bookmarkStart w:id="64" w:name="_Hlk526696507"/>
      <w:bookmarkStart w:id="65" w:name="_Hlk526695675"/>
      <w:bookmarkStart w:id="66" w:name="_Hlk526695651"/>
      <w:bookmarkStart w:id="67" w:name="_Hlk526695625"/>
      <w:bookmarkStart w:id="68" w:name="_Hlk526695601"/>
      <w:bookmarkStart w:id="69" w:name="_Hlk526695578"/>
      <w:bookmarkStart w:id="70" w:name="_Hlk526695525"/>
      <w:bookmarkStart w:id="71" w:name="_Hlk526695506"/>
      <w:bookmarkStart w:id="72" w:name="_Hlk526695474"/>
      <w:bookmarkStart w:id="73" w:name="_Hlk526695428"/>
      <w:bookmarkStart w:id="74" w:name="_Hlk526695366"/>
      <w:bookmarkStart w:id="75" w:name="_Hlk526695330"/>
      <w:bookmarkStart w:id="76" w:name="_Hlk526695313"/>
      <w:bookmarkStart w:id="77" w:name="_Hlk526695297"/>
      <w:bookmarkStart w:id="78" w:name="_Hlk526695243"/>
      <w:bookmarkStart w:id="79" w:name="_Hlk526695124"/>
      <w:bookmarkStart w:id="80" w:name="_Hlk526694691"/>
      <w:bookmarkStart w:id="81" w:name="_Hlk526694386"/>
      <w:bookmarkStart w:id="82" w:name="_Hlk526694341"/>
      <w:bookmarkStart w:id="83" w:name="_Hlk526694236"/>
      <w:bookmarkStart w:id="84" w:name="_Hlk526694154"/>
      <w:bookmarkStart w:id="85" w:name="_Hlk526694056"/>
      <w:bookmarkStart w:id="86" w:name="_Hlk526693940"/>
      <w:bookmarkStart w:id="87" w:name="_Hlk526694643"/>
      <w:bookmarkStart w:id="88" w:name="_Hlk526693863"/>
      <w:bookmarkStart w:id="89" w:name="_Hlk526693821"/>
      <w:bookmarkStart w:id="90" w:name="_Hlk526693841"/>
      <w:bookmarkStart w:id="91" w:name="_Hlk526693795"/>
      <w:bookmarkStart w:id="92" w:name="_Hlk46454961"/>
      <w:bookmarkStart w:id="93" w:name="_Hlk46456201"/>
      <w:bookmarkStart w:id="94" w:name="_Hlk46449479"/>
      <w:bookmarkStart w:id="95" w:name="_Hlk529559993"/>
      <w:bookmarkStart w:id="96" w:name="_Hlk53865570"/>
      <w:bookmarkStart w:id="97" w:name="_Hlk53862871"/>
      <w:r w:rsidRPr="00DC6B6C">
        <w:rPr>
          <w:rFonts w:eastAsia="Times New Roman"/>
          <w:lang w:val="en-US"/>
        </w:rPr>
        <w:t>Maroyi, A. (2017</w:t>
      </w:r>
      <w:r>
        <w:rPr>
          <w:rFonts w:eastAsia="Times New Roman"/>
          <w:lang w:val="en-US"/>
        </w:rPr>
        <w:t>a</w:t>
      </w:r>
      <w:r w:rsidRPr="00DC6B6C">
        <w:rPr>
          <w:rFonts w:eastAsia="Times New Roman"/>
          <w:lang w:val="en-US"/>
        </w:rPr>
        <w:t xml:space="preserve">). </w:t>
      </w:r>
      <w:r w:rsidRPr="00DC6B6C">
        <w:rPr>
          <w:rFonts w:eastAsia="Times New Roman"/>
          <w:i/>
          <w:iCs/>
          <w:lang w:val="en-US"/>
        </w:rPr>
        <w:t>Elephantorrhiza elephantina</w:t>
      </w:r>
      <w:r w:rsidRPr="00DC6B6C">
        <w:rPr>
          <w:rFonts w:eastAsia="Times New Roman"/>
          <w:lang w:val="en-US"/>
        </w:rPr>
        <w:t xml:space="preserve"> : Traditional Uses, Phytochemistry, and Pharmacology of an Important Medicinal Plant Species in Southern Africa. </w:t>
      </w:r>
      <w:r w:rsidRPr="009D1DE2">
        <w:rPr>
          <w:rFonts w:eastAsia="Times New Roman"/>
          <w:i/>
          <w:iCs/>
          <w:lang w:val="en-US"/>
        </w:rPr>
        <w:t>Evidence-Based Complementary and Alternative Medicine</w:t>
      </w:r>
      <w:r w:rsidRPr="009D1DE2">
        <w:rPr>
          <w:rFonts w:eastAsia="Times New Roman"/>
          <w:lang w:val="en-US"/>
        </w:rPr>
        <w:t xml:space="preserve">, 1–18. </w:t>
      </w:r>
    </w:p>
    <w:p w14:paraId="60864A1B" w14:textId="77777777" w:rsidR="005630F8" w:rsidRPr="00355B15" w:rsidRDefault="005630F8" w:rsidP="005630F8">
      <w:pPr>
        <w:ind w:hanging="709"/>
        <w:rPr>
          <w:rFonts w:eastAsia="Times New Roman"/>
          <w:lang w:val="en-US"/>
        </w:rPr>
      </w:pPr>
      <w:r w:rsidRPr="00270582">
        <w:rPr>
          <w:rFonts w:eastAsia="Times New Roman"/>
          <w:lang w:val="en-US"/>
        </w:rPr>
        <w:t xml:space="preserve">Martin, G. J. (2010). </w:t>
      </w:r>
      <w:r w:rsidRPr="00270582">
        <w:rPr>
          <w:rFonts w:eastAsia="Times New Roman"/>
          <w:i/>
          <w:lang w:val="en-US"/>
        </w:rPr>
        <w:t>Ethnobotany: a methods manual</w:t>
      </w:r>
      <w:r w:rsidRPr="00270582">
        <w:rPr>
          <w:rFonts w:eastAsia="Times New Roman"/>
          <w:lang w:val="en-US"/>
        </w:rPr>
        <w:t xml:space="preserve">. </w:t>
      </w:r>
      <w:r w:rsidRPr="00355B15">
        <w:rPr>
          <w:rFonts w:eastAsia="Times New Roman"/>
          <w:lang w:val="en-US"/>
        </w:rPr>
        <w:t>USA: Earthscan from Routledge.</w:t>
      </w:r>
    </w:p>
    <w:p w14:paraId="1AD5CF11" w14:textId="77777777" w:rsidR="005630F8" w:rsidRDefault="005630F8" w:rsidP="005630F8">
      <w:pPr>
        <w:ind w:hanging="709"/>
      </w:pPr>
      <w:r w:rsidRPr="00437D1F">
        <w:rPr>
          <w:lang w:val="en-US"/>
        </w:rPr>
        <w:t xml:space="preserve">Martínez, G. J. (2005). </w:t>
      </w:r>
      <w:r w:rsidRPr="00467039">
        <w:t xml:space="preserve">Recolección y comercialización de plantas medicinales en el departamento Santa María, provincia de Córdoba, Argentina. </w:t>
      </w:r>
      <w:r w:rsidRPr="004A4BC9">
        <w:rPr>
          <w:i/>
          <w:iCs/>
        </w:rPr>
        <w:t>Acta Farmacéutica Bonaerense, 24(</w:t>
      </w:r>
      <w:r>
        <w:t>4),</w:t>
      </w:r>
      <w:r w:rsidRPr="00467039">
        <w:t xml:space="preserve"> 575-584.</w:t>
      </w:r>
    </w:p>
    <w:p w14:paraId="1775902D" w14:textId="77777777" w:rsidR="005630F8" w:rsidRDefault="005630F8" w:rsidP="005630F8">
      <w:pPr>
        <w:ind w:hanging="709"/>
        <w:rPr>
          <w:rFonts w:eastAsia="Times New Roman"/>
        </w:rPr>
      </w:pPr>
      <w:r w:rsidRPr="00355B15">
        <w:rPr>
          <w:rFonts w:eastAsia="Times New Roman"/>
          <w:lang w:val="es-ES"/>
        </w:rPr>
        <w:t xml:space="preserve">Martínez, G. J., </w:t>
      </w:r>
      <w:r>
        <w:rPr>
          <w:rFonts w:eastAsia="Times New Roman"/>
          <w:lang w:val="es-ES"/>
        </w:rPr>
        <w:t>y</w:t>
      </w:r>
      <w:r w:rsidRPr="00355B15">
        <w:rPr>
          <w:rFonts w:eastAsia="Times New Roman"/>
          <w:lang w:val="es-ES"/>
        </w:rPr>
        <w:t xml:space="preserve"> Jiménez-Escobar, N. D. (2017). </w:t>
      </w:r>
      <w:r w:rsidRPr="009D5269">
        <w:rPr>
          <w:rFonts w:eastAsia="Times New Roman"/>
        </w:rPr>
        <w:t xml:space="preserve">Plantas de interés veterinario en la cultura campesina de la Sierra de Ancasti (Catamarca, Argentina). </w:t>
      </w:r>
      <w:r w:rsidRPr="009D5269">
        <w:rPr>
          <w:rFonts w:eastAsia="Times New Roman"/>
          <w:i/>
          <w:iCs/>
        </w:rPr>
        <w:t xml:space="preserve">Boletín Latinoamericano </w:t>
      </w:r>
      <w:r>
        <w:rPr>
          <w:rFonts w:eastAsia="Times New Roman"/>
          <w:i/>
          <w:iCs/>
        </w:rPr>
        <w:t>y</w:t>
      </w:r>
      <w:r w:rsidRPr="009D5269">
        <w:rPr>
          <w:rFonts w:eastAsia="Times New Roman"/>
          <w:i/>
          <w:iCs/>
        </w:rPr>
        <w:t xml:space="preserve"> </w:t>
      </w:r>
      <w:r>
        <w:rPr>
          <w:rFonts w:eastAsia="Times New Roman"/>
          <w:i/>
          <w:iCs/>
        </w:rPr>
        <w:t>d</w:t>
      </w:r>
      <w:r w:rsidRPr="009D5269">
        <w:rPr>
          <w:rFonts w:eastAsia="Times New Roman"/>
          <w:i/>
          <w:iCs/>
        </w:rPr>
        <w:t xml:space="preserve">el Caribe de Plantas Medicinales </w:t>
      </w:r>
      <w:r>
        <w:rPr>
          <w:rFonts w:eastAsia="Times New Roman"/>
          <w:i/>
          <w:iCs/>
        </w:rPr>
        <w:t>y</w:t>
      </w:r>
      <w:r w:rsidRPr="009D5269">
        <w:rPr>
          <w:rFonts w:eastAsia="Times New Roman"/>
          <w:i/>
          <w:iCs/>
        </w:rPr>
        <w:t xml:space="preserve"> Aromáticas</w:t>
      </w:r>
      <w:r w:rsidRPr="009D5269">
        <w:rPr>
          <w:rFonts w:eastAsia="Times New Roman"/>
        </w:rPr>
        <w:t xml:space="preserve">, </w:t>
      </w:r>
      <w:r w:rsidRPr="009D5269">
        <w:rPr>
          <w:rFonts w:eastAsia="Times New Roman"/>
          <w:i/>
          <w:iCs/>
        </w:rPr>
        <w:t>16</w:t>
      </w:r>
      <w:r w:rsidRPr="009D5269">
        <w:rPr>
          <w:rFonts w:eastAsia="Times New Roman"/>
        </w:rPr>
        <w:t>(4), 329–346.</w:t>
      </w:r>
    </w:p>
    <w:p w14:paraId="1428CF63" w14:textId="77777777" w:rsidR="005630F8" w:rsidRDefault="005630F8" w:rsidP="005630F8">
      <w:pPr>
        <w:ind w:left="709" w:hanging="709"/>
      </w:pPr>
      <w:r>
        <w:t xml:space="preserve">Martínez, M. M. (2007). Conceptualización de la transdisciplinariedad. </w:t>
      </w:r>
      <w:r w:rsidRPr="005E71FE">
        <w:rPr>
          <w:i/>
          <w:iCs/>
        </w:rPr>
        <w:t>Polis Revista Latinoamericana</w:t>
      </w:r>
      <w:r>
        <w:t>, 16, 1-21.</w:t>
      </w:r>
    </w:p>
    <w:p w14:paraId="7CA8D5EA" w14:textId="77777777" w:rsidR="005630F8" w:rsidRDefault="005630F8" w:rsidP="005630F8">
      <w:pPr>
        <w:ind w:hanging="709"/>
        <w:rPr>
          <w:color w:val="000000"/>
        </w:rPr>
      </w:pPr>
      <w:bookmarkStart w:id="98" w:name="_Hlk65782176"/>
      <w:bookmarkEnd w:id="62"/>
      <w:r w:rsidRPr="009D5269">
        <w:rPr>
          <w:color w:val="000000"/>
        </w:rPr>
        <w:t xml:space="preserve">Martínez, O., Pro, A., </w:t>
      </w:r>
      <w:r>
        <w:rPr>
          <w:color w:val="000000"/>
        </w:rPr>
        <w:t>y</w:t>
      </w:r>
      <w:r w:rsidRPr="009D5269">
        <w:rPr>
          <w:color w:val="000000"/>
        </w:rPr>
        <w:t xml:space="preserve"> Becerril, C. (2011). La cría de conejo a pequeña escala. Secretaria </w:t>
      </w:r>
      <w:r>
        <w:rPr>
          <w:color w:val="000000"/>
        </w:rPr>
        <w:t>d</w:t>
      </w:r>
      <w:r w:rsidRPr="009D5269">
        <w:rPr>
          <w:color w:val="000000"/>
        </w:rPr>
        <w:t>e Agricultura, Ganader</w:t>
      </w:r>
      <w:r>
        <w:rPr>
          <w:color w:val="000000"/>
        </w:rPr>
        <w:t>í</w:t>
      </w:r>
      <w:r w:rsidRPr="009D5269">
        <w:rPr>
          <w:color w:val="000000"/>
        </w:rPr>
        <w:t>a, Desarrollo Rural</w:t>
      </w:r>
      <w:r>
        <w:rPr>
          <w:color w:val="000000"/>
        </w:rPr>
        <w:t>,</w:t>
      </w:r>
      <w:r w:rsidRPr="009D5269">
        <w:rPr>
          <w:color w:val="000000"/>
        </w:rPr>
        <w:t xml:space="preserve"> Pesca </w:t>
      </w:r>
      <w:r>
        <w:rPr>
          <w:color w:val="000000"/>
        </w:rPr>
        <w:t>y</w:t>
      </w:r>
      <w:r w:rsidRPr="009D5269">
        <w:rPr>
          <w:color w:val="000000"/>
        </w:rPr>
        <w:t xml:space="preserve"> Alimentaci</w:t>
      </w:r>
      <w:r>
        <w:rPr>
          <w:color w:val="000000"/>
        </w:rPr>
        <w:t>ó</w:t>
      </w:r>
      <w:r w:rsidRPr="009D5269">
        <w:rPr>
          <w:color w:val="000000"/>
        </w:rPr>
        <w:t xml:space="preserve">n </w:t>
      </w:r>
    </w:p>
    <w:p w14:paraId="742360C0" w14:textId="77777777" w:rsidR="005630F8" w:rsidRPr="00437D1F" w:rsidRDefault="005630F8" w:rsidP="005630F8">
      <w:pPr>
        <w:ind w:hanging="709"/>
        <w:rPr>
          <w:rFonts w:eastAsia="Times New Roman"/>
          <w:lang w:val="es-ES"/>
        </w:rPr>
      </w:pPr>
      <w:bookmarkStart w:id="99" w:name="_Hlk526695110"/>
      <w:bookmarkEnd w:id="98"/>
      <w:r w:rsidRPr="009D5269">
        <w:rPr>
          <w:rFonts w:eastAsia="Times New Roman"/>
        </w:rPr>
        <w:t xml:space="preserve">Marume, A., Matope, G., Katsande, S., Khoza, S., Mutingwende, I., Mduluza, T., … </w:t>
      </w:r>
      <w:r w:rsidRPr="00DC6B6C">
        <w:rPr>
          <w:rFonts w:eastAsia="Times New Roman"/>
          <w:lang w:val="en-US"/>
        </w:rPr>
        <w:t xml:space="preserve">Ndhlala, A. R. (2017). Wound healing properties of selected plants used in </w:t>
      </w:r>
      <w:bookmarkEnd w:id="99"/>
      <w:r w:rsidRPr="00DC6B6C">
        <w:rPr>
          <w:rFonts w:eastAsia="Times New Roman"/>
          <w:lang w:val="en-US"/>
        </w:rPr>
        <w:t xml:space="preserve">ethnoveterinary medicine. </w:t>
      </w:r>
      <w:r w:rsidRPr="00437D1F">
        <w:rPr>
          <w:rFonts w:eastAsia="Times New Roman"/>
          <w:i/>
          <w:iCs/>
          <w:lang w:val="es-ES"/>
        </w:rPr>
        <w:t>Frontiers in Pharmacology</w:t>
      </w:r>
      <w:r w:rsidRPr="00437D1F">
        <w:rPr>
          <w:rFonts w:eastAsia="Times New Roman"/>
          <w:lang w:val="es-ES"/>
        </w:rPr>
        <w:t xml:space="preserve">, </w:t>
      </w:r>
      <w:r w:rsidRPr="00437D1F">
        <w:rPr>
          <w:rFonts w:eastAsia="Times New Roman"/>
          <w:i/>
          <w:iCs/>
          <w:lang w:val="es-ES"/>
        </w:rPr>
        <w:t>8</w:t>
      </w:r>
      <w:r w:rsidRPr="00437D1F">
        <w:rPr>
          <w:rFonts w:eastAsia="Times New Roman"/>
          <w:lang w:val="es-ES"/>
        </w:rPr>
        <w:t>, 544-554.</w:t>
      </w:r>
    </w:p>
    <w:p w14:paraId="0C439193" w14:textId="77777777" w:rsidR="005630F8" w:rsidRPr="00437D1F" w:rsidRDefault="005630F8" w:rsidP="005630F8">
      <w:pPr>
        <w:ind w:hanging="709"/>
        <w:rPr>
          <w:rFonts w:eastAsia="Times New Roman"/>
          <w:lang w:val="es-ES"/>
        </w:rPr>
      </w:pPr>
      <w:r w:rsidRPr="00300FFC">
        <w:t xml:space="preserve">Masera, O., Astier, M. y López-Ridaura, S. (2000). </w:t>
      </w:r>
      <w:r w:rsidRPr="00300FFC">
        <w:rPr>
          <w:i/>
          <w:iCs/>
        </w:rPr>
        <w:t>Sustentabilidad y manejo de recursos naturales: el marco de evaluación MESMIS</w:t>
      </w:r>
      <w:r w:rsidRPr="00300FFC">
        <w:t xml:space="preserve">. </w:t>
      </w:r>
      <w:r>
        <w:t xml:space="preserve">Distrito Federal, </w:t>
      </w:r>
      <w:r w:rsidRPr="00300FFC">
        <w:t>México: MundiPrensa.</w:t>
      </w:r>
    </w:p>
    <w:p w14:paraId="17347691" w14:textId="77777777" w:rsidR="005630F8" w:rsidRPr="00437D1F" w:rsidRDefault="005630F8" w:rsidP="005630F8">
      <w:pPr>
        <w:ind w:hanging="709"/>
        <w:rPr>
          <w:rFonts w:eastAsia="Times New Roman"/>
          <w:lang w:val="es-ES"/>
        </w:rPr>
      </w:pPr>
      <w:r>
        <w:t xml:space="preserve">Max-Neef, M. (2016). Los cimientos de la transdisciplinariedad. </w:t>
      </w:r>
      <w:r w:rsidRPr="00300FFC">
        <w:t>En F. Delgado y S. Rist</w:t>
      </w:r>
      <w:r>
        <w:t>.</w:t>
      </w:r>
      <w:r w:rsidRPr="00300FFC">
        <w:t xml:space="preserve"> (Ed.) </w:t>
      </w:r>
      <w:r w:rsidRPr="00300FFC">
        <w:rPr>
          <w:i/>
        </w:rPr>
        <w:t>Ciencias, diálogo de saberes y transdisciplinariedad</w:t>
      </w:r>
      <w:r w:rsidRPr="00300FFC">
        <w:t xml:space="preserve"> (pp. </w:t>
      </w:r>
      <w:r>
        <w:t>191</w:t>
      </w:r>
      <w:r w:rsidRPr="00300FFC">
        <w:t>-</w:t>
      </w:r>
      <w:r>
        <w:t>213</w:t>
      </w:r>
      <w:r w:rsidRPr="00300FFC">
        <w:t xml:space="preserve">). La Paz, Bolivia: Plural editors. </w:t>
      </w:r>
    </w:p>
    <w:p w14:paraId="52B55B10" w14:textId="77777777" w:rsidR="005630F8" w:rsidRDefault="005630F8" w:rsidP="005630F8">
      <w:pPr>
        <w:ind w:hanging="709"/>
        <w:rPr>
          <w:rFonts w:eastAsia="Times New Roman"/>
          <w:lang w:val="en-US"/>
        </w:rPr>
      </w:pPr>
      <w:r w:rsidRPr="00437D1F">
        <w:rPr>
          <w:rFonts w:eastAsia="Times New Roman"/>
          <w:lang w:val="es-ES"/>
        </w:rPr>
        <w:lastRenderedPageBreak/>
        <w:t xml:space="preserve">Mayer, M., Zbinden, M., Vogl, C. R., Ivemeyer, S., Meier, B., Amorena, M., … </w:t>
      </w:r>
      <w:r w:rsidRPr="00DC6B6C">
        <w:rPr>
          <w:rFonts w:eastAsia="Times New Roman"/>
          <w:lang w:val="en-US"/>
        </w:rPr>
        <w:t xml:space="preserve">Walkenhorst, M. (2017). Swiss ethnoveterinary knowledge on medicinal plants - a within-country comparison of Italian speaking regions with north-western German speaking regions. </w:t>
      </w:r>
      <w:r w:rsidRPr="00DC6B6C">
        <w:rPr>
          <w:rFonts w:eastAsia="Times New Roman"/>
          <w:i/>
          <w:iCs/>
          <w:lang w:val="en-US"/>
        </w:rPr>
        <w:t>Journal of Ethnobiology and Ethnomedicine</w:t>
      </w:r>
      <w:r w:rsidRPr="00DC6B6C">
        <w:rPr>
          <w:rFonts w:eastAsia="Times New Roman"/>
          <w:lang w:val="en-US"/>
        </w:rPr>
        <w:t xml:space="preserve">, </w:t>
      </w:r>
      <w:r w:rsidRPr="00DC6B6C">
        <w:rPr>
          <w:rFonts w:eastAsia="Times New Roman"/>
          <w:i/>
          <w:iCs/>
          <w:lang w:val="en-US"/>
        </w:rPr>
        <w:t>13</w:t>
      </w:r>
      <w:r w:rsidRPr="00DC6B6C">
        <w:rPr>
          <w:rFonts w:eastAsia="Times New Roman"/>
          <w:lang w:val="en-US"/>
        </w:rPr>
        <w:t>(1)</w:t>
      </w:r>
      <w:r>
        <w:rPr>
          <w:rFonts w:eastAsia="Times New Roman"/>
          <w:lang w:val="en-US"/>
        </w:rPr>
        <w:t>, 1-24.</w:t>
      </w:r>
    </w:p>
    <w:p w14:paraId="12734C1B" w14:textId="77777777" w:rsidR="005630F8" w:rsidRPr="00437D1F" w:rsidRDefault="005630F8" w:rsidP="005630F8">
      <w:pPr>
        <w:ind w:hanging="709"/>
        <w:rPr>
          <w:rFonts w:eastAsia="Times New Roman"/>
          <w:lang w:val="en-US"/>
        </w:rPr>
      </w:pPr>
      <w:bookmarkStart w:id="100" w:name="_Hlk526696346"/>
      <w:r w:rsidRPr="00437D1F">
        <w:rPr>
          <w:rFonts w:eastAsia="Times New Roman"/>
          <w:lang w:val="en-US"/>
        </w:rPr>
        <w:t xml:space="preserve">Mayoral, P, Z., Piña, V. M. D., Gómez, S., A., Salazar, O. L., Aguilar, T. G., &amp; Carbajal, F. A. (2017). </w:t>
      </w:r>
      <w:r w:rsidRPr="00C4736A">
        <w:rPr>
          <w:rFonts w:eastAsia="Times New Roman"/>
          <w:lang w:val="es-ES"/>
        </w:rPr>
        <w:t xml:space="preserve">El nematodo </w:t>
      </w:r>
      <w:r w:rsidRPr="009F79FF">
        <w:rPr>
          <w:rFonts w:eastAsia="Times New Roman"/>
          <w:i/>
          <w:iCs/>
          <w:lang w:val="es-ES"/>
        </w:rPr>
        <w:t>Caenorhabditis elegans</w:t>
      </w:r>
      <w:r w:rsidRPr="00C4736A">
        <w:rPr>
          <w:rFonts w:eastAsia="Times New Roman"/>
          <w:lang w:val="es-ES"/>
        </w:rPr>
        <w:t xml:space="preserve"> como modelo para evaluar el potencial antihelmíntico de extractos de plantas. </w:t>
      </w:r>
      <w:r w:rsidRPr="00437D1F">
        <w:rPr>
          <w:rFonts w:eastAsia="Times New Roman"/>
          <w:i/>
          <w:iCs/>
          <w:lang w:val="en-US"/>
        </w:rPr>
        <w:t>Revista Mexicana de Ciencias Pecuarias</w:t>
      </w:r>
      <w:r w:rsidRPr="00437D1F">
        <w:rPr>
          <w:rFonts w:eastAsia="Times New Roman"/>
          <w:lang w:val="en-US"/>
        </w:rPr>
        <w:t xml:space="preserve">, </w:t>
      </w:r>
      <w:r w:rsidRPr="00437D1F">
        <w:rPr>
          <w:rFonts w:eastAsia="Times New Roman"/>
          <w:i/>
          <w:iCs/>
          <w:lang w:val="en-US"/>
        </w:rPr>
        <w:t>8</w:t>
      </w:r>
      <w:r w:rsidRPr="00437D1F">
        <w:rPr>
          <w:rFonts w:eastAsia="Times New Roman"/>
          <w:lang w:val="en-US"/>
        </w:rPr>
        <w:t xml:space="preserve">(3), 279–289. </w:t>
      </w:r>
      <w:bookmarkEnd w:id="100"/>
    </w:p>
    <w:p w14:paraId="6C3B72BC" w14:textId="77777777" w:rsidR="005630F8" w:rsidRPr="00437D1F" w:rsidRDefault="005630F8" w:rsidP="005630F8">
      <w:pPr>
        <w:ind w:hanging="709"/>
        <w:rPr>
          <w:lang w:val="en-US"/>
        </w:rPr>
      </w:pPr>
      <w:r w:rsidRPr="00437D1F">
        <w:rPr>
          <w:lang w:val="en-US"/>
        </w:rPr>
        <w:t xml:space="preserve">McCorkle, C. M. (1986). An introduction to ethnoveterinary research and development. </w:t>
      </w:r>
      <w:r w:rsidRPr="00437D1F">
        <w:rPr>
          <w:i/>
          <w:iCs/>
          <w:lang w:val="en-US"/>
        </w:rPr>
        <w:t>Journal of Ethnobiology, 6</w:t>
      </w:r>
      <w:r w:rsidRPr="00437D1F">
        <w:rPr>
          <w:lang w:val="en-US"/>
        </w:rPr>
        <w:t>(1), 129-149.</w:t>
      </w:r>
    </w:p>
    <w:p w14:paraId="3FAD88B6" w14:textId="77777777" w:rsidR="005630F8" w:rsidRDefault="005630F8" w:rsidP="005630F8">
      <w:pPr>
        <w:ind w:hanging="709"/>
        <w:rPr>
          <w:rFonts w:eastAsia="Times New Roman"/>
        </w:rPr>
      </w:pPr>
      <w:r w:rsidRPr="009D5269">
        <w:rPr>
          <w:rFonts w:eastAsia="Times New Roman"/>
        </w:rPr>
        <w:t>Mesa</w:t>
      </w:r>
      <w:r>
        <w:rPr>
          <w:rFonts w:eastAsia="Times New Roman"/>
        </w:rPr>
        <w:t>,</w:t>
      </w:r>
      <w:r w:rsidRPr="009D5269">
        <w:rPr>
          <w:rFonts w:eastAsia="Times New Roman"/>
        </w:rPr>
        <w:t xml:space="preserve"> V</w:t>
      </w:r>
      <w:r>
        <w:rPr>
          <w:rFonts w:eastAsia="Times New Roman"/>
        </w:rPr>
        <w:t>.</w:t>
      </w:r>
      <w:r w:rsidRPr="009D5269">
        <w:rPr>
          <w:rFonts w:eastAsia="Times New Roman"/>
        </w:rPr>
        <w:t xml:space="preserve"> A. M., Naranjo, J. P., Diez, A. F., Ocampo, O., &amp; Monsalve, Z. L. (2017). </w:t>
      </w:r>
      <w:r w:rsidRPr="00DC6B6C">
        <w:rPr>
          <w:rFonts w:eastAsia="Times New Roman"/>
          <w:lang w:val="en-US"/>
        </w:rPr>
        <w:t xml:space="preserve">Antibacterial and larvicidal activity against aedes aegypti L. Of extracts from ambrosia peruviana willd (Altamisa). </w:t>
      </w:r>
      <w:r w:rsidRPr="009D5269">
        <w:rPr>
          <w:rFonts w:eastAsia="Times New Roman"/>
          <w:i/>
          <w:iCs/>
        </w:rPr>
        <w:t>Revista Cubana de Plantas Medicinales</w:t>
      </w:r>
      <w:r w:rsidRPr="009D5269">
        <w:rPr>
          <w:rFonts w:eastAsia="Times New Roman"/>
        </w:rPr>
        <w:t xml:space="preserve">, </w:t>
      </w:r>
      <w:r w:rsidRPr="009D5269">
        <w:rPr>
          <w:rFonts w:eastAsia="Times New Roman"/>
          <w:i/>
          <w:iCs/>
        </w:rPr>
        <w:t>22</w:t>
      </w:r>
      <w:r w:rsidRPr="009D5269">
        <w:rPr>
          <w:rFonts w:eastAsia="Times New Roman"/>
        </w:rPr>
        <w:t xml:space="preserve">(1), 1–11. </w:t>
      </w:r>
    </w:p>
    <w:p w14:paraId="7F62960A" w14:textId="77777777" w:rsidR="005630F8" w:rsidRPr="00437D1F" w:rsidRDefault="005630F8" w:rsidP="005630F8">
      <w:pPr>
        <w:ind w:hanging="709"/>
        <w:rPr>
          <w:lang w:val="en-US"/>
        </w:rPr>
      </w:pPr>
      <w:r w:rsidRPr="00CF5311">
        <w:t>Mireles-Arriaga,</w:t>
      </w:r>
      <w:r>
        <w:t xml:space="preserve"> A. I.,</w:t>
      </w:r>
      <w:r w:rsidRPr="00CF5311">
        <w:t xml:space="preserve"> Hernández-García</w:t>
      </w:r>
      <w:r>
        <w:t>, P. A.</w:t>
      </w:r>
      <w:r w:rsidRPr="00CF5311">
        <w:t>, Espinosa-Ayala</w:t>
      </w:r>
      <w:r>
        <w:t>, E.</w:t>
      </w:r>
      <w:r w:rsidRPr="00CF5311">
        <w:t>, López-Martínez</w:t>
      </w:r>
      <w:r>
        <w:t>, L. X.</w:t>
      </w:r>
      <w:r w:rsidRPr="00CF5311">
        <w:t xml:space="preserve"> y Márquez-Molina</w:t>
      </w:r>
      <w:r>
        <w:t>, O.</w:t>
      </w:r>
      <w:r w:rsidRPr="00CF5311">
        <w:t xml:space="preserve"> (2015)</w:t>
      </w:r>
      <w:r>
        <w:t xml:space="preserve">. </w:t>
      </w:r>
      <w:r w:rsidRPr="00437D1F">
        <w:rPr>
          <w:lang w:val="en-US"/>
        </w:rPr>
        <w:t>Effect of noni (Morinda citrifolia L) on growth performance, lipid oxidation and meat quality traits of rabbits. Life Science Journal, 12(2), 61-85.</w:t>
      </w:r>
    </w:p>
    <w:p w14:paraId="0422FB5E" w14:textId="77777777" w:rsidR="005630F8" w:rsidRDefault="005630F8" w:rsidP="005630F8">
      <w:pPr>
        <w:ind w:hanging="709"/>
      </w:pPr>
      <w:bookmarkStart w:id="101" w:name="_Hlk63803681"/>
      <w:r w:rsidRPr="00437D1F">
        <w:rPr>
          <w:lang w:val="en-US"/>
        </w:rPr>
        <w:t>Moher, D., Liberati, A., Tetzlaff, J., Altman, D. G., &amp; Prisma Group. (2009)</w:t>
      </w:r>
      <w:bookmarkEnd w:id="101"/>
      <w:r w:rsidRPr="00437D1F">
        <w:rPr>
          <w:lang w:val="en-US"/>
        </w:rPr>
        <w:t xml:space="preserve">. Preferred Reporting Items for Systematic Reviews and Meta-Analyses: the PRISMA statement. </w:t>
      </w:r>
      <w:r w:rsidRPr="007C6BFD">
        <w:rPr>
          <w:i/>
          <w:iCs/>
        </w:rPr>
        <w:t>PLoS med</w:t>
      </w:r>
      <w:r w:rsidRPr="00A45267">
        <w:t xml:space="preserve">, </w:t>
      </w:r>
      <w:r w:rsidRPr="007C6BFD">
        <w:rPr>
          <w:i/>
          <w:iCs/>
        </w:rPr>
        <w:t>6</w:t>
      </w:r>
      <w:r w:rsidRPr="00A45267">
        <w:t>(7).</w:t>
      </w:r>
    </w:p>
    <w:p w14:paraId="4D11F0D5" w14:textId="77777777" w:rsidR="005630F8" w:rsidRDefault="005630F8" w:rsidP="005630F8">
      <w:pPr>
        <w:ind w:hanging="709"/>
        <w:rPr>
          <w:rStyle w:val="Hipervnculo"/>
          <w:rFonts w:eastAsia="Times New Roman"/>
        </w:rPr>
      </w:pPr>
      <w:r w:rsidRPr="009D5269">
        <w:rPr>
          <w:rFonts w:eastAsia="Times New Roman"/>
        </w:rPr>
        <w:t>Montoya, R. C. (</w:t>
      </w:r>
      <w:r>
        <w:rPr>
          <w:rFonts w:eastAsia="Times New Roman"/>
        </w:rPr>
        <w:t xml:space="preserve">30 de agosto de </w:t>
      </w:r>
      <w:r w:rsidRPr="009D5269">
        <w:rPr>
          <w:rFonts w:eastAsia="Times New Roman"/>
        </w:rPr>
        <w:t>2017). Cómo se produce la conversión de músculo a carne.</w:t>
      </w:r>
      <w:r>
        <w:rPr>
          <w:rFonts w:eastAsia="Times New Roman"/>
        </w:rPr>
        <w:t xml:space="preserve"> </w:t>
      </w:r>
      <w:r w:rsidRPr="005B26E3">
        <w:rPr>
          <w:rFonts w:eastAsia="Times New Roman"/>
          <w:i/>
          <w:iCs/>
        </w:rPr>
        <w:t>CONtextoganadero</w:t>
      </w:r>
      <w:r>
        <w:rPr>
          <w:rFonts w:eastAsia="Times New Roman"/>
        </w:rPr>
        <w:t>. Recuperado de</w:t>
      </w:r>
      <w:r w:rsidRPr="009D5269">
        <w:rPr>
          <w:rFonts w:eastAsia="Times New Roman"/>
        </w:rPr>
        <w:t xml:space="preserve"> </w:t>
      </w:r>
      <w:hyperlink r:id="rId34" w:history="1">
        <w:r w:rsidRPr="009D5269">
          <w:rPr>
            <w:rStyle w:val="Hipervnculo"/>
            <w:rFonts w:eastAsia="Times New Roman"/>
          </w:rPr>
          <w:t>http://www.contextoganadero.com/ganaderia-sostenible/como-se-produce-la-conversion-de-musculo-carne</w:t>
        </w:r>
      </w:hyperlink>
    </w:p>
    <w:p w14:paraId="4450F13F" w14:textId="77777777" w:rsidR="005630F8" w:rsidRPr="00437D1F" w:rsidRDefault="005630F8" w:rsidP="005630F8">
      <w:pPr>
        <w:ind w:hanging="709"/>
        <w:rPr>
          <w:rFonts w:eastAsia="Times New Roman"/>
          <w:lang w:val="es-ES"/>
        </w:rPr>
      </w:pPr>
      <w:r w:rsidRPr="00DC6B6C">
        <w:rPr>
          <w:rFonts w:eastAsia="Times New Roman"/>
          <w:lang w:val="en-US"/>
        </w:rPr>
        <w:lastRenderedPageBreak/>
        <w:t xml:space="preserve">Mooventhan, P., Manimaran, A., Kumar, R. S., Selvan, A. S., &amp; Prakash, M. A. (2016). Indigenous ethnoveterinary medicinal practices for management of mastitis in dairy cattle. </w:t>
      </w:r>
      <w:r w:rsidRPr="00437D1F">
        <w:rPr>
          <w:rFonts w:eastAsia="Times New Roman"/>
          <w:i/>
          <w:iCs/>
          <w:lang w:val="es-ES"/>
        </w:rPr>
        <w:t>Indian Journal of Animal Research</w:t>
      </w:r>
      <w:r w:rsidRPr="00437D1F">
        <w:rPr>
          <w:rFonts w:eastAsia="Times New Roman"/>
          <w:lang w:val="es-ES"/>
        </w:rPr>
        <w:t xml:space="preserve">, </w:t>
      </w:r>
      <w:r w:rsidRPr="00437D1F">
        <w:rPr>
          <w:rFonts w:eastAsia="Times New Roman"/>
          <w:i/>
          <w:iCs/>
          <w:lang w:val="es-ES"/>
        </w:rPr>
        <w:t>50</w:t>
      </w:r>
      <w:r w:rsidRPr="00437D1F">
        <w:rPr>
          <w:rFonts w:eastAsia="Times New Roman"/>
          <w:lang w:val="es-ES"/>
        </w:rPr>
        <w:t xml:space="preserve">(1), 137–139. </w:t>
      </w:r>
    </w:p>
    <w:p w14:paraId="7043DDDE" w14:textId="77777777" w:rsidR="005630F8" w:rsidRDefault="005630F8" w:rsidP="005630F8">
      <w:pPr>
        <w:ind w:hanging="709"/>
        <w:rPr>
          <w:rFonts w:eastAsia="Times New Roman"/>
        </w:rPr>
      </w:pPr>
      <w:r w:rsidRPr="00437D1F">
        <w:rPr>
          <w:rFonts w:eastAsia="Times New Roman"/>
          <w:lang w:val="es-ES"/>
        </w:rPr>
        <w:t xml:space="preserve">Morin, E. (1984). </w:t>
      </w:r>
      <w:r w:rsidRPr="00CA4179">
        <w:rPr>
          <w:rFonts w:eastAsia="Times New Roman"/>
          <w:i/>
        </w:rPr>
        <w:t>Ciencia con conciencia</w:t>
      </w:r>
      <w:r>
        <w:rPr>
          <w:rFonts w:eastAsia="Times New Roman"/>
        </w:rPr>
        <w:t>. Barcelona: Editorial Anthropos.</w:t>
      </w:r>
    </w:p>
    <w:p w14:paraId="76A381A2" w14:textId="77777777" w:rsidR="005630F8" w:rsidRDefault="005630F8" w:rsidP="005630F8">
      <w:pPr>
        <w:ind w:hanging="709"/>
        <w:rPr>
          <w:rFonts w:eastAsia="Times New Roman"/>
        </w:rPr>
      </w:pPr>
      <w:r w:rsidRPr="002F135F">
        <w:rPr>
          <w:rFonts w:eastAsia="Times New Roman"/>
        </w:rPr>
        <w:t xml:space="preserve">Morin, E. (1994). </w:t>
      </w:r>
      <w:r w:rsidRPr="002F135F">
        <w:rPr>
          <w:rFonts w:eastAsia="Times New Roman"/>
          <w:i/>
          <w:iCs/>
        </w:rPr>
        <w:t>Introducción al pensamiento complejo</w:t>
      </w:r>
      <w:r w:rsidRPr="002F135F">
        <w:rPr>
          <w:rFonts w:eastAsia="Times New Roman"/>
        </w:rPr>
        <w:t>. Barcelona</w:t>
      </w:r>
      <w:r>
        <w:rPr>
          <w:rFonts w:eastAsia="Times New Roman"/>
        </w:rPr>
        <w:t>, España</w:t>
      </w:r>
      <w:r w:rsidRPr="002F135F">
        <w:rPr>
          <w:rFonts w:eastAsia="Times New Roman"/>
        </w:rPr>
        <w:t xml:space="preserve">: </w:t>
      </w:r>
      <w:r>
        <w:rPr>
          <w:rFonts w:eastAsia="Times New Roman"/>
        </w:rPr>
        <w:t>G</w:t>
      </w:r>
      <w:r w:rsidRPr="002F135F">
        <w:rPr>
          <w:rFonts w:eastAsia="Times New Roman"/>
        </w:rPr>
        <w:t>edisa.</w:t>
      </w:r>
    </w:p>
    <w:p w14:paraId="79B12AF2" w14:textId="77777777" w:rsidR="005630F8" w:rsidRPr="009D5269" w:rsidRDefault="005630F8" w:rsidP="005630F8">
      <w:pPr>
        <w:ind w:hanging="709"/>
      </w:pPr>
      <w:r>
        <w:t xml:space="preserve">Morin, E. (1999). </w:t>
      </w:r>
      <w:r w:rsidRPr="0063143E">
        <w:rPr>
          <w:i/>
          <w:iCs/>
        </w:rPr>
        <w:t>La Cabeza Bien Puesta: Repensar la reforma, reformar el pensamiento</w:t>
      </w:r>
      <w:r>
        <w:t>. Buenos Aires, Argentina: Ediciones Nueva Visión.</w:t>
      </w:r>
    </w:p>
    <w:p w14:paraId="1CC972F0" w14:textId="77777777" w:rsidR="005630F8" w:rsidRDefault="005630F8" w:rsidP="005630F8">
      <w:pPr>
        <w:ind w:hanging="709"/>
        <w:rPr>
          <w:rFonts w:eastAsia="Times New Roman"/>
        </w:rPr>
      </w:pPr>
      <w:r w:rsidRPr="0061476F">
        <w:rPr>
          <w:rFonts w:eastAsia="Times New Roman"/>
        </w:rPr>
        <w:t xml:space="preserve">Moya, M. A., </w:t>
      </w:r>
      <w:r>
        <w:rPr>
          <w:rFonts w:eastAsia="Times New Roman"/>
        </w:rPr>
        <w:t>y</w:t>
      </w:r>
      <w:r w:rsidRPr="0061476F">
        <w:rPr>
          <w:rFonts w:eastAsia="Times New Roman"/>
        </w:rPr>
        <w:t xml:space="preserve"> Escudero, V. G. (2015). </w:t>
      </w:r>
      <w:r w:rsidRPr="009D5269">
        <w:rPr>
          <w:rFonts w:eastAsia="Times New Roman"/>
        </w:rPr>
        <w:t xml:space="preserve">Las plantas medicinales en el control de nemátodos gastrointestinales en cabras: Potencial de las plantas que crecen en la región de Coquimbo, Chile. </w:t>
      </w:r>
      <w:r w:rsidRPr="009D5269">
        <w:rPr>
          <w:rFonts w:eastAsia="Times New Roman"/>
          <w:i/>
          <w:iCs/>
        </w:rPr>
        <w:t>Revista Brasileira de Plantas Medicinais</w:t>
      </w:r>
      <w:r w:rsidRPr="009D5269">
        <w:rPr>
          <w:rFonts w:eastAsia="Times New Roman"/>
        </w:rPr>
        <w:t xml:space="preserve">, </w:t>
      </w:r>
      <w:r w:rsidRPr="009D5269">
        <w:rPr>
          <w:rFonts w:eastAsia="Times New Roman"/>
          <w:i/>
          <w:iCs/>
        </w:rPr>
        <w:t>17</w:t>
      </w:r>
      <w:r w:rsidRPr="009D5269">
        <w:rPr>
          <w:rFonts w:eastAsia="Times New Roman"/>
        </w:rPr>
        <w:t>(3), 480–494</w:t>
      </w:r>
      <w:r>
        <w:rPr>
          <w:rFonts w:eastAsia="Times New Roman"/>
        </w:rPr>
        <w:t>.</w:t>
      </w:r>
    </w:p>
    <w:p w14:paraId="774B1FC0" w14:textId="77777777" w:rsidR="005630F8" w:rsidRPr="006A1F6C" w:rsidRDefault="005630F8" w:rsidP="005630F8">
      <w:pPr>
        <w:ind w:hanging="709"/>
        <w:rPr>
          <w:rFonts w:eastAsia="Times New Roman"/>
        </w:rPr>
      </w:pPr>
      <w:bookmarkStart w:id="102" w:name="_Hlk526694833"/>
      <w:r w:rsidRPr="009D1DE2">
        <w:rPr>
          <w:rFonts w:eastAsia="Times New Roman"/>
        </w:rPr>
        <w:t xml:space="preserve">Mudzengi, C. P., Murwira, A., Tivapasi, M., Murungweni, C., Burumu, J. V., &amp; Halimani, T. (2017). </w:t>
      </w:r>
      <w:r w:rsidRPr="00DC6B6C">
        <w:rPr>
          <w:rFonts w:eastAsia="Times New Roman"/>
          <w:lang w:val="en-US"/>
        </w:rPr>
        <w:t xml:space="preserve">Antibacterial activity of aqueous and methanol extracts of selected species used in livestock health management. </w:t>
      </w:r>
      <w:r w:rsidRPr="006A1F6C">
        <w:rPr>
          <w:rFonts w:eastAsia="Times New Roman"/>
          <w:i/>
          <w:iCs/>
        </w:rPr>
        <w:t>Pharmaceutical Biology</w:t>
      </w:r>
      <w:r w:rsidRPr="006A1F6C">
        <w:rPr>
          <w:rFonts w:eastAsia="Times New Roman"/>
        </w:rPr>
        <w:t xml:space="preserve">, </w:t>
      </w:r>
      <w:r w:rsidRPr="006A1F6C">
        <w:rPr>
          <w:rFonts w:eastAsia="Times New Roman"/>
          <w:i/>
          <w:iCs/>
        </w:rPr>
        <w:t>55</w:t>
      </w:r>
      <w:r w:rsidRPr="006A1F6C">
        <w:rPr>
          <w:rFonts w:eastAsia="Times New Roman"/>
        </w:rPr>
        <w:t xml:space="preserve">(1), 1054–1060. </w:t>
      </w:r>
    </w:p>
    <w:bookmarkEnd w:id="102"/>
    <w:p w14:paraId="180DFC4B" w14:textId="77777777" w:rsidR="005630F8" w:rsidRDefault="005630F8" w:rsidP="005630F8">
      <w:pPr>
        <w:ind w:hanging="709"/>
      </w:pPr>
      <w:r w:rsidRPr="009D5269">
        <w:t>Muro, B. P. (2011). Agroecología, complejidad, transdisciplinariedad y multidimensionalidad. En</w:t>
      </w:r>
      <w:r>
        <w:t xml:space="preserve"> H. J. Hernández. (Coord),</w:t>
      </w:r>
      <w:r w:rsidRPr="009D5269">
        <w:t xml:space="preserve"> </w:t>
      </w:r>
      <w:r w:rsidRPr="00BA6468">
        <w:rPr>
          <w:i/>
          <w:iCs/>
        </w:rPr>
        <w:t>La agroecología en la construcción de alternativas hacia la sustentabilidad rura</w:t>
      </w:r>
      <w:r w:rsidRPr="009D5269">
        <w:t>l (</w:t>
      </w:r>
      <w:r>
        <w:t xml:space="preserve">pp. </w:t>
      </w:r>
      <w:r w:rsidRPr="009D5269">
        <w:t xml:space="preserve">111-128). </w:t>
      </w:r>
      <w:r>
        <w:t xml:space="preserve">Distrito Federal, </w:t>
      </w:r>
      <w:r w:rsidRPr="009D5269">
        <w:t>México: Siglo Veintiuno Editores.</w:t>
      </w:r>
    </w:p>
    <w:p w14:paraId="6B948051" w14:textId="77777777" w:rsidR="005630F8" w:rsidRDefault="005630F8" w:rsidP="005630F8">
      <w:pPr>
        <w:ind w:hanging="709"/>
        <w:rPr>
          <w:rFonts w:eastAsia="Times New Roman"/>
          <w:lang w:val="en-US"/>
        </w:rPr>
      </w:pPr>
      <w:r w:rsidRPr="00801C44">
        <w:rPr>
          <w:rFonts w:eastAsia="Times New Roman"/>
        </w:rPr>
        <w:t xml:space="preserve">Mushtaq, S., Shah, A. M., Shah, A., Lone, S. A., Hussain, A., Hassan, Q. P., &amp; Ali, M. N. (2018). </w:t>
      </w:r>
      <w:r w:rsidRPr="00DC6B6C">
        <w:rPr>
          <w:rFonts w:eastAsia="Times New Roman"/>
          <w:lang w:val="en-US"/>
        </w:rPr>
        <w:t xml:space="preserve">Bovine mastitis: An appraisal of its alternative herbal cure. </w:t>
      </w:r>
      <w:r w:rsidRPr="00DC6B6C">
        <w:rPr>
          <w:rFonts w:eastAsia="Times New Roman"/>
          <w:i/>
          <w:iCs/>
          <w:lang w:val="en-US"/>
        </w:rPr>
        <w:t>Microbial Pathogenesis</w:t>
      </w:r>
      <w:r w:rsidRPr="00DC6B6C">
        <w:rPr>
          <w:rFonts w:eastAsia="Times New Roman"/>
          <w:lang w:val="en-US"/>
        </w:rPr>
        <w:t xml:space="preserve">, </w:t>
      </w:r>
      <w:r w:rsidRPr="00DC6B6C">
        <w:rPr>
          <w:rFonts w:eastAsia="Times New Roman"/>
          <w:i/>
          <w:iCs/>
          <w:lang w:val="en-US"/>
        </w:rPr>
        <w:t>114</w:t>
      </w:r>
      <w:r w:rsidRPr="00DC6B6C">
        <w:rPr>
          <w:rFonts w:eastAsia="Times New Roman"/>
          <w:lang w:val="en-US"/>
        </w:rPr>
        <w:t>, 357–361.</w:t>
      </w:r>
    </w:p>
    <w:p w14:paraId="3B0B90AC" w14:textId="77777777" w:rsidR="005630F8" w:rsidRPr="00DC6B6C" w:rsidRDefault="005630F8" w:rsidP="005630F8">
      <w:pPr>
        <w:ind w:hanging="709"/>
        <w:rPr>
          <w:rFonts w:eastAsia="Times New Roman"/>
          <w:lang w:val="en-US"/>
        </w:rPr>
      </w:pPr>
      <w:bookmarkStart w:id="103" w:name="_Hlk526695346"/>
      <w:r w:rsidRPr="00DC6B6C">
        <w:rPr>
          <w:rFonts w:eastAsia="Times New Roman"/>
          <w:lang w:val="en-US"/>
        </w:rPr>
        <w:t xml:space="preserve">Nath, A., &amp; Joshi, S. (2017). Anti-candidal effect of endophytic fungi isolated from </w:t>
      </w:r>
      <w:r w:rsidRPr="00CF1726">
        <w:rPr>
          <w:rFonts w:eastAsia="Times New Roman"/>
          <w:i/>
          <w:iCs/>
          <w:lang w:val="en-US"/>
        </w:rPr>
        <w:t>Calotropis gigantea</w:t>
      </w:r>
      <w:r>
        <w:rPr>
          <w:rFonts w:eastAsia="Times New Roman"/>
          <w:lang w:val="en-US"/>
        </w:rPr>
        <w:t xml:space="preserve">. </w:t>
      </w:r>
      <w:r w:rsidRPr="00CF1726">
        <w:rPr>
          <w:rFonts w:eastAsia="Times New Roman"/>
          <w:i/>
          <w:iCs/>
          <w:lang w:val="en-US"/>
        </w:rPr>
        <w:t>Revista de Biología Tropical</w:t>
      </w:r>
      <w:r>
        <w:rPr>
          <w:rFonts w:eastAsia="Times New Roman"/>
          <w:lang w:val="en-US"/>
        </w:rPr>
        <w:t>,</w:t>
      </w:r>
      <w:r w:rsidRPr="00DC6B6C">
        <w:rPr>
          <w:rFonts w:eastAsia="Times New Roman"/>
          <w:lang w:val="en-US"/>
        </w:rPr>
        <w:t xml:space="preserve"> </w:t>
      </w:r>
      <w:r w:rsidRPr="00DC6B6C">
        <w:rPr>
          <w:rFonts w:eastAsia="Times New Roman"/>
          <w:i/>
          <w:iCs/>
          <w:lang w:val="en-US"/>
        </w:rPr>
        <w:t>65</w:t>
      </w:r>
      <w:r w:rsidRPr="00DC6B6C">
        <w:rPr>
          <w:rFonts w:eastAsia="Times New Roman"/>
          <w:lang w:val="en-US"/>
        </w:rPr>
        <w:t>(</w:t>
      </w:r>
      <w:r>
        <w:rPr>
          <w:rFonts w:eastAsia="Times New Roman"/>
          <w:lang w:val="en-US"/>
        </w:rPr>
        <w:t>4</w:t>
      </w:r>
      <w:r w:rsidRPr="00DC6B6C">
        <w:rPr>
          <w:rFonts w:eastAsia="Times New Roman"/>
          <w:lang w:val="en-US"/>
        </w:rPr>
        <w:t>), 1437–1447.</w:t>
      </w:r>
    </w:p>
    <w:bookmarkEnd w:id="103"/>
    <w:p w14:paraId="45B9EA08" w14:textId="77777777" w:rsidR="005630F8" w:rsidRPr="00437D1F" w:rsidRDefault="005630F8" w:rsidP="005630F8">
      <w:pPr>
        <w:ind w:hanging="709"/>
        <w:rPr>
          <w:rFonts w:eastAsia="Times New Roman"/>
          <w:lang w:val="es-ES"/>
        </w:rPr>
      </w:pPr>
      <w:r w:rsidRPr="00DC6B6C">
        <w:rPr>
          <w:rFonts w:eastAsia="Times New Roman"/>
          <w:lang w:val="en-US"/>
        </w:rPr>
        <w:lastRenderedPageBreak/>
        <w:t xml:space="preserve">Nath, A., &amp; Joshi, S. R. (2016). Endophytic fungi from tropical ethnoveterinary plants and their antibacterial efficacy against </w:t>
      </w:r>
      <w:r w:rsidRPr="00CF1726">
        <w:rPr>
          <w:rFonts w:eastAsia="Times New Roman"/>
          <w:i/>
          <w:iCs/>
          <w:lang w:val="en-US"/>
        </w:rPr>
        <w:t>Pasteurella multocida</w:t>
      </w:r>
      <w:r w:rsidRPr="00DC6B6C">
        <w:rPr>
          <w:rFonts w:eastAsia="Times New Roman"/>
          <w:lang w:val="en-US"/>
        </w:rPr>
        <w:t xml:space="preserve"> Capsular Type A strain</w:t>
      </w:r>
      <w:r>
        <w:rPr>
          <w:rFonts w:eastAsia="Times New Roman"/>
          <w:lang w:val="en-US"/>
        </w:rPr>
        <w:t xml:space="preserve">. </w:t>
      </w:r>
      <w:r w:rsidRPr="00437D1F">
        <w:rPr>
          <w:rFonts w:eastAsia="Times New Roman"/>
          <w:i/>
          <w:iCs/>
          <w:lang w:val="es-ES"/>
        </w:rPr>
        <w:t>Revista de Biología Tropical,</w:t>
      </w:r>
      <w:r w:rsidRPr="00437D1F">
        <w:rPr>
          <w:rFonts w:eastAsia="Times New Roman"/>
          <w:lang w:val="es-ES"/>
        </w:rPr>
        <w:t xml:space="preserve"> </w:t>
      </w:r>
      <w:r w:rsidRPr="00437D1F">
        <w:rPr>
          <w:rFonts w:eastAsia="Times New Roman"/>
          <w:i/>
          <w:iCs/>
          <w:lang w:val="es-ES"/>
        </w:rPr>
        <w:t>64</w:t>
      </w:r>
      <w:r w:rsidRPr="00437D1F">
        <w:rPr>
          <w:rFonts w:eastAsia="Times New Roman"/>
          <w:lang w:val="es-ES"/>
        </w:rPr>
        <w:t>(2), 733–745.</w:t>
      </w:r>
    </w:p>
    <w:p w14:paraId="0853FCB1" w14:textId="77777777" w:rsidR="005630F8" w:rsidRDefault="005630F8" w:rsidP="005630F8">
      <w:pPr>
        <w:ind w:hanging="709"/>
      </w:pPr>
      <w:r w:rsidRPr="009D5269">
        <w:t xml:space="preserve">Nieto, G., Díaz, P., Bañón, S. &amp; Garrido, M. D. (2010a). </w:t>
      </w:r>
      <w:r w:rsidRPr="00DC6B6C">
        <w:rPr>
          <w:lang w:val="en-US"/>
        </w:rPr>
        <w:t>Dietary administration of ewe diets with a distillate from rosemary leaves (</w:t>
      </w:r>
      <w:r w:rsidRPr="006174A8">
        <w:rPr>
          <w:i/>
          <w:iCs/>
          <w:lang w:val="en-US"/>
        </w:rPr>
        <w:t>Rosmarinus officinalis</w:t>
      </w:r>
      <w:r w:rsidRPr="00DC6B6C">
        <w:rPr>
          <w:lang w:val="en-US"/>
        </w:rPr>
        <w:t xml:space="preserve"> L.): Influence on lamb meat quality. </w:t>
      </w:r>
      <w:r w:rsidRPr="009D5269">
        <w:rPr>
          <w:i/>
        </w:rPr>
        <w:t>Meat Science</w:t>
      </w:r>
      <w:r w:rsidRPr="009D5269">
        <w:t>, 84(1), 23-29.</w:t>
      </w:r>
    </w:p>
    <w:p w14:paraId="1911C63B" w14:textId="77777777" w:rsidR="005630F8" w:rsidRPr="009D5269" w:rsidRDefault="005630F8" w:rsidP="005630F8">
      <w:pPr>
        <w:ind w:hanging="709"/>
      </w:pPr>
      <w:r w:rsidRPr="009D5269">
        <w:t xml:space="preserve">Nieto, G., Díaz, P., Bañón, S., &amp; Garrido, M. D. (2010b). </w:t>
      </w:r>
      <w:r w:rsidRPr="00DC6B6C">
        <w:rPr>
          <w:lang w:val="en-US"/>
        </w:rPr>
        <w:t>Effect on lamb meat quality of including thyme (</w:t>
      </w:r>
      <w:r w:rsidRPr="006174A8">
        <w:rPr>
          <w:i/>
          <w:iCs/>
          <w:lang w:val="en-US"/>
        </w:rPr>
        <w:t>Thymus zygis</w:t>
      </w:r>
      <w:r w:rsidRPr="00DC6B6C">
        <w:rPr>
          <w:lang w:val="en-US"/>
        </w:rPr>
        <w:t xml:space="preserve"> ssp. gracilis) leaves in ewes’ diet. </w:t>
      </w:r>
      <w:r w:rsidRPr="009D5269">
        <w:rPr>
          <w:i/>
        </w:rPr>
        <w:t>Meat science</w:t>
      </w:r>
      <w:r w:rsidRPr="009D5269">
        <w:t>, 85(1), 82-88.</w:t>
      </w:r>
    </w:p>
    <w:p w14:paraId="59EE7430" w14:textId="77777777" w:rsidR="005630F8" w:rsidRPr="009D5269" w:rsidRDefault="005630F8" w:rsidP="005630F8">
      <w:pPr>
        <w:ind w:hanging="709"/>
      </w:pPr>
      <w:bookmarkStart w:id="104" w:name="_Hlk526693662"/>
      <w:r w:rsidRPr="009D5269">
        <w:t xml:space="preserve">Nieves, D. </w:t>
      </w:r>
      <w:r>
        <w:t>(</w:t>
      </w:r>
      <w:r w:rsidRPr="009D5269">
        <w:t>2005</w:t>
      </w:r>
      <w:r>
        <w:t>)</w:t>
      </w:r>
      <w:r w:rsidRPr="009D5269">
        <w:t xml:space="preserve">. Forrajes promisorios para la alimentación de conejos en Venezuela. Valor nutricional. </w:t>
      </w:r>
      <w:r w:rsidRPr="0031197B">
        <w:t>En</w:t>
      </w:r>
      <w:r w:rsidRPr="00B405E0">
        <w:rPr>
          <w:i/>
          <w:iCs/>
        </w:rPr>
        <w:t xml:space="preserve"> VIII Encuentro de Nutrición y Producción de Animales Monogástricos. Universidad Nacional Experimental Ezequiel Zamora</w:t>
      </w:r>
      <w:r w:rsidRPr="009D5269">
        <w:t xml:space="preserve"> </w:t>
      </w:r>
      <w:r w:rsidRPr="0031197B">
        <w:rPr>
          <w:i/>
          <w:iCs/>
        </w:rPr>
        <w:t>(UNELLEZ).</w:t>
      </w:r>
      <w:r w:rsidRPr="009D5269">
        <w:t xml:space="preserve"> </w:t>
      </w:r>
      <w:r>
        <w:t xml:space="preserve">Llevado a cabo en el </w:t>
      </w:r>
      <w:r w:rsidRPr="0031197B">
        <w:t>VIII Encuentro de Nutrición y Producción de Animales Monogástricos.</w:t>
      </w:r>
      <w:r>
        <w:t xml:space="preserve"> </w:t>
      </w:r>
      <w:r w:rsidRPr="009D5269">
        <w:t>Guanare</w:t>
      </w:r>
      <w:r>
        <w:t>,</w:t>
      </w:r>
      <w:r w:rsidRPr="009D5269">
        <w:t xml:space="preserve"> Venezuela</w:t>
      </w:r>
      <w:r>
        <w:t>.</w:t>
      </w:r>
    </w:p>
    <w:bookmarkEnd w:id="104"/>
    <w:p w14:paraId="2BEC3C77" w14:textId="77777777" w:rsidR="005630F8" w:rsidRDefault="005630F8" w:rsidP="005630F8">
      <w:pPr>
        <w:ind w:hanging="709"/>
      </w:pPr>
      <w:r w:rsidRPr="004D1B2B">
        <w:t>Nieves, D., López, D. &amp; Cadena, D. (2001). Alimentación de conejos de engorde con dietas</w:t>
      </w:r>
      <w:r w:rsidRPr="009D5269">
        <w:t xml:space="preserve"> basadas en materias primas no convencionales y suplementación con </w:t>
      </w:r>
      <w:r w:rsidRPr="009D5269">
        <w:rPr>
          <w:i/>
        </w:rPr>
        <w:t>trichantera gigantea</w:t>
      </w:r>
      <w:r w:rsidRPr="009D5269">
        <w:t xml:space="preserve">. </w:t>
      </w:r>
      <w:r w:rsidRPr="009D5269">
        <w:rPr>
          <w:i/>
        </w:rPr>
        <w:t xml:space="preserve">Revista Unelles de </w:t>
      </w:r>
      <w:r>
        <w:rPr>
          <w:i/>
        </w:rPr>
        <w:t>C</w:t>
      </w:r>
      <w:r w:rsidRPr="009D5269">
        <w:rPr>
          <w:i/>
        </w:rPr>
        <w:t xml:space="preserve">iencia y </w:t>
      </w:r>
      <w:r>
        <w:rPr>
          <w:i/>
        </w:rPr>
        <w:t>T</w:t>
      </w:r>
      <w:r w:rsidRPr="009D5269">
        <w:rPr>
          <w:i/>
        </w:rPr>
        <w:t>ecnología</w:t>
      </w:r>
      <w:r>
        <w:t>,</w:t>
      </w:r>
      <w:r w:rsidRPr="009D5269">
        <w:t xml:space="preserve"> </w:t>
      </w:r>
      <w:r>
        <w:t>(sp),</w:t>
      </w:r>
      <w:r w:rsidRPr="009D5269">
        <w:t xml:space="preserve"> 60-66.</w:t>
      </w:r>
    </w:p>
    <w:p w14:paraId="20D871B5" w14:textId="77777777" w:rsidR="005630F8" w:rsidRPr="00DC6B6C" w:rsidRDefault="005630F8" w:rsidP="005630F8">
      <w:pPr>
        <w:ind w:hanging="709"/>
        <w:rPr>
          <w:rFonts w:eastAsia="Times New Roman"/>
          <w:lang w:val="en-US"/>
        </w:rPr>
      </w:pPr>
      <w:bookmarkStart w:id="105" w:name="_Hlk526695149"/>
      <w:r w:rsidRPr="009D1DE2">
        <w:rPr>
          <w:rFonts w:eastAsia="Times New Roman"/>
        </w:rPr>
        <w:t xml:space="preserve">Nyahangare, E. T., Mvumi, B. M., &amp; Mutibvu, T. (2015). </w:t>
      </w:r>
      <w:r w:rsidRPr="00DC6B6C">
        <w:rPr>
          <w:rFonts w:eastAsia="Times New Roman"/>
          <w:lang w:val="en-US"/>
        </w:rPr>
        <w:t xml:space="preserve">Ethnoveterinary plants and practices used for ecto-parasite control in semi-arid smallholder farming areas of Zimbabwe. </w:t>
      </w:r>
      <w:r w:rsidRPr="00DC6B6C">
        <w:rPr>
          <w:rFonts w:eastAsia="Times New Roman"/>
          <w:i/>
          <w:iCs/>
          <w:lang w:val="en-US"/>
        </w:rPr>
        <w:t>Journal of Ethnobiology and Ethnomedicine</w:t>
      </w:r>
      <w:r w:rsidRPr="00DC6B6C">
        <w:rPr>
          <w:rFonts w:eastAsia="Times New Roman"/>
          <w:lang w:val="en-US"/>
        </w:rPr>
        <w:t xml:space="preserve">, </w:t>
      </w:r>
      <w:r w:rsidRPr="00DC6B6C">
        <w:rPr>
          <w:rFonts w:eastAsia="Times New Roman"/>
          <w:i/>
          <w:iCs/>
          <w:lang w:val="en-US"/>
        </w:rPr>
        <w:t>11</w:t>
      </w:r>
      <w:r w:rsidRPr="00DC6B6C">
        <w:rPr>
          <w:rFonts w:eastAsia="Times New Roman"/>
          <w:lang w:val="en-US"/>
        </w:rPr>
        <w:t xml:space="preserve">(1), 1–16. </w:t>
      </w:r>
    </w:p>
    <w:bookmarkEnd w:id="105"/>
    <w:p w14:paraId="2A8EE361" w14:textId="77777777" w:rsidR="005630F8" w:rsidRDefault="005630F8" w:rsidP="005630F8">
      <w:pPr>
        <w:ind w:hanging="709"/>
        <w:rPr>
          <w:rStyle w:val="Hipervnculo"/>
        </w:rPr>
      </w:pPr>
      <w:r w:rsidRPr="009D1DE2">
        <w:rPr>
          <w:color w:val="000000"/>
          <w:lang w:val="en-US"/>
        </w:rPr>
        <w:t>Olivares, E. (</w:t>
      </w:r>
      <w:r>
        <w:rPr>
          <w:color w:val="000000"/>
          <w:lang w:val="en-US"/>
        </w:rPr>
        <w:t xml:space="preserve">12 de octubre de </w:t>
      </w:r>
      <w:r w:rsidRPr="009D1DE2">
        <w:rPr>
          <w:color w:val="000000"/>
          <w:lang w:val="en-US"/>
        </w:rPr>
        <w:t xml:space="preserve">2016). </w:t>
      </w:r>
      <w:r w:rsidRPr="003014E4">
        <w:rPr>
          <w:i/>
          <w:iCs/>
          <w:color w:val="000000"/>
        </w:rPr>
        <w:t>El primer libro de herbolaria americana se hizo en México</w:t>
      </w:r>
      <w:r w:rsidRPr="009D5269">
        <w:rPr>
          <w:color w:val="000000"/>
        </w:rPr>
        <w:t>. Código Espagueti</w:t>
      </w:r>
      <w:r>
        <w:rPr>
          <w:color w:val="000000"/>
        </w:rPr>
        <w:t>. Recuperado de</w:t>
      </w:r>
      <w:r w:rsidRPr="009D5269">
        <w:rPr>
          <w:color w:val="000000"/>
        </w:rPr>
        <w:t xml:space="preserve"> </w:t>
      </w:r>
      <w:hyperlink r:id="rId35" w:history="1">
        <w:r w:rsidRPr="009D5269">
          <w:rPr>
            <w:rStyle w:val="Hipervnculo"/>
          </w:rPr>
          <w:t>https://codigoespagueti.com/noticias/ciencia/primer-libro-de-herbolaria-americana-en-mexico/</w:t>
        </w:r>
      </w:hyperlink>
    </w:p>
    <w:p w14:paraId="46B5C3AC" w14:textId="77777777" w:rsidR="005630F8" w:rsidRPr="006A1F6C" w:rsidRDefault="005630F8" w:rsidP="005630F8">
      <w:pPr>
        <w:ind w:hanging="709"/>
      </w:pPr>
      <w:r w:rsidRPr="00437D1F">
        <w:rPr>
          <w:lang w:val="es-ES"/>
        </w:rPr>
        <w:lastRenderedPageBreak/>
        <w:t xml:space="preserve">Omer, H. A. A., Ibrahim, S. A., Abedo, A. A. &amp; Ali, F. A. F. (2012). </w:t>
      </w:r>
      <w:r w:rsidRPr="00DC6B6C">
        <w:rPr>
          <w:lang w:val="en-US"/>
        </w:rPr>
        <w:t xml:space="preserve">Growth performance of rabbits fed diets containing different levels of energy and mixture of some medicinal plants. </w:t>
      </w:r>
      <w:r w:rsidRPr="006A1F6C">
        <w:rPr>
          <w:i/>
        </w:rPr>
        <w:t>Journal of Agricultural Science</w:t>
      </w:r>
      <w:r w:rsidRPr="006A1F6C">
        <w:t>, 4(2), 201.</w:t>
      </w:r>
    </w:p>
    <w:p w14:paraId="4620899B" w14:textId="77777777" w:rsidR="005630F8" w:rsidRDefault="005630F8" w:rsidP="005630F8">
      <w:pPr>
        <w:ind w:left="709" w:hanging="709"/>
      </w:pPr>
      <w:r>
        <w:t xml:space="preserve">Organización de las Naciones Unidas. (1987). </w:t>
      </w:r>
      <w:r w:rsidRPr="00300FFC">
        <w:rPr>
          <w:i/>
        </w:rPr>
        <w:t xml:space="preserve">Informe de la Comisión Mundial sobre el Medio Ambiente y Desarrollo. Asamblea General de las Naciones Unidas. </w:t>
      </w:r>
      <w:r w:rsidRPr="00300FFC">
        <w:t>Recuperado de https://desarrollosostenible. wordpress.com/2006/09/27/informe-brundtland.</w:t>
      </w:r>
    </w:p>
    <w:p w14:paraId="694BDD44" w14:textId="77777777" w:rsidR="005630F8" w:rsidRPr="00437D1F" w:rsidRDefault="005630F8" w:rsidP="005630F8">
      <w:pPr>
        <w:ind w:hanging="709"/>
        <w:rPr>
          <w:lang w:val="en-US"/>
        </w:rPr>
      </w:pPr>
      <w:bookmarkStart w:id="106" w:name="_Hlk65790302"/>
      <w:bookmarkEnd w:id="63"/>
      <w:r>
        <w:t xml:space="preserve">Ornaghi, M. G., Passetti, R. A., Torrecilhas, J. A., Mottin, C., Vital, A. C. P., Guerrero, A., Sañudo, C., Campo, M. M., &amp; Prado, I. N. (2017). </w:t>
      </w:r>
      <w:r w:rsidRPr="00437D1F">
        <w:rPr>
          <w:lang w:val="en-US"/>
        </w:rPr>
        <w:t xml:space="preserve">Essential oils in the diet of young bulls: Effect on animal performance, digestibility, temperament, feeding behaviour and carcass characteristics. </w:t>
      </w:r>
      <w:r w:rsidRPr="00437D1F">
        <w:rPr>
          <w:i/>
          <w:iCs/>
          <w:lang w:val="en-US"/>
        </w:rPr>
        <w:t>Animal Journal Feed Science and Technology</w:t>
      </w:r>
      <w:r w:rsidRPr="00437D1F">
        <w:rPr>
          <w:lang w:val="en-US"/>
        </w:rPr>
        <w:t>, 234, 274-283</w:t>
      </w:r>
    </w:p>
    <w:p w14:paraId="1E74715E" w14:textId="77777777" w:rsidR="005630F8" w:rsidRDefault="005630F8" w:rsidP="005630F8">
      <w:pPr>
        <w:ind w:hanging="709"/>
        <w:rPr>
          <w:lang w:val="en-US"/>
        </w:rPr>
      </w:pPr>
      <w:bookmarkStart w:id="107" w:name="_Hlk526696835"/>
      <w:bookmarkEnd w:id="106"/>
      <w:r w:rsidRPr="00437D1F">
        <w:rPr>
          <w:lang w:val="en-US"/>
        </w:rPr>
        <w:t xml:space="preserve">Oso, A. O., Idowu, O. M. O., Haastrup, A. S., Ajibade, A. J., Olowonefa, K. O., Aluko, A. O. &amp; Bamgbose, A. M. (2013). </w:t>
      </w:r>
      <w:r w:rsidRPr="00DC6B6C">
        <w:rPr>
          <w:lang w:val="en-US"/>
        </w:rPr>
        <w:t xml:space="preserve">Growth performance, apparent nutrient digestibility, caecal fermentation, ileal morphology and caecal microflora of growing rabbits fed diets containing probiotics and prebiotics. </w:t>
      </w:r>
      <w:r w:rsidRPr="00DC6B6C">
        <w:rPr>
          <w:i/>
          <w:lang w:val="en-US"/>
        </w:rPr>
        <w:t>Livestock Science</w:t>
      </w:r>
      <w:r w:rsidRPr="00DC6B6C">
        <w:rPr>
          <w:lang w:val="en-US"/>
        </w:rPr>
        <w:t>, 157(1), 184-190.</w:t>
      </w:r>
      <w:bookmarkEnd w:id="107"/>
    </w:p>
    <w:p w14:paraId="742DD9B2" w14:textId="77777777" w:rsidR="005630F8" w:rsidRPr="00437D1F" w:rsidRDefault="005630F8" w:rsidP="005630F8">
      <w:pPr>
        <w:ind w:hanging="709"/>
        <w:rPr>
          <w:lang w:val="es-ES"/>
        </w:rPr>
      </w:pPr>
      <w:r>
        <w:t xml:space="preserve">Osorio, G. S. N. (2012). El pensamiento complejo y la transdisciplinariedad: fenómenos emergentes de una nueva racionalidad. </w:t>
      </w:r>
      <w:r w:rsidRPr="005E71FE">
        <w:rPr>
          <w:i/>
          <w:iCs/>
        </w:rPr>
        <w:t>Revista de la Facultad de Ciencias Económicas de la Universidad Militar Nueva Granada</w:t>
      </w:r>
      <w:r>
        <w:t xml:space="preserve">, </w:t>
      </w:r>
      <w:proofErr w:type="gramStart"/>
      <w:r w:rsidRPr="00497217">
        <w:rPr>
          <w:i/>
          <w:iCs/>
        </w:rPr>
        <w:t>XX</w:t>
      </w:r>
      <w:r>
        <w:t>(</w:t>
      </w:r>
      <w:proofErr w:type="gramEnd"/>
      <w:r>
        <w:t>1), 269-291.</w:t>
      </w:r>
    </w:p>
    <w:p w14:paraId="1E05647F" w14:textId="77777777" w:rsidR="005630F8" w:rsidRPr="00437D1F" w:rsidRDefault="005630F8" w:rsidP="005630F8">
      <w:pPr>
        <w:ind w:hanging="709"/>
        <w:rPr>
          <w:rFonts w:eastAsia="Times New Roman"/>
          <w:lang w:val="es-ES"/>
        </w:rPr>
      </w:pPr>
      <w:bookmarkStart w:id="108" w:name="_Hlk526695180"/>
      <w:bookmarkEnd w:id="64"/>
      <w:r w:rsidRPr="00DC6B6C">
        <w:rPr>
          <w:rFonts w:eastAsia="Times New Roman"/>
          <w:lang w:val="en-US"/>
        </w:rPr>
        <w:t xml:space="preserve">Oyedeji-Amusa, M. O., Ojuromi, O. T., &amp; Ashafa, A. O. (2016). Ethnoveterinary survey of tradomedical importance of Bos taurus L urine, bile and dung in Nigeria and South Africa. </w:t>
      </w:r>
      <w:r w:rsidRPr="00437D1F">
        <w:rPr>
          <w:rFonts w:eastAsia="Times New Roman"/>
          <w:i/>
          <w:iCs/>
          <w:lang w:val="es-ES"/>
        </w:rPr>
        <w:t>Tropical Journal of Pharmaceutical Research</w:t>
      </w:r>
      <w:r w:rsidRPr="00437D1F">
        <w:rPr>
          <w:rFonts w:eastAsia="Times New Roman"/>
          <w:lang w:val="es-ES"/>
        </w:rPr>
        <w:t xml:space="preserve">, </w:t>
      </w:r>
      <w:r w:rsidRPr="00437D1F">
        <w:rPr>
          <w:rFonts w:eastAsia="Times New Roman"/>
          <w:i/>
          <w:iCs/>
          <w:lang w:val="es-ES"/>
        </w:rPr>
        <w:t>15</w:t>
      </w:r>
      <w:r w:rsidRPr="00437D1F">
        <w:rPr>
          <w:rFonts w:eastAsia="Times New Roman"/>
          <w:lang w:val="es-ES"/>
        </w:rPr>
        <w:t xml:space="preserve">(8), 1807–1813. </w:t>
      </w:r>
    </w:p>
    <w:p w14:paraId="4FED2617" w14:textId="77777777" w:rsidR="005630F8" w:rsidRPr="00110B97" w:rsidRDefault="005630F8" w:rsidP="005630F8">
      <w:pPr>
        <w:ind w:hanging="709"/>
        <w:rPr>
          <w:iCs/>
        </w:rPr>
      </w:pPr>
      <w:bookmarkStart w:id="109" w:name="_Hlk526696886"/>
      <w:bookmarkEnd w:id="65"/>
      <w:bookmarkEnd w:id="108"/>
      <w:r w:rsidRPr="009D5269">
        <w:t xml:space="preserve">Palma, C. </w:t>
      </w:r>
      <w:r>
        <w:t>y</w:t>
      </w:r>
      <w:r w:rsidRPr="009D5269">
        <w:t xml:space="preserve"> Hurtado., E. (20</w:t>
      </w:r>
      <w:r>
        <w:t>10</w:t>
      </w:r>
      <w:r w:rsidRPr="009D5269">
        <w:t>). Comportamiento productivo de conejos durante el periodo de crecimiento-engorde alimentados con frutos de mango (</w:t>
      </w:r>
      <w:r>
        <w:rPr>
          <w:i/>
        </w:rPr>
        <w:t>M</w:t>
      </w:r>
      <w:r w:rsidRPr="009D5269">
        <w:rPr>
          <w:i/>
        </w:rPr>
        <w:t>angifera indica</w:t>
      </w:r>
      <w:r w:rsidRPr="009D5269">
        <w:t xml:space="preserve">) en sustitución parcial del alimento balanceado comercial. </w:t>
      </w:r>
      <w:r>
        <w:rPr>
          <w:i/>
        </w:rPr>
        <w:t>Idedia (Arica), 28</w:t>
      </w:r>
      <w:r>
        <w:rPr>
          <w:iCs/>
        </w:rPr>
        <w:t>(1), 33-37.</w:t>
      </w:r>
    </w:p>
    <w:bookmarkEnd w:id="66"/>
    <w:bookmarkEnd w:id="109"/>
    <w:p w14:paraId="57DB24E8" w14:textId="77777777" w:rsidR="005630F8" w:rsidRDefault="005630F8" w:rsidP="005630F8">
      <w:pPr>
        <w:ind w:hanging="709"/>
        <w:rPr>
          <w:rFonts w:eastAsia="Times New Roman"/>
        </w:rPr>
      </w:pPr>
      <w:r w:rsidRPr="009D5269">
        <w:rPr>
          <w:rFonts w:eastAsia="Times New Roman"/>
        </w:rPr>
        <w:lastRenderedPageBreak/>
        <w:t xml:space="preserve">Parra, M., Valenzuela, B., Soto, S. &amp; Modak, B. (2016). </w:t>
      </w:r>
      <w:r w:rsidRPr="00DC6B6C">
        <w:rPr>
          <w:rFonts w:eastAsia="Times New Roman"/>
          <w:lang w:val="en-US"/>
        </w:rPr>
        <w:t xml:space="preserve">Antibacterial activity of cuticular components from </w:t>
      </w:r>
      <w:r w:rsidRPr="00D0093A">
        <w:rPr>
          <w:rFonts w:eastAsia="Times New Roman"/>
          <w:i/>
          <w:iCs/>
          <w:lang w:val="en-US"/>
        </w:rPr>
        <w:t>Heliotropium</w:t>
      </w:r>
      <w:r w:rsidRPr="00DC6B6C">
        <w:rPr>
          <w:rFonts w:eastAsia="Times New Roman"/>
          <w:lang w:val="en-US"/>
        </w:rPr>
        <w:t xml:space="preserve"> species, against </w:t>
      </w:r>
      <w:r w:rsidRPr="00D0093A">
        <w:rPr>
          <w:rFonts w:eastAsia="Times New Roman"/>
          <w:i/>
          <w:iCs/>
          <w:lang w:val="en-US"/>
        </w:rPr>
        <w:t>Staphylococcus aureus</w:t>
      </w:r>
      <w:r w:rsidRPr="00DC6B6C">
        <w:rPr>
          <w:rFonts w:eastAsia="Times New Roman"/>
          <w:lang w:val="en-US"/>
        </w:rPr>
        <w:t xml:space="preserve"> and </w:t>
      </w:r>
      <w:r w:rsidRPr="00D0093A">
        <w:rPr>
          <w:rFonts w:eastAsia="Times New Roman"/>
          <w:i/>
          <w:iCs/>
          <w:lang w:val="en-US"/>
        </w:rPr>
        <w:t>Salmonella tiphymurium</w:t>
      </w:r>
      <w:r w:rsidRPr="00DC6B6C">
        <w:rPr>
          <w:rFonts w:eastAsia="Times New Roman"/>
          <w:lang w:val="en-US"/>
        </w:rPr>
        <w:t xml:space="preserve">. </w:t>
      </w:r>
      <w:r w:rsidRPr="009D5269">
        <w:rPr>
          <w:rFonts w:eastAsia="Times New Roman"/>
          <w:i/>
          <w:iCs/>
        </w:rPr>
        <w:t>Boletín Latinoamericano Y Del Caribe de Plantas Medicinales Y Aromáticas</w:t>
      </w:r>
      <w:r w:rsidRPr="009D5269">
        <w:rPr>
          <w:rFonts w:eastAsia="Times New Roman"/>
        </w:rPr>
        <w:t xml:space="preserve">, </w:t>
      </w:r>
      <w:r w:rsidRPr="009D5269">
        <w:rPr>
          <w:rFonts w:eastAsia="Times New Roman"/>
          <w:i/>
          <w:iCs/>
        </w:rPr>
        <w:t>15</w:t>
      </w:r>
      <w:r w:rsidRPr="009D5269">
        <w:rPr>
          <w:rFonts w:eastAsia="Times New Roman"/>
        </w:rPr>
        <w:t xml:space="preserve">(6), 422–428. </w:t>
      </w:r>
    </w:p>
    <w:bookmarkEnd w:id="67"/>
    <w:p w14:paraId="0D23CF59" w14:textId="77777777" w:rsidR="005630F8" w:rsidRPr="009D5269" w:rsidRDefault="005630F8" w:rsidP="005630F8">
      <w:pPr>
        <w:ind w:hanging="709"/>
      </w:pPr>
      <w:r w:rsidRPr="001F502B">
        <w:t xml:space="preserve">Parthiban, R., </w:t>
      </w:r>
      <w:bookmarkStart w:id="110" w:name="_Hlk61899790"/>
      <w:r w:rsidRPr="001F502B">
        <w:t>Vijayakumar, S., Prabhu, S., &amp; Yabesh</w:t>
      </w:r>
      <w:bookmarkEnd w:id="110"/>
      <w:r w:rsidRPr="001F502B">
        <w:t xml:space="preserve">, J. G. E. M. (2016). </w:t>
      </w:r>
      <w:r w:rsidRPr="00437D1F">
        <w:rPr>
          <w:lang w:val="en-US"/>
        </w:rPr>
        <w:t xml:space="preserve">Quantitative traditional knowledge of medicinal plants used to treat livestock diseases from Kudavasal taluk of Thiruvarur district, Tamil Nadu, India. </w:t>
      </w:r>
      <w:r w:rsidRPr="001F502B">
        <w:rPr>
          <w:i/>
          <w:iCs/>
        </w:rPr>
        <w:t>Revista Brasileira de Farmacognosia, 26</w:t>
      </w:r>
      <w:r w:rsidRPr="001F502B">
        <w:t>(1), 109-121.</w:t>
      </w:r>
    </w:p>
    <w:bookmarkEnd w:id="68"/>
    <w:p w14:paraId="31D62E7F" w14:textId="77777777" w:rsidR="005630F8" w:rsidRDefault="005630F8" w:rsidP="005630F8">
      <w:pPr>
        <w:ind w:hanging="709"/>
        <w:rPr>
          <w:color w:val="000000"/>
        </w:rPr>
      </w:pPr>
      <w:r w:rsidRPr="00437D1F">
        <w:rPr>
          <w:color w:val="000000"/>
          <w:lang w:val="es-ES"/>
        </w:rPr>
        <w:t xml:space="preserve">Pávan, M.F., Furlan, V., Caminos, S. y Ojeda, M. S. (2017). </w:t>
      </w:r>
      <w:bookmarkStart w:id="111" w:name="_Hlk11065368"/>
      <w:r w:rsidRPr="009D5269">
        <w:rPr>
          <w:color w:val="000000"/>
        </w:rPr>
        <w:t>Las personas y las plantas medicinales en el noroeste de Córdoba, Argentina</w:t>
      </w:r>
      <w:r>
        <w:rPr>
          <w:color w:val="000000"/>
        </w:rPr>
        <w:t>: r</w:t>
      </w:r>
      <w:r w:rsidRPr="009D5269">
        <w:rPr>
          <w:color w:val="000000"/>
        </w:rPr>
        <w:t>econocimiento y valoración de los recursos naturales locales</w:t>
      </w:r>
      <w:bookmarkEnd w:id="111"/>
      <w:r w:rsidRPr="009D5269">
        <w:rPr>
          <w:color w:val="000000"/>
        </w:rPr>
        <w:t xml:space="preserve">. </w:t>
      </w:r>
      <w:r w:rsidRPr="008307C2">
        <w:rPr>
          <w:i/>
          <w:iCs/>
          <w:color w:val="000000"/>
        </w:rPr>
        <w:t>Boletín Latinoamericano y del Caribe de Plantas Medicinales y Aromáticas, 16</w:t>
      </w:r>
      <w:r>
        <w:rPr>
          <w:color w:val="000000"/>
        </w:rPr>
        <w:t>(1)</w:t>
      </w:r>
      <w:r w:rsidRPr="009D5269">
        <w:rPr>
          <w:color w:val="000000"/>
        </w:rPr>
        <w:t xml:space="preserve">, 78-87. </w:t>
      </w:r>
    </w:p>
    <w:bookmarkEnd w:id="69"/>
    <w:p w14:paraId="00C29B94" w14:textId="77777777" w:rsidR="005630F8" w:rsidRPr="00437D1F" w:rsidRDefault="005630F8" w:rsidP="005630F8">
      <w:pPr>
        <w:ind w:hanging="709"/>
        <w:rPr>
          <w:lang w:val="es-ES"/>
        </w:rPr>
      </w:pPr>
      <w:r w:rsidRPr="00437D1F">
        <w:rPr>
          <w:lang w:val="es-ES"/>
        </w:rPr>
        <w:t xml:space="preserve">Peiretti, P. G., Gai, F., Rotolo, L., Brugiapaglia, A. &amp; Gasco, L. (2013). </w:t>
      </w:r>
      <w:r w:rsidRPr="00DC6B6C">
        <w:rPr>
          <w:lang w:val="en-US"/>
        </w:rPr>
        <w:t xml:space="preserve">Effects of tomato pomace supplementation on carcass characteristics and meat quality of fattening rabbits. </w:t>
      </w:r>
      <w:r w:rsidRPr="00437D1F">
        <w:rPr>
          <w:i/>
          <w:lang w:val="es-ES"/>
        </w:rPr>
        <w:t>Meat science</w:t>
      </w:r>
      <w:r w:rsidRPr="00437D1F">
        <w:rPr>
          <w:lang w:val="es-ES"/>
        </w:rPr>
        <w:t>, 95(2), 345-351.</w:t>
      </w:r>
    </w:p>
    <w:bookmarkEnd w:id="70"/>
    <w:p w14:paraId="44D71D49" w14:textId="77777777" w:rsidR="005630F8" w:rsidRDefault="005630F8" w:rsidP="005630F8">
      <w:pPr>
        <w:pStyle w:val="NormalWeb"/>
        <w:spacing w:line="360" w:lineRule="auto"/>
        <w:ind w:hanging="709"/>
        <w:jc w:val="both"/>
        <w:rPr>
          <w:rFonts w:ascii="Arial" w:hAnsi="Arial" w:cs="Arial"/>
        </w:rPr>
      </w:pPr>
      <w:r w:rsidRPr="009D5269">
        <w:rPr>
          <w:rFonts w:ascii="Arial" w:hAnsi="Arial" w:cs="Arial"/>
        </w:rPr>
        <w:t xml:space="preserve">Pérez L.A. B., Palacios G. B., Castro B. A. L. </w:t>
      </w:r>
      <w:r>
        <w:rPr>
          <w:rFonts w:ascii="Arial" w:hAnsi="Arial" w:cs="Arial"/>
        </w:rPr>
        <w:t>y</w:t>
      </w:r>
      <w:r w:rsidRPr="009D5269">
        <w:rPr>
          <w:rFonts w:ascii="Arial" w:hAnsi="Arial" w:cs="Arial"/>
        </w:rPr>
        <w:t xml:space="preserve"> Flores G. I. (2014). </w:t>
      </w:r>
      <w:r w:rsidRPr="00C37C61">
        <w:rPr>
          <w:rFonts w:ascii="Arial" w:hAnsi="Arial" w:cs="Arial"/>
          <w:i/>
          <w:iCs/>
        </w:rPr>
        <w:t>Sistema mexicano de Equivalentes</w:t>
      </w:r>
      <w:r w:rsidRPr="009D5269">
        <w:rPr>
          <w:rFonts w:ascii="Arial" w:hAnsi="Arial" w:cs="Arial"/>
        </w:rPr>
        <w:t xml:space="preserve">. </w:t>
      </w:r>
      <w:r>
        <w:rPr>
          <w:rFonts w:ascii="Arial" w:hAnsi="Arial" w:cs="Arial"/>
        </w:rPr>
        <w:t xml:space="preserve">Distrito Federal, </w:t>
      </w:r>
      <w:r w:rsidRPr="009D5269">
        <w:rPr>
          <w:rFonts w:ascii="Arial" w:hAnsi="Arial" w:cs="Arial"/>
        </w:rPr>
        <w:t>México: Ogali.</w:t>
      </w:r>
    </w:p>
    <w:bookmarkEnd w:id="71"/>
    <w:p w14:paraId="0B8B4CEB" w14:textId="77777777" w:rsidR="005630F8" w:rsidRDefault="005630F8" w:rsidP="005630F8">
      <w:pPr>
        <w:ind w:hanging="709"/>
      </w:pPr>
      <w:r>
        <w:t>Pérez, M. N. E. y Serién, Q. E</w:t>
      </w:r>
      <w:r w:rsidRPr="00802959">
        <w:t>. (2008). La interdisciplinariedad y la transdisciplinariedad en las ciencias: una mirada a la teoría b</w:t>
      </w:r>
      <w:r>
        <w:t xml:space="preserve">ibliológico-informativa. </w:t>
      </w:r>
      <w:r w:rsidRPr="002F135F">
        <w:rPr>
          <w:i/>
          <w:iCs/>
        </w:rPr>
        <w:t>Acimed, 18</w:t>
      </w:r>
      <w:r>
        <w:t>(4), 1-19.</w:t>
      </w:r>
    </w:p>
    <w:bookmarkEnd w:id="72"/>
    <w:p w14:paraId="7A1298AD" w14:textId="77777777" w:rsidR="005630F8" w:rsidRDefault="005630F8" w:rsidP="005630F8">
      <w:pPr>
        <w:ind w:hanging="709"/>
      </w:pPr>
      <w:r>
        <w:t xml:space="preserve">Piaget, J. G. (1984). </w:t>
      </w:r>
      <w:r w:rsidRPr="00F5779E">
        <w:rPr>
          <w:i/>
          <w:iCs/>
        </w:rPr>
        <w:t>Psicogénesis e historia de la ciencia</w:t>
      </w:r>
      <w:r>
        <w:t>. México: Siglo XXI.</w:t>
      </w:r>
    </w:p>
    <w:bookmarkEnd w:id="73"/>
    <w:p w14:paraId="367825BA" w14:textId="77777777" w:rsidR="005630F8" w:rsidRDefault="005630F8" w:rsidP="005630F8">
      <w:pPr>
        <w:ind w:hanging="709"/>
        <w:rPr>
          <w:rFonts w:eastAsia="Times New Roman"/>
        </w:rPr>
      </w:pPr>
      <w:r w:rsidRPr="00E73274">
        <w:rPr>
          <w:rFonts w:eastAsia="Times New Roman"/>
        </w:rPr>
        <w:t xml:space="preserve">Piaget, J., &amp; Garcia, R. (1971). </w:t>
      </w:r>
      <w:r w:rsidRPr="00E73274">
        <w:rPr>
          <w:rFonts w:eastAsia="Times New Roman"/>
          <w:i/>
        </w:rPr>
        <w:t>Les Explications causales: par Jean Piaget. Avec la collaboration de R. Garcia</w:t>
      </w:r>
      <w:r w:rsidRPr="00E73274">
        <w:rPr>
          <w:rFonts w:eastAsia="Times New Roman"/>
        </w:rPr>
        <w:t>.</w:t>
      </w:r>
      <w:r>
        <w:rPr>
          <w:rFonts w:eastAsia="Times New Roman"/>
        </w:rPr>
        <w:t xml:space="preserve"> Francia:</w:t>
      </w:r>
      <w:r w:rsidRPr="00E73274">
        <w:rPr>
          <w:rFonts w:eastAsia="Times New Roman"/>
        </w:rPr>
        <w:t xml:space="preserve"> Presses universitaires de France.</w:t>
      </w:r>
    </w:p>
    <w:bookmarkEnd w:id="74"/>
    <w:p w14:paraId="3A4C143B" w14:textId="77777777" w:rsidR="005630F8" w:rsidRDefault="005630F8" w:rsidP="005630F8">
      <w:pPr>
        <w:ind w:hanging="709"/>
      </w:pPr>
      <w:r>
        <w:t xml:space="preserve">Pichardo, G. B. (2006). La revolución verde en México. </w:t>
      </w:r>
      <w:r w:rsidRPr="004342C8">
        <w:rPr>
          <w:i/>
          <w:iCs/>
        </w:rPr>
        <w:t>Agrária, 4</w:t>
      </w:r>
      <w:r>
        <w:t>, 40-68.</w:t>
      </w:r>
    </w:p>
    <w:bookmarkEnd w:id="75"/>
    <w:p w14:paraId="13B0F61A" w14:textId="77777777" w:rsidR="005630F8" w:rsidRPr="00437D1F" w:rsidRDefault="005630F8" w:rsidP="005630F8">
      <w:pPr>
        <w:ind w:hanging="709"/>
        <w:rPr>
          <w:rFonts w:eastAsia="Times New Roman"/>
          <w:lang w:val="es-ES"/>
        </w:rPr>
      </w:pPr>
      <w:r w:rsidRPr="009D5269">
        <w:rPr>
          <w:rFonts w:eastAsia="Times New Roman"/>
        </w:rPr>
        <w:lastRenderedPageBreak/>
        <w:t xml:space="preserve">Pieroni, A., Ibraliu, A., Abbasi, A. M., &amp; Papajani-Toska, V. (2015). </w:t>
      </w:r>
      <w:r w:rsidRPr="00DC6B6C">
        <w:rPr>
          <w:rFonts w:eastAsia="Times New Roman"/>
          <w:lang w:val="en-US"/>
        </w:rPr>
        <w:t xml:space="preserve">An ethnobotanical study among Albanians and Aromanians living in the Rraicë and Mokra areas of Eastern Albania. </w:t>
      </w:r>
      <w:r w:rsidRPr="00437D1F">
        <w:rPr>
          <w:rFonts w:eastAsia="Times New Roman"/>
          <w:i/>
          <w:iCs/>
          <w:lang w:val="es-ES"/>
        </w:rPr>
        <w:t>Genetic Resources and Crop Evolution</w:t>
      </w:r>
      <w:r w:rsidRPr="00437D1F">
        <w:rPr>
          <w:rFonts w:eastAsia="Times New Roman"/>
          <w:lang w:val="es-ES"/>
        </w:rPr>
        <w:t xml:space="preserve">, </w:t>
      </w:r>
      <w:r w:rsidRPr="00437D1F">
        <w:rPr>
          <w:rFonts w:eastAsia="Times New Roman"/>
          <w:i/>
          <w:iCs/>
          <w:lang w:val="es-ES"/>
        </w:rPr>
        <w:t>62</w:t>
      </w:r>
      <w:r w:rsidRPr="00437D1F">
        <w:rPr>
          <w:rFonts w:eastAsia="Times New Roman"/>
          <w:lang w:val="es-ES"/>
        </w:rPr>
        <w:t xml:space="preserve">(4), 477–500. </w:t>
      </w:r>
    </w:p>
    <w:bookmarkEnd w:id="76"/>
    <w:p w14:paraId="06DDEEAF" w14:textId="77777777" w:rsidR="005630F8" w:rsidRDefault="005630F8" w:rsidP="005630F8">
      <w:pPr>
        <w:ind w:hanging="709"/>
      </w:pPr>
      <w:r w:rsidRPr="008E051A">
        <w:t xml:space="preserve">Pío-León, J. F., Nieto-Garibay, A., León-de la Luz, J. L., Delgado-Vargas, F., Vega-Aviña, R., </w:t>
      </w:r>
      <w:r>
        <w:t>y</w:t>
      </w:r>
      <w:r w:rsidRPr="008E051A">
        <w:t xml:space="preserve"> Ortega Rubio, A. (2018). Plantas silvestres consumidas como tés recreativos por grupos de rancheros en Baja California Sur, México. </w:t>
      </w:r>
      <w:r w:rsidRPr="008E051A">
        <w:rPr>
          <w:i/>
          <w:iCs/>
        </w:rPr>
        <w:t>Acta Botánica Mexicana</w:t>
      </w:r>
      <w:r w:rsidRPr="008E051A">
        <w:t>, (123), 7-19.</w:t>
      </w:r>
    </w:p>
    <w:bookmarkEnd w:id="77"/>
    <w:p w14:paraId="0B1A5BA3" w14:textId="77777777" w:rsidR="005630F8" w:rsidRDefault="005630F8" w:rsidP="005630F8">
      <w:pPr>
        <w:ind w:hanging="709"/>
        <w:rPr>
          <w:rStyle w:val="Hipervnculo"/>
        </w:rPr>
      </w:pPr>
      <w:r w:rsidRPr="009D5269">
        <w:t xml:space="preserve">Poder Ejecutivo del Estado. (2010). </w:t>
      </w:r>
      <w:r w:rsidRPr="00102ED6">
        <w:rPr>
          <w:i/>
          <w:iCs/>
        </w:rPr>
        <w:t>Gaceta de Gobierno</w:t>
      </w:r>
      <w:r w:rsidRPr="009D5269">
        <w:t xml:space="preserve">. </w:t>
      </w:r>
      <w:r>
        <w:t>Recuperado de</w:t>
      </w:r>
      <w:r w:rsidRPr="009D5269">
        <w:t xml:space="preserve"> </w:t>
      </w:r>
      <w:hyperlink r:id="rId36" w:history="1">
        <w:r w:rsidRPr="009D5269">
          <w:rPr>
            <w:rStyle w:val="Hipervnculo"/>
          </w:rPr>
          <w:t>file:///C:/Users/HP/Downloads/o2836165%20(1).pdf</w:t>
        </w:r>
      </w:hyperlink>
    </w:p>
    <w:p w14:paraId="0D3A2834" w14:textId="77777777" w:rsidR="005630F8" w:rsidRPr="009D5269" w:rsidRDefault="005630F8" w:rsidP="005630F8">
      <w:pPr>
        <w:ind w:hanging="709"/>
        <w:rPr>
          <w:rFonts w:eastAsia="Times New Roman"/>
        </w:rPr>
      </w:pPr>
      <w:r w:rsidRPr="00CD25E3">
        <w:rPr>
          <w:rFonts w:eastAsia="Times New Roman"/>
        </w:rPr>
        <w:t xml:space="preserve">Rivera-Alegría, F. M., </w:t>
      </w:r>
      <w:r>
        <w:rPr>
          <w:rFonts w:eastAsia="Times New Roman"/>
        </w:rPr>
        <w:t xml:space="preserve">Jiménez, </w:t>
      </w:r>
      <w:r w:rsidRPr="00CD25E3">
        <w:rPr>
          <w:rFonts w:eastAsia="Times New Roman"/>
        </w:rPr>
        <w:t>M</w:t>
      </w:r>
      <w:r>
        <w:rPr>
          <w:rFonts w:eastAsia="Times New Roman"/>
        </w:rPr>
        <w:t>.</w:t>
      </w:r>
      <w:r w:rsidRPr="00CD25E3">
        <w:rPr>
          <w:rFonts w:eastAsia="Times New Roman"/>
        </w:rPr>
        <w:t xml:space="preserve"> J., </w:t>
      </w:r>
      <w:r>
        <w:rPr>
          <w:rFonts w:eastAsia="Times New Roman"/>
        </w:rPr>
        <w:t xml:space="preserve">Dávila, O. G., Téllez-Medina D. I., Piña, G. J. M. y </w:t>
      </w:r>
      <w:r w:rsidRPr="00CD25E3">
        <w:rPr>
          <w:rFonts w:eastAsia="Times New Roman"/>
        </w:rPr>
        <w:t>Chay-Canul, A. J.</w:t>
      </w:r>
      <w:r>
        <w:rPr>
          <w:rFonts w:eastAsia="Times New Roman"/>
        </w:rPr>
        <w:t xml:space="preserve"> (2018).</w:t>
      </w:r>
      <w:r w:rsidRPr="00CD25E3">
        <w:rPr>
          <w:rFonts w:eastAsia="Times New Roman"/>
        </w:rPr>
        <w:t xml:space="preserve"> Remanentes de antibióticos y promotores de crecimiento en carnes de bovino comercializadas en </w:t>
      </w:r>
      <w:r>
        <w:rPr>
          <w:rFonts w:eastAsia="Times New Roman"/>
        </w:rPr>
        <w:t>M</w:t>
      </w:r>
      <w:r w:rsidRPr="00CD25E3">
        <w:rPr>
          <w:rFonts w:eastAsia="Times New Roman"/>
        </w:rPr>
        <w:t>éxico y su efecto sobre el grosor de las fibras musculares.</w:t>
      </w:r>
      <w:r>
        <w:rPr>
          <w:rFonts w:eastAsia="Times New Roman"/>
        </w:rPr>
        <w:t xml:space="preserve"> En J. C. Herrera</w:t>
      </w:r>
      <w:r w:rsidRPr="00CD25E3">
        <w:rPr>
          <w:rFonts w:eastAsia="Times New Roman"/>
        </w:rPr>
        <w:t xml:space="preserve"> </w:t>
      </w:r>
      <w:r>
        <w:rPr>
          <w:rFonts w:eastAsia="Times New Roman"/>
        </w:rPr>
        <w:t xml:space="preserve">y A. J. </w:t>
      </w:r>
      <w:r w:rsidRPr="00CD25E3">
        <w:rPr>
          <w:rFonts w:eastAsia="Times New Roman"/>
        </w:rPr>
        <w:t>Chay-Canul</w:t>
      </w:r>
      <w:r>
        <w:rPr>
          <w:rFonts w:eastAsia="Times New Roman"/>
        </w:rPr>
        <w:t xml:space="preserve"> (Eds.) </w:t>
      </w:r>
      <w:r w:rsidRPr="00CD25E3">
        <w:rPr>
          <w:rFonts w:eastAsia="Times New Roman"/>
          <w:i/>
          <w:iCs/>
        </w:rPr>
        <w:t>Avances de la Investigación Sobre Producción Animal y Seguridad Alimentaria en México</w:t>
      </w:r>
      <w:r>
        <w:rPr>
          <w:rFonts w:eastAsia="Times New Roman"/>
        </w:rPr>
        <w:t xml:space="preserve"> (</w:t>
      </w:r>
      <w:r w:rsidRPr="00CD25E3">
        <w:rPr>
          <w:rFonts w:eastAsia="Times New Roman"/>
        </w:rPr>
        <w:t>789</w:t>
      </w:r>
      <w:r>
        <w:rPr>
          <w:rFonts w:eastAsia="Times New Roman"/>
        </w:rPr>
        <w:t>-794). Michoacán, México: Universidad Michoacana de San Nicolás de Hidalgo.</w:t>
      </w:r>
    </w:p>
    <w:bookmarkEnd w:id="78"/>
    <w:p w14:paraId="0B24F7E9" w14:textId="77777777" w:rsidR="005630F8" w:rsidRPr="00DC6B6C" w:rsidRDefault="005630F8" w:rsidP="005630F8">
      <w:pPr>
        <w:ind w:hanging="709"/>
        <w:rPr>
          <w:rFonts w:eastAsia="Times New Roman"/>
          <w:lang w:val="en-US"/>
        </w:rPr>
      </w:pPr>
      <w:r w:rsidRPr="009D5269">
        <w:rPr>
          <w:rFonts w:eastAsia="Times New Roman"/>
        </w:rPr>
        <w:t xml:space="preserve">Rodríguez, G. I. (2017). Potencialidades de </w:t>
      </w:r>
      <w:r w:rsidRPr="00CF1A8C">
        <w:rPr>
          <w:rFonts w:eastAsia="Times New Roman"/>
          <w:i/>
          <w:iCs/>
        </w:rPr>
        <w:t>Tithonia diversifolia</w:t>
      </w:r>
      <w:r w:rsidRPr="009D5269">
        <w:rPr>
          <w:rFonts w:eastAsia="Times New Roman"/>
        </w:rPr>
        <w:t xml:space="preserve"> (Hemsl.) </w:t>
      </w:r>
      <w:r w:rsidRPr="00437D1F">
        <w:rPr>
          <w:rFonts w:eastAsia="Times New Roman"/>
          <w:lang w:val="en-US"/>
        </w:rPr>
        <w:t xml:space="preserve">Gray en la alimentación animal. </w:t>
      </w:r>
      <w:r w:rsidRPr="00DC6B6C">
        <w:rPr>
          <w:rFonts w:eastAsia="Times New Roman"/>
          <w:i/>
          <w:iCs/>
          <w:lang w:val="en-US"/>
        </w:rPr>
        <w:t>Livestock Research for Rural Development</w:t>
      </w:r>
      <w:r w:rsidRPr="00DC6B6C">
        <w:rPr>
          <w:rFonts w:eastAsia="Times New Roman"/>
          <w:lang w:val="en-US"/>
        </w:rPr>
        <w:t xml:space="preserve">, </w:t>
      </w:r>
      <w:r w:rsidRPr="00DC6B6C">
        <w:rPr>
          <w:rFonts w:eastAsia="Times New Roman"/>
          <w:i/>
          <w:iCs/>
          <w:lang w:val="en-US"/>
        </w:rPr>
        <w:t>29</w:t>
      </w:r>
      <w:r w:rsidRPr="00DC6B6C">
        <w:rPr>
          <w:rFonts w:eastAsia="Times New Roman"/>
          <w:lang w:val="en-US"/>
        </w:rPr>
        <w:t>(4)</w:t>
      </w:r>
      <w:r>
        <w:rPr>
          <w:rFonts w:eastAsia="Times New Roman"/>
          <w:lang w:val="en-US"/>
        </w:rPr>
        <w:t>, 1-25.</w:t>
      </w:r>
    </w:p>
    <w:bookmarkEnd w:id="79"/>
    <w:p w14:paraId="24474EC8" w14:textId="77777777" w:rsidR="005630F8" w:rsidRDefault="005630F8" w:rsidP="005630F8">
      <w:pPr>
        <w:ind w:hanging="709"/>
      </w:pPr>
      <w:r w:rsidRPr="00594D2B">
        <w:t xml:space="preserve">Rodríguez, H. E. D. (2017). Tecnologías de la información y comunicación y crecimiento económico. </w:t>
      </w:r>
      <w:r w:rsidRPr="00594D2B">
        <w:rPr>
          <w:i/>
          <w:iCs/>
        </w:rPr>
        <w:t>Economía Informa</w:t>
      </w:r>
      <w:r w:rsidRPr="00594D2B">
        <w:t>, 405, 30-45.</w:t>
      </w:r>
    </w:p>
    <w:p w14:paraId="5EA61DC7" w14:textId="77777777" w:rsidR="005630F8" w:rsidRDefault="005630F8" w:rsidP="005630F8">
      <w:pPr>
        <w:ind w:hanging="709"/>
      </w:pPr>
      <w:r w:rsidRPr="009D5269">
        <w:t>Rojas, S. 2005. Manual de prácticas de tecnología de carnes. Departamento Académico de Ciencia y Tecnología de Alimentos. Universidad Nacional del centro de Perú. Facultad de Ingeniería en Industrias Alimentarias.</w:t>
      </w:r>
      <w:bookmarkEnd w:id="80"/>
    </w:p>
    <w:p w14:paraId="25D1544E" w14:textId="77777777" w:rsidR="005630F8" w:rsidRPr="00300FFC" w:rsidRDefault="005630F8" w:rsidP="005630F8">
      <w:pPr>
        <w:ind w:hanging="709"/>
      </w:pPr>
      <w:r>
        <w:t>SAGARPA.</w:t>
      </w:r>
      <w:r w:rsidRPr="00300FFC">
        <w:t xml:space="preserve"> (2011). </w:t>
      </w:r>
      <w:r w:rsidRPr="00300FFC">
        <w:rPr>
          <w:i/>
        </w:rPr>
        <w:t>La cría de conejo a pequeña escala</w:t>
      </w:r>
      <w:r>
        <w:rPr>
          <w:i/>
        </w:rPr>
        <w:t xml:space="preserve"> </w:t>
      </w:r>
      <w:r>
        <w:rPr>
          <w:iCs/>
        </w:rPr>
        <w:t>(13)</w:t>
      </w:r>
      <w:r>
        <w:t xml:space="preserve">. Recuperado de </w:t>
      </w:r>
      <w:r w:rsidRPr="00DC643F">
        <w:t>https://lebascom.files.wordpress.com/2018/03/cria-de-conejo-a-pequec3b1a-escala.pdf</w:t>
      </w:r>
    </w:p>
    <w:bookmarkEnd w:id="81"/>
    <w:p w14:paraId="6A9BF539" w14:textId="77777777" w:rsidR="005630F8" w:rsidRDefault="005630F8" w:rsidP="005630F8">
      <w:pPr>
        <w:ind w:hanging="709"/>
      </w:pPr>
      <w:r>
        <w:lastRenderedPageBreak/>
        <w:t xml:space="preserve">SAGARPA. (22 de diciembre de 2020). El Estado de México primer lugar en producción de conejos. </w:t>
      </w:r>
      <w:r w:rsidRPr="00E74BF0">
        <w:rPr>
          <w:i/>
          <w:iCs/>
        </w:rPr>
        <w:t>Secretaria de Agricultura, Ganadería, Desarrollo Rural, Pesca y Alimentación</w:t>
      </w:r>
      <w:r>
        <w:t xml:space="preserve">. Recuperado de </w:t>
      </w:r>
      <w:hyperlink r:id="rId37" w:anchor=":~:text=De%20acuerdo%20a%20datos%20del,mil%20600%20toneladas%20de%20carne.&amp;text=Mil%20500%20familias%20mexiquenses%20se%20dedican%20a%20esta%20actividad" w:history="1">
        <w:r w:rsidRPr="00E36C88">
          <w:rPr>
            <w:rStyle w:val="Hipervnculo"/>
          </w:rPr>
          <w:t>https://www.gob.mx/agricultura%7Cedomex/articulos/el-estado-de-mexico-primer-lugar-en-produccion-de-conejos-138004#:~:text=De%20acuerdo%20a%20datos%20del,mil%20600%20toneladas%20de%20carne.&amp;text=Mil%20500%20familias%20mexiquenses%20se%20dedican%20a%20esta%20actividad</w:t>
        </w:r>
      </w:hyperlink>
    </w:p>
    <w:bookmarkEnd w:id="82"/>
    <w:p w14:paraId="7C1B7115" w14:textId="77777777" w:rsidR="005630F8" w:rsidRDefault="005630F8" w:rsidP="005630F8">
      <w:pPr>
        <w:ind w:hanging="709"/>
      </w:pPr>
      <w:r>
        <w:t xml:space="preserve">SAGARPA. (23 de julio de 2015). Cunicultura, alternativa alimentaria en municipios de la Cruzada Nacional contra el Hambre. </w:t>
      </w:r>
      <w:r w:rsidRPr="00A15177">
        <w:rPr>
          <w:i/>
          <w:iCs/>
        </w:rPr>
        <w:t>Secretaria de Agricultura y Desarrollo Rural.</w:t>
      </w:r>
      <w:r>
        <w:t xml:space="preserve"> Recuperado de </w:t>
      </w:r>
      <w:r w:rsidRPr="00A15177">
        <w:t>https://www.gob.mx/agricultura/prensa/cunicultura-alternativa-alimentaria-en-municipios-de-la-cruzada-nacional-contra-el-hambre</w:t>
      </w:r>
      <w:r>
        <w:t xml:space="preserve"> </w:t>
      </w:r>
    </w:p>
    <w:p w14:paraId="43CE299D" w14:textId="77777777" w:rsidR="005630F8" w:rsidRDefault="005630F8" w:rsidP="005630F8">
      <w:pPr>
        <w:ind w:hanging="709"/>
        <w:rPr>
          <w:rFonts w:eastAsia="Times New Roman"/>
        </w:rPr>
      </w:pPr>
      <w:bookmarkStart w:id="112" w:name="_Hlk65782552"/>
      <w:r w:rsidRPr="009D5269">
        <w:rPr>
          <w:rFonts w:eastAsia="Times New Roman"/>
        </w:rPr>
        <w:t xml:space="preserve">SAGARPA-SENASICA. (2015). </w:t>
      </w:r>
      <w:r w:rsidRPr="00470918">
        <w:rPr>
          <w:rFonts w:eastAsia="Times New Roman"/>
          <w:i/>
          <w:iCs/>
        </w:rPr>
        <w:t>Manual de buenas prácticas de producción de carne de conejo</w:t>
      </w:r>
      <w:r w:rsidRPr="009D5269">
        <w:rPr>
          <w:rFonts w:eastAsia="Times New Roman"/>
        </w:rPr>
        <w:t xml:space="preserve"> </w:t>
      </w:r>
      <w:r>
        <w:rPr>
          <w:rFonts w:eastAsia="Times New Roman"/>
        </w:rPr>
        <w:t>(</w:t>
      </w:r>
      <w:r w:rsidRPr="009D5269">
        <w:rPr>
          <w:rFonts w:eastAsia="Times New Roman"/>
        </w:rPr>
        <w:t>64</w:t>
      </w:r>
      <w:r>
        <w:rPr>
          <w:rFonts w:eastAsia="Times New Roman"/>
        </w:rPr>
        <w:t xml:space="preserve">). Recuperado de </w:t>
      </w:r>
      <w:hyperlink r:id="rId38" w:history="1">
        <w:r w:rsidRPr="00A620FD">
          <w:rPr>
            <w:rStyle w:val="Hipervnculo"/>
            <w:rFonts w:eastAsia="Times New Roman"/>
          </w:rPr>
          <w:t>https://www.gob.mx/cms/uploads/attachment/file/95448/Manual_de_Buenas_Pr_cticas_de_Producci_n_de_Carne_de_Conejo.pdf</w:t>
        </w:r>
      </w:hyperlink>
    </w:p>
    <w:bookmarkEnd w:id="83"/>
    <w:bookmarkEnd w:id="112"/>
    <w:p w14:paraId="571F56F5" w14:textId="77777777" w:rsidR="005630F8" w:rsidRDefault="005630F8" w:rsidP="005630F8">
      <w:pPr>
        <w:ind w:hanging="709"/>
      </w:pPr>
      <w:r>
        <w:t xml:space="preserve">Saldarriaga-Zambrano, P. J., Bravo-Cedeño, G. R. y Loor-Rivadeneira, M. R. (2016). La teoría constructivista de Jean Piaget y su significación para la pedagogía contemporánea. </w:t>
      </w:r>
      <w:r w:rsidRPr="0062348D">
        <w:rPr>
          <w:i/>
          <w:iCs/>
        </w:rPr>
        <w:t>Dominio de las Ciencias, 2</w:t>
      </w:r>
      <w:r>
        <w:t>, 127-137.</w:t>
      </w:r>
    </w:p>
    <w:p w14:paraId="6857D68F" w14:textId="77777777" w:rsidR="005630F8" w:rsidRDefault="005630F8" w:rsidP="005630F8">
      <w:pPr>
        <w:ind w:hanging="709"/>
        <w:rPr>
          <w:rFonts w:eastAsia="Times New Roman"/>
        </w:rPr>
      </w:pPr>
      <w:r w:rsidRPr="009D5269">
        <w:rPr>
          <w:rFonts w:eastAsia="Times New Roman"/>
        </w:rPr>
        <w:t xml:space="preserve">Salinas-Espinoza, S., </w:t>
      </w:r>
      <w:bookmarkStart w:id="113" w:name="_Hlk61721605"/>
      <w:r w:rsidRPr="009D5269">
        <w:rPr>
          <w:rFonts w:eastAsia="Times New Roman"/>
        </w:rPr>
        <w:t>Vásquez-Dávila, M. A., Romero-Santill</w:t>
      </w:r>
      <w:r>
        <w:rPr>
          <w:rFonts w:eastAsia="Times New Roman"/>
        </w:rPr>
        <w:t>á</w:t>
      </w:r>
      <w:r w:rsidRPr="009D5269">
        <w:rPr>
          <w:rFonts w:eastAsia="Times New Roman"/>
        </w:rPr>
        <w:t>n, F.</w:t>
      </w:r>
      <w:r>
        <w:rPr>
          <w:rFonts w:eastAsia="Times New Roman"/>
        </w:rPr>
        <w:t xml:space="preserve"> y</w:t>
      </w:r>
      <w:r w:rsidRPr="009D5269">
        <w:rPr>
          <w:rFonts w:eastAsia="Times New Roman"/>
        </w:rPr>
        <w:t xml:space="preserve"> Manzanero-Medina</w:t>
      </w:r>
      <w:bookmarkEnd w:id="113"/>
      <w:r w:rsidRPr="009D5269">
        <w:rPr>
          <w:rFonts w:eastAsia="Times New Roman"/>
        </w:rPr>
        <w:t xml:space="preserve">, G. I. (2017). Medicina veterinaria tradicional para caprinos y ovinos en Coixtlahuaca, Oaxaca, México. </w:t>
      </w:r>
      <w:r w:rsidRPr="009D5269">
        <w:rPr>
          <w:rFonts w:eastAsia="Times New Roman"/>
          <w:i/>
          <w:iCs/>
        </w:rPr>
        <w:t>Actas Iberoamericanas de Conservación Animal</w:t>
      </w:r>
      <w:r w:rsidRPr="009D5269">
        <w:rPr>
          <w:rFonts w:eastAsia="Times New Roman"/>
        </w:rPr>
        <w:t xml:space="preserve">, </w:t>
      </w:r>
      <w:r w:rsidRPr="009D5269">
        <w:rPr>
          <w:rFonts w:eastAsia="Times New Roman"/>
          <w:i/>
          <w:iCs/>
        </w:rPr>
        <w:t>10</w:t>
      </w:r>
      <w:r w:rsidRPr="009D5269">
        <w:rPr>
          <w:rFonts w:eastAsia="Times New Roman"/>
        </w:rPr>
        <w:t>, 277–281.</w:t>
      </w:r>
    </w:p>
    <w:bookmarkEnd w:id="84"/>
    <w:p w14:paraId="0CCF18D3" w14:textId="77777777" w:rsidR="005630F8" w:rsidRPr="00437D1F" w:rsidRDefault="005630F8" w:rsidP="005630F8">
      <w:pPr>
        <w:ind w:hanging="709"/>
        <w:rPr>
          <w:rFonts w:eastAsia="Times New Roman"/>
          <w:lang w:val="es-ES"/>
        </w:rPr>
      </w:pPr>
      <w:r w:rsidRPr="009D1DE2">
        <w:rPr>
          <w:rFonts w:eastAsia="Times New Roman"/>
        </w:rPr>
        <w:t xml:space="preserve">Salpeteur, M., Patel, H. H. R., Molina, J. L., Balbo, A. L., Rubio-Campillo, X., Reyes-García, V., &amp; Madella, M. (2016). </w:t>
      </w:r>
      <w:r w:rsidRPr="00DC6B6C">
        <w:rPr>
          <w:rFonts w:eastAsia="Times New Roman"/>
          <w:lang w:val="en-US"/>
        </w:rPr>
        <w:t xml:space="preserve">Comigrants and friends: Informal networks and the transmission of traditional ecological knowledge among seminomadic pastoralists of Gujarat, India. </w:t>
      </w:r>
      <w:r w:rsidRPr="00437D1F">
        <w:rPr>
          <w:rFonts w:eastAsia="Times New Roman"/>
          <w:i/>
          <w:iCs/>
          <w:lang w:val="es-ES"/>
        </w:rPr>
        <w:t>Ecology and Society</w:t>
      </w:r>
      <w:r w:rsidRPr="00437D1F">
        <w:rPr>
          <w:rFonts w:eastAsia="Times New Roman"/>
          <w:lang w:val="es-ES"/>
        </w:rPr>
        <w:t xml:space="preserve">, </w:t>
      </w:r>
      <w:r w:rsidRPr="00437D1F">
        <w:rPr>
          <w:rFonts w:eastAsia="Times New Roman"/>
          <w:i/>
          <w:iCs/>
          <w:lang w:val="es-ES"/>
        </w:rPr>
        <w:t>21</w:t>
      </w:r>
      <w:r w:rsidRPr="00437D1F">
        <w:rPr>
          <w:rFonts w:eastAsia="Times New Roman"/>
          <w:lang w:val="es-ES"/>
        </w:rPr>
        <w:t>(2), 1-11.</w:t>
      </w:r>
    </w:p>
    <w:p w14:paraId="7FF80734" w14:textId="77777777" w:rsidR="005630F8" w:rsidRPr="00437D1F" w:rsidRDefault="005630F8" w:rsidP="005630F8">
      <w:pPr>
        <w:ind w:hanging="709"/>
        <w:rPr>
          <w:rFonts w:eastAsia="Times New Roman"/>
          <w:lang w:val="en-US"/>
        </w:rPr>
      </w:pPr>
      <w:bookmarkStart w:id="114" w:name="_Hlk526696440"/>
      <w:r w:rsidRPr="00437D1F">
        <w:rPr>
          <w:rFonts w:eastAsia="Times New Roman"/>
          <w:lang w:val="es-ES"/>
        </w:rPr>
        <w:lastRenderedPageBreak/>
        <w:t xml:space="preserve">Sánchez-Casanova, R., Masri-Daba, M., Alonso-Díaz, M., Méndez-Bernal, A., Hernández-Gil, M. &amp; Fernando-Martinez, J. (2015). </w:t>
      </w:r>
      <w:r w:rsidRPr="00DC6B6C">
        <w:rPr>
          <w:rFonts w:eastAsia="Times New Roman"/>
          <w:lang w:val="en-US"/>
        </w:rPr>
        <w:t xml:space="preserve">Ethnoveterinary practices used by owners of working equids with dermal disorders from tropical regions of Veracruz, Mexico. </w:t>
      </w:r>
      <w:r w:rsidRPr="00437D1F">
        <w:rPr>
          <w:rFonts w:eastAsia="Times New Roman"/>
          <w:i/>
          <w:iCs/>
          <w:lang w:val="en-US"/>
        </w:rPr>
        <w:t>Indian Journal of Traditional Knowledge</w:t>
      </w:r>
      <w:r w:rsidRPr="00437D1F">
        <w:rPr>
          <w:rFonts w:eastAsia="Times New Roman"/>
          <w:lang w:val="en-US"/>
        </w:rPr>
        <w:t xml:space="preserve">, </w:t>
      </w:r>
      <w:r w:rsidRPr="00437D1F">
        <w:rPr>
          <w:rFonts w:eastAsia="Times New Roman"/>
          <w:i/>
          <w:iCs/>
          <w:lang w:val="en-US"/>
        </w:rPr>
        <w:t>14</w:t>
      </w:r>
      <w:r w:rsidRPr="00437D1F">
        <w:rPr>
          <w:rFonts w:eastAsia="Times New Roman"/>
          <w:lang w:val="en-US"/>
        </w:rPr>
        <w:t>(3), 344–350.</w:t>
      </w:r>
    </w:p>
    <w:bookmarkEnd w:id="85"/>
    <w:bookmarkEnd w:id="114"/>
    <w:p w14:paraId="69394AB4" w14:textId="77777777" w:rsidR="005630F8" w:rsidRDefault="005630F8" w:rsidP="005630F8">
      <w:pPr>
        <w:ind w:hanging="709"/>
      </w:pPr>
      <w:r w:rsidRPr="00DC6B6C">
        <w:rPr>
          <w:lang w:val="en-US"/>
        </w:rPr>
        <w:t>Schönfeldt H &amp; Gibson N.</w:t>
      </w:r>
      <w:r>
        <w:rPr>
          <w:lang w:val="en-US"/>
        </w:rPr>
        <w:t xml:space="preserve"> (2008).</w:t>
      </w:r>
      <w:r w:rsidRPr="00DC6B6C">
        <w:rPr>
          <w:lang w:val="en-US"/>
        </w:rPr>
        <w:t xml:space="preserve"> Changes in the nutrient quality of meat in an obesity context.</w:t>
      </w:r>
      <w:r w:rsidRPr="00E355F1">
        <w:rPr>
          <w:i/>
          <w:iCs/>
          <w:lang w:val="en-US"/>
        </w:rPr>
        <w:t xml:space="preserve"> </w:t>
      </w:r>
      <w:r w:rsidRPr="00E355F1">
        <w:rPr>
          <w:i/>
          <w:iCs/>
        </w:rPr>
        <w:t>Meat Science</w:t>
      </w:r>
      <w:r>
        <w:t>,</w:t>
      </w:r>
      <w:r w:rsidRPr="006A1F6C">
        <w:t xml:space="preserve"> 80(1):20-27</w:t>
      </w:r>
      <w:r>
        <w:t>.</w:t>
      </w:r>
    </w:p>
    <w:bookmarkEnd w:id="86"/>
    <w:p w14:paraId="55F3BC1F" w14:textId="77777777" w:rsidR="005630F8" w:rsidRDefault="005630F8" w:rsidP="005630F8">
      <w:pPr>
        <w:ind w:hanging="709"/>
        <w:rPr>
          <w:rStyle w:val="Hipervnculo"/>
        </w:rPr>
      </w:pPr>
      <w:r w:rsidRPr="009D5269">
        <w:t xml:space="preserve">Secretaría de Comunicaciones y Transportes. (2014). </w:t>
      </w:r>
      <w:r w:rsidRPr="007A7B7B">
        <w:rPr>
          <w:i/>
          <w:iCs/>
        </w:rPr>
        <w:t>Nuevas autopistas en beneficio directo de cinco entidades del país</w:t>
      </w:r>
      <w:r w:rsidRPr="009D5269">
        <w:t xml:space="preserve">. </w:t>
      </w:r>
      <w:r>
        <w:t>Recuperado de</w:t>
      </w:r>
      <w:r w:rsidRPr="009D5269">
        <w:t xml:space="preserve"> </w:t>
      </w:r>
      <w:hyperlink r:id="rId39" w:history="1">
        <w:r w:rsidRPr="009D5269">
          <w:rPr>
            <w:rStyle w:val="Hipervnculo"/>
          </w:rPr>
          <w:t>http://www.sct.gob.mx/despliega-noticias/article/nuevas-autopistas-en-beneficio-directo-de-cinco-entidades-del-pais/</w:t>
        </w:r>
      </w:hyperlink>
    </w:p>
    <w:bookmarkEnd w:id="87"/>
    <w:p w14:paraId="0284DE36" w14:textId="77777777" w:rsidR="005630F8" w:rsidRDefault="005630F8" w:rsidP="005630F8">
      <w:pPr>
        <w:ind w:hanging="709"/>
        <w:rPr>
          <w:color w:val="000000"/>
        </w:rPr>
      </w:pPr>
      <w:r>
        <w:rPr>
          <w:color w:val="000000"/>
        </w:rPr>
        <w:t>SEDEREC</w:t>
      </w:r>
      <w:r w:rsidRPr="009D5269">
        <w:rPr>
          <w:color w:val="000000"/>
        </w:rPr>
        <w:t>. (201</w:t>
      </w:r>
      <w:r>
        <w:rPr>
          <w:color w:val="000000"/>
        </w:rPr>
        <w:t>7</w:t>
      </w:r>
      <w:r w:rsidRPr="009D5269">
        <w:rPr>
          <w:color w:val="000000"/>
        </w:rPr>
        <w:t xml:space="preserve">). Sederec impulsa </w:t>
      </w:r>
      <w:r>
        <w:rPr>
          <w:color w:val="000000"/>
        </w:rPr>
        <w:t xml:space="preserve">proyectos para el estudio y difusión de la medicina tradicional y herbolaria. Ciudad de México, México: Secretaria de Pueblos y Barrios Originarios y Comunidad Indígenas Residentes. Recuperado de </w:t>
      </w:r>
      <w:hyperlink r:id="rId40" w:history="1">
        <w:r w:rsidRPr="00AA15B0">
          <w:rPr>
            <w:rStyle w:val="Hipervnculo"/>
          </w:rPr>
          <w:t>https://www.sepi.cdmx.gob.mx/comunicacion/nota/sederec-impulsa-proyectos-para-el-estudio-y-difusion-de-la-medicina-tradicional-y-herbolaria</w:t>
        </w:r>
      </w:hyperlink>
    </w:p>
    <w:p w14:paraId="3E4D7524" w14:textId="77777777" w:rsidR="005630F8" w:rsidRDefault="005630F8" w:rsidP="005630F8">
      <w:pPr>
        <w:ind w:hanging="709"/>
      </w:pPr>
      <w:bookmarkStart w:id="115" w:name="_Hlk65778987"/>
      <w:r>
        <w:t xml:space="preserve">SENASICA (28 de marzo de 2016). Impulsan producción de carne de conejo inocua. </w:t>
      </w:r>
      <w:r w:rsidRPr="00A15177">
        <w:rPr>
          <w:i/>
          <w:iCs/>
        </w:rPr>
        <w:t>Servicio Nacional de Sanidad, Inocuidad y Calidad Agroalimentaria.</w:t>
      </w:r>
      <w:r>
        <w:t xml:space="preserve"> Recuperado de </w:t>
      </w:r>
      <w:hyperlink r:id="rId41" w:history="1">
        <w:r w:rsidRPr="005555F1">
          <w:rPr>
            <w:rStyle w:val="Hipervnculo"/>
          </w:rPr>
          <w:t>https://www.gob.mx/senasica/prensa/impulsan-produccion-de-carne-de-conejo-inocua</w:t>
        </w:r>
      </w:hyperlink>
    </w:p>
    <w:p w14:paraId="3C93B069" w14:textId="77777777" w:rsidR="005630F8" w:rsidRPr="009D5269" w:rsidRDefault="005630F8" w:rsidP="005630F8">
      <w:pPr>
        <w:ind w:hanging="709"/>
      </w:pPr>
      <w:bookmarkStart w:id="116" w:name="_Hlk529559939"/>
      <w:bookmarkEnd w:id="88"/>
      <w:bookmarkEnd w:id="115"/>
      <w:r w:rsidRPr="009D5269">
        <w:t>Serrano, R. A. (2003). El modelo territorial europeo. Tendencias para el siglo XXI y sus implicaciones para el modelo territorial español</w:t>
      </w:r>
      <w:r>
        <w:t>,</w:t>
      </w:r>
      <w:r w:rsidRPr="009D5269">
        <w:t xml:space="preserve"> </w:t>
      </w:r>
      <w:r w:rsidRPr="006A18CC">
        <w:rPr>
          <w:i/>
        </w:rPr>
        <w:t>Urban</w:t>
      </w:r>
      <w:r>
        <w:t>, (8),</w:t>
      </w:r>
      <w:r w:rsidRPr="009D5269">
        <w:t xml:space="preserve"> 35-54. </w:t>
      </w:r>
    </w:p>
    <w:bookmarkEnd w:id="89"/>
    <w:bookmarkEnd w:id="116"/>
    <w:p w14:paraId="08E37DD2" w14:textId="77777777" w:rsidR="005630F8" w:rsidRDefault="005630F8" w:rsidP="005630F8">
      <w:pPr>
        <w:ind w:hanging="709"/>
      </w:pPr>
      <w:r w:rsidRPr="00372613">
        <w:t>Solis, J. (2005). Manual de prácticas de tecnología de carnes. Facultad de Ingeniería en Industrias Alimentarias. Huancayo, Perú</w:t>
      </w:r>
      <w:r>
        <w:t xml:space="preserve">: </w:t>
      </w:r>
      <w:r w:rsidRPr="00372613">
        <w:t xml:space="preserve">Universidad Nacional del Centro del Perú. </w:t>
      </w:r>
    </w:p>
    <w:bookmarkEnd w:id="90"/>
    <w:p w14:paraId="1A5E9451" w14:textId="77777777" w:rsidR="005630F8" w:rsidRPr="00437D1F" w:rsidRDefault="005630F8" w:rsidP="005630F8">
      <w:pPr>
        <w:ind w:hanging="709"/>
        <w:rPr>
          <w:rFonts w:eastAsia="Times New Roman"/>
          <w:lang w:val="es-ES"/>
        </w:rPr>
      </w:pPr>
      <w:r w:rsidRPr="00437D1F">
        <w:rPr>
          <w:rFonts w:eastAsia="Times New Roman"/>
          <w:lang w:val="es-ES"/>
        </w:rPr>
        <w:t xml:space="preserve">Sõukand, R., Hrynevich, Y., Vasilyeva, I., Prakofjewa, J., Vnukovich, Y., Paciupa, J., Kalle, R. (2017a). </w:t>
      </w:r>
      <w:r w:rsidRPr="00DC6B6C">
        <w:rPr>
          <w:rFonts w:eastAsia="Times New Roman"/>
          <w:lang w:val="en-US"/>
        </w:rPr>
        <w:t xml:space="preserve">Multi-functionality of the few: Current and past uses of wild plants for </w:t>
      </w:r>
      <w:r w:rsidRPr="00DC6B6C">
        <w:rPr>
          <w:rFonts w:eastAsia="Times New Roman"/>
          <w:lang w:val="en-US"/>
        </w:rPr>
        <w:lastRenderedPageBreak/>
        <w:t xml:space="preserve">food and healing in Liubań region, Belarus. </w:t>
      </w:r>
      <w:r w:rsidRPr="00437D1F">
        <w:rPr>
          <w:rFonts w:eastAsia="Times New Roman"/>
          <w:i/>
          <w:iCs/>
          <w:lang w:val="es-ES"/>
        </w:rPr>
        <w:t>Journal of Ethnobiology and Ethnomedicine</w:t>
      </w:r>
      <w:r w:rsidRPr="00437D1F">
        <w:rPr>
          <w:rFonts w:eastAsia="Times New Roman"/>
          <w:lang w:val="es-ES"/>
        </w:rPr>
        <w:t xml:space="preserve">, </w:t>
      </w:r>
      <w:r w:rsidRPr="00437D1F">
        <w:rPr>
          <w:rFonts w:eastAsia="Times New Roman"/>
          <w:i/>
          <w:iCs/>
          <w:lang w:val="es-ES"/>
        </w:rPr>
        <w:t>13</w:t>
      </w:r>
      <w:r w:rsidRPr="00437D1F">
        <w:rPr>
          <w:rFonts w:eastAsia="Times New Roman"/>
          <w:lang w:val="es-ES"/>
        </w:rPr>
        <w:t>(1), 1–42</w:t>
      </w:r>
    </w:p>
    <w:bookmarkEnd w:id="91"/>
    <w:p w14:paraId="396CB5A7" w14:textId="77777777" w:rsidR="005630F8" w:rsidRPr="00437D1F" w:rsidRDefault="005630F8" w:rsidP="005630F8">
      <w:pPr>
        <w:ind w:hanging="709"/>
        <w:rPr>
          <w:rStyle w:val="Hipervnculo"/>
          <w:rFonts w:eastAsia="Times New Roman"/>
          <w:color w:val="auto"/>
          <w:u w:val="none"/>
          <w:lang w:val="en-US"/>
        </w:rPr>
      </w:pPr>
      <w:r w:rsidRPr="005630F8">
        <w:rPr>
          <w:rStyle w:val="Hipervnculo"/>
          <w:rFonts w:eastAsia="Times New Roman"/>
          <w:color w:val="auto"/>
          <w:u w:val="none"/>
        </w:rPr>
        <w:t xml:space="preserve">Swatland, H. J. (1991). </w:t>
      </w:r>
      <w:r w:rsidRPr="005630F8">
        <w:rPr>
          <w:rStyle w:val="Hipervnculo"/>
          <w:rFonts w:eastAsia="Times New Roman"/>
          <w:i/>
          <w:iCs/>
          <w:color w:val="auto"/>
          <w:u w:val="none"/>
        </w:rPr>
        <w:t>Estructura y desarrollo de los animales de abasto</w:t>
      </w:r>
      <w:r w:rsidRPr="005630F8">
        <w:rPr>
          <w:rStyle w:val="Hipervnculo"/>
          <w:rFonts w:eastAsia="Times New Roman"/>
          <w:color w:val="auto"/>
          <w:u w:val="none"/>
        </w:rPr>
        <w:t xml:space="preserve">. Producción animal y tecnología cárnica. </w:t>
      </w:r>
      <w:r w:rsidRPr="00437D1F">
        <w:rPr>
          <w:rStyle w:val="Hipervnculo"/>
          <w:rFonts w:eastAsia="Times New Roman"/>
          <w:color w:val="auto"/>
          <w:u w:val="none"/>
          <w:lang w:val="en-US"/>
        </w:rPr>
        <w:t>España: Acribia.</w:t>
      </w:r>
    </w:p>
    <w:p w14:paraId="1A81936C" w14:textId="77777777" w:rsidR="005630F8" w:rsidRPr="00437D1F" w:rsidRDefault="005630F8" w:rsidP="005630F8">
      <w:pPr>
        <w:ind w:hanging="709"/>
        <w:rPr>
          <w:rFonts w:eastAsia="Times New Roman"/>
          <w:lang w:val="es-ES"/>
        </w:rPr>
      </w:pPr>
      <w:bookmarkStart w:id="117" w:name="_Hlk526694729"/>
      <w:r w:rsidRPr="00437D1F">
        <w:rPr>
          <w:rFonts w:eastAsia="Times New Roman"/>
          <w:lang w:val="en-US"/>
        </w:rPr>
        <w:t xml:space="preserve">Syakalima, M., Simuunza, M., &amp; Zulu, V. C. (2018). </w:t>
      </w:r>
      <w:r w:rsidRPr="00DC6B6C">
        <w:rPr>
          <w:rFonts w:eastAsia="Times New Roman"/>
          <w:lang w:val="en-US"/>
        </w:rPr>
        <w:t xml:space="preserve">Ethnoveterinary treatments for common cattle diseases in four districts of the Southern Province, Zambia. </w:t>
      </w:r>
      <w:r w:rsidRPr="00437D1F">
        <w:rPr>
          <w:rFonts w:eastAsia="Times New Roman"/>
          <w:i/>
          <w:iCs/>
          <w:lang w:val="es-ES"/>
        </w:rPr>
        <w:t>Veterinary World</w:t>
      </w:r>
      <w:r w:rsidRPr="00437D1F">
        <w:rPr>
          <w:rFonts w:eastAsia="Times New Roman"/>
          <w:lang w:val="es-ES"/>
        </w:rPr>
        <w:t xml:space="preserve">, </w:t>
      </w:r>
      <w:r w:rsidRPr="00437D1F">
        <w:rPr>
          <w:rFonts w:eastAsia="Times New Roman"/>
          <w:i/>
          <w:iCs/>
          <w:lang w:val="es-ES"/>
        </w:rPr>
        <w:t>11</w:t>
      </w:r>
      <w:r w:rsidRPr="00437D1F">
        <w:rPr>
          <w:rFonts w:eastAsia="Times New Roman"/>
          <w:lang w:val="es-ES"/>
        </w:rPr>
        <w:t xml:space="preserve">(2), 141–145. </w:t>
      </w:r>
    </w:p>
    <w:p w14:paraId="78016235" w14:textId="77777777" w:rsidR="005630F8" w:rsidRDefault="005630F8" w:rsidP="005630F8">
      <w:pPr>
        <w:ind w:hanging="709"/>
        <w:rPr>
          <w:rFonts w:eastAsia="Times New Roman"/>
        </w:rPr>
      </w:pPr>
      <w:bookmarkStart w:id="118" w:name="_Hlk65779275"/>
      <w:bookmarkEnd w:id="117"/>
      <w:r w:rsidRPr="00916BCD">
        <w:rPr>
          <w:rFonts w:eastAsia="Times New Roman"/>
        </w:rPr>
        <w:t xml:space="preserve">Tapia R. M. Z. </w:t>
      </w:r>
      <w:r>
        <w:rPr>
          <w:rFonts w:eastAsia="Times New Roman"/>
        </w:rPr>
        <w:t>y</w:t>
      </w:r>
      <w:r w:rsidRPr="00916BCD">
        <w:rPr>
          <w:rFonts w:eastAsia="Times New Roman"/>
        </w:rPr>
        <w:t xml:space="preserve"> Espinosa A. E. (2014). </w:t>
      </w:r>
      <w:r w:rsidRPr="00916BCD">
        <w:rPr>
          <w:rFonts w:eastAsia="Times New Roman"/>
          <w:i/>
          <w:iCs/>
        </w:rPr>
        <w:t>Cunicultura, Manual de Prácticas</w:t>
      </w:r>
      <w:r w:rsidRPr="00916BCD">
        <w:rPr>
          <w:rFonts w:eastAsia="Times New Roman"/>
        </w:rPr>
        <w:t>.</w:t>
      </w:r>
      <w:r>
        <w:rPr>
          <w:rFonts w:eastAsia="Times New Roman"/>
        </w:rPr>
        <w:t xml:space="preserve"> Toluca,</w:t>
      </w:r>
      <w:r w:rsidRPr="00916BCD">
        <w:rPr>
          <w:rFonts w:eastAsia="Times New Roman"/>
        </w:rPr>
        <w:t xml:space="preserve"> México: Universidad Autónoma del Estado de México.</w:t>
      </w:r>
    </w:p>
    <w:bookmarkEnd w:id="118"/>
    <w:p w14:paraId="6821927F" w14:textId="77777777" w:rsidR="005630F8" w:rsidRDefault="005630F8" w:rsidP="005630F8">
      <w:pPr>
        <w:ind w:hanging="709"/>
        <w:rPr>
          <w:rFonts w:eastAsia="Times New Roman"/>
          <w:lang w:val="es-ES"/>
        </w:rPr>
      </w:pPr>
      <w:r w:rsidRPr="00B2642B">
        <w:rPr>
          <w:rFonts w:eastAsia="Times New Roman"/>
          <w:lang w:val="en-US"/>
        </w:rPr>
        <w:t>Tartrakoon, W., Tartrakoon, T.</w:t>
      </w:r>
      <w:r>
        <w:rPr>
          <w:rFonts w:eastAsia="Times New Roman"/>
          <w:lang w:val="en-US"/>
        </w:rPr>
        <w:t xml:space="preserve"> &amp;</w:t>
      </w:r>
      <w:r w:rsidRPr="00B2642B">
        <w:rPr>
          <w:rFonts w:eastAsia="Times New Roman"/>
          <w:lang w:val="en-US"/>
        </w:rPr>
        <w:t xml:space="preserve"> Kitsupee, N. (2016). Effects of the ratio of unsaturated fatty acid to saturated fatty acid on the growth performance, carcass and meat quality of finishing pigs. </w:t>
      </w:r>
      <w:r w:rsidRPr="00AF2941">
        <w:rPr>
          <w:rFonts w:eastAsia="Times New Roman"/>
          <w:i/>
          <w:lang w:val="es-ES"/>
        </w:rPr>
        <w:t>Animal Nutrition</w:t>
      </w:r>
      <w:r w:rsidRPr="00AF2941">
        <w:rPr>
          <w:rFonts w:eastAsia="Times New Roman"/>
          <w:lang w:val="es-ES"/>
        </w:rPr>
        <w:t>, 2(2), 79-85.</w:t>
      </w:r>
    </w:p>
    <w:bookmarkEnd w:id="92"/>
    <w:p w14:paraId="6AFE0D17" w14:textId="77777777" w:rsidR="005630F8" w:rsidRDefault="005630F8" w:rsidP="005630F8">
      <w:pPr>
        <w:ind w:hanging="709"/>
        <w:rPr>
          <w:rFonts w:eastAsia="Times New Roman"/>
        </w:rPr>
      </w:pPr>
      <w:r w:rsidRPr="007A100C">
        <w:rPr>
          <w:rFonts w:eastAsia="Times New Roman"/>
        </w:rPr>
        <w:t xml:space="preserve">Tetreault, D. (2004). Una taxonomía de modelos de desarrollo sustentable. </w:t>
      </w:r>
      <w:r w:rsidRPr="007A100C">
        <w:rPr>
          <w:rFonts w:eastAsia="Times New Roman"/>
          <w:i/>
        </w:rPr>
        <w:t>Espiral estudios sobre Estado y sociedad</w:t>
      </w:r>
      <w:r w:rsidRPr="007A100C">
        <w:rPr>
          <w:rFonts w:eastAsia="Times New Roman"/>
        </w:rPr>
        <w:t xml:space="preserve">, </w:t>
      </w:r>
      <w:r w:rsidRPr="00A71800">
        <w:rPr>
          <w:rFonts w:eastAsia="Times New Roman"/>
          <w:i/>
          <w:iCs/>
        </w:rPr>
        <w:t>10</w:t>
      </w:r>
      <w:r w:rsidRPr="007A100C">
        <w:rPr>
          <w:rFonts w:eastAsia="Times New Roman"/>
        </w:rPr>
        <w:t>(29)</w:t>
      </w:r>
      <w:r>
        <w:rPr>
          <w:rFonts w:eastAsia="Times New Roman"/>
        </w:rPr>
        <w:t>, 45-77.</w:t>
      </w:r>
    </w:p>
    <w:bookmarkEnd w:id="93"/>
    <w:p w14:paraId="2F492E55" w14:textId="77777777" w:rsidR="005630F8" w:rsidRDefault="005630F8" w:rsidP="005630F8">
      <w:pPr>
        <w:ind w:hanging="709"/>
      </w:pPr>
      <w:r w:rsidRPr="00467039">
        <w:t>Toledo</w:t>
      </w:r>
      <w:r>
        <w:t>,</w:t>
      </w:r>
      <w:r w:rsidRPr="00467039">
        <w:t xml:space="preserve"> V. M. </w:t>
      </w:r>
      <w:r>
        <w:t>(</w:t>
      </w:r>
      <w:r w:rsidRPr="00467039">
        <w:t>2002</w:t>
      </w:r>
      <w:r>
        <w:t>)</w:t>
      </w:r>
      <w:r w:rsidRPr="00467039">
        <w:t xml:space="preserve">. Agroecología, sustentabilidad y reforma agraria: la superioridad de la pequeña producción familiar. </w:t>
      </w:r>
      <w:r w:rsidRPr="00467039">
        <w:rPr>
          <w:i/>
          <w:iCs/>
        </w:rPr>
        <w:t>Agroecologia e Desenvolvimento Rural Sustentável</w:t>
      </w:r>
      <w:r>
        <w:t>,</w:t>
      </w:r>
      <w:r w:rsidRPr="00467039">
        <w:t xml:space="preserve"> </w:t>
      </w:r>
      <w:r w:rsidRPr="00467039">
        <w:rPr>
          <w:i/>
          <w:iCs/>
        </w:rPr>
        <w:t>3</w:t>
      </w:r>
      <w:r>
        <w:t>,</w:t>
      </w:r>
      <w:r w:rsidRPr="00467039">
        <w:t xml:space="preserve"> 27-36.</w:t>
      </w:r>
    </w:p>
    <w:p w14:paraId="258339D7" w14:textId="77777777" w:rsidR="005630F8" w:rsidRPr="00437D1F" w:rsidRDefault="005630F8" w:rsidP="005630F8">
      <w:pPr>
        <w:ind w:hanging="709"/>
      </w:pPr>
      <w:bookmarkStart w:id="119" w:name="_Hlk528452268"/>
      <w:r w:rsidRPr="009D5269">
        <w:t xml:space="preserve">Toledo, V. M. </w:t>
      </w:r>
      <w:r>
        <w:t>y</w:t>
      </w:r>
      <w:r w:rsidRPr="009D5269">
        <w:t xml:space="preserve"> Ortiz-Espejel, B. (2014). </w:t>
      </w:r>
      <w:r w:rsidRPr="00910A85">
        <w:rPr>
          <w:i/>
          <w:iCs/>
        </w:rPr>
        <w:t>México, regiones que caminan hacia la sustentabilidad.</w:t>
      </w:r>
      <w:r w:rsidRPr="009D5269">
        <w:t xml:space="preserve"> </w:t>
      </w:r>
      <w:r w:rsidRPr="00437D1F">
        <w:t>México: Universidad Iberoamericana Puebla.</w:t>
      </w:r>
    </w:p>
    <w:bookmarkEnd w:id="119"/>
    <w:p w14:paraId="364EA11B" w14:textId="77777777" w:rsidR="005630F8" w:rsidRDefault="005630F8" w:rsidP="005630F8">
      <w:pPr>
        <w:ind w:hanging="709"/>
        <w:rPr>
          <w:rFonts w:eastAsia="Times New Roman"/>
          <w:lang w:val="en-US"/>
        </w:rPr>
      </w:pPr>
      <w:r w:rsidRPr="00437D1F">
        <w:rPr>
          <w:rFonts w:eastAsia="Times New Roman"/>
        </w:rPr>
        <w:t xml:space="preserve">Toledo, V.M. (1990), “The ecological rationality of peasant production”. En M. A. Altieri and S. B. Hecht. </w:t>
      </w:r>
      <w:r>
        <w:rPr>
          <w:rFonts w:eastAsia="Times New Roman"/>
          <w:lang w:val="en-US"/>
        </w:rPr>
        <w:t>(E</w:t>
      </w:r>
      <w:r w:rsidRPr="00AC079F">
        <w:rPr>
          <w:rFonts w:eastAsia="Times New Roman"/>
          <w:lang w:val="en-US"/>
        </w:rPr>
        <w:t>ds.</w:t>
      </w:r>
      <w:r>
        <w:rPr>
          <w:rFonts w:eastAsia="Times New Roman"/>
          <w:lang w:val="en-US"/>
        </w:rPr>
        <w:t>)</w:t>
      </w:r>
      <w:r w:rsidRPr="00AC079F">
        <w:rPr>
          <w:rFonts w:eastAsia="Times New Roman"/>
          <w:lang w:val="en-US"/>
        </w:rPr>
        <w:t xml:space="preserve">, </w:t>
      </w:r>
      <w:r w:rsidRPr="001334EA">
        <w:rPr>
          <w:rFonts w:eastAsia="Times New Roman"/>
          <w:i/>
          <w:iCs/>
          <w:lang w:val="en-US"/>
        </w:rPr>
        <w:t>Agroecology and Small Farmer Development</w:t>
      </w:r>
      <w:r>
        <w:rPr>
          <w:rFonts w:eastAsia="Times New Roman"/>
          <w:i/>
          <w:lang w:val="en-US"/>
        </w:rPr>
        <w:t xml:space="preserve"> </w:t>
      </w:r>
      <w:r>
        <w:rPr>
          <w:rFonts w:eastAsia="Times New Roman"/>
          <w:lang w:val="en-US"/>
        </w:rPr>
        <w:t>(</w:t>
      </w:r>
      <w:r w:rsidRPr="00AC079F">
        <w:rPr>
          <w:rFonts w:eastAsia="Times New Roman"/>
          <w:lang w:val="en-US"/>
        </w:rPr>
        <w:t>pp. 51-58</w:t>
      </w:r>
      <w:r>
        <w:rPr>
          <w:rFonts w:eastAsia="Times New Roman"/>
          <w:lang w:val="en-US"/>
        </w:rPr>
        <w:t>)</w:t>
      </w:r>
      <w:r w:rsidRPr="00AC079F">
        <w:rPr>
          <w:rFonts w:eastAsia="Times New Roman"/>
          <w:lang w:val="en-US"/>
        </w:rPr>
        <w:t>,</w:t>
      </w:r>
      <w:r>
        <w:rPr>
          <w:rFonts w:eastAsia="Times New Roman"/>
          <w:lang w:val="en-US"/>
        </w:rPr>
        <w:t xml:space="preserve"> Boca Ratón, FL: </w:t>
      </w:r>
      <w:r w:rsidRPr="00AC079F">
        <w:rPr>
          <w:rFonts w:eastAsia="Times New Roman"/>
          <w:lang w:val="en-US"/>
        </w:rPr>
        <w:t>CRC Press.</w:t>
      </w:r>
    </w:p>
    <w:p w14:paraId="018764E6" w14:textId="77777777" w:rsidR="005630F8" w:rsidRDefault="005630F8" w:rsidP="005630F8">
      <w:pPr>
        <w:ind w:hanging="709"/>
        <w:rPr>
          <w:color w:val="000000"/>
        </w:rPr>
      </w:pPr>
      <w:bookmarkStart w:id="120" w:name="_Hlk526694194"/>
      <w:r w:rsidRPr="009D5269">
        <w:rPr>
          <w:color w:val="000000"/>
        </w:rPr>
        <w:t xml:space="preserve">Torres N. L., Laurido C., Pavan M. F., Zapata A. </w:t>
      </w:r>
      <w:r>
        <w:rPr>
          <w:color w:val="000000"/>
        </w:rPr>
        <w:t>y</w:t>
      </w:r>
      <w:r w:rsidRPr="009D5269">
        <w:rPr>
          <w:color w:val="000000"/>
        </w:rPr>
        <w:t xml:space="preserve"> Martínez J. L. (2017). </w:t>
      </w:r>
      <w:bookmarkStart w:id="121" w:name="_Hlk11065152"/>
      <w:r w:rsidRPr="002B7227">
        <w:rPr>
          <w:color w:val="000000"/>
        </w:rPr>
        <w:t xml:space="preserve">Plantas medicinales de Panamá 2: Etnobotánica de la Reserva Forestal La Tronosa, </w:t>
      </w:r>
      <w:r w:rsidRPr="002B7227">
        <w:rPr>
          <w:color w:val="000000"/>
        </w:rPr>
        <w:lastRenderedPageBreak/>
        <w:t>Provincia de Los Santos</w:t>
      </w:r>
      <w:bookmarkEnd w:id="121"/>
      <w:r w:rsidRPr="009D5269">
        <w:rPr>
          <w:color w:val="000000"/>
        </w:rPr>
        <w:t xml:space="preserve">. </w:t>
      </w:r>
      <w:r w:rsidRPr="002B7227">
        <w:rPr>
          <w:i/>
          <w:iCs/>
          <w:color w:val="000000"/>
        </w:rPr>
        <w:t xml:space="preserve">Boletín Latinoamericano y del Caribe de Plantas </w:t>
      </w:r>
      <w:bookmarkStart w:id="122" w:name="_Hlk526694208"/>
      <w:bookmarkEnd w:id="120"/>
      <w:r w:rsidRPr="002B7227">
        <w:rPr>
          <w:i/>
          <w:iCs/>
          <w:color w:val="000000"/>
        </w:rPr>
        <w:t>Medicinales y Aromáticas, 16</w:t>
      </w:r>
      <w:r>
        <w:rPr>
          <w:color w:val="000000"/>
        </w:rPr>
        <w:t>(4)</w:t>
      </w:r>
      <w:r w:rsidRPr="009D5269">
        <w:rPr>
          <w:color w:val="000000"/>
        </w:rPr>
        <w:t xml:space="preserve">, 361-384. </w:t>
      </w:r>
      <w:bookmarkEnd w:id="122"/>
    </w:p>
    <w:p w14:paraId="42368819" w14:textId="77777777" w:rsidR="005630F8" w:rsidRPr="006A1F6C" w:rsidRDefault="005630F8" w:rsidP="005630F8">
      <w:pPr>
        <w:ind w:hanging="709"/>
      </w:pPr>
      <w:bookmarkStart w:id="123" w:name="_Hlk526696769"/>
      <w:r w:rsidRPr="00437D1F">
        <w:rPr>
          <w:lang w:val="en-US"/>
        </w:rPr>
        <w:t xml:space="preserve">Trebušak, T., Levart, A., Salobir, J. &amp; Pirman, T. (2014). </w:t>
      </w:r>
      <w:r w:rsidRPr="00DC6B6C">
        <w:rPr>
          <w:lang w:val="en-US"/>
        </w:rPr>
        <w:t xml:space="preserve">Effect of </w:t>
      </w:r>
      <w:r w:rsidRPr="00501EED">
        <w:rPr>
          <w:i/>
          <w:iCs/>
          <w:lang w:val="en-US"/>
        </w:rPr>
        <w:t>Ganoderma lucidum</w:t>
      </w:r>
      <w:r w:rsidRPr="00DC6B6C">
        <w:rPr>
          <w:lang w:val="en-US"/>
        </w:rPr>
        <w:t xml:space="preserve"> (Reishi mushroom) or </w:t>
      </w:r>
      <w:r w:rsidRPr="00501EED">
        <w:rPr>
          <w:i/>
          <w:iCs/>
          <w:lang w:val="en-US"/>
        </w:rPr>
        <w:t>Olea europaea</w:t>
      </w:r>
      <w:r w:rsidRPr="00DC6B6C">
        <w:rPr>
          <w:lang w:val="en-US"/>
        </w:rPr>
        <w:t xml:space="preserve"> (olive) leaves on oxidative stability of rabbit meat fortified with n-3 fatty acids. </w:t>
      </w:r>
      <w:r w:rsidRPr="006A1F6C">
        <w:rPr>
          <w:i/>
        </w:rPr>
        <w:t>Meat science</w:t>
      </w:r>
      <w:r w:rsidRPr="006A1F6C">
        <w:t>, 96(3), 1275-1280.</w:t>
      </w:r>
    </w:p>
    <w:bookmarkEnd w:id="123"/>
    <w:p w14:paraId="410FF7EE" w14:textId="77777777" w:rsidR="005630F8" w:rsidRDefault="005630F8" w:rsidP="005630F8">
      <w:pPr>
        <w:ind w:hanging="709"/>
        <w:rPr>
          <w:color w:val="000000"/>
        </w:rPr>
      </w:pPr>
      <w:r w:rsidRPr="009D5269">
        <w:rPr>
          <w:color w:val="000000"/>
        </w:rPr>
        <w:t>UNAM. (2009). Biblioteca Digital de la Medicina Tradicional Mexicana.</w:t>
      </w:r>
      <w:r>
        <w:rPr>
          <w:color w:val="000000"/>
        </w:rPr>
        <w:t xml:space="preserve"> Distrito Federal, México: Universidad Nacional Autónoma de México. Recuperado de:</w:t>
      </w:r>
      <w:r w:rsidRPr="009D5269">
        <w:rPr>
          <w:color w:val="000000"/>
        </w:rPr>
        <w:t xml:space="preserve"> </w:t>
      </w:r>
      <w:hyperlink r:id="rId42" w:history="1">
        <w:r w:rsidRPr="00AA15B0">
          <w:rPr>
            <w:rStyle w:val="Hipervnculo"/>
          </w:rPr>
          <w:t>http://www.medicinatradicionalmexicana.unam.mx/index.php</w:t>
        </w:r>
      </w:hyperlink>
    </w:p>
    <w:p w14:paraId="1CA74A64" w14:textId="77777777" w:rsidR="005630F8" w:rsidRPr="009D5269" w:rsidRDefault="005630F8" w:rsidP="005630F8">
      <w:pPr>
        <w:ind w:hanging="709"/>
        <w:rPr>
          <w:color w:val="000000"/>
        </w:rPr>
      </w:pPr>
      <w:bookmarkStart w:id="124" w:name="_Hlk526694438"/>
      <w:bookmarkEnd w:id="94"/>
      <w:r w:rsidRPr="009D5269">
        <w:rPr>
          <w:color w:val="000000"/>
        </w:rPr>
        <w:t>Uriostegui-Flores, A. (201</w:t>
      </w:r>
      <w:r>
        <w:rPr>
          <w:color w:val="000000"/>
        </w:rPr>
        <w:t>5</w:t>
      </w:r>
      <w:r w:rsidRPr="009D5269">
        <w:rPr>
          <w:color w:val="000000"/>
        </w:rPr>
        <w:t>). Hierbas medicinales utilizadas en la atención de enfermedades del sistema digestivo en la ciudad de Taxco, Guerrero</w:t>
      </w:r>
      <w:r>
        <w:rPr>
          <w:color w:val="000000"/>
        </w:rPr>
        <w:t>,</w:t>
      </w:r>
      <w:r w:rsidRPr="009D5269">
        <w:rPr>
          <w:color w:val="000000"/>
        </w:rPr>
        <w:t xml:space="preserve"> México. </w:t>
      </w:r>
      <w:r w:rsidRPr="00482F8F">
        <w:rPr>
          <w:i/>
          <w:iCs/>
          <w:color w:val="000000"/>
        </w:rPr>
        <w:t>Revista de Salud Pública</w:t>
      </w:r>
      <w:r w:rsidRPr="009D5269">
        <w:rPr>
          <w:color w:val="000000"/>
        </w:rPr>
        <w:t xml:space="preserve">, 17, 85-96. </w:t>
      </w:r>
    </w:p>
    <w:bookmarkEnd w:id="124"/>
    <w:p w14:paraId="58DDAB81" w14:textId="77777777" w:rsidR="005630F8" w:rsidRPr="00437D1F" w:rsidRDefault="005630F8" w:rsidP="005630F8">
      <w:pPr>
        <w:ind w:hanging="709"/>
        <w:rPr>
          <w:lang w:val="es-ES"/>
        </w:rPr>
      </w:pPr>
      <w:r w:rsidRPr="009D1DE2">
        <w:rPr>
          <w:rFonts w:eastAsia="Times New Roman"/>
        </w:rPr>
        <w:t xml:space="preserve">Usha, S., Rajasekaran, C., &amp; Siva, R. (2016). </w:t>
      </w:r>
      <w:r w:rsidRPr="00DC6B6C">
        <w:rPr>
          <w:rFonts w:eastAsia="Times New Roman"/>
          <w:lang w:val="en-US"/>
        </w:rPr>
        <w:t xml:space="preserve">Ethnoveterinary medicine of the Shervaroy Hills of Eastern Ghats, India as alternative medicine for animals. </w:t>
      </w:r>
      <w:r w:rsidRPr="00437D1F">
        <w:rPr>
          <w:rFonts w:eastAsia="Times New Roman"/>
          <w:i/>
          <w:iCs/>
          <w:lang w:val="es-ES"/>
        </w:rPr>
        <w:t>Journal of Traditional and Complementary Medicine</w:t>
      </w:r>
      <w:r w:rsidRPr="00437D1F">
        <w:rPr>
          <w:rFonts w:eastAsia="Times New Roman"/>
          <w:lang w:val="es-ES"/>
        </w:rPr>
        <w:t xml:space="preserve">, </w:t>
      </w:r>
      <w:r w:rsidRPr="00437D1F">
        <w:rPr>
          <w:rFonts w:eastAsia="Times New Roman"/>
          <w:i/>
          <w:iCs/>
          <w:lang w:val="es-ES"/>
        </w:rPr>
        <w:t>6</w:t>
      </w:r>
      <w:r w:rsidRPr="00437D1F">
        <w:rPr>
          <w:rFonts w:eastAsia="Times New Roman"/>
          <w:lang w:val="es-ES"/>
        </w:rPr>
        <w:t xml:space="preserve">(1), 118–125. </w:t>
      </w:r>
    </w:p>
    <w:p w14:paraId="4B095126" w14:textId="77777777" w:rsidR="005630F8" w:rsidRDefault="005630F8" w:rsidP="005630F8">
      <w:pPr>
        <w:ind w:hanging="709"/>
      </w:pPr>
      <w:r>
        <w:t xml:space="preserve">Valadez, A. R. (2016). Importancia de la domesticación animal en la antigua ciudad de Teotihuacan. </w:t>
      </w:r>
      <w:r w:rsidRPr="00247C2F">
        <w:rPr>
          <w:i/>
          <w:iCs/>
        </w:rPr>
        <w:t>Antropología Americana</w:t>
      </w:r>
      <w:r>
        <w:t xml:space="preserve">, </w:t>
      </w:r>
      <w:r w:rsidRPr="00247C2F">
        <w:rPr>
          <w:i/>
          <w:iCs/>
        </w:rPr>
        <w:t>1</w:t>
      </w:r>
      <w:r>
        <w:t>(1), 103-125.</w:t>
      </w:r>
    </w:p>
    <w:p w14:paraId="3F7AFE1D" w14:textId="77777777" w:rsidR="005630F8" w:rsidRDefault="005630F8" w:rsidP="005630F8">
      <w:pPr>
        <w:ind w:hanging="709"/>
      </w:pPr>
      <w:r w:rsidRPr="009D5269">
        <w:t>Vilain, L. (2008). El método IDEA</w:t>
      </w:r>
      <w:r w:rsidRPr="00D41B23">
        <w:rPr>
          <w:i/>
          <w:iCs/>
        </w:rPr>
        <w:t>. Indicadores de sostenibilidad de las explotaciones agropecuarias</w:t>
      </w:r>
      <w:r w:rsidRPr="009D5269">
        <w:t>. Francia: Educagri éditions.</w:t>
      </w:r>
    </w:p>
    <w:p w14:paraId="6C737A2C" w14:textId="77777777" w:rsidR="005630F8" w:rsidRPr="009D5269" w:rsidRDefault="005630F8" w:rsidP="005630F8">
      <w:pPr>
        <w:ind w:hanging="709"/>
        <w:rPr>
          <w:color w:val="000000"/>
        </w:rPr>
      </w:pPr>
      <w:bookmarkStart w:id="125" w:name="_Hlk526694485"/>
      <w:r w:rsidRPr="009D5269">
        <w:rPr>
          <w:color w:val="000000"/>
        </w:rPr>
        <w:t xml:space="preserve">Villanueva-Ibarra, E. C., García-López, E., López, P. A., Palma-López, D. J, </w:t>
      </w:r>
      <w:r>
        <w:rPr>
          <w:color w:val="000000"/>
        </w:rPr>
        <w:t>Lagunes-Espinoza, L. D. C., Ortiz-García, C. F. y Oranday-Cárdenas, A.</w:t>
      </w:r>
      <w:r w:rsidRPr="009D5269">
        <w:rPr>
          <w:color w:val="000000"/>
        </w:rPr>
        <w:t xml:space="preserve"> (2014). </w:t>
      </w:r>
      <w:r>
        <w:rPr>
          <w:color w:val="000000"/>
        </w:rPr>
        <w:t>P</w:t>
      </w:r>
      <w:r w:rsidRPr="009D5269">
        <w:rPr>
          <w:color w:val="000000"/>
        </w:rPr>
        <w:t>lantas útiles en la Medicina Tradicional de Malpasito-Huimanguillo, Tabasco, México</w:t>
      </w:r>
      <w:r w:rsidRPr="00943E53">
        <w:rPr>
          <w:i/>
          <w:iCs/>
          <w:color w:val="000000"/>
        </w:rPr>
        <w:t>. Polibotánica</w:t>
      </w:r>
      <w:r w:rsidRPr="009D5269">
        <w:rPr>
          <w:color w:val="000000"/>
        </w:rPr>
        <w:t xml:space="preserve">, </w:t>
      </w:r>
      <w:r>
        <w:rPr>
          <w:color w:val="000000"/>
        </w:rPr>
        <w:t>(</w:t>
      </w:r>
      <w:r w:rsidRPr="009D5269">
        <w:rPr>
          <w:color w:val="000000"/>
        </w:rPr>
        <w:t>37</w:t>
      </w:r>
      <w:r>
        <w:rPr>
          <w:color w:val="000000"/>
        </w:rPr>
        <w:t>)</w:t>
      </w:r>
      <w:r w:rsidRPr="009D5269">
        <w:rPr>
          <w:color w:val="000000"/>
        </w:rPr>
        <w:t xml:space="preserve">, 109-134. </w:t>
      </w:r>
    </w:p>
    <w:bookmarkEnd w:id="95"/>
    <w:bookmarkEnd w:id="125"/>
    <w:p w14:paraId="2522C972" w14:textId="77777777" w:rsidR="005630F8" w:rsidRPr="00437D1F" w:rsidRDefault="005630F8" w:rsidP="005630F8">
      <w:pPr>
        <w:pStyle w:val="NormalWeb"/>
        <w:spacing w:line="360" w:lineRule="auto"/>
        <w:ind w:hanging="709"/>
        <w:jc w:val="both"/>
        <w:rPr>
          <w:rFonts w:ascii="Arial" w:hAnsi="Arial" w:cs="Arial"/>
          <w:lang w:val="en-US"/>
        </w:rPr>
      </w:pPr>
      <w:r w:rsidRPr="009D5269">
        <w:rPr>
          <w:rFonts w:ascii="Arial" w:hAnsi="Arial" w:cs="Arial"/>
        </w:rPr>
        <w:t xml:space="preserve">Villarreal-Ibarra, E. C., </w:t>
      </w:r>
      <w:r>
        <w:rPr>
          <w:rFonts w:ascii="Arial" w:hAnsi="Arial" w:cs="Arial"/>
        </w:rPr>
        <w:t xml:space="preserve">García-López, E., López, P. A., Palma-López, D. J., Lagunes-Espinoza, L. C., Ortiz-García, C. F. y Oranday-Cárdenas, A. </w:t>
      </w:r>
      <w:r w:rsidRPr="009D5269">
        <w:rPr>
          <w:rFonts w:ascii="Arial" w:hAnsi="Arial" w:cs="Arial"/>
        </w:rPr>
        <w:t xml:space="preserve">(2014). Plantas útiles </w:t>
      </w:r>
      <w:r w:rsidRPr="009D5269">
        <w:rPr>
          <w:rFonts w:ascii="Arial" w:hAnsi="Arial" w:cs="Arial"/>
        </w:rPr>
        <w:lastRenderedPageBreak/>
        <w:t>en la medicina tradicional de Malpasito</w:t>
      </w:r>
      <w:r>
        <w:rPr>
          <w:rFonts w:ascii="Arial" w:hAnsi="Arial" w:cs="Arial"/>
        </w:rPr>
        <w:t>-</w:t>
      </w:r>
      <w:r w:rsidRPr="009D5269">
        <w:rPr>
          <w:rFonts w:ascii="Arial" w:hAnsi="Arial" w:cs="Arial"/>
        </w:rPr>
        <w:t xml:space="preserve">Huimanguillo, Tabasco, México. </w:t>
      </w:r>
      <w:r w:rsidRPr="00437D1F">
        <w:rPr>
          <w:rFonts w:ascii="Arial" w:hAnsi="Arial" w:cs="Arial"/>
          <w:i/>
          <w:iCs/>
          <w:lang w:val="en-US"/>
        </w:rPr>
        <w:t>Polibotánica</w:t>
      </w:r>
      <w:r w:rsidRPr="00437D1F">
        <w:rPr>
          <w:rFonts w:ascii="Arial" w:hAnsi="Arial" w:cs="Arial"/>
          <w:lang w:val="en-US"/>
        </w:rPr>
        <w:t xml:space="preserve">, (37), 109–134. </w:t>
      </w:r>
    </w:p>
    <w:bookmarkEnd w:id="96"/>
    <w:p w14:paraId="4296DDC6" w14:textId="77777777" w:rsidR="005630F8" w:rsidRPr="00437D1F" w:rsidRDefault="005630F8" w:rsidP="005630F8">
      <w:pPr>
        <w:ind w:hanging="709"/>
        <w:rPr>
          <w:lang w:val="en-US"/>
        </w:rPr>
      </w:pPr>
      <w:r w:rsidRPr="00DC6B6C">
        <w:rPr>
          <w:rFonts w:eastAsia="Times New Roman"/>
          <w:lang w:val="en-US"/>
        </w:rPr>
        <w:t xml:space="preserve">Vogl, C. R., Vogl-Lukasser, B., &amp; Walkenhorst, M. (2016). Local knowledge held by farmers in Eastern Tyrol (Austria) about the use of plants to maintain and improve animal health and welfare. </w:t>
      </w:r>
      <w:r w:rsidRPr="00DC6B6C">
        <w:rPr>
          <w:rFonts w:eastAsia="Times New Roman"/>
          <w:i/>
          <w:iCs/>
          <w:lang w:val="en-US"/>
        </w:rPr>
        <w:t>Journal of Ethnobiology and Ethnomedicine</w:t>
      </w:r>
      <w:r w:rsidRPr="00DC6B6C">
        <w:rPr>
          <w:rFonts w:eastAsia="Times New Roman"/>
          <w:lang w:val="en-US"/>
        </w:rPr>
        <w:t xml:space="preserve">, </w:t>
      </w:r>
      <w:r w:rsidRPr="00DC6B6C">
        <w:rPr>
          <w:rFonts w:eastAsia="Times New Roman"/>
          <w:i/>
          <w:iCs/>
          <w:lang w:val="en-US"/>
        </w:rPr>
        <w:t>12</w:t>
      </w:r>
      <w:r w:rsidRPr="00DC6B6C">
        <w:rPr>
          <w:rFonts w:eastAsia="Times New Roman"/>
          <w:lang w:val="en-US"/>
        </w:rPr>
        <w:t xml:space="preserve">(1), 1–17. </w:t>
      </w:r>
    </w:p>
    <w:p w14:paraId="30C6DA16" w14:textId="77777777" w:rsidR="005630F8" w:rsidRDefault="005630F8" w:rsidP="005630F8">
      <w:pPr>
        <w:ind w:hanging="709"/>
        <w:rPr>
          <w:rFonts w:eastAsia="Times New Roman"/>
          <w:lang w:val="en-US"/>
        </w:rPr>
      </w:pPr>
      <w:r w:rsidRPr="00AF2941">
        <w:rPr>
          <w:rFonts w:eastAsia="Times New Roman"/>
          <w:lang w:val="en-US"/>
        </w:rPr>
        <w:t>Volpato, G.,</w:t>
      </w:r>
      <w:r>
        <w:rPr>
          <w:rFonts w:eastAsia="Times New Roman"/>
          <w:lang w:val="en-US"/>
        </w:rPr>
        <w:t xml:space="preserve"> </w:t>
      </w:r>
      <w:r w:rsidRPr="00AF2941">
        <w:rPr>
          <w:rFonts w:eastAsia="Times New Roman"/>
          <w:lang w:val="en-US"/>
        </w:rPr>
        <w:t xml:space="preserve">Saleh, </w:t>
      </w:r>
      <w:r>
        <w:rPr>
          <w:rFonts w:eastAsia="Times New Roman"/>
          <w:lang w:val="en-US"/>
        </w:rPr>
        <w:t>S. M</w:t>
      </w:r>
      <w:r w:rsidRPr="00AF2941">
        <w:rPr>
          <w:rFonts w:eastAsia="Times New Roman"/>
          <w:lang w:val="en-US"/>
        </w:rPr>
        <w:t>.</w:t>
      </w:r>
      <w:r>
        <w:rPr>
          <w:rFonts w:eastAsia="Times New Roman"/>
          <w:lang w:val="en-US"/>
        </w:rPr>
        <w:t xml:space="preserve"> L</w:t>
      </w:r>
      <w:r w:rsidRPr="00AF2941">
        <w:rPr>
          <w:rFonts w:eastAsia="Times New Roman"/>
          <w:lang w:val="en-US"/>
        </w:rPr>
        <w:t xml:space="preserve">, &amp; </w:t>
      </w:r>
      <w:r>
        <w:rPr>
          <w:rFonts w:eastAsia="Times New Roman"/>
          <w:lang w:val="en-US"/>
        </w:rPr>
        <w:t xml:space="preserve">Di </w:t>
      </w:r>
      <w:r w:rsidRPr="00AF2941">
        <w:rPr>
          <w:rFonts w:eastAsia="Times New Roman"/>
          <w:lang w:val="en-US"/>
        </w:rPr>
        <w:t xml:space="preserve">Nardo, A. (2015). </w:t>
      </w:r>
      <w:r w:rsidRPr="00DC6B6C">
        <w:rPr>
          <w:rFonts w:eastAsia="Times New Roman"/>
          <w:lang w:val="en-US"/>
        </w:rPr>
        <w:t xml:space="preserve">Ethnoveterinary of Sahrawi pastoralists of Western Sahara: Camel diseases and remedies. </w:t>
      </w:r>
      <w:r w:rsidRPr="00DC6B6C">
        <w:rPr>
          <w:rFonts w:eastAsia="Times New Roman"/>
          <w:i/>
          <w:iCs/>
          <w:lang w:val="en-US"/>
        </w:rPr>
        <w:t>Journal of Ethnobiology and Ethnomedicine</w:t>
      </w:r>
      <w:r w:rsidRPr="00DC6B6C">
        <w:rPr>
          <w:rFonts w:eastAsia="Times New Roman"/>
          <w:lang w:val="en-US"/>
        </w:rPr>
        <w:t xml:space="preserve">, </w:t>
      </w:r>
      <w:r w:rsidRPr="00DC6B6C">
        <w:rPr>
          <w:rFonts w:eastAsia="Times New Roman"/>
          <w:i/>
          <w:iCs/>
          <w:lang w:val="en-US"/>
        </w:rPr>
        <w:t>11</w:t>
      </w:r>
      <w:r w:rsidRPr="00DC6B6C">
        <w:rPr>
          <w:rFonts w:eastAsia="Times New Roman"/>
          <w:lang w:val="en-US"/>
        </w:rPr>
        <w:t>(1)</w:t>
      </w:r>
      <w:r>
        <w:rPr>
          <w:rFonts w:eastAsia="Times New Roman"/>
          <w:lang w:val="en-US"/>
        </w:rPr>
        <w:t>, 54.</w:t>
      </w:r>
    </w:p>
    <w:bookmarkEnd w:id="97"/>
    <w:p w14:paraId="57A939B5" w14:textId="77777777" w:rsidR="005630F8" w:rsidRDefault="005630F8" w:rsidP="005630F8">
      <w:pPr>
        <w:ind w:hanging="709"/>
        <w:rPr>
          <w:rFonts w:eastAsia="Times New Roman"/>
          <w:lang w:val="en-US"/>
        </w:rPr>
      </w:pPr>
      <w:r w:rsidRPr="00B2642B">
        <w:rPr>
          <w:rFonts w:eastAsia="Times New Roman"/>
          <w:lang w:val="en-US"/>
        </w:rPr>
        <w:t>Wang, J., Su, Y., Elzo, M. A., Jia, X., Chen, S.</w:t>
      </w:r>
      <w:r>
        <w:rPr>
          <w:rFonts w:eastAsia="Times New Roman"/>
          <w:lang w:val="en-US"/>
        </w:rPr>
        <w:t xml:space="preserve"> &amp;</w:t>
      </w:r>
      <w:r w:rsidRPr="00B2642B">
        <w:rPr>
          <w:rFonts w:eastAsia="Times New Roman"/>
          <w:lang w:val="en-US"/>
        </w:rPr>
        <w:t xml:space="preserve"> Lai, S. (2016). Comparison of Carcass and Meat Quality Traits among Three Rabbit Breeds. </w:t>
      </w:r>
      <w:r w:rsidRPr="00B2642B">
        <w:rPr>
          <w:rFonts w:eastAsia="Times New Roman"/>
          <w:i/>
          <w:lang w:val="en-US"/>
        </w:rPr>
        <w:t>Korean Journal for Food Science of Animal Resources</w:t>
      </w:r>
      <w:r w:rsidRPr="00B2642B">
        <w:rPr>
          <w:rFonts w:eastAsia="Times New Roman"/>
          <w:lang w:val="en-US"/>
        </w:rPr>
        <w:t xml:space="preserve">, </w:t>
      </w:r>
      <w:r w:rsidRPr="0056451D">
        <w:rPr>
          <w:rFonts w:eastAsia="Times New Roman"/>
          <w:i/>
          <w:iCs/>
          <w:lang w:val="en-US"/>
        </w:rPr>
        <w:t>36</w:t>
      </w:r>
      <w:r w:rsidRPr="00B2642B">
        <w:rPr>
          <w:rFonts w:eastAsia="Times New Roman"/>
          <w:lang w:val="en-US"/>
        </w:rPr>
        <w:t>(1), 84-89.</w:t>
      </w:r>
    </w:p>
    <w:p w14:paraId="1217CC0B" w14:textId="0A3D3901" w:rsidR="00FB0C03" w:rsidRDefault="005630F8" w:rsidP="005630F8">
      <w:pPr>
        <w:ind w:hanging="709"/>
        <w:rPr>
          <w:rFonts w:eastAsia="Times New Roman"/>
          <w:lang w:val="en-US"/>
        </w:rPr>
      </w:pPr>
      <w:r w:rsidRPr="00437D1F">
        <w:rPr>
          <w:rFonts w:eastAsia="Times New Roman"/>
          <w:lang w:val="en-US"/>
        </w:rPr>
        <w:t xml:space="preserve">Zaman, M. A., Iqbal, Z., Sindhu, Z. U. D., Abbas, R. Z., &amp; Qamar, M. F. (2017). </w:t>
      </w:r>
      <w:r w:rsidRPr="00DC6B6C">
        <w:rPr>
          <w:rFonts w:eastAsia="Times New Roman"/>
          <w:lang w:val="en-US"/>
        </w:rPr>
        <w:t xml:space="preserve">An overview of plants with acaricidal and anthelmintic properties. </w:t>
      </w:r>
      <w:r w:rsidRPr="00DC6B6C">
        <w:rPr>
          <w:rFonts w:eastAsia="Times New Roman"/>
          <w:i/>
          <w:iCs/>
          <w:lang w:val="en-US"/>
        </w:rPr>
        <w:t>International Journal of Agriculture and Biology</w:t>
      </w:r>
      <w:r w:rsidRPr="00DC6B6C">
        <w:rPr>
          <w:rFonts w:eastAsia="Times New Roman"/>
          <w:lang w:val="en-US"/>
        </w:rPr>
        <w:t xml:space="preserve">, </w:t>
      </w:r>
      <w:r w:rsidRPr="00DC6B6C">
        <w:rPr>
          <w:rFonts w:eastAsia="Times New Roman"/>
          <w:i/>
          <w:iCs/>
          <w:lang w:val="en-US"/>
        </w:rPr>
        <w:t>19</w:t>
      </w:r>
      <w:r w:rsidRPr="00DC6B6C">
        <w:rPr>
          <w:rFonts w:eastAsia="Times New Roman"/>
          <w:lang w:val="en-US"/>
        </w:rPr>
        <w:t xml:space="preserve">(5), 957–968. </w:t>
      </w:r>
    </w:p>
    <w:p w14:paraId="69C0A384" w14:textId="77777777" w:rsidR="00FB0C03" w:rsidRDefault="00FB0C03">
      <w:pPr>
        <w:spacing w:before="0" w:beforeAutospacing="0" w:after="160" w:afterAutospacing="0"/>
        <w:rPr>
          <w:rFonts w:eastAsia="Times New Roman"/>
          <w:lang w:val="en-US"/>
        </w:rPr>
      </w:pPr>
      <w:r>
        <w:rPr>
          <w:rFonts w:eastAsia="Times New Roman"/>
          <w:lang w:val="en-US"/>
        </w:rPr>
        <w:br w:type="page"/>
      </w:r>
    </w:p>
    <w:p w14:paraId="50C66690" w14:textId="3816CAE8" w:rsidR="00660C31" w:rsidRPr="00FB0C03" w:rsidRDefault="004F3271">
      <w:pPr>
        <w:rPr>
          <w:b/>
          <w:bCs/>
          <w:szCs w:val="24"/>
        </w:rPr>
      </w:pPr>
      <w:r w:rsidRPr="00FB0C03">
        <w:rPr>
          <w:b/>
          <w:bCs/>
          <w:szCs w:val="24"/>
        </w:rPr>
        <w:lastRenderedPageBreak/>
        <w:t>XII. ANEXOS</w:t>
      </w:r>
    </w:p>
    <w:p w14:paraId="5D72F4E1" w14:textId="2013024D" w:rsidR="00DC7DAD" w:rsidRDefault="00F812A0">
      <w:pPr>
        <w:rPr>
          <w:szCs w:val="24"/>
        </w:rPr>
      </w:pPr>
      <w:r w:rsidRPr="00F812A0">
        <w:rPr>
          <w:noProof/>
          <w:szCs w:val="24"/>
          <w:lang w:eastAsia="es-MX"/>
        </w:rPr>
        <w:drawing>
          <wp:inline distT="0" distB="0" distL="0" distR="0" wp14:anchorId="7E0121AD" wp14:editId="07B0D608">
            <wp:extent cx="4626591" cy="7427631"/>
            <wp:effectExtent l="0" t="0" r="3175" b="190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630009" cy="7433119"/>
                    </a:xfrm>
                    <a:prstGeom prst="rect">
                      <a:avLst/>
                    </a:prstGeom>
                    <a:noFill/>
                    <a:ln>
                      <a:noFill/>
                    </a:ln>
                  </pic:spPr>
                </pic:pic>
              </a:graphicData>
            </a:graphic>
          </wp:inline>
        </w:drawing>
      </w:r>
    </w:p>
    <w:p w14:paraId="144BFDBF" w14:textId="00F9EAD9" w:rsidR="00F812A0" w:rsidRDefault="00F812A0">
      <w:pPr>
        <w:rPr>
          <w:szCs w:val="24"/>
        </w:rPr>
      </w:pPr>
      <w:r w:rsidRPr="00F812A0">
        <w:rPr>
          <w:noProof/>
          <w:szCs w:val="24"/>
          <w:lang w:eastAsia="es-MX"/>
        </w:rPr>
        <w:lastRenderedPageBreak/>
        <w:drawing>
          <wp:inline distT="0" distB="0" distL="0" distR="0" wp14:anchorId="5F8F4394" wp14:editId="3DF995E2">
            <wp:extent cx="4801870" cy="8258810"/>
            <wp:effectExtent l="0" t="0" r="0" b="889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801870" cy="8258810"/>
                    </a:xfrm>
                    <a:prstGeom prst="rect">
                      <a:avLst/>
                    </a:prstGeom>
                    <a:noFill/>
                    <a:ln>
                      <a:noFill/>
                    </a:ln>
                  </pic:spPr>
                </pic:pic>
              </a:graphicData>
            </a:graphic>
          </wp:inline>
        </w:drawing>
      </w:r>
    </w:p>
    <w:p w14:paraId="0EB33A29" w14:textId="2DDE4B49" w:rsidR="00F812A0" w:rsidRDefault="00F812A0">
      <w:pPr>
        <w:rPr>
          <w:szCs w:val="24"/>
        </w:rPr>
      </w:pPr>
      <w:r w:rsidRPr="00F812A0">
        <w:rPr>
          <w:noProof/>
          <w:szCs w:val="24"/>
          <w:lang w:eastAsia="es-MX"/>
        </w:rPr>
        <w:lastRenderedPageBreak/>
        <w:drawing>
          <wp:inline distT="0" distB="0" distL="0" distR="0" wp14:anchorId="3DADF314" wp14:editId="36876979">
            <wp:extent cx="4747895" cy="8258810"/>
            <wp:effectExtent l="0" t="0" r="0" b="889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747895" cy="8258810"/>
                    </a:xfrm>
                    <a:prstGeom prst="rect">
                      <a:avLst/>
                    </a:prstGeom>
                    <a:noFill/>
                    <a:ln>
                      <a:noFill/>
                    </a:ln>
                  </pic:spPr>
                </pic:pic>
              </a:graphicData>
            </a:graphic>
          </wp:inline>
        </w:drawing>
      </w:r>
    </w:p>
    <w:p w14:paraId="7E144EAE" w14:textId="260FA97B" w:rsidR="008D7FB7" w:rsidRPr="004001B3" w:rsidRDefault="00F812A0">
      <w:pPr>
        <w:rPr>
          <w:szCs w:val="24"/>
        </w:rPr>
      </w:pPr>
      <w:r w:rsidRPr="00F812A0">
        <w:rPr>
          <w:noProof/>
          <w:szCs w:val="24"/>
          <w:lang w:eastAsia="es-MX"/>
        </w:rPr>
        <w:lastRenderedPageBreak/>
        <w:drawing>
          <wp:inline distT="0" distB="0" distL="0" distR="0" wp14:anchorId="06ED24B7" wp14:editId="5D3B6961">
            <wp:extent cx="5280660" cy="8258810"/>
            <wp:effectExtent l="0" t="0" r="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80660" cy="8258810"/>
                    </a:xfrm>
                    <a:prstGeom prst="rect">
                      <a:avLst/>
                    </a:prstGeom>
                    <a:noFill/>
                    <a:ln>
                      <a:noFill/>
                    </a:ln>
                  </pic:spPr>
                </pic:pic>
              </a:graphicData>
            </a:graphic>
          </wp:inline>
        </w:drawing>
      </w:r>
    </w:p>
    <w:sectPr w:rsidR="008D7FB7" w:rsidRPr="004001B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C893BC" w14:textId="77777777" w:rsidR="007559EE" w:rsidRDefault="007559EE" w:rsidP="00C24543">
      <w:pPr>
        <w:spacing w:before="0" w:after="0" w:line="240" w:lineRule="auto"/>
      </w:pPr>
      <w:r>
        <w:separator/>
      </w:r>
    </w:p>
  </w:endnote>
  <w:endnote w:type="continuationSeparator" w:id="0">
    <w:p w14:paraId="086CAE90" w14:textId="77777777" w:rsidR="007559EE" w:rsidRDefault="007559EE" w:rsidP="00C2454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Metropolis Light">
    <w:altName w:val="Arial"/>
    <w:panose1 w:val="00000000000000000000"/>
    <w:charset w:val="00"/>
    <w:family w:val="modern"/>
    <w:notTrueType/>
    <w:pitch w:val="variable"/>
    <w:sig w:usb0="00000001" w:usb1="00000000" w:usb2="00000000" w:usb3="00000000" w:csb0="00000093" w:csb1="00000000"/>
  </w:font>
  <w:font w:name="Metropolis Black">
    <w:altName w:val="Arial"/>
    <w:panose1 w:val="00000000000000000000"/>
    <w:charset w:val="00"/>
    <w:family w:val="modern"/>
    <w:notTrueType/>
    <w:pitch w:val="variable"/>
    <w:sig w:usb0="00000001" w:usb1="00000000" w:usb2="00000000" w:usb3="00000000" w:csb0="00000093"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97C9F0" w14:textId="6689A195" w:rsidR="00E931AB" w:rsidRDefault="00E931AB">
    <w:pPr>
      <w:pStyle w:val="Piedepgina"/>
      <w:jc w:val="right"/>
    </w:pPr>
  </w:p>
  <w:p w14:paraId="7E1A5C52" w14:textId="77777777" w:rsidR="00E931AB" w:rsidRDefault="00E931A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5790611"/>
      <w:docPartObj>
        <w:docPartGallery w:val="Page Numbers (Bottom of Page)"/>
        <w:docPartUnique/>
      </w:docPartObj>
    </w:sdtPr>
    <w:sdtEndPr/>
    <w:sdtContent>
      <w:p w14:paraId="432D9451" w14:textId="77777777" w:rsidR="00437D1F" w:rsidRDefault="00437D1F">
        <w:pPr>
          <w:pStyle w:val="Piedepgina"/>
          <w:jc w:val="right"/>
        </w:pPr>
        <w:r>
          <w:fldChar w:fldCharType="begin"/>
        </w:r>
        <w:r>
          <w:instrText>PAGE   \* MERGEFORMAT</w:instrText>
        </w:r>
        <w:r>
          <w:fldChar w:fldCharType="separate"/>
        </w:r>
        <w:r w:rsidR="0087391D" w:rsidRPr="0087391D">
          <w:rPr>
            <w:noProof/>
            <w:lang w:val="es-ES"/>
          </w:rPr>
          <w:t>17</w:t>
        </w:r>
        <w:r>
          <w:fldChar w:fldCharType="end"/>
        </w:r>
      </w:p>
    </w:sdtContent>
  </w:sdt>
  <w:p w14:paraId="469FCCA7" w14:textId="77777777" w:rsidR="00437D1F" w:rsidRDefault="00437D1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FD8037" w14:textId="77777777" w:rsidR="007559EE" w:rsidRDefault="007559EE" w:rsidP="00C24543">
      <w:pPr>
        <w:spacing w:before="0" w:after="0" w:line="240" w:lineRule="auto"/>
      </w:pPr>
      <w:r>
        <w:separator/>
      </w:r>
    </w:p>
  </w:footnote>
  <w:footnote w:type="continuationSeparator" w:id="0">
    <w:p w14:paraId="68BA9A18" w14:textId="77777777" w:rsidR="007559EE" w:rsidRDefault="007559EE" w:rsidP="00C24543">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237FD7"/>
    <w:multiLevelType w:val="hybridMultilevel"/>
    <w:tmpl w:val="67883B1C"/>
    <w:lvl w:ilvl="0" w:tplc="1854C302">
      <w:start w:val="1"/>
      <w:numFmt w:val="bullet"/>
      <w:lvlText w:val="•"/>
      <w:lvlJc w:val="left"/>
      <w:pPr>
        <w:tabs>
          <w:tab w:val="num" w:pos="720"/>
        </w:tabs>
        <w:ind w:left="720" w:hanging="360"/>
      </w:pPr>
      <w:rPr>
        <w:rFonts w:ascii="Times New Roman" w:hAnsi="Times New Roman" w:hint="default"/>
      </w:rPr>
    </w:lvl>
    <w:lvl w:ilvl="1" w:tplc="A45617D6" w:tentative="1">
      <w:start w:val="1"/>
      <w:numFmt w:val="bullet"/>
      <w:lvlText w:val="•"/>
      <w:lvlJc w:val="left"/>
      <w:pPr>
        <w:tabs>
          <w:tab w:val="num" w:pos="1440"/>
        </w:tabs>
        <w:ind w:left="1440" w:hanging="360"/>
      </w:pPr>
      <w:rPr>
        <w:rFonts w:ascii="Times New Roman" w:hAnsi="Times New Roman" w:hint="default"/>
      </w:rPr>
    </w:lvl>
    <w:lvl w:ilvl="2" w:tplc="B7EEAFAA" w:tentative="1">
      <w:start w:val="1"/>
      <w:numFmt w:val="bullet"/>
      <w:lvlText w:val="•"/>
      <w:lvlJc w:val="left"/>
      <w:pPr>
        <w:tabs>
          <w:tab w:val="num" w:pos="2160"/>
        </w:tabs>
        <w:ind w:left="2160" w:hanging="360"/>
      </w:pPr>
      <w:rPr>
        <w:rFonts w:ascii="Times New Roman" w:hAnsi="Times New Roman" w:hint="default"/>
      </w:rPr>
    </w:lvl>
    <w:lvl w:ilvl="3" w:tplc="86B69D0C" w:tentative="1">
      <w:start w:val="1"/>
      <w:numFmt w:val="bullet"/>
      <w:lvlText w:val="•"/>
      <w:lvlJc w:val="left"/>
      <w:pPr>
        <w:tabs>
          <w:tab w:val="num" w:pos="2880"/>
        </w:tabs>
        <w:ind w:left="2880" w:hanging="360"/>
      </w:pPr>
      <w:rPr>
        <w:rFonts w:ascii="Times New Roman" w:hAnsi="Times New Roman" w:hint="default"/>
      </w:rPr>
    </w:lvl>
    <w:lvl w:ilvl="4" w:tplc="629088CC" w:tentative="1">
      <w:start w:val="1"/>
      <w:numFmt w:val="bullet"/>
      <w:lvlText w:val="•"/>
      <w:lvlJc w:val="left"/>
      <w:pPr>
        <w:tabs>
          <w:tab w:val="num" w:pos="3600"/>
        </w:tabs>
        <w:ind w:left="3600" w:hanging="360"/>
      </w:pPr>
      <w:rPr>
        <w:rFonts w:ascii="Times New Roman" w:hAnsi="Times New Roman" w:hint="default"/>
      </w:rPr>
    </w:lvl>
    <w:lvl w:ilvl="5" w:tplc="6D664086" w:tentative="1">
      <w:start w:val="1"/>
      <w:numFmt w:val="bullet"/>
      <w:lvlText w:val="•"/>
      <w:lvlJc w:val="left"/>
      <w:pPr>
        <w:tabs>
          <w:tab w:val="num" w:pos="4320"/>
        </w:tabs>
        <w:ind w:left="4320" w:hanging="360"/>
      </w:pPr>
      <w:rPr>
        <w:rFonts w:ascii="Times New Roman" w:hAnsi="Times New Roman" w:hint="default"/>
      </w:rPr>
    </w:lvl>
    <w:lvl w:ilvl="6" w:tplc="B79C7C24" w:tentative="1">
      <w:start w:val="1"/>
      <w:numFmt w:val="bullet"/>
      <w:lvlText w:val="•"/>
      <w:lvlJc w:val="left"/>
      <w:pPr>
        <w:tabs>
          <w:tab w:val="num" w:pos="5040"/>
        </w:tabs>
        <w:ind w:left="5040" w:hanging="360"/>
      </w:pPr>
      <w:rPr>
        <w:rFonts w:ascii="Times New Roman" w:hAnsi="Times New Roman" w:hint="default"/>
      </w:rPr>
    </w:lvl>
    <w:lvl w:ilvl="7" w:tplc="FA54F066" w:tentative="1">
      <w:start w:val="1"/>
      <w:numFmt w:val="bullet"/>
      <w:lvlText w:val="•"/>
      <w:lvlJc w:val="left"/>
      <w:pPr>
        <w:tabs>
          <w:tab w:val="num" w:pos="5760"/>
        </w:tabs>
        <w:ind w:left="5760" w:hanging="360"/>
      </w:pPr>
      <w:rPr>
        <w:rFonts w:ascii="Times New Roman" w:hAnsi="Times New Roman" w:hint="default"/>
      </w:rPr>
    </w:lvl>
    <w:lvl w:ilvl="8" w:tplc="19043240"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168C1DF5"/>
    <w:multiLevelType w:val="hybridMultilevel"/>
    <w:tmpl w:val="106427A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5BB3D08"/>
    <w:multiLevelType w:val="hybridMultilevel"/>
    <w:tmpl w:val="4C62A98A"/>
    <w:lvl w:ilvl="0" w:tplc="9E1AD634">
      <w:start w:val="1"/>
      <w:numFmt w:val="bullet"/>
      <w:lvlText w:val="•"/>
      <w:lvlJc w:val="left"/>
      <w:pPr>
        <w:tabs>
          <w:tab w:val="num" w:pos="720"/>
        </w:tabs>
        <w:ind w:left="720" w:hanging="360"/>
      </w:pPr>
      <w:rPr>
        <w:rFonts w:ascii="Corbel" w:hAnsi="Corbel" w:hint="default"/>
      </w:rPr>
    </w:lvl>
    <w:lvl w:ilvl="1" w:tplc="1318F5EC" w:tentative="1">
      <w:start w:val="1"/>
      <w:numFmt w:val="bullet"/>
      <w:lvlText w:val="•"/>
      <w:lvlJc w:val="left"/>
      <w:pPr>
        <w:tabs>
          <w:tab w:val="num" w:pos="1440"/>
        </w:tabs>
        <w:ind w:left="1440" w:hanging="360"/>
      </w:pPr>
      <w:rPr>
        <w:rFonts w:ascii="Corbel" w:hAnsi="Corbel" w:hint="default"/>
      </w:rPr>
    </w:lvl>
    <w:lvl w:ilvl="2" w:tplc="0498AF3E" w:tentative="1">
      <w:start w:val="1"/>
      <w:numFmt w:val="bullet"/>
      <w:lvlText w:val="•"/>
      <w:lvlJc w:val="left"/>
      <w:pPr>
        <w:tabs>
          <w:tab w:val="num" w:pos="2160"/>
        </w:tabs>
        <w:ind w:left="2160" w:hanging="360"/>
      </w:pPr>
      <w:rPr>
        <w:rFonts w:ascii="Corbel" w:hAnsi="Corbel" w:hint="default"/>
      </w:rPr>
    </w:lvl>
    <w:lvl w:ilvl="3" w:tplc="5EFEA06C" w:tentative="1">
      <w:start w:val="1"/>
      <w:numFmt w:val="bullet"/>
      <w:lvlText w:val="•"/>
      <w:lvlJc w:val="left"/>
      <w:pPr>
        <w:tabs>
          <w:tab w:val="num" w:pos="2880"/>
        </w:tabs>
        <w:ind w:left="2880" w:hanging="360"/>
      </w:pPr>
      <w:rPr>
        <w:rFonts w:ascii="Corbel" w:hAnsi="Corbel" w:hint="default"/>
      </w:rPr>
    </w:lvl>
    <w:lvl w:ilvl="4" w:tplc="F6DE66E8" w:tentative="1">
      <w:start w:val="1"/>
      <w:numFmt w:val="bullet"/>
      <w:lvlText w:val="•"/>
      <w:lvlJc w:val="left"/>
      <w:pPr>
        <w:tabs>
          <w:tab w:val="num" w:pos="3600"/>
        </w:tabs>
        <w:ind w:left="3600" w:hanging="360"/>
      </w:pPr>
      <w:rPr>
        <w:rFonts w:ascii="Corbel" w:hAnsi="Corbel" w:hint="default"/>
      </w:rPr>
    </w:lvl>
    <w:lvl w:ilvl="5" w:tplc="41FE41DC" w:tentative="1">
      <w:start w:val="1"/>
      <w:numFmt w:val="bullet"/>
      <w:lvlText w:val="•"/>
      <w:lvlJc w:val="left"/>
      <w:pPr>
        <w:tabs>
          <w:tab w:val="num" w:pos="4320"/>
        </w:tabs>
        <w:ind w:left="4320" w:hanging="360"/>
      </w:pPr>
      <w:rPr>
        <w:rFonts w:ascii="Corbel" w:hAnsi="Corbel" w:hint="default"/>
      </w:rPr>
    </w:lvl>
    <w:lvl w:ilvl="6" w:tplc="1794D80C" w:tentative="1">
      <w:start w:val="1"/>
      <w:numFmt w:val="bullet"/>
      <w:lvlText w:val="•"/>
      <w:lvlJc w:val="left"/>
      <w:pPr>
        <w:tabs>
          <w:tab w:val="num" w:pos="5040"/>
        </w:tabs>
        <w:ind w:left="5040" w:hanging="360"/>
      </w:pPr>
      <w:rPr>
        <w:rFonts w:ascii="Corbel" w:hAnsi="Corbel" w:hint="default"/>
      </w:rPr>
    </w:lvl>
    <w:lvl w:ilvl="7" w:tplc="021E7316" w:tentative="1">
      <w:start w:val="1"/>
      <w:numFmt w:val="bullet"/>
      <w:lvlText w:val="•"/>
      <w:lvlJc w:val="left"/>
      <w:pPr>
        <w:tabs>
          <w:tab w:val="num" w:pos="5760"/>
        </w:tabs>
        <w:ind w:left="5760" w:hanging="360"/>
      </w:pPr>
      <w:rPr>
        <w:rFonts w:ascii="Corbel" w:hAnsi="Corbel" w:hint="default"/>
      </w:rPr>
    </w:lvl>
    <w:lvl w:ilvl="8" w:tplc="896A4E68" w:tentative="1">
      <w:start w:val="1"/>
      <w:numFmt w:val="bullet"/>
      <w:lvlText w:val="•"/>
      <w:lvlJc w:val="left"/>
      <w:pPr>
        <w:tabs>
          <w:tab w:val="num" w:pos="6480"/>
        </w:tabs>
        <w:ind w:left="6480" w:hanging="360"/>
      </w:pPr>
      <w:rPr>
        <w:rFonts w:ascii="Corbel" w:hAnsi="Corbel" w:hint="default"/>
      </w:rPr>
    </w:lvl>
  </w:abstractNum>
  <w:abstractNum w:abstractNumId="3" w15:restartNumberingAfterBreak="0">
    <w:nsid w:val="32831935"/>
    <w:multiLevelType w:val="hybridMultilevel"/>
    <w:tmpl w:val="E7B0DCCA"/>
    <w:lvl w:ilvl="0" w:tplc="23D61EF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3E1F7DBF"/>
    <w:multiLevelType w:val="multilevel"/>
    <w:tmpl w:val="D7289DB2"/>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15439F0"/>
    <w:multiLevelType w:val="hybridMultilevel"/>
    <w:tmpl w:val="EC68DA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FFC0A1F"/>
    <w:multiLevelType w:val="hybridMultilevel"/>
    <w:tmpl w:val="C4F8EF08"/>
    <w:lvl w:ilvl="0" w:tplc="A6B4C59C">
      <w:start w:val="1"/>
      <w:numFmt w:val="decimal"/>
      <w:lvlText w:val="%1."/>
      <w:lvlJc w:val="left"/>
      <w:pPr>
        <w:tabs>
          <w:tab w:val="num" w:pos="720"/>
        </w:tabs>
        <w:ind w:left="720" w:hanging="360"/>
      </w:pPr>
    </w:lvl>
    <w:lvl w:ilvl="1" w:tplc="7A126892" w:tentative="1">
      <w:start w:val="1"/>
      <w:numFmt w:val="decimal"/>
      <w:lvlText w:val="%2."/>
      <w:lvlJc w:val="left"/>
      <w:pPr>
        <w:tabs>
          <w:tab w:val="num" w:pos="1440"/>
        </w:tabs>
        <w:ind w:left="1440" w:hanging="360"/>
      </w:pPr>
    </w:lvl>
    <w:lvl w:ilvl="2" w:tplc="3138ABB6" w:tentative="1">
      <w:start w:val="1"/>
      <w:numFmt w:val="decimal"/>
      <w:lvlText w:val="%3."/>
      <w:lvlJc w:val="left"/>
      <w:pPr>
        <w:tabs>
          <w:tab w:val="num" w:pos="2160"/>
        </w:tabs>
        <w:ind w:left="2160" w:hanging="360"/>
      </w:pPr>
    </w:lvl>
    <w:lvl w:ilvl="3" w:tplc="19706286" w:tentative="1">
      <w:start w:val="1"/>
      <w:numFmt w:val="decimal"/>
      <w:lvlText w:val="%4."/>
      <w:lvlJc w:val="left"/>
      <w:pPr>
        <w:tabs>
          <w:tab w:val="num" w:pos="2880"/>
        </w:tabs>
        <w:ind w:left="2880" w:hanging="360"/>
      </w:pPr>
    </w:lvl>
    <w:lvl w:ilvl="4" w:tplc="4776DB18" w:tentative="1">
      <w:start w:val="1"/>
      <w:numFmt w:val="decimal"/>
      <w:lvlText w:val="%5."/>
      <w:lvlJc w:val="left"/>
      <w:pPr>
        <w:tabs>
          <w:tab w:val="num" w:pos="3600"/>
        </w:tabs>
        <w:ind w:left="3600" w:hanging="360"/>
      </w:pPr>
    </w:lvl>
    <w:lvl w:ilvl="5" w:tplc="A84CEA12" w:tentative="1">
      <w:start w:val="1"/>
      <w:numFmt w:val="decimal"/>
      <w:lvlText w:val="%6."/>
      <w:lvlJc w:val="left"/>
      <w:pPr>
        <w:tabs>
          <w:tab w:val="num" w:pos="4320"/>
        </w:tabs>
        <w:ind w:left="4320" w:hanging="360"/>
      </w:pPr>
    </w:lvl>
    <w:lvl w:ilvl="6" w:tplc="467EA2DE" w:tentative="1">
      <w:start w:val="1"/>
      <w:numFmt w:val="decimal"/>
      <w:lvlText w:val="%7."/>
      <w:lvlJc w:val="left"/>
      <w:pPr>
        <w:tabs>
          <w:tab w:val="num" w:pos="5040"/>
        </w:tabs>
        <w:ind w:left="5040" w:hanging="360"/>
      </w:pPr>
    </w:lvl>
    <w:lvl w:ilvl="7" w:tplc="A6022676" w:tentative="1">
      <w:start w:val="1"/>
      <w:numFmt w:val="decimal"/>
      <w:lvlText w:val="%8."/>
      <w:lvlJc w:val="left"/>
      <w:pPr>
        <w:tabs>
          <w:tab w:val="num" w:pos="5760"/>
        </w:tabs>
        <w:ind w:left="5760" w:hanging="360"/>
      </w:pPr>
    </w:lvl>
    <w:lvl w:ilvl="8" w:tplc="EB4AF5B8" w:tentative="1">
      <w:start w:val="1"/>
      <w:numFmt w:val="decimal"/>
      <w:lvlText w:val="%9."/>
      <w:lvlJc w:val="left"/>
      <w:pPr>
        <w:tabs>
          <w:tab w:val="num" w:pos="6480"/>
        </w:tabs>
        <w:ind w:left="6480" w:hanging="360"/>
      </w:pPr>
    </w:lvl>
  </w:abstractNum>
  <w:abstractNum w:abstractNumId="7" w15:restartNumberingAfterBreak="0">
    <w:nsid w:val="6DD4396F"/>
    <w:multiLevelType w:val="multilevel"/>
    <w:tmpl w:val="4E241128"/>
    <w:lvl w:ilvl="0">
      <w:start w:val="9"/>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6E9F2382"/>
    <w:multiLevelType w:val="hybridMultilevel"/>
    <w:tmpl w:val="C4F8EF08"/>
    <w:lvl w:ilvl="0" w:tplc="A6B4C59C">
      <w:start w:val="1"/>
      <w:numFmt w:val="decimal"/>
      <w:lvlText w:val="%1."/>
      <w:lvlJc w:val="left"/>
      <w:pPr>
        <w:tabs>
          <w:tab w:val="num" w:pos="720"/>
        </w:tabs>
        <w:ind w:left="720" w:hanging="360"/>
      </w:pPr>
    </w:lvl>
    <w:lvl w:ilvl="1" w:tplc="7A126892" w:tentative="1">
      <w:start w:val="1"/>
      <w:numFmt w:val="decimal"/>
      <w:lvlText w:val="%2."/>
      <w:lvlJc w:val="left"/>
      <w:pPr>
        <w:tabs>
          <w:tab w:val="num" w:pos="1440"/>
        </w:tabs>
        <w:ind w:left="1440" w:hanging="360"/>
      </w:pPr>
    </w:lvl>
    <w:lvl w:ilvl="2" w:tplc="3138ABB6" w:tentative="1">
      <w:start w:val="1"/>
      <w:numFmt w:val="decimal"/>
      <w:lvlText w:val="%3."/>
      <w:lvlJc w:val="left"/>
      <w:pPr>
        <w:tabs>
          <w:tab w:val="num" w:pos="2160"/>
        </w:tabs>
        <w:ind w:left="2160" w:hanging="360"/>
      </w:pPr>
    </w:lvl>
    <w:lvl w:ilvl="3" w:tplc="19706286" w:tentative="1">
      <w:start w:val="1"/>
      <w:numFmt w:val="decimal"/>
      <w:lvlText w:val="%4."/>
      <w:lvlJc w:val="left"/>
      <w:pPr>
        <w:tabs>
          <w:tab w:val="num" w:pos="2880"/>
        </w:tabs>
        <w:ind w:left="2880" w:hanging="360"/>
      </w:pPr>
    </w:lvl>
    <w:lvl w:ilvl="4" w:tplc="4776DB18" w:tentative="1">
      <w:start w:val="1"/>
      <w:numFmt w:val="decimal"/>
      <w:lvlText w:val="%5."/>
      <w:lvlJc w:val="left"/>
      <w:pPr>
        <w:tabs>
          <w:tab w:val="num" w:pos="3600"/>
        </w:tabs>
        <w:ind w:left="3600" w:hanging="360"/>
      </w:pPr>
    </w:lvl>
    <w:lvl w:ilvl="5" w:tplc="A84CEA12" w:tentative="1">
      <w:start w:val="1"/>
      <w:numFmt w:val="decimal"/>
      <w:lvlText w:val="%6."/>
      <w:lvlJc w:val="left"/>
      <w:pPr>
        <w:tabs>
          <w:tab w:val="num" w:pos="4320"/>
        </w:tabs>
        <w:ind w:left="4320" w:hanging="360"/>
      </w:pPr>
    </w:lvl>
    <w:lvl w:ilvl="6" w:tplc="467EA2DE" w:tentative="1">
      <w:start w:val="1"/>
      <w:numFmt w:val="decimal"/>
      <w:lvlText w:val="%7."/>
      <w:lvlJc w:val="left"/>
      <w:pPr>
        <w:tabs>
          <w:tab w:val="num" w:pos="5040"/>
        </w:tabs>
        <w:ind w:left="5040" w:hanging="360"/>
      </w:pPr>
    </w:lvl>
    <w:lvl w:ilvl="7" w:tplc="A6022676" w:tentative="1">
      <w:start w:val="1"/>
      <w:numFmt w:val="decimal"/>
      <w:lvlText w:val="%8."/>
      <w:lvlJc w:val="left"/>
      <w:pPr>
        <w:tabs>
          <w:tab w:val="num" w:pos="5760"/>
        </w:tabs>
        <w:ind w:left="5760" w:hanging="360"/>
      </w:pPr>
    </w:lvl>
    <w:lvl w:ilvl="8" w:tplc="EB4AF5B8" w:tentative="1">
      <w:start w:val="1"/>
      <w:numFmt w:val="decimal"/>
      <w:lvlText w:val="%9."/>
      <w:lvlJc w:val="left"/>
      <w:pPr>
        <w:tabs>
          <w:tab w:val="num" w:pos="6480"/>
        </w:tabs>
        <w:ind w:left="6480" w:hanging="360"/>
      </w:pPr>
    </w:lvl>
  </w:abstractNum>
  <w:num w:numId="1">
    <w:abstractNumId w:val="1"/>
  </w:num>
  <w:num w:numId="2">
    <w:abstractNumId w:val="2"/>
  </w:num>
  <w:num w:numId="3">
    <w:abstractNumId w:val="8"/>
  </w:num>
  <w:num w:numId="4">
    <w:abstractNumId w:val="4"/>
  </w:num>
  <w:num w:numId="5">
    <w:abstractNumId w:val="0"/>
  </w:num>
  <w:num w:numId="6">
    <w:abstractNumId w:val="3"/>
  </w:num>
  <w:num w:numId="7">
    <w:abstractNumId w:val="6"/>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468"/>
    <w:rsid w:val="00012046"/>
    <w:rsid w:val="000120F1"/>
    <w:rsid w:val="00014C0B"/>
    <w:rsid w:val="0002425F"/>
    <w:rsid w:val="00024CA2"/>
    <w:rsid w:val="00025230"/>
    <w:rsid w:val="000309C5"/>
    <w:rsid w:val="000317B0"/>
    <w:rsid w:val="00032DEA"/>
    <w:rsid w:val="00036813"/>
    <w:rsid w:val="000379F3"/>
    <w:rsid w:val="00040A3D"/>
    <w:rsid w:val="00041A84"/>
    <w:rsid w:val="00044139"/>
    <w:rsid w:val="000441C7"/>
    <w:rsid w:val="0004532E"/>
    <w:rsid w:val="00051194"/>
    <w:rsid w:val="00051791"/>
    <w:rsid w:val="00053525"/>
    <w:rsid w:val="00056989"/>
    <w:rsid w:val="00057EA2"/>
    <w:rsid w:val="00065148"/>
    <w:rsid w:val="000671D3"/>
    <w:rsid w:val="00071E13"/>
    <w:rsid w:val="00075984"/>
    <w:rsid w:val="00075C77"/>
    <w:rsid w:val="00082610"/>
    <w:rsid w:val="00083D21"/>
    <w:rsid w:val="00084498"/>
    <w:rsid w:val="00093BC7"/>
    <w:rsid w:val="000946D8"/>
    <w:rsid w:val="000949CA"/>
    <w:rsid w:val="000961AC"/>
    <w:rsid w:val="000977D3"/>
    <w:rsid w:val="000A16E8"/>
    <w:rsid w:val="000A34D3"/>
    <w:rsid w:val="000A6096"/>
    <w:rsid w:val="000A6365"/>
    <w:rsid w:val="000A6CAD"/>
    <w:rsid w:val="000A7B45"/>
    <w:rsid w:val="000B59F2"/>
    <w:rsid w:val="000C0A3B"/>
    <w:rsid w:val="000C25A3"/>
    <w:rsid w:val="000C7C02"/>
    <w:rsid w:val="000D0504"/>
    <w:rsid w:val="000D1C74"/>
    <w:rsid w:val="000D5478"/>
    <w:rsid w:val="000D594F"/>
    <w:rsid w:val="000E09DA"/>
    <w:rsid w:val="000E2980"/>
    <w:rsid w:val="000E4566"/>
    <w:rsid w:val="000E484D"/>
    <w:rsid w:val="000E6276"/>
    <w:rsid w:val="000F23E7"/>
    <w:rsid w:val="000F2D2F"/>
    <w:rsid w:val="000F3C63"/>
    <w:rsid w:val="000F59BC"/>
    <w:rsid w:val="00100C4C"/>
    <w:rsid w:val="00101348"/>
    <w:rsid w:val="00104A7B"/>
    <w:rsid w:val="00111C25"/>
    <w:rsid w:val="00112B70"/>
    <w:rsid w:val="00112B99"/>
    <w:rsid w:val="00114C05"/>
    <w:rsid w:val="001200D2"/>
    <w:rsid w:val="00123366"/>
    <w:rsid w:val="001335A5"/>
    <w:rsid w:val="00136FEF"/>
    <w:rsid w:val="00137B4B"/>
    <w:rsid w:val="001427A2"/>
    <w:rsid w:val="0014359E"/>
    <w:rsid w:val="00147A80"/>
    <w:rsid w:val="00156D27"/>
    <w:rsid w:val="0016452E"/>
    <w:rsid w:val="00166817"/>
    <w:rsid w:val="00166DB7"/>
    <w:rsid w:val="00170540"/>
    <w:rsid w:val="00173A80"/>
    <w:rsid w:val="00174B53"/>
    <w:rsid w:val="00182F77"/>
    <w:rsid w:val="00183056"/>
    <w:rsid w:val="0018533B"/>
    <w:rsid w:val="001862FA"/>
    <w:rsid w:val="00186551"/>
    <w:rsid w:val="00190B24"/>
    <w:rsid w:val="001A1A6A"/>
    <w:rsid w:val="001B5084"/>
    <w:rsid w:val="001B6395"/>
    <w:rsid w:val="001B6861"/>
    <w:rsid w:val="001B7CC4"/>
    <w:rsid w:val="001C0167"/>
    <w:rsid w:val="001C2480"/>
    <w:rsid w:val="001C2869"/>
    <w:rsid w:val="001C2DFA"/>
    <w:rsid w:val="001C57D8"/>
    <w:rsid w:val="001D20BA"/>
    <w:rsid w:val="001D47FA"/>
    <w:rsid w:val="001D67B9"/>
    <w:rsid w:val="001D7A37"/>
    <w:rsid w:val="001E20A5"/>
    <w:rsid w:val="001E297C"/>
    <w:rsid w:val="001E2E83"/>
    <w:rsid w:val="001E4766"/>
    <w:rsid w:val="001E643D"/>
    <w:rsid w:val="001E6BB0"/>
    <w:rsid w:val="001F0D31"/>
    <w:rsid w:val="002027DF"/>
    <w:rsid w:val="00202870"/>
    <w:rsid w:val="0020535A"/>
    <w:rsid w:val="00213AFF"/>
    <w:rsid w:val="0021417C"/>
    <w:rsid w:val="0022052F"/>
    <w:rsid w:val="00222141"/>
    <w:rsid w:val="00222A3A"/>
    <w:rsid w:val="0022659C"/>
    <w:rsid w:val="002267E7"/>
    <w:rsid w:val="002310A5"/>
    <w:rsid w:val="002314BD"/>
    <w:rsid w:val="00231AC5"/>
    <w:rsid w:val="002335A0"/>
    <w:rsid w:val="00234122"/>
    <w:rsid w:val="00234B32"/>
    <w:rsid w:val="00243CF1"/>
    <w:rsid w:val="002442BB"/>
    <w:rsid w:val="002451D9"/>
    <w:rsid w:val="00246418"/>
    <w:rsid w:val="002464A0"/>
    <w:rsid w:val="00250088"/>
    <w:rsid w:val="00250554"/>
    <w:rsid w:val="00251493"/>
    <w:rsid w:val="00253364"/>
    <w:rsid w:val="00256FEC"/>
    <w:rsid w:val="002579A2"/>
    <w:rsid w:val="00257FC4"/>
    <w:rsid w:val="002609E2"/>
    <w:rsid w:val="00260CFF"/>
    <w:rsid w:val="002635EE"/>
    <w:rsid w:val="00264A9C"/>
    <w:rsid w:val="00266297"/>
    <w:rsid w:val="0027407D"/>
    <w:rsid w:val="0028150D"/>
    <w:rsid w:val="00284E20"/>
    <w:rsid w:val="00286A16"/>
    <w:rsid w:val="00292DC6"/>
    <w:rsid w:val="00293C29"/>
    <w:rsid w:val="002942A3"/>
    <w:rsid w:val="002964D9"/>
    <w:rsid w:val="002965B1"/>
    <w:rsid w:val="002A0787"/>
    <w:rsid w:val="002A567F"/>
    <w:rsid w:val="002A5E29"/>
    <w:rsid w:val="002A5F98"/>
    <w:rsid w:val="002B0B73"/>
    <w:rsid w:val="002B20D2"/>
    <w:rsid w:val="002B2931"/>
    <w:rsid w:val="002B33D3"/>
    <w:rsid w:val="002C2FA3"/>
    <w:rsid w:val="002C73D0"/>
    <w:rsid w:val="002C7E1C"/>
    <w:rsid w:val="002D207E"/>
    <w:rsid w:val="002D3F10"/>
    <w:rsid w:val="002D4EA8"/>
    <w:rsid w:val="002D5252"/>
    <w:rsid w:val="002E2B69"/>
    <w:rsid w:val="002E304B"/>
    <w:rsid w:val="002E60FD"/>
    <w:rsid w:val="002F0460"/>
    <w:rsid w:val="002F16B3"/>
    <w:rsid w:val="002F6DD4"/>
    <w:rsid w:val="002F7E12"/>
    <w:rsid w:val="00300EE6"/>
    <w:rsid w:val="00301176"/>
    <w:rsid w:val="003025A9"/>
    <w:rsid w:val="00303211"/>
    <w:rsid w:val="00303F6F"/>
    <w:rsid w:val="003101CA"/>
    <w:rsid w:val="00311675"/>
    <w:rsid w:val="003229E5"/>
    <w:rsid w:val="003302DF"/>
    <w:rsid w:val="00332C9A"/>
    <w:rsid w:val="00341857"/>
    <w:rsid w:val="00343566"/>
    <w:rsid w:val="003435EF"/>
    <w:rsid w:val="0034406C"/>
    <w:rsid w:val="0034641C"/>
    <w:rsid w:val="00346EC2"/>
    <w:rsid w:val="003473FE"/>
    <w:rsid w:val="00351433"/>
    <w:rsid w:val="0035555E"/>
    <w:rsid w:val="0035764C"/>
    <w:rsid w:val="00360AC0"/>
    <w:rsid w:val="00363705"/>
    <w:rsid w:val="00365018"/>
    <w:rsid w:val="00365C55"/>
    <w:rsid w:val="00370954"/>
    <w:rsid w:val="00376233"/>
    <w:rsid w:val="00380D2B"/>
    <w:rsid w:val="00382390"/>
    <w:rsid w:val="00384D03"/>
    <w:rsid w:val="003900C6"/>
    <w:rsid w:val="003A4E9F"/>
    <w:rsid w:val="003B2DB1"/>
    <w:rsid w:val="003B666C"/>
    <w:rsid w:val="003C3468"/>
    <w:rsid w:val="003C3877"/>
    <w:rsid w:val="003C5BB5"/>
    <w:rsid w:val="003D2908"/>
    <w:rsid w:val="003D5EBC"/>
    <w:rsid w:val="003D6E8F"/>
    <w:rsid w:val="003E0AE2"/>
    <w:rsid w:val="003F14C4"/>
    <w:rsid w:val="003F7F84"/>
    <w:rsid w:val="004001B3"/>
    <w:rsid w:val="00404C35"/>
    <w:rsid w:val="00410FAD"/>
    <w:rsid w:val="00421685"/>
    <w:rsid w:val="00421E36"/>
    <w:rsid w:val="004230CE"/>
    <w:rsid w:val="004264AB"/>
    <w:rsid w:val="00426667"/>
    <w:rsid w:val="00426733"/>
    <w:rsid w:val="004310E4"/>
    <w:rsid w:val="0043157B"/>
    <w:rsid w:val="00432775"/>
    <w:rsid w:val="00434C8F"/>
    <w:rsid w:val="00437C7A"/>
    <w:rsid w:val="00437D1F"/>
    <w:rsid w:val="004410D7"/>
    <w:rsid w:val="0044119F"/>
    <w:rsid w:val="004423C7"/>
    <w:rsid w:val="004426D5"/>
    <w:rsid w:val="0044351E"/>
    <w:rsid w:val="00444B27"/>
    <w:rsid w:val="00446669"/>
    <w:rsid w:val="00447410"/>
    <w:rsid w:val="00463EE5"/>
    <w:rsid w:val="0046516F"/>
    <w:rsid w:val="004651C2"/>
    <w:rsid w:val="00465DB6"/>
    <w:rsid w:val="00466220"/>
    <w:rsid w:val="0046765C"/>
    <w:rsid w:val="00472338"/>
    <w:rsid w:val="00472DA8"/>
    <w:rsid w:val="004744FA"/>
    <w:rsid w:val="004774A1"/>
    <w:rsid w:val="00482859"/>
    <w:rsid w:val="004828E0"/>
    <w:rsid w:val="00482FE6"/>
    <w:rsid w:val="0048328B"/>
    <w:rsid w:val="004832B5"/>
    <w:rsid w:val="004917DC"/>
    <w:rsid w:val="00492648"/>
    <w:rsid w:val="00492A3E"/>
    <w:rsid w:val="00492FF7"/>
    <w:rsid w:val="004953EA"/>
    <w:rsid w:val="004959D9"/>
    <w:rsid w:val="004A193A"/>
    <w:rsid w:val="004A2453"/>
    <w:rsid w:val="004A28FA"/>
    <w:rsid w:val="004A2CB7"/>
    <w:rsid w:val="004A42A0"/>
    <w:rsid w:val="004A6E0D"/>
    <w:rsid w:val="004B15A4"/>
    <w:rsid w:val="004B324A"/>
    <w:rsid w:val="004B334A"/>
    <w:rsid w:val="004B35A8"/>
    <w:rsid w:val="004B3A46"/>
    <w:rsid w:val="004B5951"/>
    <w:rsid w:val="004B7ECC"/>
    <w:rsid w:val="004C16ED"/>
    <w:rsid w:val="004C34CE"/>
    <w:rsid w:val="004C3920"/>
    <w:rsid w:val="004C52FB"/>
    <w:rsid w:val="004C7B13"/>
    <w:rsid w:val="004D1750"/>
    <w:rsid w:val="004D279C"/>
    <w:rsid w:val="004D2A81"/>
    <w:rsid w:val="004D6694"/>
    <w:rsid w:val="004D6CAF"/>
    <w:rsid w:val="004D766B"/>
    <w:rsid w:val="004D7E1A"/>
    <w:rsid w:val="004E124D"/>
    <w:rsid w:val="004E1B87"/>
    <w:rsid w:val="004E6FEB"/>
    <w:rsid w:val="004F0A1C"/>
    <w:rsid w:val="004F3271"/>
    <w:rsid w:val="004F46B1"/>
    <w:rsid w:val="004F4CFE"/>
    <w:rsid w:val="004F798D"/>
    <w:rsid w:val="005005C7"/>
    <w:rsid w:val="00503304"/>
    <w:rsid w:val="00503826"/>
    <w:rsid w:val="00503A54"/>
    <w:rsid w:val="00503B94"/>
    <w:rsid w:val="005044D6"/>
    <w:rsid w:val="00505C44"/>
    <w:rsid w:val="00507F08"/>
    <w:rsid w:val="00511024"/>
    <w:rsid w:val="0051445F"/>
    <w:rsid w:val="00516BE7"/>
    <w:rsid w:val="00516F41"/>
    <w:rsid w:val="00517E92"/>
    <w:rsid w:val="005201A9"/>
    <w:rsid w:val="0052179A"/>
    <w:rsid w:val="00522B7B"/>
    <w:rsid w:val="005236A1"/>
    <w:rsid w:val="00526540"/>
    <w:rsid w:val="005276E8"/>
    <w:rsid w:val="00527F3C"/>
    <w:rsid w:val="005305E7"/>
    <w:rsid w:val="00530D13"/>
    <w:rsid w:val="00535B3B"/>
    <w:rsid w:val="00542D9F"/>
    <w:rsid w:val="00544956"/>
    <w:rsid w:val="005473DF"/>
    <w:rsid w:val="00551882"/>
    <w:rsid w:val="00552EC3"/>
    <w:rsid w:val="005539CF"/>
    <w:rsid w:val="005630F8"/>
    <w:rsid w:val="00563C34"/>
    <w:rsid w:val="005647A0"/>
    <w:rsid w:val="00566707"/>
    <w:rsid w:val="00567EFA"/>
    <w:rsid w:val="00573A20"/>
    <w:rsid w:val="00576440"/>
    <w:rsid w:val="00576794"/>
    <w:rsid w:val="00577D79"/>
    <w:rsid w:val="005800D0"/>
    <w:rsid w:val="0058091B"/>
    <w:rsid w:val="00582B1F"/>
    <w:rsid w:val="00591CFC"/>
    <w:rsid w:val="00596D90"/>
    <w:rsid w:val="005A1754"/>
    <w:rsid w:val="005A1BB9"/>
    <w:rsid w:val="005A2C73"/>
    <w:rsid w:val="005A3761"/>
    <w:rsid w:val="005A4963"/>
    <w:rsid w:val="005A6372"/>
    <w:rsid w:val="005A6716"/>
    <w:rsid w:val="005B2D3D"/>
    <w:rsid w:val="005B319D"/>
    <w:rsid w:val="005B418A"/>
    <w:rsid w:val="005B55F7"/>
    <w:rsid w:val="005B7264"/>
    <w:rsid w:val="005B792E"/>
    <w:rsid w:val="005C07C6"/>
    <w:rsid w:val="005C3BE8"/>
    <w:rsid w:val="005C4B40"/>
    <w:rsid w:val="005C6D2D"/>
    <w:rsid w:val="005C7803"/>
    <w:rsid w:val="005D53A0"/>
    <w:rsid w:val="005D62B7"/>
    <w:rsid w:val="005E435F"/>
    <w:rsid w:val="005F0645"/>
    <w:rsid w:val="005F1511"/>
    <w:rsid w:val="005F2279"/>
    <w:rsid w:val="005F3114"/>
    <w:rsid w:val="0060240E"/>
    <w:rsid w:val="006029E4"/>
    <w:rsid w:val="00603B34"/>
    <w:rsid w:val="006056C2"/>
    <w:rsid w:val="006068F3"/>
    <w:rsid w:val="006102BB"/>
    <w:rsid w:val="00612F69"/>
    <w:rsid w:val="006133A7"/>
    <w:rsid w:val="006147FB"/>
    <w:rsid w:val="00614D45"/>
    <w:rsid w:val="00620FDA"/>
    <w:rsid w:val="0062240D"/>
    <w:rsid w:val="00623843"/>
    <w:rsid w:val="006243D0"/>
    <w:rsid w:val="00625C37"/>
    <w:rsid w:val="0063255F"/>
    <w:rsid w:val="00633C48"/>
    <w:rsid w:val="006377E4"/>
    <w:rsid w:val="00641322"/>
    <w:rsid w:val="006413F9"/>
    <w:rsid w:val="00641AC0"/>
    <w:rsid w:val="006432B8"/>
    <w:rsid w:val="006465F1"/>
    <w:rsid w:val="006465F3"/>
    <w:rsid w:val="00646966"/>
    <w:rsid w:val="00647D5F"/>
    <w:rsid w:val="006531EC"/>
    <w:rsid w:val="0065351F"/>
    <w:rsid w:val="00653BD1"/>
    <w:rsid w:val="00660C31"/>
    <w:rsid w:val="0066273A"/>
    <w:rsid w:val="00666FC4"/>
    <w:rsid w:val="00667AF4"/>
    <w:rsid w:val="00670293"/>
    <w:rsid w:val="00670C65"/>
    <w:rsid w:val="00675D60"/>
    <w:rsid w:val="00676422"/>
    <w:rsid w:val="00677DA4"/>
    <w:rsid w:val="006828E5"/>
    <w:rsid w:val="00691DAB"/>
    <w:rsid w:val="00691FD6"/>
    <w:rsid w:val="00693763"/>
    <w:rsid w:val="00693796"/>
    <w:rsid w:val="006961D7"/>
    <w:rsid w:val="006A15B0"/>
    <w:rsid w:val="006A2B80"/>
    <w:rsid w:val="006A36F6"/>
    <w:rsid w:val="006B7AAE"/>
    <w:rsid w:val="006C2201"/>
    <w:rsid w:val="006C3744"/>
    <w:rsid w:val="006D14BF"/>
    <w:rsid w:val="006D4DD8"/>
    <w:rsid w:val="006D7CC9"/>
    <w:rsid w:val="006E05A3"/>
    <w:rsid w:val="006E0A7A"/>
    <w:rsid w:val="006E1F3D"/>
    <w:rsid w:val="006E54D9"/>
    <w:rsid w:val="006E65B2"/>
    <w:rsid w:val="006E7F3E"/>
    <w:rsid w:val="006F12D3"/>
    <w:rsid w:val="006F4535"/>
    <w:rsid w:val="006F6D20"/>
    <w:rsid w:val="00702E18"/>
    <w:rsid w:val="00705777"/>
    <w:rsid w:val="007058C3"/>
    <w:rsid w:val="00707B1A"/>
    <w:rsid w:val="00712D81"/>
    <w:rsid w:val="00713278"/>
    <w:rsid w:val="0072230A"/>
    <w:rsid w:val="00723086"/>
    <w:rsid w:val="00723B39"/>
    <w:rsid w:val="00734BA8"/>
    <w:rsid w:val="00737D4F"/>
    <w:rsid w:val="00746A17"/>
    <w:rsid w:val="00753B10"/>
    <w:rsid w:val="007559EE"/>
    <w:rsid w:val="00761A16"/>
    <w:rsid w:val="00764059"/>
    <w:rsid w:val="00764CC4"/>
    <w:rsid w:val="0076505E"/>
    <w:rsid w:val="00767BEC"/>
    <w:rsid w:val="00771E91"/>
    <w:rsid w:val="007736A7"/>
    <w:rsid w:val="007749BE"/>
    <w:rsid w:val="007750F8"/>
    <w:rsid w:val="007756C9"/>
    <w:rsid w:val="00775D2B"/>
    <w:rsid w:val="00776DD2"/>
    <w:rsid w:val="00777430"/>
    <w:rsid w:val="00781D82"/>
    <w:rsid w:val="00783FA2"/>
    <w:rsid w:val="007848AD"/>
    <w:rsid w:val="007856F6"/>
    <w:rsid w:val="00786CC8"/>
    <w:rsid w:val="00791018"/>
    <w:rsid w:val="0079142B"/>
    <w:rsid w:val="00791B30"/>
    <w:rsid w:val="00791E83"/>
    <w:rsid w:val="00792D0C"/>
    <w:rsid w:val="00792F5C"/>
    <w:rsid w:val="00796AE6"/>
    <w:rsid w:val="007A20C9"/>
    <w:rsid w:val="007A31EF"/>
    <w:rsid w:val="007A4823"/>
    <w:rsid w:val="007A7FD8"/>
    <w:rsid w:val="007B07C4"/>
    <w:rsid w:val="007B0F64"/>
    <w:rsid w:val="007B3DA2"/>
    <w:rsid w:val="007B7320"/>
    <w:rsid w:val="007B7E21"/>
    <w:rsid w:val="007C0C81"/>
    <w:rsid w:val="007C279C"/>
    <w:rsid w:val="007C2CA5"/>
    <w:rsid w:val="007C4452"/>
    <w:rsid w:val="007C7AB8"/>
    <w:rsid w:val="007C7F95"/>
    <w:rsid w:val="007D1258"/>
    <w:rsid w:val="007D193C"/>
    <w:rsid w:val="007D39E9"/>
    <w:rsid w:val="007D5DF4"/>
    <w:rsid w:val="007E18A8"/>
    <w:rsid w:val="007E27D8"/>
    <w:rsid w:val="007E73F9"/>
    <w:rsid w:val="007E7F37"/>
    <w:rsid w:val="007F478D"/>
    <w:rsid w:val="007F77C6"/>
    <w:rsid w:val="008055AF"/>
    <w:rsid w:val="00811920"/>
    <w:rsid w:val="008137A2"/>
    <w:rsid w:val="008167CA"/>
    <w:rsid w:val="008171FE"/>
    <w:rsid w:val="0082224D"/>
    <w:rsid w:val="00822D36"/>
    <w:rsid w:val="008239C2"/>
    <w:rsid w:val="008273DB"/>
    <w:rsid w:val="00830E9C"/>
    <w:rsid w:val="00832F3F"/>
    <w:rsid w:val="00837EDC"/>
    <w:rsid w:val="00844CAB"/>
    <w:rsid w:val="008519D9"/>
    <w:rsid w:val="00860BA3"/>
    <w:rsid w:val="00860FDD"/>
    <w:rsid w:val="008618AC"/>
    <w:rsid w:val="00862C1D"/>
    <w:rsid w:val="00865C97"/>
    <w:rsid w:val="00867E1E"/>
    <w:rsid w:val="00867E93"/>
    <w:rsid w:val="00870112"/>
    <w:rsid w:val="00873620"/>
    <w:rsid w:val="0087391D"/>
    <w:rsid w:val="00876817"/>
    <w:rsid w:val="00880395"/>
    <w:rsid w:val="00881540"/>
    <w:rsid w:val="008855B8"/>
    <w:rsid w:val="008866FA"/>
    <w:rsid w:val="008978B3"/>
    <w:rsid w:val="008A20A2"/>
    <w:rsid w:val="008A3BDA"/>
    <w:rsid w:val="008A44F9"/>
    <w:rsid w:val="008A7427"/>
    <w:rsid w:val="008A7DB9"/>
    <w:rsid w:val="008B4DF9"/>
    <w:rsid w:val="008B65B0"/>
    <w:rsid w:val="008B786C"/>
    <w:rsid w:val="008C3017"/>
    <w:rsid w:val="008C5598"/>
    <w:rsid w:val="008C71CF"/>
    <w:rsid w:val="008D20B4"/>
    <w:rsid w:val="008D2816"/>
    <w:rsid w:val="008D52B1"/>
    <w:rsid w:val="008D562C"/>
    <w:rsid w:val="008D7A6A"/>
    <w:rsid w:val="008D7FB7"/>
    <w:rsid w:val="008E1F27"/>
    <w:rsid w:val="008E2CBA"/>
    <w:rsid w:val="008E3DC8"/>
    <w:rsid w:val="008E4014"/>
    <w:rsid w:val="008E4147"/>
    <w:rsid w:val="008E725E"/>
    <w:rsid w:val="008F27CF"/>
    <w:rsid w:val="008F30BA"/>
    <w:rsid w:val="008F35CA"/>
    <w:rsid w:val="008F38D9"/>
    <w:rsid w:val="008F549A"/>
    <w:rsid w:val="008F6A8A"/>
    <w:rsid w:val="00903B4D"/>
    <w:rsid w:val="00907762"/>
    <w:rsid w:val="00910ABC"/>
    <w:rsid w:val="00911540"/>
    <w:rsid w:val="00916423"/>
    <w:rsid w:val="009168C9"/>
    <w:rsid w:val="0091787B"/>
    <w:rsid w:val="0092451E"/>
    <w:rsid w:val="0092507C"/>
    <w:rsid w:val="00925546"/>
    <w:rsid w:val="00927D8B"/>
    <w:rsid w:val="00934786"/>
    <w:rsid w:val="00934C87"/>
    <w:rsid w:val="009353B6"/>
    <w:rsid w:val="00936DCE"/>
    <w:rsid w:val="00937E86"/>
    <w:rsid w:val="00942186"/>
    <w:rsid w:val="00943350"/>
    <w:rsid w:val="00947FEC"/>
    <w:rsid w:val="00952B61"/>
    <w:rsid w:val="009546F2"/>
    <w:rsid w:val="00955D11"/>
    <w:rsid w:val="009565EA"/>
    <w:rsid w:val="009609AF"/>
    <w:rsid w:val="0096288D"/>
    <w:rsid w:val="00965BA2"/>
    <w:rsid w:val="00972E75"/>
    <w:rsid w:val="00973F44"/>
    <w:rsid w:val="00981CC2"/>
    <w:rsid w:val="00982741"/>
    <w:rsid w:val="00982858"/>
    <w:rsid w:val="00983199"/>
    <w:rsid w:val="009834CC"/>
    <w:rsid w:val="00985315"/>
    <w:rsid w:val="009865CD"/>
    <w:rsid w:val="00987517"/>
    <w:rsid w:val="00991893"/>
    <w:rsid w:val="00994E03"/>
    <w:rsid w:val="009952B7"/>
    <w:rsid w:val="00996EE6"/>
    <w:rsid w:val="009A21E8"/>
    <w:rsid w:val="009A50BD"/>
    <w:rsid w:val="009A5858"/>
    <w:rsid w:val="009A5F3E"/>
    <w:rsid w:val="009B01BE"/>
    <w:rsid w:val="009B0722"/>
    <w:rsid w:val="009B1FEE"/>
    <w:rsid w:val="009B2BCC"/>
    <w:rsid w:val="009B5D38"/>
    <w:rsid w:val="009B6A21"/>
    <w:rsid w:val="009B7EA3"/>
    <w:rsid w:val="009C1C98"/>
    <w:rsid w:val="009C2944"/>
    <w:rsid w:val="009C2B9A"/>
    <w:rsid w:val="009C3632"/>
    <w:rsid w:val="009C4137"/>
    <w:rsid w:val="009C486E"/>
    <w:rsid w:val="009D328A"/>
    <w:rsid w:val="009D3436"/>
    <w:rsid w:val="009D36A8"/>
    <w:rsid w:val="009D696A"/>
    <w:rsid w:val="009E0F47"/>
    <w:rsid w:val="009E2373"/>
    <w:rsid w:val="009E6B2E"/>
    <w:rsid w:val="009E7F14"/>
    <w:rsid w:val="009F5793"/>
    <w:rsid w:val="00A07708"/>
    <w:rsid w:val="00A123DC"/>
    <w:rsid w:val="00A12ED2"/>
    <w:rsid w:val="00A1376F"/>
    <w:rsid w:val="00A16BEF"/>
    <w:rsid w:val="00A17F5F"/>
    <w:rsid w:val="00A2236F"/>
    <w:rsid w:val="00A230D5"/>
    <w:rsid w:val="00A2632B"/>
    <w:rsid w:val="00A27EE2"/>
    <w:rsid w:val="00A31E2F"/>
    <w:rsid w:val="00A41052"/>
    <w:rsid w:val="00A42CBF"/>
    <w:rsid w:val="00A44984"/>
    <w:rsid w:val="00A457F3"/>
    <w:rsid w:val="00A45BCD"/>
    <w:rsid w:val="00A47779"/>
    <w:rsid w:val="00A528E6"/>
    <w:rsid w:val="00A54D4F"/>
    <w:rsid w:val="00A55C0F"/>
    <w:rsid w:val="00A640BE"/>
    <w:rsid w:val="00A64433"/>
    <w:rsid w:val="00A67DC7"/>
    <w:rsid w:val="00A70EC5"/>
    <w:rsid w:val="00A75388"/>
    <w:rsid w:val="00A754AA"/>
    <w:rsid w:val="00A77BD5"/>
    <w:rsid w:val="00A82984"/>
    <w:rsid w:val="00A84BC1"/>
    <w:rsid w:val="00A86252"/>
    <w:rsid w:val="00A8788E"/>
    <w:rsid w:val="00A910F2"/>
    <w:rsid w:val="00A937E4"/>
    <w:rsid w:val="00A94572"/>
    <w:rsid w:val="00A97D06"/>
    <w:rsid w:val="00AA4843"/>
    <w:rsid w:val="00AA5618"/>
    <w:rsid w:val="00AA5706"/>
    <w:rsid w:val="00AA76A0"/>
    <w:rsid w:val="00AB5225"/>
    <w:rsid w:val="00AB57FC"/>
    <w:rsid w:val="00AC0CC5"/>
    <w:rsid w:val="00AC3AEC"/>
    <w:rsid w:val="00AC7CB0"/>
    <w:rsid w:val="00AD2993"/>
    <w:rsid w:val="00AD3A4F"/>
    <w:rsid w:val="00AD3FE6"/>
    <w:rsid w:val="00AD4EA7"/>
    <w:rsid w:val="00AD5C54"/>
    <w:rsid w:val="00AD6619"/>
    <w:rsid w:val="00AD6833"/>
    <w:rsid w:val="00AE0434"/>
    <w:rsid w:val="00AE44AF"/>
    <w:rsid w:val="00AE468C"/>
    <w:rsid w:val="00AE4A7E"/>
    <w:rsid w:val="00AE573E"/>
    <w:rsid w:val="00AF20DC"/>
    <w:rsid w:val="00AF466B"/>
    <w:rsid w:val="00AF7462"/>
    <w:rsid w:val="00B02E1E"/>
    <w:rsid w:val="00B0587B"/>
    <w:rsid w:val="00B065D5"/>
    <w:rsid w:val="00B0702D"/>
    <w:rsid w:val="00B12182"/>
    <w:rsid w:val="00B12555"/>
    <w:rsid w:val="00B140D8"/>
    <w:rsid w:val="00B20143"/>
    <w:rsid w:val="00B23338"/>
    <w:rsid w:val="00B249B0"/>
    <w:rsid w:val="00B25849"/>
    <w:rsid w:val="00B270F5"/>
    <w:rsid w:val="00B34C75"/>
    <w:rsid w:val="00B35548"/>
    <w:rsid w:val="00B41FBA"/>
    <w:rsid w:val="00B45388"/>
    <w:rsid w:val="00B46DF7"/>
    <w:rsid w:val="00B54BEE"/>
    <w:rsid w:val="00B569AD"/>
    <w:rsid w:val="00B56CC7"/>
    <w:rsid w:val="00B65A88"/>
    <w:rsid w:val="00B66836"/>
    <w:rsid w:val="00B66CEF"/>
    <w:rsid w:val="00B66D31"/>
    <w:rsid w:val="00B70ACD"/>
    <w:rsid w:val="00B71170"/>
    <w:rsid w:val="00B72129"/>
    <w:rsid w:val="00B76A74"/>
    <w:rsid w:val="00B82972"/>
    <w:rsid w:val="00B849F6"/>
    <w:rsid w:val="00B85544"/>
    <w:rsid w:val="00B87C31"/>
    <w:rsid w:val="00B91760"/>
    <w:rsid w:val="00B91BCD"/>
    <w:rsid w:val="00B9242D"/>
    <w:rsid w:val="00B93CDB"/>
    <w:rsid w:val="00B94F40"/>
    <w:rsid w:val="00BA47A7"/>
    <w:rsid w:val="00BA57FA"/>
    <w:rsid w:val="00BB6A56"/>
    <w:rsid w:val="00BB782A"/>
    <w:rsid w:val="00BC059E"/>
    <w:rsid w:val="00BC101F"/>
    <w:rsid w:val="00BC4E94"/>
    <w:rsid w:val="00BC7A2C"/>
    <w:rsid w:val="00BD14B3"/>
    <w:rsid w:val="00BD48F8"/>
    <w:rsid w:val="00BD4A34"/>
    <w:rsid w:val="00BD575A"/>
    <w:rsid w:val="00BD5F59"/>
    <w:rsid w:val="00BE00A5"/>
    <w:rsid w:val="00BE0E8D"/>
    <w:rsid w:val="00BE5860"/>
    <w:rsid w:val="00BE7D79"/>
    <w:rsid w:val="00BF446B"/>
    <w:rsid w:val="00BF5099"/>
    <w:rsid w:val="00C06098"/>
    <w:rsid w:val="00C1213D"/>
    <w:rsid w:val="00C12838"/>
    <w:rsid w:val="00C12C05"/>
    <w:rsid w:val="00C131E6"/>
    <w:rsid w:val="00C133CE"/>
    <w:rsid w:val="00C13793"/>
    <w:rsid w:val="00C13C98"/>
    <w:rsid w:val="00C17293"/>
    <w:rsid w:val="00C221A1"/>
    <w:rsid w:val="00C24543"/>
    <w:rsid w:val="00C253A0"/>
    <w:rsid w:val="00C25706"/>
    <w:rsid w:val="00C278D4"/>
    <w:rsid w:val="00C30447"/>
    <w:rsid w:val="00C306A4"/>
    <w:rsid w:val="00C37035"/>
    <w:rsid w:val="00C372FC"/>
    <w:rsid w:val="00C37CAD"/>
    <w:rsid w:val="00C43987"/>
    <w:rsid w:val="00C45CFF"/>
    <w:rsid w:val="00C5489D"/>
    <w:rsid w:val="00C55E22"/>
    <w:rsid w:val="00C56EF6"/>
    <w:rsid w:val="00C5713E"/>
    <w:rsid w:val="00C613B0"/>
    <w:rsid w:val="00C72707"/>
    <w:rsid w:val="00C76BEC"/>
    <w:rsid w:val="00C81AED"/>
    <w:rsid w:val="00C81FB2"/>
    <w:rsid w:val="00C8414A"/>
    <w:rsid w:val="00C87E13"/>
    <w:rsid w:val="00C9498E"/>
    <w:rsid w:val="00CA0C73"/>
    <w:rsid w:val="00CA4065"/>
    <w:rsid w:val="00CA745B"/>
    <w:rsid w:val="00CB15D0"/>
    <w:rsid w:val="00CB1623"/>
    <w:rsid w:val="00CB1FB4"/>
    <w:rsid w:val="00CB363A"/>
    <w:rsid w:val="00CB3CCD"/>
    <w:rsid w:val="00CB4392"/>
    <w:rsid w:val="00CB4EC2"/>
    <w:rsid w:val="00CB622D"/>
    <w:rsid w:val="00CB6D03"/>
    <w:rsid w:val="00CB7C6A"/>
    <w:rsid w:val="00CC0999"/>
    <w:rsid w:val="00CC756F"/>
    <w:rsid w:val="00CD13CE"/>
    <w:rsid w:val="00CD1C15"/>
    <w:rsid w:val="00CD453A"/>
    <w:rsid w:val="00CD7B3C"/>
    <w:rsid w:val="00CE113C"/>
    <w:rsid w:val="00CE2210"/>
    <w:rsid w:val="00CE784F"/>
    <w:rsid w:val="00CF367E"/>
    <w:rsid w:val="00CF7F76"/>
    <w:rsid w:val="00D01D87"/>
    <w:rsid w:val="00D05EF0"/>
    <w:rsid w:val="00D07735"/>
    <w:rsid w:val="00D132D7"/>
    <w:rsid w:val="00D14360"/>
    <w:rsid w:val="00D15817"/>
    <w:rsid w:val="00D2068A"/>
    <w:rsid w:val="00D20FFD"/>
    <w:rsid w:val="00D26607"/>
    <w:rsid w:val="00D271FA"/>
    <w:rsid w:val="00D27A08"/>
    <w:rsid w:val="00D312B7"/>
    <w:rsid w:val="00D3366F"/>
    <w:rsid w:val="00D40329"/>
    <w:rsid w:val="00D40CDD"/>
    <w:rsid w:val="00D44F6A"/>
    <w:rsid w:val="00D4566E"/>
    <w:rsid w:val="00D47208"/>
    <w:rsid w:val="00D50916"/>
    <w:rsid w:val="00D52AE2"/>
    <w:rsid w:val="00D6181D"/>
    <w:rsid w:val="00D62A98"/>
    <w:rsid w:val="00D643C1"/>
    <w:rsid w:val="00D65F39"/>
    <w:rsid w:val="00D672F9"/>
    <w:rsid w:val="00D7581D"/>
    <w:rsid w:val="00D8738B"/>
    <w:rsid w:val="00D87B2D"/>
    <w:rsid w:val="00D902E7"/>
    <w:rsid w:val="00D90306"/>
    <w:rsid w:val="00D91C9B"/>
    <w:rsid w:val="00D9283B"/>
    <w:rsid w:val="00D92A50"/>
    <w:rsid w:val="00D93F5F"/>
    <w:rsid w:val="00D95024"/>
    <w:rsid w:val="00D960D6"/>
    <w:rsid w:val="00DA0DAD"/>
    <w:rsid w:val="00DA565E"/>
    <w:rsid w:val="00DB07F6"/>
    <w:rsid w:val="00DC2148"/>
    <w:rsid w:val="00DC2B5D"/>
    <w:rsid w:val="00DC330C"/>
    <w:rsid w:val="00DC3D9A"/>
    <w:rsid w:val="00DC45CB"/>
    <w:rsid w:val="00DC4AAC"/>
    <w:rsid w:val="00DC53A6"/>
    <w:rsid w:val="00DC5FDE"/>
    <w:rsid w:val="00DC72B0"/>
    <w:rsid w:val="00DC7DAD"/>
    <w:rsid w:val="00DD0F50"/>
    <w:rsid w:val="00DD1DC0"/>
    <w:rsid w:val="00DD25D2"/>
    <w:rsid w:val="00DD2A05"/>
    <w:rsid w:val="00DD3A9C"/>
    <w:rsid w:val="00DD52BC"/>
    <w:rsid w:val="00DD682D"/>
    <w:rsid w:val="00DE33E3"/>
    <w:rsid w:val="00DE5A52"/>
    <w:rsid w:val="00DF08CB"/>
    <w:rsid w:val="00DF4BCF"/>
    <w:rsid w:val="00E0236C"/>
    <w:rsid w:val="00E11A7F"/>
    <w:rsid w:val="00E127DA"/>
    <w:rsid w:val="00E12905"/>
    <w:rsid w:val="00E15965"/>
    <w:rsid w:val="00E22095"/>
    <w:rsid w:val="00E24296"/>
    <w:rsid w:val="00E3027E"/>
    <w:rsid w:val="00E31908"/>
    <w:rsid w:val="00E32945"/>
    <w:rsid w:val="00E34BBC"/>
    <w:rsid w:val="00E34C0A"/>
    <w:rsid w:val="00E35503"/>
    <w:rsid w:val="00E35F0B"/>
    <w:rsid w:val="00E369EB"/>
    <w:rsid w:val="00E37854"/>
    <w:rsid w:val="00E40D3C"/>
    <w:rsid w:val="00E43CEE"/>
    <w:rsid w:val="00E47E57"/>
    <w:rsid w:val="00E5339A"/>
    <w:rsid w:val="00E57880"/>
    <w:rsid w:val="00E61582"/>
    <w:rsid w:val="00E7349C"/>
    <w:rsid w:val="00E76E46"/>
    <w:rsid w:val="00E773AD"/>
    <w:rsid w:val="00E77D90"/>
    <w:rsid w:val="00E81307"/>
    <w:rsid w:val="00E8497C"/>
    <w:rsid w:val="00E931AB"/>
    <w:rsid w:val="00E96326"/>
    <w:rsid w:val="00EA2FA3"/>
    <w:rsid w:val="00EB4922"/>
    <w:rsid w:val="00EB77A5"/>
    <w:rsid w:val="00EC175D"/>
    <w:rsid w:val="00EC6ABE"/>
    <w:rsid w:val="00ED6163"/>
    <w:rsid w:val="00EE08AC"/>
    <w:rsid w:val="00EE1BD5"/>
    <w:rsid w:val="00EE27AF"/>
    <w:rsid w:val="00EE5575"/>
    <w:rsid w:val="00EE6E7C"/>
    <w:rsid w:val="00EE75E3"/>
    <w:rsid w:val="00EF47AD"/>
    <w:rsid w:val="00EF5B77"/>
    <w:rsid w:val="00EF676B"/>
    <w:rsid w:val="00F02859"/>
    <w:rsid w:val="00F04B83"/>
    <w:rsid w:val="00F058D9"/>
    <w:rsid w:val="00F05AEC"/>
    <w:rsid w:val="00F12329"/>
    <w:rsid w:val="00F155CB"/>
    <w:rsid w:val="00F214ED"/>
    <w:rsid w:val="00F23813"/>
    <w:rsid w:val="00F25356"/>
    <w:rsid w:val="00F301E6"/>
    <w:rsid w:val="00F32B20"/>
    <w:rsid w:val="00F341B1"/>
    <w:rsid w:val="00F35168"/>
    <w:rsid w:val="00F35653"/>
    <w:rsid w:val="00F37654"/>
    <w:rsid w:val="00F37FB8"/>
    <w:rsid w:val="00F510A4"/>
    <w:rsid w:val="00F51E46"/>
    <w:rsid w:val="00F5684E"/>
    <w:rsid w:val="00F632EC"/>
    <w:rsid w:val="00F646E8"/>
    <w:rsid w:val="00F65E9F"/>
    <w:rsid w:val="00F70300"/>
    <w:rsid w:val="00F721A3"/>
    <w:rsid w:val="00F72719"/>
    <w:rsid w:val="00F7442F"/>
    <w:rsid w:val="00F753D3"/>
    <w:rsid w:val="00F812A0"/>
    <w:rsid w:val="00F81ED6"/>
    <w:rsid w:val="00F83ECF"/>
    <w:rsid w:val="00F8500B"/>
    <w:rsid w:val="00F955A3"/>
    <w:rsid w:val="00F97109"/>
    <w:rsid w:val="00F97959"/>
    <w:rsid w:val="00FA0778"/>
    <w:rsid w:val="00FA3794"/>
    <w:rsid w:val="00FA4141"/>
    <w:rsid w:val="00FB0C03"/>
    <w:rsid w:val="00FB116F"/>
    <w:rsid w:val="00FC05D1"/>
    <w:rsid w:val="00FC4584"/>
    <w:rsid w:val="00FC73C3"/>
    <w:rsid w:val="00FD0AFF"/>
    <w:rsid w:val="00FD3F56"/>
    <w:rsid w:val="00FD6205"/>
    <w:rsid w:val="00FD75A4"/>
    <w:rsid w:val="00FE2556"/>
    <w:rsid w:val="00FE3E0E"/>
    <w:rsid w:val="00FE516C"/>
    <w:rsid w:val="00FE62AD"/>
    <w:rsid w:val="00FE6E40"/>
    <w:rsid w:val="00FF2EA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4DA867"/>
  <w15:chartTrackingRefBased/>
  <w15:docId w15:val="{57881E4E-7F2B-449B-A8A0-0D3F6694C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4"/>
        <w:szCs w:val="22"/>
        <w:lang w:val="es-MX" w:eastAsia="en-US" w:bidi="ar-SA"/>
      </w:rPr>
    </w:rPrDefault>
    <w:pPrDefault>
      <w:pPr>
        <w:spacing w:after="16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3468"/>
    <w:pPr>
      <w:spacing w:before="100" w:beforeAutospacing="1" w:after="100" w:afterAutospacing="1"/>
    </w:pPr>
  </w:style>
  <w:style w:type="paragraph" w:styleId="Ttulo1">
    <w:name w:val="heading 1"/>
    <w:basedOn w:val="Normal"/>
    <w:next w:val="Normal"/>
    <w:link w:val="Ttulo1Car"/>
    <w:uiPriority w:val="9"/>
    <w:qFormat/>
    <w:rsid w:val="004001B3"/>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Ttulo2">
    <w:name w:val="heading 2"/>
    <w:basedOn w:val="Normal"/>
    <w:next w:val="Normal"/>
    <w:link w:val="Ttulo2Car"/>
    <w:uiPriority w:val="9"/>
    <w:unhideWhenUsed/>
    <w:qFormat/>
    <w:rsid w:val="004001B3"/>
    <w:pPr>
      <w:keepNext/>
      <w:keepLines/>
      <w:spacing w:before="200" w:beforeAutospacing="0" w:after="0" w:afterAutospacing="0" w:line="276" w:lineRule="auto"/>
      <w:jc w:val="left"/>
      <w:outlineLvl w:val="1"/>
    </w:pPr>
    <w:rPr>
      <w:rFonts w:asciiTheme="majorHAnsi" w:eastAsiaTheme="majorEastAsia" w:hAnsiTheme="majorHAnsi" w:cstheme="majorBidi"/>
      <w:b/>
      <w:bCs/>
      <w:color w:val="4472C4" w:themeColor="accent1"/>
      <w:sz w:val="26"/>
      <w:szCs w:val="26"/>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3C3468"/>
    <w:pPr>
      <w:spacing w:after="0" w:line="240" w:lineRule="auto"/>
    </w:pPr>
  </w:style>
  <w:style w:type="table" w:styleId="Tablaconcuadrcula">
    <w:name w:val="Table Grid"/>
    <w:basedOn w:val="Tablanormal"/>
    <w:uiPriority w:val="39"/>
    <w:rsid w:val="003C3468"/>
    <w:pPr>
      <w:spacing w:beforeAutospacing="1" w:after="0" w:afterAutospacing="1"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4001B3"/>
    <w:rPr>
      <w:rFonts w:asciiTheme="majorHAnsi" w:eastAsiaTheme="majorEastAsia" w:hAnsiTheme="majorHAnsi" w:cstheme="majorBidi"/>
      <w:b/>
      <w:bCs/>
      <w:color w:val="2F5496" w:themeColor="accent1" w:themeShade="BF"/>
      <w:sz w:val="28"/>
      <w:szCs w:val="28"/>
    </w:rPr>
  </w:style>
  <w:style w:type="character" w:customStyle="1" w:styleId="Ttulo2Car">
    <w:name w:val="Título 2 Car"/>
    <w:basedOn w:val="Fuentedeprrafopredeter"/>
    <w:link w:val="Ttulo2"/>
    <w:uiPriority w:val="9"/>
    <w:rsid w:val="004001B3"/>
    <w:rPr>
      <w:rFonts w:asciiTheme="majorHAnsi" w:eastAsiaTheme="majorEastAsia" w:hAnsiTheme="majorHAnsi" w:cstheme="majorBidi"/>
      <w:b/>
      <w:bCs/>
      <w:color w:val="4472C4" w:themeColor="accent1"/>
      <w:sz w:val="26"/>
      <w:szCs w:val="26"/>
      <w:lang w:eastAsia="es-MX"/>
    </w:rPr>
  </w:style>
  <w:style w:type="paragraph" w:styleId="NormalWeb">
    <w:name w:val="Normal (Web)"/>
    <w:basedOn w:val="Normal"/>
    <w:uiPriority w:val="99"/>
    <w:unhideWhenUsed/>
    <w:rsid w:val="004001B3"/>
    <w:pPr>
      <w:spacing w:line="240" w:lineRule="auto"/>
      <w:jc w:val="left"/>
    </w:pPr>
    <w:rPr>
      <w:rFonts w:ascii="Times New Roman" w:eastAsia="Times New Roman" w:hAnsi="Times New Roman" w:cs="Times New Roman"/>
      <w:szCs w:val="24"/>
      <w:lang w:eastAsia="es-MX"/>
    </w:rPr>
  </w:style>
  <w:style w:type="character" w:styleId="Hipervnculo">
    <w:name w:val="Hyperlink"/>
    <w:basedOn w:val="Fuentedeprrafopredeter"/>
    <w:uiPriority w:val="99"/>
    <w:unhideWhenUsed/>
    <w:rsid w:val="004001B3"/>
    <w:rPr>
      <w:color w:val="0563C1" w:themeColor="hyperlink"/>
      <w:u w:val="single"/>
    </w:rPr>
  </w:style>
  <w:style w:type="character" w:styleId="Hipervnculovisitado">
    <w:name w:val="FollowedHyperlink"/>
    <w:basedOn w:val="Fuentedeprrafopredeter"/>
    <w:uiPriority w:val="99"/>
    <w:semiHidden/>
    <w:unhideWhenUsed/>
    <w:rsid w:val="004001B3"/>
    <w:rPr>
      <w:color w:val="954F72" w:themeColor="followedHyperlink"/>
      <w:u w:val="single"/>
    </w:rPr>
  </w:style>
  <w:style w:type="paragraph" w:styleId="Prrafodelista">
    <w:name w:val="List Paragraph"/>
    <w:basedOn w:val="Normal"/>
    <w:uiPriority w:val="34"/>
    <w:qFormat/>
    <w:rsid w:val="004001B3"/>
    <w:pPr>
      <w:spacing w:before="0" w:beforeAutospacing="0" w:after="200" w:afterAutospacing="0"/>
      <w:ind w:left="720"/>
      <w:contextualSpacing/>
    </w:pPr>
  </w:style>
  <w:style w:type="paragraph" w:styleId="Textodeglobo">
    <w:name w:val="Balloon Text"/>
    <w:basedOn w:val="Normal"/>
    <w:link w:val="TextodegloboCar"/>
    <w:uiPriority w:val="99"/>
    <w:semiHidden/>
    <w:unhideWhenUsed/>
    <w:rsid w:val="004001B3"/>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001B3"/>
    <w:rPr>
      <w:rFonts w:ascii="Tahoma" w:hAnsi="Tahoma" w:cs="Tahoma"/>
      <w:sz w:val="16"/>
      <w:szCs w:val="16"/>
    </w:rPr>
  </w:style>
  <w:style w:type="character" w:styleId="Refdecomentario">
    <w:name w:val="annotation reference"/>
    <w:basedOn w:val="Fuentedeprrafopredeter"/>
    <w:uiPriority w:val="99"/>
    <w:semiHidden/>
    <w:unhideWhenUsed/>
    <w:rsid w:val="004001B3"/>
    <w:rPr>
      <w:sz w:val="16"/>
      <w:szCs w:val="16"/>
    </w:rPr>
  </w:style>
  <w:style w:type="paragraph" w:styleId="Textocomentario">
    <w:name w:val="annotation text"/>
    <w:basedOn w:val="Normal"/>
    <w:link w:val="TextocomentarioCar"/>
    <w:uiPriority w:val="99"/>
    <w:semiHidden/>
    <w:unhideWhenUsed/>
    <w:rsid w:val="004001B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001B3"/>
    <w:rPr>
      <w:sz w:val="20"/>
      <w:szCs w:val="20"/>
    </w:rPr>
  </w:style>
  <w:style w:type="paragraph" w:styleId="Asuntodelcomentario">
    <w:name w:val="annotation subject"/>
    <w:basedOn w:val="Textocomentario"/>
    <w:next w:val="Textocomentario"/>
    <w:link w:val="AsuntodelcomentarioCar"/>
    <w:uiPriority w:val="99"/>
    <w:semiHidden/>
    <w:unhideWhenUsed/>
    <w:rsid w:val="004001B3"/>
    <w:rPr>
      <w:b/>
      <w:bCs/>
    </w:rPr>
  </w:style>
  <w:style w:type="character" w:customStyle="1" w:styleId="AsuntodelcomentarioCar">
    <w:name w:val="Asunto del comentario Car"/>
    <w:basedOn w:val="TextocomentarioCar"/>
    <w:link w:val="Asuntodelcomentario"/>
    <w:uiPriority w:val="99"/>
    <w:semiHidden/>
    <w:rsid w:val="004001B3"/>
    <w:rPr>
      <w:b/>
      <w:bCs/>
      <w:sz w:val="20"/>
      <w:szCs w:val="20"/>
    </w:rPr>
  </w:style>
  <w:style w:type="paragraph" w:styleId="Encabezado">
    <w:name w:val="header"/>
    <w:basedOn w:val="Normal"/>
    <w:link w:val="EncabezadoCar"/>
    <w:uiPriority w:val="99"/>
    <w:unhideWhenUsed/>
    <w:rsid w:val="004001B3"/>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4001B3"/>
  </w:style>
  <w:style w:type="paragraph" w:styleId="Piedepgina">
    <w:name w:val="footer"/>
    <w:basedOn w:val="Normal"/>
    <w:link w:val="PiedepginaCar"/>
    <w:uiPriority w:val="99"/>
    <w:unhideWhenUsed/>
    <w:rsid w:val="004001B3"/>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4001B3"/>
  </w:style>
  <w:style w:type="character" w:customStyle="1" w:styleId="Mencinsinresolver1">
    <w:name w:val="Mención sin resolver1"/>
    <w:basedOn w:val="Fuentedeprrafopredeter"/>
    <w:uiPriority w:val="99"/>
    <w:semiHidden/>
    <w:unhideWhenUsed/>
    <w:rsid w:val="004001B3"/>
    <w:rPr>
      <w:color w:val="605E5C"/>
      <w:shd w:val="clear" w:color="auto" w:fill="E1DFDD"/>
    </w:rPr>
  </w:style>
  <w:style w:type="character" w:styleId="Textodelmarcadordeposicin">
    <w:name w:val="Placeholder Text"/>
    <w:basedOn w:val="Fuentedeprrafopredeter"/>
    <w:uiPriority w:val="99"/>
    <w:semiHidden/>
    <w:rsid w:val="004001B3"/>
    <w:rPr>
      <w:color w:val="808080"/>
    </w:rPr>
  </w:style>
  <w:style w:type="character" w:customStyle="1" w:styleId="UnresolvedMention">
    <w:name w:val="Unresolved Mention"/>
    <w:basedOn w:val="Fuentedeprrafopredeter"/>
    <w:uiPriority w:val="99"/>
    <w:semiHidden/>
    <w:unhideWhenUsed/>
    <w:rsid w:val="004001B3"/>
    <w:rPr>
      <w:color w:val="605E5C"/>
      <w:shd w:val="clear" w:color="auto" w:fill="E1DFDD"/>
    </w:rPr>
  </w:style>
  <w:style w:type="paragraph" w:styleId="Textonotapie">
    <w:name w:val="footnote text"/>
    <w:basedOn w:val="Normal"/>
    <w:link w:val="TextonotapieCar"/>
    <w:uiPriority w:val="99"/>
    <w:unhideWhenUsed/>
    <w:rsid w:val="004001B3"/>
    <w:pPr>
      <w:spacing w:before="0" w:beforeAutospacing="0" w:after="0" w:afterAutospacing="0" w:line="240" w:lineRule="auto"/>
    </w:pPr>
    <w:rPr>
      <w:rFonts w:cs="Arial"/>
      <w:sz w:val="20"/>
      <w:szCs w:val="20"/>
      <w:lang w:val="es-419"/>
    </w:rPr>
  </w:style>
  <w:style w:type="character" w:customStyle="1" w:styleId="TextonotapieCar">
    <w:name w:val="Texto nota pie Car"/>
    <w:basedOn w:val="Fuentedeprrafopredeter"/>
    <w:link w:val="Textonotapie"/>
    <w:uiPriority w:val="99"/>
    <w:rsid w:val="004001B3"/>
    <w:rPr>
      <w:rFonts w:cs="Arial"/>
      <w:sz w:val="20"/>
      <w:szCs w:val="20"/>
      <w:lang w:val="es-419"/>
    </w:rPr>
  </w:style>
  <w:style w:type="character" w:styleId="Refdenotaalpie">
    <w:name w:val="footnote reference"/>
    <w:basedOn w:val="Fuentedeprrafopredeter"/>
    <w:uiPriority w:val="99"/>
    <w:semiHidden/>
    <w:unhideWhenUsed/>
    <w:rsid w:val="004001B3"/>
    <w:rPr>
      <w:vertAlign w:val="superscript"/>
    </w:rPr>
  </w:style>
  <w:style w:type="paragraph" w:customStyle="1" w:styleId="MDPI11articletype">
    <w:name w:val="MDPI_1.1_article_type"/>
    <w:basedOn w:val="Normal"/>
    <w:next w:val="Normal"/>
    <w:qFormat/>
    <w:rsid w:val="004001B3"/>
    <w:pPr>
      <w:adjustRightInd w:val="0"/>
      <w:snapToGrid w:val="0"/>
      <w:spacing w:before="240" w:beforeAutospacing="0" w:after="0" w:afterAutospacing="0" w:line="240" w:lineRule="auto"/>
      <w:jc w:val="left"/>
    </w:pPr>
    <w:rPr>
      <w:rFonts w:ascii="Palatino Linotype" w:eastAsia="Times New Roman" w:hAnsi="Palatino Linotype" w:cs="Times New Roman"/>
      <w:i/>
      <w:snapToGrid w:val="0"/>
      <w:color w:val="000000"/>
      <w:sz w:val="20"/>
      <w:lang w:val="en-US" w:eastAsia="de-DE" w:bidi="en-US"/>
    </w:rPr>
  </w:style>
  <w:style w:type="paragraph" w:customStyle="1" w:styleId="MDPI13authornames">
    <w:name w:val="MDPI_1.3_authornames"/>
    <w:basedOn w:val="Normal"/>
    <w:next w:val="Normal"/>
    <w:qFormat/>
    <w:rsid w:val="004001B3"/>
    <w:pPr>
      <w:adjustRightInd w:val="0"/>
      <w:snapToGrid w:val="0"/>
      <w:spacing w:before="0" w:beforeAutospacing="0" w:after="120" w:afterAutospacing="0" w:line="260" w:lineRule="atLeast"/>
      <w:jc w:val="left"/>
    </w:pPr>
    <w:rPr>
      <w:rFonts w:ascii="Palatino Linotype" w:eastAsia="Times New Roman" w:hAnsi="Palatino Linotype" w:cs="Times New Roman"/>
      <w:b/>
      <w:color w:val="000000"/>
      <w:sz w:val="20"/>
      <w:lang w:val="en-US" w:eastAsia="de-DE" w:bidi="en-US"/>
    </w:rPr>
  </w:style>
  <w:style w:type="paragraph" w:customStyle="1" w:styleId="MDPI17abstract">
    <w:name w:val="MDPI_1.7_abstract"/>
    <w:basedOn w:val="Normal"/>
    <w:next w:val="Normal"/>
    <w:qFormat/>
    <w:rsid w:val="004001B3"/>
    <w:pPr>
      <w:adjustRightInd w:val="0"/>
      <w:snapToGrid w:val="0"/>
      <w:spacing w:before="240" w:beforeAutospacing="0" w:after="0" w:afterAutospacing="0" w:line="260" w:lineRule="atLeast"/>
      <w:ind w:left="113"/>
    </w:pPr>
    <w:rPr>
      <w:rFonts w:ascii="Palatino Linotype" w:eastAsia="Times New Roman" w:hAnsi="Palatino Linotype" w:cs="Times New Roman"/>
      <w:color w:val="000000"/>
      <w:sz w:val="20"/>
      <w:lang w:val="en-US" w:eastAsia="de-DE" w:bidi="en-US"/>
    </w:rPr>
  </w:style>
  <w:style w:type="paragraph" w:customStyle="1" w:styleId="Newparagraph">
    <w:name w:val="New paragraph"/>
    <w:basedOn w:val="Normal"/>
    <w:qFormat/>
    <w:rsid w:val="004001B3"/>
    <w:pPr>
      <w:spacing w:before="0" w:beforeAutospacing="0" w:after="0" w:afterAutospacing="0" w:line="480" w:lineRule="auto"/>
      <w:ind w:firstLine="720"/>
      <w:jc w:val="left"/>
    </w:pPr>
    <w:rPr>
      <w:rFonts w:ascii="Times New Roman" w:eastAsia="Times New Roman" w:hAnsi="Times New Roman" w:cs="Times New Roman"/>
      <w:szCs w:val="24"/>
      <w:lang w:val="en-GB" w:eastAsia="en-GB"/>
    </w:rPr>
  </w:style>
  <w:style w:type="paragraph" w:customStyle="1" w:styleId="MDPI42tablebody">
    <w:name w:val="MDPI_4.2_table_body"/>
    <w:rsid w:val="004001B3"/>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Articletitle">
    <w:name w:val="Article title"/>
    <w:basedOn w:val="Normal"/>
    <w:next w:val="Normal"/>
    <w:qFormat/>
    <w:rsid w:val="004001B3"/>
    <w:pPr>
      <w:spacing w:before="0" w:beforeAutospacing="0" w:after="120" w:afterAutospacing="0"/>
      <w:jc w:val="left"/>
    </w:pPr>
    <w:rPr>
      <w:rFonts w:ascii="Times New Roman" w:eastAsia="Times New Roman" w:hAnsi="Times New Roman" w:cs="Times New Roman"/>
      <w:b/>
      <w:sz w:val="28"/>
      <w:szCs w:val="24"/>
      <w:lang w:val="en-GB" w:eastAsia="en-GB"/>
    </w:rPr>
  </w:style>
  <w:style w:type="paragraph" w:customStyle="1" w:styleId="Keywords">
    <w:name w:val="Keywords"/>
    <w:basedOn w:val="Normal"/>
    <w:next w:val="Normal"/>
    <w:qFormat/>
    <w:rsid w:val="004001B3"/>
    <w:pPr>
      <w:spacing w:before="240" w:beforeAutospacing="0" w:after="240" w:afterAutospacing="0"/>
      <w:ind w:left="720" w:right="567"/>
      <w:jc w:val="left"/>
    </w:pPr>
    <w:rPr>
      <w:rFonts w:ascii="Times New Roman" w:eastAsia="Times New Roman" w:hAnsi="Times New Roman" w:cs="Times New Roman"/>
      <w:sz w:val="22"/>
      <w:szCs w:val="24"/>
      <w:lang w:val="en-GB" w:eastAsia="en-GB"/>
    </w:rPr>
  </w:style>
  <w:style w:type="paragraph" w:styleId="Revisin">
    <w:name w:val="Revision"/>
    <w:hidden/>
    <w:uiPriority w:val="99"/>
    <w:semiHidden/>
    <w:rsid w:val="001427A2"/>
    <w:pPr>
      <w:spacing w:after="0"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065771">
      <w:bodyDiv w:val="1"/>
      <w:marLeft w:val="0"/>
      <w:marRight w:val="0"/>
      <w:marTop w:val="0"/>
      <w:marBottom w:val="0"/>
      <w:divBdr>
        <w:top w:val="none" w:sz="0" w:space="0" w:color="auto"/>
        <w:left w:val="none" w:sz="0" w:space="0" w:color="auto"/>
        <w:bottom w:val="none" w:sz="0" w:space="0" w:color="auto"/>
        <w:right w:val="none" w:sz="0" w:space="0" w:color="auto"/>
      </w:divBdr>
    </w:div>
    <w:div w:id="706638906">
      <w:bodyDiv w:val="1"/>
      <w:marLeft w:val="0"/>
      <w:marRight w:val="0"/>
      <w:marTop w:val="0"/>
      <w:marBottom w:val="0"/>
      <w:divBdr>
        <w:top w:val="none" w:sz="0" w:space="0" w:color="auto"/>
        <w:left w:val="none" w:sz="0" w:space="0" w:color="auto"/>
        <w:bottom w:val="none" w:sz="0" w:space="0" w:color="auto"/>
        <w:right w:val="none" w:sz="0" w:space="0" w:color="auto"/>
      </w:divBdr>
    </w:div>
    <w:div w:id="1176113249">
      <w:bodyDiv w:val="1"/>
      <w:marLeft w:val="0"/>
      <w:marRight w:val="0"/>
      <w:marTop w:val="0"/>
      <w:marBottom w:val="0"/>
      <w:divBdr>
        <w:top w:val="none" w:sz="0" w:space="0" w:color="auto"/>
        <w:left w:val="none" w:sz="0" w:space="0" w:color="auto"/>
        <w:bottom w:val="none" w:sz="0" w:space="0" w:color="auto"/>
        <w:right w:val="none" w:sz="0" w:space="0" w:color="auto"/>
      </w:divBdr>
    </w:div>
    <w:div w:id="1224095386">
      <w:bodyDiv w:val="1"/>
      <w:marLeft w:val="0"/>
      <w:marRight w:val="0"/>
      <w:marTop w:val="0"/>
      <w:marBottom w:val="0"/>
      <w:divBdr>
        <w:top w:val="none" w:sz="0" w:space="0" w:color="auto"/>
        <w:left w:val="none" w:sz="0" w:space="0" w:color="auto"/>
        <w:bottom w:val="none" w:sz="0" w:space="0" w:color="auto"/>
        <w:right w:val="none" w:sz="0" w:space="0" w:color="auto"/>
      </w:divBdr>
    </w:div>
    <w:div w:id="1224949941">
      <w:bodyDiv w:val="1"/>
      <w:marLeft w:val="0"/>
      <w:marRight w:val="0"/>
      <w:marTop w:val="0"/>
      <w:marBottom w:val="0"/>
      <w:divBdr>
        <w:top w:val="none" w:sz="0" w:space="0" w:color="auto"/>
        <w:left w:val="none" w:sz="0" w:space="0" w:color="auto"/>
        <w:bottom w:val="none" w:sz="0" w:space="0" w:color="auto"/>
        <w:right w:val="none" w:sz="0" w:space="0" w:color="auto"/>
      </w:divBdr>
    </w:div>
    <w:div w:id="1288703591">
      <w:bodyDiv w:val="1"/>
      <w:marLeft w:val="0"/>
      <w:marRight w:val="0"/>
      <w:marTop w:val="0"/>
      <w:marBottom w:val="0"/>
      <w:divBdr>
        <w:top w:val="none" w:sz="0" w:space="0" w:color="auto"/>
        <w:left w:val="none" w:sz="0" w:space="0" w:color="auto"/>
        <w:bottom w:val="none" w:sz="0" w:space="0" w:color="auto"/>
        <w:right w:val="none" w:sz="0" w:space="0" w:color="auto"/>
      </w:divBdr>
    </w:div>
    <w:div w:id="1649086585">
      <w:bodyDiv w:val="1"/>
      <w:marLeft w:val="0"/>
      <w:marRight w:val="0"/>
      <w:marTop w:val="0"/>
      <w:marBottom w:val="0"/>
      <w:divBdr>
        <w:top w:val="none" w:sz="0" w:space="0" w:color="auto"/>
        <w:left w:val="none" w:sz="0" w:space="0" w:color="auto"/>
        <w:bottom w:val="none" w:sz="0" w:space="0" w:color="auto"/>
        <w:right w:val="none" w:sz="0" w:space="0" w:color="auto"/>
      </w:divBdr>
    </w:div>
    <w:div w:id="1967462939">
      <w:bodyDiv w:val="1"/>
      <w:marLeft w:val="0"/>
      <w:marRight w:val="0"/>
      <w:marTop w:val="0"/>
      <w:marBottom w:val="0"/>
      <w:divBdr>
        <w:top w:val="none" w:sz="0" w:space="0" w:color="auto"/>
        <w:left w:val="none" w:sz="0" w:space="0" w:color="auto"/>
        <w:bottom w:val="none" w:sz="0" w:space="0" w:color="auto"/>
        <w:right w:val="none" w:sz="0" w:space="0" w:color="auto"/>
      </w:divBdr>
    </w:div>
    <w:div w:id="2043087541">
      <w:bodyDiv w:val="1"/>
      <w:marLeft w:val="0"/>
      <w:marRight w:val="0"/>
      <w:marTop w:val="0"/>
      <w:marBottom w:val="0"/>
      <w:divBdr>
        <w:top w:val="none" w:sz="0" w:space="0" w:color="auto"/>
        <w:left w:val="none" w:sz="0" w:space="0" w:color="auto"/>
        <w:bottom w:val="none" w:sz="0" w:space="0" w:color="auto"/>
        <w:right w:val="none" w:sz="0" w:space="0" w:color="auto"/>
      </w:divBdr>
    </w:div>
    <w:div w:id="2068019623">
      <w:bodyDiv w:val="1"/>
      <w:marLeft w:val="0"/>
      <w:marRight w:val="0"/>
      <w:marTop w:val="0"/>
      <w:marBottom w:val="0"/>
      <w:divBdr>
        <w:top w:val="none" w:sz="0" w:space="0" w:color="auto"/>
        <w:left w:val="none" w:sz="0" w:space="0" w:color="auto"/>
        <w:bottom w:val="none" w:sz="0" w:space="0" w:color="auto"/>
        <w:right w:val="none" w:sz="0" w:space="0" w:color="auto"/>
      </w:divBdr>
      <w:divsChild>
        <w:div w:id="1802259356">
          <w:marLeft w:val="0"/>
          <w:marRight w:val="0"/>
          <w:marTop w:val="0"/>
          <w:marBottom w:val="0"/>
          <w:divBdr>
            <w:top w:val="none" w:sz="0" w:space="0" w:color="auto"/>
            <w:left w:val="none" w:sz="0" w:space="0" w:color="auto"/>
            <w:bottom w:val="none" w:sz="0" w:space="0" w:color="auto"/>
            <w:right w:val="none" w:sz="0" w:space="0" w:color="auto"/>
          </w:divBdr>
        </w:div>
        <w:div w:id="951739925">
          <w:marLeft w:val="0"/>
          <w:marRight w:val="0"/>
          <w:marTop w:val="0"/>
          <w:marBottom w:val="0"/>
          <w:divBdr>
            <w:top w:val="none" w:sz="0" w:space="0" w:color="auto"/>
            <w:left w:val="none" w:sz="0" w:space="0" w:color="auto"/>
            <w:bottom w:val="none" w:sz="0" w:space="0" w:color="auto"/>
            <w:right w:val="none" w:sz="0" w:space="0" w:color="auto"/>
          </w:divBdr>
        </w:div>
        <w:div w:id="1783913778">
          <w:marLeft w:val="0"/>
          <w:marRight w:val="0"/>
          <w:marTop w:val="0"/>
          <w:marBottom w:val="0"/>
          <w:divBdr>
            <w:top w:val="none" w:sz="0" w:space="0" w:color="auto"/>
            <w:left w:val="none" w:sz="0" w:space="0" w:color="auto"/>
            <w:bottom w:val="none" w:sz="0" w:space="0" w:color="auto"/>
            <w:right w:val="none" w:sz="0" w:space="0" w:color="auto"/>
          </w:divBdr>
        </w:div>
        <w:div w:id="15802127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image" Target="media/image4.tmp"/><Relationship Id="rId18" Type="http://schemas.microsoft.com/office/2007/relationships/hdphoto" Target="media/hdphoto1.wdp"/><Relationship Id="rId26" Type="http://schemas.openxmlformats.org/officeDocument/2006/relationships/hyperlink" Target="https://eurocarne.com/noticias/codigo/43145/kw/Destacan+que+el+comercio+mundial+de+carne+de+conejo+creci%C3%B3+hasta+los+6.400+millones+de+d%C3%B3lares" TargetMode="External"/><Relationship Id="rId39" Type="http://schemas.openxmlformats.org/officeDocument/2006/relationships/hyperlink" Target="http://www.sct.gob.mx/despliega-noticias/article/nuevas-autopistas-en-beneficio-directo-de-cinco-entidades-del-pais/" TargetMode="External"/><Relationship Id="rId3" Type="http://schemas.openxmlformats.org/officeDocument/2006/relationships/styles" Target="styles.xml"/><Relationship Id="rId21" Type="http://schemas.openxmlformats.org/officeDocument/2006/relationships/hyperlink" Target="https://www.wdl.org/es/item/10622/" TargetMode="External"/><Relationship Id="rId34" Type="http://schemas.openxmlformats.org/officeDocument/2006/relationships/hyperlink" Target="http://www.contextoganadero.com/ganaderia-sostenible/como-se-produce-la-conversion-de-musculo-carne" TargetMode="External"/><Relationship Id="rId42" Type="http://schemas.openxmlformats.org/officeDocument/2006/relationships/hyperlink" Target="http://www.medicinatradicionalmexicana.unam.mx/index.php"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tmp"/><Relationship Id="rId17" Type="http://schemas.openxmlformats.org/officeDocument/2006/relationships/image" Target="media/image7.png"/><Relationship Id="rId25" Type="http://schemas.openxmlformats.org/officeDocument/2006/relationships/hyperlink" Target="http://www.fao.org/3/y5468s/y5468s0k.htm" TargetMode="External"/><Relationship Id="rId33" Type="http://schemas.openxmlformats.org/officeDocument/2006/relationships/hyperlink" Target="http://ri.uaemex.mx/bitstream/handle/20.500.11799/63020/secme-5145.pdf?sequence=1" TargetMode="External"/><Relationship Id="rId38" Type="http://schemas.openxmlformats.org/officeDocument/2006/relationships/hyperlink" Target="https://www.gob.mx/cms/uploads/attachment/file/95448/Manual_de_Buenas_Pr_cticas_de_Producci_n_de_Carne_de_Conejo.pdf" TargetMode="External"/><Relationship Id="rId46" Type="http://schemas.openxmlformats.org/officeDocument/2006/relationships/image" Target="media/image12.emf"/><Relationship Id="rId2" Type="http://schemas.openxmlformats.org/officeDocument/2006/relationships/numbering" Target="numbering.xml"/><Relationship Id="rId16" Type="http://schemas.openxmlformats.org/officeDocument/2006/relationships/hyperlink" Target="https://agrociencia-colpos.mx/index.php/agrociencia/article/view/2301" TargetMode="External"/><Relationship Id="rId20" Type="http://schemas.openxmlformats.org/officeDocument/2006/relationships/hyperlink" Target="https://agromejor.com/la-cunicultura-en-mexico/" TargetMode="External"/><Relationship Id="rId29" Type="http://schemas.openxmlformats.org/officeDocument/2006/relationships/hyperlink" Target="http://www.fao.org/tempref/codex/Meetings/CCRVDF/ccrvdf13/rv01_10s.pdf" TargetMode="External"/><Relationship Id="rId41" Type="http://schemas.openxmlformats.org/officeDocument/2006/relationships/hyperlink" Target="https://www.gob.mx/senasica/prensa/impulsan-produccion-de-carne-de-conejo-inoc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ecoosfera.com/2015/10/la-medicina-alternativa-es-parte-de-la-tradicion-mexicana-piensa-el-84/" TargetMode="External"/><Relationship Id="rId32" Type="http://schemas.openxmlformats.org/officeDocument/2006/relationships/hyperlink" Target="http://www.fao.org/3/t1690s/t1690s09.pdf" TargetMode="External"/><Relationship Id="rId37" Type="http://schemas.openxmlformats.org/officeDocument/2006/relationships/hyperlink" Target="https://www.gob.mx/agricultura%7Cedomex/articulos/el-estado-de-mexico-primer-lugar-en-produccion-de-conejos-138004" TargetMode="External"/><Relationship Id="rId40" Type="http://schemas.openxmlformats.org/officeDocument/2006/relationships/hyperlink" Target="https://www.sepi.cdmx.gob.mx/comunicacion/nota/sederec-impulsa-proyectos-para-el-estudio-y-difusion-de-la-medicina-tradicional-y-herbolaria" TargetMode="External"/><Relationship Id="rId45" Type="http://schemas.openxmlformats.org/officeDocument/2006/relationships/image" Target="media/image11.emf"/><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hyperlink" Target="http://copladem.edomex.gob.mx/regiones_y_municipios" TargetMode="External"/><Relationship Id="rId28" Type="http://schemas.openxmlformats.org/officeDocument/2006/relationships/hyperlink" Target="http://www.fao.org/gleam/results/es/" TargetMode="External"/><Relationship Id="rId36" Type="http://schemas.openxmlformats.org/officeDocument/2006/relationships/hyperlink" Target="file:///C:/Users/HP/Downloads/o2836165%20(1).pdf" TargetMode="External"/><Relationship Id="rId10" Type="http://schemas.openxmlformats.org/officeDocument/2006/relationships/footer" Target="footer1.xml"/><Relationship Id="rId19" Type="http://schemas.openxmlformats.org/officeDocument/2006/relationships/image" Target="media/image8.emf"/><Relationship Id="rId31" Type="http://schemas.openxmlformats.org/officeDocument/2006/relationships/hyperlink" Target="http://legislacion.edomex.gob.mx/node/869" TargetMode="External"/><Relationship Id="rId44"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tmp"/><Relationship Id="rId22" Type="http://schemas.openxmlformats.org/officeDocument/2006/relationships/hyperlink" Target="http://www.ingenieroambiental.com/4014/ciclo.pdf" TargetMode="External"/><Relationship Id="rId27" Type="http://schemas.openxmlformats.org/officeDocument/2006/relationships/hyperlink" Target="http://www.fao.org/ag/againfo/themes/es/meat/quality_meat.html" TargetMode="External"/><Relationship Id="rId30" Type="http://schemas.openxmlformats.org/officeDocument/2006/relationships/hyperlink" Target="http://edomex.gob.mx/pueblos_magicos_con_encanto" TargetMode="External"/><Relationship Id="rId35" Type="http://schemas.openxmlformats.org/officeDocument/2006/relationships/hyperlink" Target="https://codigoespagueti.com/noticias/ciencia/primer-libro-de-herbolaria-americana-en-mexico/" TargetMode="External"/><Relationship Id="rId43" Type="http://schemas.openxmlformats.org/officeDocument/2006/relationships/image" Target="media/image9.emf"/><Relationship Id="rId48"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0704BA-E6B0-45E3-B0B5-8077C6BA5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28013</Words>
  <Characters>154072</Characters>
  <Application>Microsoft Office Word</Application>
  <DocSecurity>0</DocSecurity>
  <Lines>1283</Lines>
  <Paragraphs>363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181722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Georgina Gutierrez Garcia</dc:creator>
  <cp:keywords/>
  <dc:description/>
  <cp:lastModifiedBy>Ofelia Marquez Molina</cp:lastModifiedBy>
  <cp:revision>3</cp:revision>
  <dcterms:created xsi:type="dcterms:W3CDTF">2021-10-27T18:25:00Z</dcterms:created>
  <dcterms:modified xsi:type="dcterms:W3CDTF">2021-10-27T18:25:00Z</dcterms:modified>
</cp:coreProperties>
</file>