
<file path=[Content_Types].xml><?xml version="1.0" encoding="utf-8"?>
<Types xmlns="http://schemas.openxmlformats.org/package/2006/content-types">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184F0D" w14:textId="20911794" w:rsidR="00C845FC" w:rsidRDefault="00C845FC" w:rsidP="008F4106">
      <w:pPr>
        <w:autoSpaceDE w:val="0"/>
        <w:autoSpaceDN w:val="0"/>
        <w:adjustRightInd w:val="0"/>
        <w:spacing w:line="360" w:lineRule="auto"/>
        <w:jc w:val="center"/>
        <w:rPr>
          <w:rFonts w:ascii="Times New Roman" w:hAnsi="Times New Roman" w:cs="Times New Roman"/>
          <w:b/>
          <w:bCs/>
          <w:sz w:val="22"/>
          <w:szCs w:val="22"/>
        </w:rPr>
      </w:pPr>
      <w:r>
        <w:rPr>
          <w:rFonts w:ascii="Times New Roman" w:hAnsi="Times New Roman" w:cs="Times New Roman"/>
          <w:b/>
          <w:bCs/>
          <w:sz w:val="22"/>
          <w:szCs w:val="22"/>
        </w:rPr>
        <w:t>El género y su perspectiva desde el sistema internacional de los derechos humanos en Latinoamérica.</w:t>
      </w:r>
    </w:p>
    <w:p w14:paraId="79424169" w14:textId="77777777" w:rsidR="00C845FC" w:rsidRDefault="00C845FC" w:rsidP="008F4106">
      <w:pPr>
        <w:autoSpaceDE w:val="0"/>
        <w:autoSpaceDN w:val="0"/>
        <w:adjustRightInd w:val="0"/>
        <w:spacing w:line="360" w:lineRule="auto"/>
        <w:jc w:val="center"/>
        <w:rPr>
          <w:rFonts w:ascii="Times New Roman" w:hAnsi="Times New Roman" w:cs="Times New Roman"/>
          <w:b/>
          <w:bCs/>
          <w:sz w:val="22"/>
          <w:szCs w:val="22"/>
        </w:rPr>
      </w:pPr>
    </w:p>
    <w:p w14:paraId="50756DE2" w14:textId="0CD63768" w:rsidR="008D019C" w:rsidRPr="008F4106" w:rsidRDefault="008D019C" w:rsidP="008F4106">
      <w:pPr>
        <w:autoSpaceDE w:val="0"/>
        <w:autoSpaceDN w:val="0"/>
        <w:adjustRightInd w:val="0"/>
        <w:spacing w:line="360" w:lineRule="auto"/>
        <w:jc w:val="center"/>
        <w:rPr>
          <w:rFonts w:ascii="Times New Roman" w:hAnsi="Times New Roman" w:cs="Times New Roman"/>
          <w:b/>
          <w:bCs/>
          <w:sz w:val="22"/>
          <w:szCs w:val="22"/>
        </w:rPr>
      </w:pPr>
      <w:r w:rsidRPr="008F4106">
        <w:rPr>
          <w:rFonts w:ascii="Times New Roman" w:hAnsi="Times New Roman" w:cs="Times New Roman"/>
          <w:b/>
          <w:bCs/>
          <w:sz w:val="22"/>
          <w:szCs w:val="22"/>
        </w:rPr>
        <w:t>Sumario</w:t>
      </w:r>
    </w:p>
    <w:p w14:paraId="4405507E" w14:textId="49A9EBB7" w:rsidR="008D019C" w:rsidRPr="00B452E1" w:rsidRDefault="008D019C" w:rsidP="004615F8">
      <w:pPr>
        <w:tabs>
          <w:tab w:val="left" w:pos="284"/>
        </w:tabs>
        <w:autoSpaceDE w:val="0"/>
        <w:autoSpaceDN w:val="0"/>
        <w:adjustRightInd w:val="0"/>
        <w:spacing w:line="360" w:lineRule="auto"/>
        <w:jc w:val="both"/>
        <w:rPr>
          <w:rFonts w:ascii="Times New Roman" w:hAnsi="Times New Roman" w:cs="Times New Roman"/>
          <w:sz w:val="22"/>
          <w:szCs w:val="22"/>
        </w:rPr>
      </w:pPr>
      <w:r w:rsidRPr="00B452E1">
        <w:rPr>
          <w:rFonts w:ascii="Times New Roman" w:hAnsi="Times New Roman" w:cs="Times New Roman"/>
          <w:sz w:val="22"/>
          <w:szCs w:val="22"/>
        </w:rPr>
        <w:t>1.</w:t>
      </w:r>
      <w:r w:rsidRPr="00B452E1">
        <w:rPr>
          <w:rFonts w:ascii="Times New Roman" w:hAnsi="Times New Roman" w:cs="Times New Roman"/>
          <w:sz w:val="22"/>
          <w:szCs w:val="22"/>
        </w:rPr>
        <w:tab/>
      </w:r>
      <w:bookmarkStart w:id="0" w:name="OLE_LINK3"/>
      <w:bookmarkStart w:id="1" w:name="OLE_LINK4"/>
      <w:r w:rsidRPr="00B452E1">
        <w:rPr>
          <w:rFonts w:ascii="Times New Roman" w:hAnsi="Times New Roman" w:cs="Times New Roman"/>
          <w:sz w:val="22"/>
          <w:szCs w:val="22"/>
        </w:rPr>
        <w:t xml:space="preserve">El </w:t>
      </w:r>
      <w:r w:rsidR="00C845FC">
        <w:rPr>
          <w:rFonts w:ascii="Times New Roman" w:hAnsi="Times New Roman" w:cs="Times New Roman"/>
          <w:sz w:val="22"/>
          <w:szCs w:val="22"/>
        </w:rPr>
        <w:t xml:space="preserve">problema epistémico del </w:t>
      </w:r>
      <w:r w:rsidRPr="00B452E1">
        <w:rPr>
          <w:rFonts w:ascii="Times New Roman" w:hAnsi="Times New Roman" w:cs="Times New Roman"/>
          <w:sz w:val="22"/>
          <w:szCs w:val="22"/>
        </w:rPr>
        <w:t>género desde el sistema político internacional de dignidad humana</w:t>
      </w:r>
      <w:r w:rsidR="004615F8">
        <w:rPr>
          <w:rFonts w:ascii="Times New Roman" w:hAnsi="Times New Roman" w:cs="Times New Roman"/>
          <w:sz w:val="22"/>
          <w:szCs w:val="22"/>
        </w:rPr>
        <w:t>.</w:t>
      </w:r>
    </w:p>
    <w:p w14:paraId="1AEDC000" w14:textId="2E6BFFD0" w:rsidR="008D019C" w:rsidRPr="00B452E1" w:rsidRDefault="008D019C" w:rsidP="004615F8">
      <w:pPr>
        <w:tabs>
          <w:tab w:val="left" w:pos="284"/>
        </w:tabs>
        <w:autoSpaceDE w:val="0"/>
        <w:autoSpaceDN w:val="0"/>
        <w:adjustRightInd w:val="0"/>
        <w:spacing w:line="360" w:lineRule="auto"/>
        <w:jc w:val="both"/>
        <w:rPr>
          <w:rFonts w:ascii="Times New Roman" w:hAnsi="Times New Roman" w:cs="Times New Roman"/>
          <w:sz w:val="22"/>
          <w:szCs w:val="22"/>
        </w:rPr>
      </w:pPr>
      <w:r w:rsidRPr="00B452E1">
        <w:rPr>
          <w:rFonts w:ascii="Times New Roman" w:hAnsi="Times New Roman" w:cs="Times New Roman"/>
          <w:sz w:val="22"/>
          <w:szCs w:val="22"/>
        </w:rPr>
        <w:t>2.</w:t>
      </w:r>
      <w:r w:rsidRPr="00B452E1">
        <w:rPr>
          <w:rFonts w:ascii="Times New Roman" w:hAnsi="Times New Roman" w:cs="Times New Roman"/>
          <w:sz w:val="22"/>
          <w:szCs w:val="22"/>
        </w:rPr>
        <w:tab/>
        <w:t>Elementos del género desde la perspectiva teórica y el sistema pol</w:t>
      </w:r>
      <w:r w:rsidR="00D33676">
        <w:rPr>
          <w:rFonts w:ascii="Times New Roman" w:hAnsi="Times New Roman" w:cs="Times New Roman"/>
          <w:sz w:val="22"/>
          <w:szCs w:val="22"/>
        </w:rPr>
        <w:t>í</w:t>
      </w:r>
      <w:r w:rsidRPr="00B452E1">
        <w:rPr>
          <w:rFonts w:ascii="Times New Roman" w:hAnsi="Times New Roman" w:cs="Times New Roman"/>
          <w:sz w:val="22"/>
          <w:szCs w:val="22"/>
        </w:rPr>
        <w:t>tico internacional.</w:t>
      </w:r>
    </w:p>
    <w:p w14:paraId="2DEB8BC1" w14:textId="4298A495" w:rsidR="008D019C" w:rsidRPr="00B452E1" w:rsidRDefault="008D019C" w:rsidP="004615F8">
      <w:pPr>
        <w:tabs>
          <w:tab w:val="left" w:pos="284"/>
        </w:tabs>
        <w:autoSpaceDE w:val="0"/>
        <w:autoSpaceDN w:val="0"/>
        <w:adjustRightInd w:val="0"/>
        <w:spacing w:line="360" w:lineRule="auto"/>
        <w:jc w:val="both"/>
        <w:rPr>
          <w:rFonts w:ascii="Times New Roman" w:hAnsi="Times New Roman" w:cs="Times New Roman"/>
          <w:sz w:val="22"/>
          <w:szCs w:val="22"/>
        </w:rPr>
      </w:pPr>
      <w:r w:rsidRPr="00B452E1">
        <w:rPr>
          <w:rFonts w:ascii="Times New Roman" w:hAnsi="Times New Roman" w:cs="Times New Roman"/>
          <w:sz w:val="22"/>
          <w:szCs w:val="22"/>
        </w:rPr>
        <w:t>3.</w:t>
      </w:r>
      <w:r w:rsidRPr="00B452E1">
        <w:rPr>
          <w:rFonts w:ascii="Times New Roman" w:hAnsi="Times New Roman" w:cs="Times New Roman"/>
          <w:sz w:val="22"/>
          <w:szCs w:val="22"/>
        </w:rPr>
        <w:tab/>
        <w:t>Interse</w:t>
      </w:r>
      <w:r w:rsidR="00D33676">
        <w:rPr>
          <w:rFonts w:ascii="Times New Roman" w:hAnsi="Times New Roman" w:cs="Times New Roman"/>
          <w:sz w:val="22"/>
          <w:szCs w:val="22"/>
        </w:rPr>
        <w:t>cc</w:t>
      </w:r>
      <w:r w:rsidRPr="00B452E1">
        <w:rPr>
          <w:rFonts w:ascii="Times New Roman" w:hAnsi="Times New Roman" w:cs="Times New Roman"/>
          <w:sz w:val="22"/>
          <w:szCs w:val="22"/>
        </w:rPr>
        <w:t>ionalidad como herramienta para minimizar la desigualdad del género en el sistema internacional.</w:t>
      </w:r>
    </w:p>
    <w:p w14:paraId="405D3717" w14:textId="71644D76" w:rsidR="008D019C" w:rsidRPr="00B452E1" w:rsidRDefault="008D019C" w:rsidP="004615F8">
      <w:pPr>
        <w:tabs>
          <w:tab w:val="left" w:pos="284"/>
        </w:tabs>
        <w:autoSpaceDE w:val="0"/>
        <w:autoSpaceDN w:val="0"/>
        <w:adjustRightInd w:val="0"/>
        <w:spacing w:line="360" w:lineRule="auto"/>
        <w:jc w:val="both"/>
        <w:rPr>
          <w:rFonts w:ascii="Times New Roman" w:hAnsi="Times New Roman" w:cs="Times New Roman"/>
          <w:sz w:val="22"/>
          <w:szCs w:val="22"/>
        </w:rPr>
      </w:pPr>
      <w:r w:rsidRPr="00B452E1">
        <w:rPr>
          <w:rFonts w:ascii="Times New Roman" w:hAnsi="Times New Roman" w:cs="Times New Roman"/>
          <w:sz w:val="22"/>
          <w:szCs w:val="22"/>
        </w:rPr>
        <w:t>4.</w:t>
      </w:r>
      <w:r w:rsidRPr="00B452E1">
        <w:rPr>
          <w:rFonts w:ascii="Times New Roman" w:hAnsi="Times New Roman" w:cs="Times New Roman"/>
          <w:sz w:val="22"/>
          <w:szCs w:val="22"/>
        </w:rPr>
        <w:tab/>
        <w:t>Categorías hegemónicas (</w:t>
      </w:r>
      <w:r w:rsidR="004615F8">
        <w:rPr>
          <w:rFonts w:ascii="Times New Roman" w:hAnsi="Times New Roman" w:cs="Times New Roman"/>
          <w:sz w:val="22"/>
          <w:szCs w:val="22"/>
        </w:rPr>
        <w:t>P</w:t>
      </w:r>
      <w:r w:rsidRPr="00B452E1">
        <w:rPr>
          <w:rFonts w:ascii="Times New Roman" w:hAnsi="Times New Roman" w:cs="Times New Roman"/>
          <w:sz w:val="22"/>
          <w:szCs w:val="22"/>
        </w:rPr>
        <w:t>ropuesta Arriaga) del sistema internacional que impiden</w:t>
      </w:r>
      <w:r w:rsidR="00C845FC">
        <w:rPr>
          <w:rFonts w:ascii="Times New Roman" w:hAnsi="Times New Roman" w:cs="Times New Roman"/>
          <w:sz w:val="22"/>
          <w:szCs w:val="22"/>
        </w:rPr>
        <w:t xml:space="preserve"> </w:t>
      </w:r>
      <w:r w:rsidR="004615F8">
        <w:rPr>
          <w:rFonts w:ascii="Times New Roman" w:hAnsi="Times New Roman" w:cs="Times New Roman"/>
          <w:sz w:val="22"/>
          <w:szCs w:val="22"/>
        </w:rPr>
        <w:t xml:space="preserve">la </w:t>
      </w:r>
      <w:r w:rsidR="004615F8" w:rsidRPr="00B452E1">
        <w:rPr>
          <w:rFonts w:ascii="Times New Roman" w:hAnsi="Times New Roman" w:cs="Times New Roman"/>
          <w:sz w:val="22"/>
          <w:szCs w:val="22"/>
        </w:rPr>
        <w:t>administración</w:t>
      </w:r>
      <w:r w:rsidRPr="00B452E1">
        <w:rPr>
          <w:rFonts w:ascii="Times New Roman" w:hAnsi="Times New Roman" w:cs="Times New Roman"/>
          <w:sz w:val="22"/>
          <w:szCs w:val="22"/>
        </w:rPr>
        <w:t>, procuración e impartición de justicia desde una perspectiva de género.</w:t>
      </w:r>
    </w:p>
    <w:bookmarkEnd w:id="0"/>
    <w:bookmarkEnd w:id="1"/>
    <w:p w14:paraId="53174E3D" w14:textId="77777777" w:rsidR="008D019C" w:rsidRPr="00B452E1" w:rsidRDefault="008D019C" w:rsidP="008D019C">
      <w:pPr>
        <w:autoSpaceDE w:val="0"/>
        <w:autoSpaceDN w:val="0"/>
        <w:adjustRightInd w:val="0"/>
        <w:spacing w:line="360" w:lineRule="auto"/>
        <w:jc w:val="both"/>
        <w:rPr>
          <w:rFonts w:ascii="Times New Roman" w:hAnsi="Times New Roman" w:cs="Times New Roman"/>
          <w:b/>
          <w:bCs/>
          <w:sz w:val="22"/>
          <w:szCs w:val="22"/>
        </w:rPr>
      </w:pPr>
    </w:p>
    <w:p w14:paraId="40214EAE" w14:textId="0D026501" w:rsidR="008D019C" w:rsidRPr="008F4106" w:rsidRDefault="008D019C" w:rsidP="008F4106">
      <w:pPr>
        <w:pStyle w:val="Prrafodelista"/>
        <w:numPr>
          <w:ilvl w:val="0"/>
          <w:numId w:val="4"/>
        </w:numPr>
        <w:autoSpaceDE w:val="0"/>
        <w:autoSpaceDN w:val="0"/>
        <w:adjustRightInd w:val="0"/>
        <w:spacing w:line="360" w:lineRule="auto"/>
        <w:jc w:val="both"/>
        <w:rPr>
          <w:rFonts w:ascii="Times New Roman" w:hAnsi="Times New Roman" w:cs="Times New Roman"/>
          <w:b/>
          <w:bCs/>
          <w:sz w:val="22"/>
          <w:szCs w:val="22"/>
        </w:rPr>
      </w:pPr>
      <w:r w:rsidRPr="008F4106">
        <w:rPr>
          <w:rFonts w:ascii="Times New Roman" w:hAnsi="Times New Roman" w:cs="Times New Roman"/>
          <w:b/>
          <w:bCs/>
          <w:sz w:val="22"/>
          <w:szCs w:val="22"/>
        </w:rPr>
        <w:t>El género desde el sistema político internacional de dignidad humana</w:t>
      </w:r>
    </w:p>
    <w:p w14:paraId="58D43EDA" w14:textId="03868482" w:rsidR="008D019C" w:rsidRDefault="008D019C" w:rsidP="008D019C">
      <w:pPr>
        <w:autoSpaceDE w:val="0"/>
        <w:autoSpaceDN w:val="0"/>
        <w:adjustRightInd w:val="0"/>
        <w:spacing w:line="360" w:lineRule="auto"/>
        <w:jc w:val="both"/>
        <w:rPr>
          <w:rFonts w:ascii="Times New Roman" w:hAnsi="Times New Roman" w:cs="Times New Roman"/>
          <w:sz w:val="22"/>
          <w:szCs w:val="22"/>
        </w:rPr>
      </w:pPr>
      <w:r w:rsidRPr="001B3B94">
        <w:rPr>
          <w:rFonts w:ascii="Times New Roman" w:hAnsi="Times New Roman" w:cs="Times New Roman"/>
          <w:sz w:val="22"/>
          <w:szCs w:val="22"/>
        </w:rPr>
        <w:t>El género toma significado en los sistemas jurídicos de los E</w:t>
      </w:r>
      <w:r w:rsidR="004615F8">
        <w:rPr>
          <w:rFonts w:ascii="Times New Roman" w:hAnsi="Times New Roman" w:cs="Times New Roman"/>
          <w:sz w:val="22"/>
          <w:szCs w:val="22"/>
        </w:rPr>
        <w:t xml:space="preserve">stados </w:t>
      </w:r>
      <w:r w:rsidRPr="001B3B94">
        <w:rPr>
          <w:rFonts w:ascii="Times New Roman" w:hAnsi="Times New Roman" w:cs="Times New Roman"/>
          <w:sz w:val="22"/>
          <w:szCs w:val="22"/>
        </w:rPr>
        <w:t>N</w:t>
      </w:r>
      <w:r w:rsidR="004615F8">
        <w:rPr>
          <w:rFonts w:ascii="Times New Roman" w:hAnsi="Times New Roman" w:cs="Times New Roman"/>
          <w:sz w:val="22"/>
          <w:szCs w:val="22"/>
        </w:rPr>
        <w:t>ación (EN)</w:t>
      </w:r>
      <w:r w:rsidRPr="001B3B94">
        <w:rPr>
          <w:rFonts w:ascii="Times New Roman" w:hAnsi="Times New Roman" w:cs="Times New Roman"/>
          <w:sz w:val="22"/>
          <w:szCs w:val="22"/>
        </w:rPr>
        <w:t xml:space="preserve"> a partir del sistema político internacional en materia de derechos humanos, el cual surge por la creación de la Organización de las Naciones Unidas</w:t>
      </w:r>
      <w:r w:rsidR="004615F8">
        <w:rPr>
          <w:rFonts w:ascii="Times New Roman" w:hAnsi="Times New Roman" w:cs="Times New Roman"/>
          <w:sz w:val="22"/>
          <w:szCs w:val="22"/>
        </w:rPr>
        <w:t xml:space="preserve"> (ONU)</w:t>
      </w:r>
      <w:r w:rsidRPr="001B3B94">
        <w:rPr>
          <w:rFonts w:ascii="Times New Roman" w:hAnsi="Times New Roman" w:cs="Times New Roman"/>
          <w:sz w:val="22"/>
          <w:szCs w:val="22"/>
        </w:rPr>
        <w:t xml:space="preserve"> (1945)</w:t>
      </w:r>
      <w:r w:rsidR="0046251B" w:rsidRPr="001B3B94">
        <w:rPr>
          <w:rFonts w:ascii="Times New Roman" w:hAnsi="Times New Roman" w:cs="Times New Roman"/>
          <w:sz w:val="22"/>
          <w:szCs w:val="22"/>
        </w:rPr>
        <w:t>,</w:t>
      </w:r>
      <w:r w:rsidRPr="001B3B94">
        <w:rPr>
          <w:rFonts w:ascii="Times New Roman" w:hAnsi="Times New Roman" w:cs="Times New Roman"/>
          <w:sz w:val="22"/>
          <w:szCs w:val="22"/>
        </w:rPr>
        <w:t xml:space="preserve"> y los sistemas encargados de diseñar las estrategias y marcos conceptuales para las figuras sociales que se pretenden regular normativamente para ser consideradas en el camino hacia la Dignidad Humana (DH) en todos los sistemas internacionales. Para los sectores de población en desventaja por el no acceso a los sistemas sociales (económico, político, jurídico, educativo, etc.) que en términos generales se debe a los graves deterioros del bienestar y del desarrollo humano, se les otorga la denominación: “grupos vulnerables” por el Programa de las Naciones Unidas para el Desarrollo (PNUD) (2014, pág. IV)</w:t>
      </w:r>
      <w:r w:rsidR="004615F8">
        <w:rPr>
          <w:rFonts w:ascii="Times New Roman" w:hAnsi="Times New Roman" w:cs="Times New Roman"/>
          <w:sz w:val="22"/>
          <w:szCs w:val="22"/>
        </w:rPr>
        <w:t>.</w:t>
      </w:r>
      <w:r w:rsidRPr="00B452E1">
        <w:rPr>
          <w:rFonts w:ascii="Times New Roman" w:hAnsi="Times New Roman" w:cs="Times New Roman"/>
          <w:sz w:val="22"/>
          <w:szCs w:val="22"/>
        </w:rPr>
        <w:t xml:space="preserve"> </w:t>
      </w:r>
    </w:p>
    <w:p w14:paraId="748A4155" w14:textId="77777777" w:rsidR="0046251B" w:rsidRPr="00B452E1" w:rsidRDefault="0046251B" w:rsidP="008D019C">
      <w:pPr>
        <w:autoSpaceDE w:val="0"/>
        <w:autoSpaceDN w:val="0"/>
        <w:adjustRightInd w:val="0"/>
        <w:spacing w:line="360" w:lineRule="auto"/>
        <w:jc w:val="both"/>
        <w:rPr>
          <w:rFonts w:ascii="Times New Roman" w:hAnsi="Times New Roman" w:cs="Times New Roman"/>
          <w:sz w:val="22"/>
          <w:szCs w:val="22"/>
        </w:rPr>
      </w:pPr>
    </w:p>
    <w:p w14:paraId="617C22A3" w14:textId="2DE96763" w:rsidR="008D019C" w:rsidRPr="00B452E1" w:rsidRDefault="008D019C" w:rsidP="008D019C">
      <w:pPr>
        <w:autoSpaceDE w:val="0"/>
        <w:autoSpaceDN w:val="0"/>
        <w:adjustRightInd w:val="0"/>
        <w:spacing w:line="360" w:lineRule="auto"/>
        <w:jc w:val="both"/>
        <w:rPr>
          <w:rFonts w:ascii="Times New Roman" w:hAnsi="Times New Roman" w:cs="Times New Roman"/>
          <w:sz w:val="22"/>
          <w:szCs w:val="22"/>
        </w:rPr>
      </w:pPr>
      <w:r w:rsidRPr="00B452E1">
        <w:rPr>
          <w:rFonts w:ascii="Times New Roman" w:hAnsi="Times New Roman" w:cs="Times New Roman"/>
          <w:sz w:val="22"/>
          <w:szCs w:val="22"/>
        </w:rPr>
        <w:t xml:space="preserve">Particularmente el </w:t>
      </w:r>
      <w:r w:rsidRPr="00480936">
        <w:rPr>
          <w:rFonts w:ascii="Times New Roman" w:hAnsi="Times New Roman" w:cs="Times New Roman"/>
          <w:sz w:val="22"/>
          <w:szCs w:val="22"/>
        </w:rPr>
        <w:t>PNUD es el organismo del S</w:t>
      </w:r>
      <w:r w:rsidR="00480936" w:rsidRPr="00480936">
        <w:rPr>
          <w:rFonts w:ascii="Times New Roman" w:hAnsi="Times New Roman" w:cs="Times New Roman"/>
          <w:sz w:val="22"/>
          <w:szCs w:val="22"/>
        </w:rPr>
        <w:t xml:space="preserve">istema de </w:t>
      </w:r>
      <w:r w:rsidRPr="00480936">
        <w:rPr>
          <w:rFonts w:ascii="Times New Roman" w:hAnsi="Times New Roman" w:cs="Times New Roman"/>
          <w:sz w:val="22"/>
          <w:szCs w:val="22"/>
        </w:rPr>
        <w:t>D</w:t>
      </w:r>
      <w:r w:rsidR="00480936" w:rsidRPr="00480936">
        <w:rPr>
          <w:rFonts w:ascii="Times New Roman" w:hAnsi="Times New Roman" w:cs="Times New Roman"/>
          <w:sz w:val="22"/>
          <w:szCs w:val="22"/>
        </w:rPr>
        <w:t xml:space="preserve">ignidad </w:t>
      </w:r>
      <w:r w:rsidRPr="00480936">
        <w:rPr>
          <w:rFonts w:ascii="Times New Roman" w:hAnsi="Times New Roman" w:cs="Times New Roman"/>
          <w:sz w:val="22"/>
          <w:szCs w:val="22"/>
        </w:rPr>
        <w:t>H</w:t>
      </w:r>
      <w:r w:rsidR="00480936" w:rsidRPr="00480936">
        <w:rPr>
          <w:rFonts w:ascii="Times New Roman" w:hAnsi="Times New Roman" w:cs="Times New Roman"/>
          <w:sz w:val="22"/>
          <w:szCs w:val="22"/>
        </w:rPr>
        <w:t>umana</w:t>
      </w:r>
      <w:r w:rsidR="00480936">
        <w:rPr>
          <w:rFonts w:ascii="Times New Roman" w:hAnsi="Times New Roman" w:cs="Times New Roman"/>
          <w:sz w:val="22"/>
          <w:szCs w:val="22"/>
        </w:rPr>
        <w:t xml:space="preserve"> (SDH)</w:t>
      </w:r>
      <w:r w:rsidRPr="00B452E1">
        <w:rPr>
          <w:rFonts w:ascii="Times New Roman" w:hAnsi="Times New Roman" w:cs="Times New Roman"/>
          <w:sz w:val="22"/>
          <w:szCs w:val="22"/>
        </w:rPr>
        <w:t xml:space="preserve"> creado en 1965 co</w:t>
      </w:r>
      <w:r w:rsidR="0046251B">
        <w:rPr>
          <w:rFonts w:ascii="Times New Roman" w:hAnsi="Times New Roman" w:cs="Times New Roman"/>
          <w:sz w:val="22"/>
          <w:szCs w:val="22"/>
        </w:rPr>
        <w:t>n</w:t>
      </w:r>
      <w:r w:rsidRPr="00B452E1">
        <w:rPr>
          <w:rFonts w:ascii="Times New Roman" w:hAnsi="Times New Roman" w:cs="Times New Roman"/>
          <w:sz w:val="22"/>
          <w:szCs w:val="22"/>
        </w:rPr>
        <w:t xml:space="preserve"> el fin de coadyuvar con los EN para la búsqueda de soluciones en los principales desafíos de desarrollo, toda vez que las figuras en materia de derechos humanos tienen la finalidad de alcanza</w:t>
      </w:r>
      <w:r w:rsidR="004615F8">
        <w:rPr>
          <w:rFonts w:ascii="Times New Roman" w:hAnsi="Times New Roman" w:cs="Times New Roman"/>
          <w:sz w:val="22"/>
          <w:szCs w:val="22"/>
        </w:rPr>
        <w:t>r</w:t>
      </w:r>
      <w:r w:rsidRPr="00B452E1">
        <w:rPr>
          <w:rFonts w:ascii="Times New Roman" w:hAnsi="Times New Roman" w:cs="Times New Roman"/>
          <w:sz w:val="22"/>
          <w:szCs w:val="22"/>
        </w:rPr>
        <w:t xml:space="preserve"> la protección de </w:t>
      </w:r>
      <w:r w:rsidR="004615F8" w:rsidRPr="00B452E1">
        <w:rPr>
          <w:rFonts w:ascii="Times New Roman" w:hAnsi="Times New Roman" w:cs="Times New Roman"/>
          <w:sz w:val="22"/>
          <w:szCs w:val="22"/>
        </w:rPr>
        <w:t>estos</w:t>
      </w:r>
      <w:r w:rsidRPr="00B452E1">
        <w:rPr>
          <w:rFonts w:ascii="Times New Roman" w:hAnsi="Times New Roman" w:cs="Times New Roman"/>
          <w:sz w:val="22"/>
          <w:szCs w:val="22"/>
        </w:rPr>
        <w:t xml:space="preserve"> por lo</w:t>
      </w:r>
      <w:r w:rsidR="004615F8">
        <w:rPr>
          <w:rFonts w:ascii="Times New Roman" w:hAnsi="Times New Roman" w:cs="Times New Roman"/>
          <w:sz w:val="22"/>
          <w:szCs w:val="22"/>
        </w:rPr>
        <w:t>s</w:t>
      </w:r>
      <w:r w:rsidRPr="00B452E1">
        <w:rPr>
          <w:rFonts w:ascii="Times New Roman" w:hAnsi="Times New Roman" w:cs="Times New Roman"/>
          <w:sz w:val="22"/>
          <w:szCs w:val="22"/>
        </w:rPr>
        <w:t xml:space="preserve"> EN a través del desarrollo.</w:t>
      </w:r>
    </w:p>
    <w:p w14:paraId="7249A133" w14:textId="77777777" w:rsidR="008D019C" w:rsidRPr="00B452E1" w:rsidRDefault="008D019C" w:rsidP="008D019C">
      <w:pPr>
        <w:autoSpaceDE w:val="0"/>
        <w:autoSpaceDN w:val="0"/>
        <w:adjustRightInd w:val="0"/>
        <w:spacing w:line="360" w:lineRule="auto"/>
        <w:jc w:val="both"/>
        <w:rPr>
          <w:rFonts w:ascii="Times New Roman" w:hAnsi="Times New Roman" w:cs="Times New Roman"/>
          <w:sz w:val="22"/>
          <w:szCs w:val="22"/>
        </w:rPr>
      </w:pPr>
    </w:p>
    <w:p w14:paraId="0DBA2781" w14:textId="6D14113D" w:rsidR="008D019C" w:rsidRDefault="008D019C" w:rsidP="008D019C">
      <w:pPr>
        <w:autoSpaceDE w:val="0"/>
        <w:autoSpaceDN w:val="0"/>
        <w:adjustRightInd w:val="0"/>
        <w:spacing w:line="360" w:lineRule="auto"/>
        <w:jc w:val="both"/>
        <w:rPr>
          <w:rFonts w:ascii="Times New Roman" w:hAnsi="Times New Roman" w:cs="Times New Roman"/>
          <w:sz w:val="22"/>
          <w:szCs w:val="22"/>
        </w:rPr>
      </w:pPr>
      <w:r w:rsidRPr="001B3B94">
        <w:rPr>
          <w:rFonts w:ascii="Times New Roman" w:hAnsi="Times New Roman" w:cs="Times New Roman"/>
          <w:sz w:val="22"/>
          <w:szCs w:val="22"/>
        </w:rPr>
        <w:t xml:space="preserve">El Derecho Internacional de los Derechos Humanos </w:t>
      </w:r>
      <w:r w:rsidR="004615F8">
        <w:rPr>
          <w:rFonts w:ascii="Times New Roman" w:hAnsi="Times New Roman" w:cs="Times New Roman"/>
          <w:sz w:val="22"/>
          <w:szCs w:val="22"/>
        </w:rPr>
        <w:t>(</w:t>
      </w:r>
      <w:r w:rsidRPr="001B3B94">
        <w:rPr>
          <w:rFonts w:ascii="Times New Roman" w:hAnsi="Times New Roman" w:cs="Times New Roman"/>
          <w:sz w:val="22"/>
          <w:szCs w:val="22"/>
        </w:rPr>
        <w:t>DIDH</w:t>
      </w:r>
      <w:r w:rsidR="004615F8">
        <w:rPr>
          <w:rFonts w:ascii="Times New Roman" w:hAnsi="Times New Roman" w:cs="Times New Roman"/>
          <w:sz w:val="22"/>
          <w:szCs w:val="22"/>
        </w:rPr>
        <w:t>)</w:t>
      </w:r>
      <w:r w:rsidRPr="001B3B94">
        <w:rPr>
          <w:rFonts w:ascii="Times New Roman" w:hAnsi="Times New Roman" w:cs="Times New Roman"/>
          <w:sz w:val="22"/>
          <w:szCs w:val="22"/>
        </w:rPr>
        <w:t>, como rama del Derecho Internacional Público (DIP), de conformidad con la ONU (2021) “establece la obligación de los sistemas gubernamentales a actuar de una manera determinada o abstenerse de emprender ciertas acciones, para promover y proteger los derechos humanos y las libertades fundamentales de los individuos o de los grupos” (2021)</w:t>
      </w:r>
      <w:r w:rsidR="0046251B" w:rsidRPr="001B3B94">
        <w:rPr>
          <w:rFonts w:ascii="Times New Roman" w:hAnsi="Times New Roman" w:cs="Times New Roman"/>
          <w:sz w:val="22"/>
          <w:szCs w:val="22"/>
        </w:rPr>
        <w:t>;</w:t>
      </w:r>
      <w:r w:rsidRPr="001B3B94">
        <w:rPr>
          <w:rFonts w:ascii="Times New Roman" w:hAnsi="Times New Roman" w:cs="Times New Roman"/>
          <w:sz w:val="22"/>
          <w:szCs w:val="22"/>
        </w:rPr>
        <w:t xml:space="preserve"> es decir, el DIDH vigila que los compromisos derivados del sistema político internacional en materia de Derechos Humanos (DDHH), que los Estados Miembro</w:t>
      </w:r>
      <w:r w:rsidR="004615F8">
        <w:rPr>
          <w:rFonts w:ascii="Times New Roman" w:hAnsi="Times New Roman" w:cs="Times New Roman"/>
          <w:sz w:val="22"/>
          <w:szCs w:val="22"/>
        </w:rPr>
        <w:t>s</w:t>
      </w:r>
      <w:r w:rsidRPr="001B3B94">
        <w:rPr>
          <w:rFonts w:ascii="Times New Roman" w:hAnsi="Times New Roman" w:cs="Times New Roman"/>
          <w:sz w:val="22"/>
          <w:szCs w:val="22"/>
        </w:rPr>
        <w:t xml:space="preserve"> (EEMM) han firmado y ratificado</w:t>
      </w:r>
      <w:r w:rsidR="00D7395F" w:rsidRPr="001B3B94">
        <w:rPr>
          <w:rFonts w:ascii="Times New Roman" w:hAnsi="Times New Roman" w:cs="Times New Roman"/>
          <w:sz w:val="22"/>
          <w:szCs w:val="22"/>
        </w:rPr>
        <w:t>,</w:t>
      </w:r>
      <w:r w:rsidRPr="001B3B94">
        <w:rPr>
          <w:rFonts w:ascii="Times New Roman" w:hAnsi="Times New Roman" w:cs="Times New Roman"/>
          <w:sz w:val="22"/>
          <w:szCs w:val="22"/>
        </w:rPr>
        <w:t xml:space="preserve"> sean procurados y resguardados por los mismos, entendiendo que el sistema gubernamental tiene como base obligatoria la administración, procuración e impartición de justicia en sus tareas ejecutiva, parlamentaria y judicial.</w:t>
      </w:r>
    </w:p>
    <w:p w14:paraId="3CC9843E" w14:textId="77777777" w:rsidR="00311259" w:rsidRPr="00B452E1" w:rsidRDefault="00311259" w:rsidP="008D019C">
      <w:pPr>
        <w:autoSpaceDE w:val="0"/>
        <w:autoSpaceDN w:val="0"/>
        <w:adjustRightInd w:val="0"/>
        <w:spacing w:line="360" w:lineRule="auto"/>
        <w:jc w:val="both"/>
        <w:rPr>
          <w:rFonts w:ascii="Times New Roman" w:hAnsi="Times New Roman" w:cs="Times New Roman"/>
          <w:sz w:val="22"/>
          <w:szCs w:val="22"/>
        </w:rPr>
      </w:pPr>
    </w:p>
    <w:p w14:paraId="398A2AA6" w14:textId="56BDF98A" w:rsidR="008D019C" w:rsidRDefault="008D019C" w:rsidP="008D019C">
      <w:pPr>
        <w:autoSpaceDE w:val="0"/>
        <w:autoSpaceDN w:val="0"/>
        <w:adjustRightInd w:val="0"/>
        <w:spacing w:line="360" w:lineRule="auto"/>
        <w:jc w:val="both"/>
        <w:rPr>
          <w:rFonts w:ascii="Times New Roman" w:hAnsi="Times New Roman" w:cs="Times New Roman"/>
          <w:sz w:val="22"/>
          <w:szCs w:val="22"/>
        </w:rPr>
      </w:pPr>
      <w:r w:rsidRPr="001B3B94">
        <w:rPr>
          <w:rFonts w:ascii="Times New Roman" w:hAnsi="Times New Roman" w:cs="Times New Roman"/>
          <w:sz w:val="22"/>
          <w:szCs w:val="22"/>
        </w:rPr>
        <w:t>De esta forma, la ONU es responsable de la creación del SDH desde el nacimiento de la Declaración Universal de los Derechos Humanos (DUDH) (1948)</w:t>
      </w:r>
      <w:r w:rsidR="00D7395F" w:rsidRPr="001B3B94">
        <w:rPr>
          <w:rFonts w:ascii="Times New Roman" w:hAnsi="Times New Roman" w:cs="Times New Roman"/>
          <w:sz w:val="22"/>
          <w:szCs w:val="22"/>
        </w:rPr>
        <w:t>,</w:t>
      </w:r>
      <w:r w:rsidRPr="001B3B94">
        <w:rPr>
          <w:rFonts w:ascii="Times New Roman" w:hAnsi="Times New Roman" w:cs="Times New Roman"/>
          <w:sz w:val="22"/>
          <w:szCs w:val="22"/>
        </w:rPr>
        <w:t xml:space="preserve"> en la cual los EEMM aseveran que “Todos los seres humanos nacen libres e iguales en dignidad y derechos…” (1948, págs. 6, art. 1), ya que hasta antes de 1948 el mundo se encontraba altamente hegemónico y regulando jurídicamente figuras sociales a favor de la discriminación, </w:t>
      </w:r>
      <w:r w:rsidRPr="001B3B94">
        <w:rPr>
          <w:rFonts w:ascii="Times New Roman" w:hAnsi="Times New Roman" w:cs="Times New Roman"/>
          <w:sz w:val="22"/>
          <w:szCs w:val="22"/>
        </w:rPr>
        <w:lastRenderedPageBreak/>
        <w:t>la violencia, los estereotipos, la eugenesia, entre muchas otras que permitían el sentido de superioridad e inferioridad entre los seres humanos a favor de la protección de la sangre y el honor.</w:t>
      </w:r>
    </w:p>
    <w:p w14:paraId="36CEA91B" w14:textId="77777777" w:rsidR="00311259" w:rsidRPr="00B452E1" w:rsidRDefault="00311259" w:rsidP="008D019C">
      <w:pPr>
        <w:autoSpaceDE w:val="0"/>
        <w:autoSpaceDN w:val="0"/>
        <w:adjustRightInd w:val="0"/>
        <w:spacing w:line="360" w:lineRule="auto"/>
        <w:jc w:val="both"/>
        <w:rPr>
          <w:rFonts w:ascii="Times New Roman" w:hAnsi="Times New Roman" w:cs="Times New Roman"/>
          <w:sz w:val="22"/>
          <w:szCs w:val="22"/>
        </w:rPr>
      </w:pPr>
    </w:p>
    <w:p w14:paraId="0492F148" w14:textId="3F8C6D02" w:rsidR="008D019C" w:rsidRPr="00B452E1" w:rsidRDefault="008D019C" w:rsidP="008D019C">
      <w:pPr>
        <w:autoSpaceDE w:val="0"/>
        <w:autoSpaceDN w:val="0"/>
        <w:adjustRightInd w:val="0"/>
        <w:spacing w:line="360" w:lineRule="auto"/>
        <w:jc w:val="both"/>
        <w:rPr>
          <w:rFonts w:ascii="Times New Roman" w:hAnsi="Times New Roman" w:cs="Times New Roman"/>
          <w:sz w:val="22"/>
          <w:szCs w:val="22"/>
        </w:rPr>
      </w:pPr>
      <w:r w:rsidRPr="00B452E1">
        <w:rPr>
          <w:rFonts w:ascii="Times New Roman" w:hAnsi="Times New Roman" w:cs="Times New Roman"/>
          <w:sz w:val="22"/>
          <w:szCs w:val="22"/>
        </w:rPr>
        <w:t>Entonces se puede observar en esta estructura de categorizaciones los sentidos de superioridad e inferioridad que determinan al sujeto y que incluso han estado regulados jurídicamente por algunos E</w:t>
      </w:r>
      <w:r w:rsidR="00D7395F">
        <w:rPr>
          <w:rFonts w:ascii="Times New Roman" w:hAnsi="Times New Roman" w:cs="Times New Roman"/>
          <w:sz w:val="22"/>
          <w:szCs w:val="22"/>
        </w:rPr>
        <w:t>N</w:t>
      </w:r>
      <w:r w:rsidRPr="00B452E1">
        <w:rPr>
          <w:rFonts w:ascii="Times New Roman" w:hAnsi="Times New Roman" w:cs="Times New Roman"/>
          <w:sz w:val="22"/>
          <w:szCs w:val="22"/>
        </w:rPr>
        <w:t xml:space="preserve"> eurocentristas como por ejemplo la</w:t>
      </w:r>
      <w:r w:rsidR="00480936">
        <w:rPr>
          <w:rFonts w:ascii="Times New Roman" w:hAnsi="Times New Roman" w:cs="Times New Roman"/>
          <w:sz w:val="22"/>
          <w:szCs w:val="22"/>
        </w:rPr>
        <w:t xml:space="preserve"> </w:t>
      </w:r>
      <w:r w:rsidR="00480936" w:rsidRPr="00480936">
        <w:rPr>
          <w:rFonts w:ascii="Times New Roman" w:hAnsi="Times New Roman" w:cs="Times New Roman"/>
          <w:sz w:val="22"/>
          <w:szCs w:val="22"/>
        </w:rPr>
        <w:t xml:space="preserve">Ley de ciudadanía del Reich y </w:t>
      </w:r>
      <w:r w:rsidR="00480936">
        <w:rPr>
          <w:rFonts w:ascii="Times New Roman" w:hAnsi="Times New Roman" w:cs="Times New Roman"/>
          <w:sz w:val="22"/>
          <w:szCs w:val="22"/>
        </w:rPr>
        <w:t xml:space="preserve">la </w:t>
      </w:r>
      <w:r w:rsidR="00480936" w:rsidRPr="00480936">
        <w:rPr>
          <w:rFonts w:ascii="Times New Roman" w:hAnsi="Times New Roman" w:cs="Times New Roman"/>
          <w:sz w:val="22"/>
          <w:szCs w:val="22"/>
        </w:rPr>
        <w:t>Ley para la protección de la sangre y el honor alemanes</w:t>
      </w:r>
      <w:r w:rsidR="00480936">
        <w:rPr>
          <w:rFonts w:ascii="Times New Roman" w:hAnsi="Times New Roman" w:cs="Times New Roman"/>
          <w:sz w:val="22"/>
          <w:szCs w:val="22"/>
        </w:rPr>
        <w:t xml:space="preserve"> (</w:t>
      </w:r>
      <w:r w:rsidRPr="00B452E1">
        <w:rPr>
          <w:rFonts w:ascii="Times New Roman" w:hAnsi="Times New Roman" w:cs="Times New Roman"/>
          <w:sz w:val="22"/>
          <w:szCs w:val="22"/>
        </w:rPr>
        <w:t>Leyes de Núremberg</w:t>
      </w:r>
      <w:r w:rsidR="00480936">
        <w:rPr>
          <w:rFonts w:ascii="Times New Roman" w:hAnsi="Times New Roman" w:cs="Times New Roman"/>
          <w:sz w:val="22"/>
          <w:szCs w:val="22"/>
        </w:rPr>
        <w:t xml:space="preserve">) </w:t>
      </w:r>
      <w:sdt>
        <w:sdtPr>
          <w:rPr>
            <w:rFonts w:ascii="Times New Roman" w:hAnsi="Times New Roman" w:cs="Times New Roman"/>
            <w:sz w:val="22"/>
            <w:szCs w:val="22"/>
          </w:rPr>
          <w:id w:val="-421803185"/>
          <w:citation/>
        </w:sdtPr>
        <w:sdtContent>
          <w:r w:rsidR="00480936">
            <w:rPr>
              <w:rFonts w:ascii="Times New Roman" w:hAnsi="Times New Roman" w:cs="Times New Roman"/>
              <w:sz w:val="22"/>
              <w:szCs w:val="22"/>
            </w:rPr>
            <w:fldChar w:fldCharType="begin"/>
          </w:r>
          <w:r w:rsidR="00480936">
            <w:rPr>
              <w:rFonts w:ascii="Times New Roman" w:hAnsi="Times New Roman" w:cs="Times New Roman"/>
              <w:sz w:val="22"/>
              <w:szCs w:val="22"/>
            </w:rPr>
            <w:instrText xml:space="preserve">CITATION LÑN \n  \t  \l 3082 </w:instrText>
          </w:r>
          <w:r w:rsidR="00480936">
            <w:rPr>
              <w:rFonts w:ascii="Times New Roman" w:hAnsi="Times New Roman" w:cs="Times New Roman"/>
              <w:sz w:val="22"/>
              <w:szCs w:val="22"/>
            </w:rPr>
            <w:fldChar w:fldCharType="separate"/>
          </w:r>
          <w:r w:rsidR="00480936" w:rsidRPr="00480936">
            <w:rPr>
              <w:rFonts w:ascii="Times New Roman" w:hAnsi="Times New Roman" w:cs="Times New Roman"/>
              <w:noProof/>
              <w:sz w:val="22"/>
              <w:szCs w:val="22"/>
            </w:rPr>
            <w:t>(1935)</w:t>
          </w:r>
          <w:r w:rsidR="00480936">
            <w:rPr>
              <w:rFonts w:ascii="Times New Roman" w:hAnsi="Times New Roman" w:cs="Times New Roman"/>
              <w:sz w:val="22"/>
              <w:szCs w:val="22"/>
            </w:rPr>
            <w:fldChar w:fldCharType="end"/>
          </w:r>
        </w:sdtContent>
      </w:sdt>
      <w:r w:rsidRPr="00B452E1">
        <w:rPr>
          <w:rFonts w:ascii="Times New Roman" w:hAnsi="Times New Roman" w:cs="Times New Roman"/>
          <w:sz w:val="22"/>
          <w:szCs w:val="22"/>
        </w:rPr>
        <w:t xml:space="preserve"> que fueron las últimas legislaciones en 1935 y 1938 que señalaban cierta categorización en la fisionomía de los seres humanos, la raza, la religión, para poder ser o no reconocidos como sujetos de derechos en un EN.</w:t>
      </w:r>
    </w:p>
    <w:p w14:paraId="143F1BDE" w14:textId="77777777" w:rsidR="008D019C" w:rsidRPr="00B452E1" w:rsidRDefault="008D019C" w:rsidP="008D019C">
      <w:pPr>
        <w:autoSpaceDE w:val="0"/>
        <w:autoSpaceDN w:val="0"/>
        <w:adjustRightInd w:val="0"/>
        <w:spacing w:line="360" w:lineRule="auto"/>
        <w:jc w:val="both"/>
        <w:rPr>
          <w:rFonts w:ascii="Times New Roman" w:hAnsi="Times New Roman" w:cs="Times New Roman"/>
          <w:sz w:val="22"/>
          <w:szCs w:val="22"/>
        </w:rPr>
      </w:pPr>
    </w:p>
    <w:p w14:paraId="724EA2EB" w14:textId="4D7B70B0" w:rsidR="008D019C" w:rsidRPr="001B3B94" w:rsidRDefault="008D019C" w:rsidP="008D019C">
      <w:pPr>
        <w:autoSpaceDE w:val="0"/>
        <w:autoSpaceDN w:val="0"/>
        <w:adjustRightInd w:val="0"/>
        <w:spacing w:line="360" w:lineRule="auto"/>
        <w:jc w:val="both"/>
        <w:rPr>
          <w:rFonts w:ascii="Times New Roman" w:hAnsi="Times New Roman" w:cs="Times New Roman"/>
          <w:sz w:val="22"/>
          <w:szCs w:val="22"/>
        </w:rPr>
      </w:pPr>
      <w:r w:rsidRPr="001B3B94">
        <w:rPr>
          <w:rFonts w:ascii="Times New Roman" w:hAnsi="Times New Roman" w:cs="Times New Roman"/>
          <w:sz w:val="22"/>
          <w:szCs w:val="22"/>
        </w:rPr>
        <w:t>A medida que los gobiernos deciden adherirse a la ONU y se vuelven EEMM, van modificando sus procesos democráticos y toda vez que constitucionalizan la democracia participa</w:t>
      </w:r>
      <w:r w:rsidR="00D7395F" w:rsidRPr="001B3B94">
        <w:rPr>
          <w:rFonts w:ascii="Times New Roman" w:hAnsi="Times New Roman" w:cs="Times New Roman"/>
          <w:sz w:val="22"/>
          <w:szCs w:val="22"/>
        </w:rPr>
        <w:t>tiva,</w:t>
      </w:r>
      <w:r w:rsidRPr="001B3B94">
        <w:rPr>
          <w:rFonts w:ascii="Times New Roman" w:hAnsi="Times New Roman" w:cs="Times New Roman"/>
          <w:sz w:val="22"/>
          <w:szCs w:val="22"/>
        </w:rPr>
        <w:t xml:space="preserve"> y a través de la convencionalidad se obligan a los documentos firmados y ratificados en materia de derechos humanos, adquieren en su sistema jurídico la obligatoriedad del sistema político internacional; de otra forma no adquieren obligaciones con la comunidad internacional, derivado de ello se observa la inclusión de DDHH y Derechos Fundamentales (DDFF) en sus respectivas legislaciones, desde el reconocimiento hasta la promoción y protección de estas</w:t>
      </w:r>
      <w:r w:rsidR="00311259" w:rsidRPr="001B3B94">
        <w:rPr>
          <w:rFonts w:ascii="Times New Roman" w:hAnsi="Times New Roman" w:cs="Times New Roman"/>
          <w:sz w:val="22"/>
          <w:szCs w:val="22"/>
        </w:rPr>
        <w:t xml:space="preserve"> </w:t>
      </w:r>
      <w:r w:rsidRPr="001B3B94">
        <w:rPr>
          <w:rFonts w:ascii="Times New Roman" w:hAnsi="Times New Roman" w:cs="Times New Roman"/>
          <w:sz w:val="22"/>
          <w:szCs w:val="22"/>
        </w:rPr>
        <w:t>prerrogativas, modificando todo el sistema de administración, procuración e impartición de justicia en sus sistemas gubernamentales.</w:t>
      </w:r>
    </w:p>
    <w:p w14:paraId="4DCD0F66" w14:textId="77777777" w:rsidR="008D019C" w:rsidRPr="001B3B94" w:rsidRDefault="008D019C" w:rsidP="008D019C">
      <w:pPr>
        <w:autoSpaceDE w:val="0"/>
        <w:autoSpaceDN w:val="0"/>
        <w:adjustRightInd w:val="0"/>
        <w:spacing w:line="360" w:lineRule="auto"/>
        <w:jc w:val="both"/>
        <w:rPr>
          <w:rFonts w:ascii="Times New Roman" w:hAnsi="Times New Roman" w:cs="Times New Roman"/>
          <w:sz w:val="22"/>
          <w:szCs w:val="22"/>
        </w:rPr>
      </w:pPr>
    </w:p>
    <w:p w14:paraId="4ED4A9F9" w14:textId="0DB27B36" w:rsidR="008D019C" w:rsidRPr="00480936" w:rsidRDefault="008D019C" w:rsidP="008D019C">
      <w:pPr>
        <w:autoSpaceDE w:val="0"/>
        <w:autoSpaceDN w:val="0"/>
        <w:adjustRightInd w:val="0"/>
        <w:spacing w:line="360" w:lineRule="auto"/>
        <w:jc w:val="both"/>
        <w:rPr>
          <w:rFonts w:ascii="Times New Roman" w:hAnsi="Times New Roman" w:cs="Times New Roman"/>
          <w:sz w:val="22"/>
          <w:szCs w:val="22"/>
        </w:rPr>
      </w:pPr>
      <w:r w:rsidRPr="001B3B94">
        <w:rPr>
          <w:rFonts w:ascii="Times New Roman" w:hAnsi="Times New Roman" w:cs="Times New Roman"/>
          <w:sz w:val="22"/>
          <w:szCs w:val="22"/>
        </w:rPr>
        <w:t xml:space="preserve">Desafortunadamente el SDG se adquirió en los sistemas jurídicos de los países </w:t>
      </w:r>
      <w:r w:rsidR="00480936" w:rsidRPr="001B3B94">
        <w:rPr>
          <w:rFonts w:ascii="Times New Roman" w:hAnsi="Times New Roman" w:cs="Times New Roman"/>
          <w:sz w:val="22"/>
          <w:szCs w:val="22"/>
        </w:rPr>
        <w:t>latino</w:t>
      </w:r>
      <w:r w:rsidR="00480936">
        <w:rPr>
          <w:rFonts w:ascii="Times New Roman" w:hAnsi="Times New Roman" w:cs="Times New Roman"/>
          <w:sz w:val="22"/>
          <w:szCs w:val="22"/>
        </w:rPr>
        <w:t>a</w:t>
      </w:r>
      <w:r w:rsidR="00480936" w:rsidRPr="001B3B94">
        <w:rPr>
          <w:rFonts w:ascii="Times New Roman" w:hAnsi="Times New Roman" w:cs="Times New Roman"/>
          <w:sz w:val="22"/>
          <w:szCs w:val="22"/>
        </w:rPr>
        <w:t>mericanos</w:t>
      </w:r>
      <w:r w:rsidRPr="001B3B94">
        <w:rPr>
          <w:rFonts w:ascii="Times New Roman" w:hAnsi="Times New Roman" w:cs="Times New Roman"/>
          <w:sz w:val="22"/>
          <w:szCs w:val="22"/>
        </w:rPr>
        <w:t xml:space="preserve"> a finales de 1990 y particularmente M</w:t>
      </w:r>
      <w:r w:rsidR="00311259" w:rsidRPr="001B3B94">
        <w:rPr>
          <w:rFonts w:ascii="Times New Roman" w:hAnsi="Times New Roman" w:cs="Times New Roman"/>
          <w:sz w:val="22"/>
          <w:szCs w:val="22"/>
        </w:rPr>
        <w:t>é</w:t>
      </w:r>
      <w:r w:rsidRPr="001B3B94">
        <w:rPr>
          <w:rFonts w:ascii="Times New Roman" w:hAnsi="Times New Roman" w:cs="Times New Roman"/>
          <w:sz w:val="22"/>
          <w:szCs w:val="22"/>
        </w:rPr>
        <w:t xml:space="preserve">xico fue </w:t>
      </w:r>
      <w:r w:rsidR="0046251B" w:rsidRPr="001B3B94">
        <w:rPr>
          <w:rFonts w:ascii="Times New Roman" w:hAnsi="Times New Roman" w:cs="Times New Roman"/>
          <w:sz w:val="22"/>
          <w:szCs w:val="22"/>
        </w:rPr>
        <w:t xml:space="preserve">el último EEMM que logró </w:t>
      </w:r>
      <w:r w:rsidRPr="001B3B94">
        <w:rPr>
          <w:rFonts w:ascii="Times New Roman" w:hAnsi="Times New Roman" w:cs="Times New Roman"/>
          <w:sz w:val="22"/>
          <w:szCs w:val="22"/>
        </w:rPr>
        <w:t>hasta 2011 que se instaura</w:t>
      </w:r>
      <w:r w:rsidR="0046251B" w:rsidRPr="001B3B94">
        <w:rPr>
          <w:rFonts w:ascii="Times New Roman" w:hAnsi="Times New Roman" w:cs="Times New Roman"/>
          <w:sz w:val="22"/>
          <w:szCs w:val="22"/>
        </w:rPr>
        <w:t>r</w:t>
      </w:r>
      <w:r w:rsidR="00480936">
        <w:rPr>
          <w:rFonts w:ascii="Times New Roman" w:hAnsi="Times New Roman" w:cs="Times New Roman"/>
          <w:sz w:val="22"/>
          <w:szCs w:val="22"/>
        </w:rPr>
        <w:t>a</w:t>
      </w:r>
      <w:r w:rsidRPr="001B3B94">
        <w:rPr>
          <w:rFonts w:ascii="Times New Roman" w:hAnsi="Times New Roman" w:cs="Times New Roman"/>
          <w:sz w:val="22"/>
          <w:szCs w:val="22"/>
        </w:rPr>
        <w:t xml:space="preserve"> dicho sistema </w:t>
      </w:r>
      <w:r w:rsidR="0046251B" w:rsidRPr="001B3B94">
        <w:rPr>
          <w:rFonts w:ascii="Times New Roman" w:hAnsi="Times New Roman" w:cs="Times New Roman"/>
          <w:sz w:val="22"/>
          <w:szCs w:val="22"/>
        </w:rPr>
        <w:t xml:space="preserve">a nivel constitucional </w:t>
      </w:r>
      <w:r w:rsidRPr="001B3B94">
        <w:rPr>
          <w:rFonts w:ascii="Times New Roman" w:hAnsi="Times New Roman" w:cs="Times New Roman"/>
          <w:sz w:val="22"/>
          <w:szCs w:val="22"/>
        </w:rPr>
        <w:t xml:space="preserve">y por tanto se adquiere </w:t>
      </w:r>
      <w:r w:rsidR="0046251B" w:rsidRPr="001B3B94">
        <w:rPr>
          <w:rFonts w:ascii="Times New Roman" w:hAnsi="Times New Roman" w:cs="Times New Roman"/>
          <w:sz w:val="22"/>
          <w:szCs w:val="22"/>
        </w:rPr>
        <w:t xml:space="preserve">el SDH hasta esa fecha, </w:t>
      </w:r>
      <w:r w:rsidRPr="001B3B94">
        <w:rPr>
          <w:rFonts w:ascii="Times New Roman" w:hAnsi="Times New Roman" w:cs="Times New Roman"/>
          <w:sz w:val="22"/>
          <w:szCs w:val="22"/>
        </w:rPr>
        <w:t>como sistema normativo</w:t>
      </w:r>
      <w:r w:rsidR="0046251B" w:rsidRPr="001B3B94">
        <w:rPr>
          <w:rFonts w:ascii="Times New Roman" w:hAnsi="Times New Roman" w:cs="Times New Roman"/>
          <w:sz w:val="22"/>
          <w:szCs w:val="22"/>
        </w:rPr>
        <w:t xml:space="preserve"> desde</w:t>
      </w:r>
      <w:r w:rsidRPr="001B3B94">
        <w:rPr>
          <w:rFonts w:ascii="Times New Roman" w:hAnsi="Times New Roman" w:cs="Times New Roman"/>
          <w:sz w:val="22"/>
          <w:szCs w:val="22"/>
        </w:rPr>
        <w:t xml:space="preserve"> las políticas internacionales en materia de derechos humanos</w:t>
      </w:r>
      <w:sdt>
        <w:sdtPr>
          <w:rPr>
            <w:rFonts w:ascii="Times New Roman" w:hAnsi="Times New Roman" w:cs="Times New Roman"/>
            <w:sz w:val="22"/>
            <w:szCs w:val="22"/>
          </w:rPr>
          <w:id w:val="-1081756791"/>
          <w:citation/>
        </w:sdtPr>
        <w:sdtEndPr/>
        <w:sdtContent>
          <w:r w:rsidR="0046251B" w:rsidRPr="001B3B94">
            <w:rPr>
              <w:rFonts w:ascii="Times New Roman" w:hAnsi="Times New Roman" w:cs="Times New Roman"/>
              <w:sz w:val="22"/>
              <w:szCs w:val="22"/>
            </w:rPr>
            <w:fldChar w:fldCharType="begin"/>
          </w:r>
          <w:r w:rsidR="0046251B" w:rsidRPr="001B3B94">
            <w:rPr>
              <w:rFonts w:ascii="Times New Roman" w:hAnsi="Times New Roman" w:cs="Times New Roman"/>
              <w:sz w:val="22"/>
              <w:szCs w:val="22"/>
            </w:rPr>
            <w:instrText xml:space="preserve"> CITATION Sal18 \l 3082 </w:instrText>
          </w:r>
          <w:r w:rsidR="0046251B" w:rsidRPr="001B3B94">
            <w:rPr>
              <w:rFonts w:ascii="Times New Roman" w:hAnsi="Times New Roman" w:cs="Times New Roman"/>
              <w:sz w:val="22"/>
              <w:szCs w:val="22"/>
            </w:rPr>
            <w:fldChar w:fldCharType="separate"/>
          </w:r>
          <w:r w:rsidR="009B03DC">
            <w:rPr>
              <w:rFonts w:ascii="Times New Roman" w:hAnsi="Times New Roman" w:cs="Times New Roman"/>
              <w:noProof/>
              <w:sz w:val="22"/>
              <w:szCs w:val="22"/>
            </w:rPr>
            <w:t xml:space="preserve"> </w:t>
          </w:r>
          <w:r w:rsidR="009B03DC" w:rsidRPr="009B03DC">
            <w:rPr>
              <w:rFonts w:ascii="Times New Roman" w:hAnsi="Times New Roman" w:cs="Times New Roman"/>
              <w:noProof/>
              <w:sz w:val="22"/>
              <w:szCs w:val="22"/>
            </w:rPr>
            <w:t>(Salazar, 2018)</w:t>
          </w:r>
          <w:r w:rsidR="0046251B" w:rsidRPr="001B3B94">
            <w:rPr>
              <w:rFonts w:ascii="Times New Roman" w:hAnsi="Times New Roman" w:cs="Times New Roman"/>
              <w:sz w:val="22"/>
              <w:szCs w:val="22"/>
            </w:rPr>
            <w:fldChar w:fldCharType="end"/>
          </w:r>
        </w:sdtContent>
      </w:sdt>
      <w:r w:rsidR="0046251B" w:rsidRPr="001B3B94">
        <w:rPr>
          <w:rFonts w:ascii="Times New Roman" w:hAnsi="Times New Roman" w:cs="Times New Roman"/>
          <w:sz w:val="22"/>
          <w:szCs w:val="22"/>
        </w:rPr>
        <w:t>.</w:t>
      </w:r>
      <w:r w:rsidRPr="001B3B94">
        <w:rPr>
          <w:rFonts w:ascii="Times New Roman" w:hAnsi="Times New Roman" w:cs="Times New Roman"/>
          <w:sz w:val="22"/>
          <w:szCs w:val="22"/>
        </w:rPr>
        <w:t xml:space="preserve"> Es partir de estos años que se desarrolla en una gobernanza multiescalar </w:t>
      </w:r>
      <w:r w:rsidR="00D7395F" w:rsidRPr="001B3B94">
        <w:rPr>
          <w:rFonts w:ascii="Times New Roman" w:hAnsi="Times New Roman" w:cs="Times New Roman"/>
          <w:sz w:val="22"/>
          <w:szCs w:val="22"/>
        </w:rPr>
        <w:t>en</w:t>
      </w:r>
      <w:r w:rsidRPr="001B3B94">
        <w:rPr>
          <w:rFonts w:ascii="Times New Roman" w:hAnsi="Times New Roman" w:cs="Times New Roman"/>
          <w:sz w:val="22"/>
          <w:szCs w:val="22"/>
        </w:rPr>
        <w:t xml:space="preserve"> el desarrollo de la perspectiva de g</w:t>
      </w:r>
      <w:r w:rsidR="00D7395F" w:rsidRPr="001B3B94">
        <w:rPr>
          <w:rFonts w:ascii="Times New Roman" w:hAnsi="Times New Roman" w:cs="Times New Roman"/>
          <w:sz w:val="22"/>
          <w:szCs w:val="22"/>
        </w:rPr>
        <w:t>é</w:t>
      </w:r>
      <w:r w:rsidRPr="001B3B94">
        <w:rPr>
          <w:rFonts w:ascii="Times New Roman" w:hAnsi="Times New Roman" w:cs="Times New Roman"/>
          <w:sz w:val="22"/>
          <w:szCs w:val="22"/>
        </w:rPr>
        <w:t>nero para los</w:t>
      </w:r>
      <w:r w:rsidR="00D7395F" w:rsidRPr="001B3B94">
        <w:rPr>
          <w:rFonts w:ascii="Times New Roman" w:hAnsi="Times New Roman" w:cs="Times New Roman"/>
          <w:sz w:val="22"/>
          <w:szCs w:val="22"/>
        </w:rPr>
        <w:t xml:space="preserve"> </w:t>
      </w:r>
      <w:r w:rsidR="008F4106" w:rsidRPr="001B3B94">
        <w:rPr>
          <w:rFonts w:ascii="Times New Roman" w:hAnsi="Times New Roman" w:cs="Times New Roman"/>
          <w:sz w:val="22"/>
          <w:szCs w:val="22"/>
        </w:rPr>
        <w:t>países</w:t>
      </w:r>
      <w:r w:rsidRPr="001B3B94">
        <w:rPr>
          <w:rFonts w:ascii="Times New Roman" w:hAnsi="Times New Roman" w:cs="Times New Roman"/>
          <w:sz w:val="22"/>
          <w:szCs w:val="22"/>
        </w:rPr>
        <w:t xml:space="preserve"> latinoamericanos; es decir, el sistema internacional de los derecho</w:t>
      </w:r>
      <w:r w:rsidR="00311259" w:rsidRPr="001B3B94">
        <w:rPr>
          <w:rFonts w:ascii="Times New Roman" w:hAnsi="Times New Roman" w:cs="Times New Roman"/>
          <w:sz w:val="22"/>
          <w:szCs w:val="22"/>
        </w:rPr>
        <w:t>s</w:t>
      </w:r>
      <w:r w:rsidRPr="001B3B94">
        <w:rPr>
          <w:rFonts w:ascii="Times New Roman" w:hAnsi="Times New Roman" w:cs="Times New Roman"/>
          <w:sz w:val="22"/>
          <w:szCs w:val="22"/>
        </w:rPr>
        <w:t xml:space="preserve"> humanos finca las bases a los EEMM para que incorporen a sus sistemas jurídicos todas las figuras indispensables para la nueva impartición, administración y procuración de </w:t>
      </w:r>
      <w:r w:rsidR="00D7395F" w:rsidRPr="001B3B94">
        <w:rPr>
          <w:rFonts w:ascii="Times New Roman" w:hAnsi="Times New Roman" w:cs="Times New Roman"/>
          <w:sz w:val="22"/>
          <w:szCs w:val="22"/>
        </w:rPr>
        <w:t>j</w:t>
      </w:r>
      <w:r w:rsidRPr="001B3B94">
        <w:rPr>
          <w:rFonts w:ascii="Times New Roman" w:hAnsi="Times New Roman" w:cs="Times New Roman"/>
          <w:sz w:val="22"/>
          <w:szCs w:val="22"/>
        </w:rPr>
        <w:t>usti</w:t>
      </w:r>
      <w:r w:rsidR="00D7395F" w:rsidRPr="001B3B94">
        <w:rPr>
          <w:rFonts w:ascii="Times New Roman" w:hAnsi="Times New Roman" w:cs="Times New Roman"/>
          <w:sz w:val="22"/>
          <w:szCs w:val="22"/>
        </w:rPr>
        <w:t>ci</w:t>
      </w:r>
      <w:r w:rsidRPr="001B3B94">
        <w:rPr>
          <w:rFonts w:ascii="Times New Roman" w:hAnsi="Times New Roman" w:cs="Times New Roman"/>
          <w:sz w:val="22"/>
          <w:szCs w:val="22"/>
        </w:rPr>
        <w:t>a que derive en la protección de derechos humanos como la máxima aspiración constitucional. Derivado de ello, la perspectiva de género,</w:t>
      </w:r>
      <w:r w:rsidRPr="001B3B94">
        <w:rPr>
          <w:rFonts w:ascii="Times New Roman" w:hAnsi="Times New Roman" w:cs="Times New Roman"/>
          <w:b/>
          <w:bCs/>
          <w:sz w:val="22"/>
          <w:szCs w:val="22"/>
        </w:rPr>
        <w:t xml:space="preserve"> </w:t>
      </w:r>
      <w:r w:rsidRPr="001B3B94">
        <w:rPr>
          <w:rFonts w:ascii="Times New Roman" w:hAnsi="Times New Roman" w:cs="Times New Roman"/>
          <w:sz w:val="22"/>
          <w:szCs w:val="22"/>
        </w:rPr>
        <w:t>llamada también enfoque de género,</w:t>
      </w:r>
      <w:r w:rsidRPr="001B3B94">
        <w:rPr>
          <w:rFonts w:ascii="Times New Roman" w:hAnsi="Times New Roman" w:cs="Times New Roman"/>
          <w:sz w:val="22"/>
          <w:szCs w:val="22"/>
          <w:vertAlign w:val="superscript"/>
        </w:rPr>
        <w:t xml:space="preserve"> </w:t>
      </w:r>
      <w:r w:rsidRPr="001B3B94">
        <w:rPr>
          <w:rFonts w:ascii="Times New Roman" w:hAnsi="Times New Roman" w:cs="Times New Roman"/>
          <w:sz w:val="22"/>
          <w:szCs w:val="22"/>
        </w:rPr>
        <w:t>se ba</w:t>
      </w:r>
      <w:r w:rsidRPr="00480936">
        <w:rPr>
          <w:rFonts w:ascii="Times New Roman" w:hAnsi="Times New Roman" w:cs="Times New Roman"/>
          <w:sz w:val="22"/>
          <w:szCs w:val="22"/>
        </w:rPr>
        <w:t xml:space="preserve">sa en la Teoría de Género y se inscribe en tres paradigmas: </w:t>
      </w:r>
    </w:p>
    <w:p w14:paraId="4F89A134" w14:textId="77777777" w:rsidR="008D019C" w:rsidRPr="00480936" w:rsidRDefault="008D019C" w:rsidP="00480936">
      <w:pPr>
        <w:autoSpaceDE w:val="0"/>
        <w:autoSpaceDN w:val="0"/>
        <w:adjustRightInd w:val="0"/>
        <w:spacing w:line="360" w:lineRule="auto"/>
        <w:ind w:left="708"/>
        <w:jc w:val="both"/>
        <w:rPr>
          <w:rFonts w:ascii="Times New Roman" w:hAnsi="Times New Roman" w:cs="Times New Roman"/>
          <w:sz w:val="22"/>
          <w:szCs w:val="22"/>
        </w:rPr>
      </w:pPr>
      <w:r w:rsidRPr="00480936">
        <w:rPr>
          <w:rFonts w:ascii="Times New Roman" w:hAnsi="Times New Roman" w:cs="Times New Roman"/>
          <w:sz w:val="22"/>
          <w:szCs w:val="22"/>
        </w:rPr>
        <w:t>1. Teórico</w:t>
      </w:r>
      <w:r w:rsidRPr="00480936">
        <w:rPr>
          <w:rFonts w:ascii="Times New Roman" w:hAnsi="Times New Roman" w:cs="Times New Roman"/>
          <w:i/>
          <w:iCs/>
          <w:sz w:val="22"/>
          <w:szCs w:val="22"/>
        </w:rPr>
        <w:t xml:space="preserve"> histórico-crítico</w:t>
      </w:r>
      <w:r w:rsidRPr="00480936">
        <w:rPr>
          <w:rFonts w:ascii="Times New Roman" w:hAnsi="Times New Roman" w:cs="Times New Roman"/>
          <w:sz w:val="22"/>
          <w:szCs w:val="22"/>
        </w:rPr>
        <w:t xml:space="preserve">, </w:t>
      </w:r>
    </w:p>
    <w:p w14:paraId="6DFA295F" w14:textId="77777777" w:rsidR="008D019C" w:rsidRPr="00480936" w:rsidRDefault="008D019C" w:rsidP="00480936">
      <w:pPr>
        <w:autoSpaceDE w:val="0"/>
        <w:autoSpaceDN w:val="0"/>
        <w:adjustRightInd w:val="0"/>
        <w:spacing w:line="360" w:lineRule="auto"/>
        <w:ind w:left="708"/>
        <w:jc w:val="both"/>
        <w:rPr>
          <w:rFonts w:ascii="Times New Roman" w:hAnsi="Times New Roman" w:cs="Times New Roman"/>
          <w:sz w:val="22"/>
          <w:szCs w:val="22"/>
        </w:rPr>
      </w:pPr>
      <w:r w:rsidRPr="00480936">
        <w:rPr>
          <w:rFonts w:ascii="Times New Roman" w:hAnsi="Times New Roman" w:cs="Times New Roman"/>
          <w:sz w:val="22"/>
          <w:szCs w:val="22"/>
        </w:rPr>
        <w:t xml:space="preserve">2. </w:t>
      </w:r>
      <w:r w:rsidRPr="00480936">
        <w:rPr>
          <w:rFonts w:ascii="Times New Roman" w:hAnsi="Times New Roman" w:cs="Times New Roman"/>
          <w:i/>
          <w:iCs/>
          <w:sz w:val="22"/>
          <w:szCs w:val="22"/>
        </w:rPr>
        <w:t xml:space="preserve">Cultural del feminismo </w:t>
      </w:r>
      <w:r w:rsidRPr="00480936">
        <w:rPr>
          <w:rFonts w:ascii="Times New Roman" w:hAnsi="Times New Roman" w:cs="Times New Roman"/>
          <w:sz w:val="22"/>
          <w:szCs w:val="22"/>
        </w:rPr>
        <w:t xml:space="preserve">y </w:t>
      </w:r>
    </w:p>
    <w:p w14:paraId="3112076A" w14:textId="77777777" w:rsidR="008D019C" w:rsidRPr="00480936" w:rsidRDefault="008D019C" w:rsidP="00480936">
      <w:pPr>
        <w:autoSpaceDE w:val="0"/>
        <w:autoSpaceDN w:val="0"/>
        <w:adjustRightInd w:val="0"/>
        <w:spacing w:line="360" w:lineRule="auto"/>
        <w:ind w:left="708"/>
        <w:jc w:val="both"/>
        <w:rPr>
          <w:rFonts w:ascii="Times New Roman" w:hAnsi="Times New Roman" w:cs="Times New Roman"/>
          <w:sz w:val="22"/>
          <w:szCs w:val="22"/>
        </w:rPr>
      </w:pPr>
      <w:r w:rsidRPr="00480936">
        <w:rPr>
          <w:rFonts w:ascii="Times New Roman" w:hAnsi="Times New Roman" w:cs="Times New Roman"/>
          <w:sz w:val="22"/>
          <w:szCs w:val="22"/>
        </w:rPr>
        <w:t xml:space="preserve">3. Económico </w:t>
      </w:r>
      <w:r w:rsidRPr="00480936">
        <w:rPr>
          <w:rFonts w:ascii="Times New Roman" w:hAnsi="Times New Roman" w:cs="Times New Roman"/>
          <w:i/>
          <w:iCs/>
          <w:sz w:val="22"/>
          <w:szCs w:val="22"/>
        </w:rPr>
        <w:t>desarrollo humano</w:t>
      </w:r>
      <w:r w:rsidRPr="00480936">
        <w:rPr>
          <w:rFonts w:ascii="Times New Roman" w:hAnsi="Times New Roman" w:cs="Times New Roman"/>
          <w:sz w:val="22"/>
          <w:szCs w:val="22"/>
        </w:rPr>
        <w:t>.</w:t>
      </w:r>
    </w:p>
    <w:p w14:paraId="73133DA5" w14:textId="03C81E17" w:rsidR="0046251B" w:rsidRDefault="008D019C" w:rsidP="008D019C">
      <w:pPr>
        <w:autoSpaceDE w:val="0"/>
        <w:autoSpaceDN w:val="0"/>
        <w:adjustRightInd w:val="0"/>
        <w:spacing w:line="360" w:lineRule="auto"/>
        <w:jc w:val="both"/>
        <w:rPr>
          <w:rFonts w:ascii="Times New Roman" w:hAnsi="Times New Roman" w:cs="Times New Roman"/>
          <w:b/>
          <w:bCs/>
          <w:sz w:val="22"/>
          <w:szCs w:val="22"/>
        </w:rPr>
      </w:pPr>
      <w:r w:rsidRPr="002D1B90">
        <w:rPr>
          <w:rFonts w:ascii="Times New Roman" w:hAnsi="Times New Roman" w:cs="Times New Roman"/>
          <w:sz w:val="22"/>
          <w:szCs w:val="22"/>
        </w:rPr>
        <w:t xml:space="preserve">Este </w:t>
      </w:r>
      <w:r w:rsidR="00480936">
        <w:rPr>
          <w:rFonts w:ascii="Times New Roman" w:hAnsi="Times New Roman" w:cs="Times New Roman"/>
          <w:sz w:val="22"/>
          <w:szCs w:val="22"/>
        </w:rPr>
        <w:t>ú</w:t>
      </w:r>
      <w:r w:rsidRPr="002D1B90">
        <w:rPr>
          <w:rFonts w:ascii="Times New Roman" w:hAnsi="Times New Roman" w:cs="Times New Roman"/>
          <w:sz w:val="22"/>
          <w:szCs w:val="22"/>
        </w:rPr>
        <w:t>ltimo paradigma es el que se inscribe dentro de la perspectiva de los derechos humanos, como área del sistema internacional político que determina a su vez dentro del desarrollo human</w:t>
      </w:r>
      <w:r>
        <w:rPr>
          <w:rFonts w:ascii="Times New Roman" w:hAnsi="Times New Roman" w:cs="Times New Roman"/>
          <w:sz w:val="22"/>
          <w:szCs w:val="22"/>
        </w:rPr>
        <w:t>o</w:t>
      </w:r>
      <w:r w:rsidRPr="002D1B90">
        <w:rPr>
          <w:rFonts w:ascii="Times New Roman" w:hAnsi="Times New Roman" w:cs="Times New Roman"/>
          <w:sz w:val="22"/>
          <w:szCs w:val="22"/>
        </w:rPr>
        <w:t xml:space="preserve"> a la vulnerabilidad</w:t>
      </w:r>
      <w:r w:rsidR="00D7395F">
        <w:rPr>
          <w:rFonts w:ascii="Times New Roman" w:hAnsi="Times New Roman" w:cs="Times New Roman"/>
          <w:sz w:val="22"/>
          <w:szCs w:val="22"/>
        </w:rPr>
        <w:t>,</w:t>
      </w:r>
      <w:r w:rsidRPr="002D1B90">
        <w:rPr>
          <w:rFonts w:ascii="Times New Roman" w:hAnsi="Times New Roman" w:cs="Times New Roman"/>
          <w:sz w:val="22"/>
          <w:szCs w:val="22"/>
        </w:rPr>
        <w:t xml:space="preserve"> como</w:t>
      </w:r>
      <w:r>
        <w:rPr>
          <w:rFonts w:ascii="Times New Roman" w:hAnsi="Times New Roman" w:cs="Times New Roman"/>
          <w:sz w:val="22"/>
          <w:szCs w:val="22"/>
        </w:rPr>
        <w:t xml:space="preserve"> la base econ</w:t>
      </w:r>
      <w:r w:rsidR="00311259">
        <w:rPr>
          <w:rFonts w:ascii="Times New Roman" w:hAnsi="Times New Roman" w:cs="Times New Roman"/>
          <w:sz w:val="22"/>
          <w:szCs w:val="22"/>
        </w:rPr>
        <w:t>ó</w:t>
      </w:r>
      <w:r>
        <w:rPr>
          <w:rFonts w:ascii="Times New Roman" w:hAnsi="Times New Roman" w:cs="Times New Roman"/>
          <w:sz w:val="22"/>
          <w:szCs w:val="22"/>
        </w:rPr>
        <w:t>mica de la calidad de vida y bienestar social para</w:t>
      </w:r>
      <w:r w:rsidRPr="002D1B90">
        <w:rPr>
          <w:rFonts w:ascii="Times New Roman" w:hAnsi="Times New Roman" w:cs="Times New Roman"/>
          <w:sz w:val="22"/>
          <w:szCs w:val="22"/>
        </w:rPr>
        <w:t xml:space="preserve"> una sectorización de la población</w:t>
      </w:r>
      <w:r>
        <w:rPr>
          <w:rFonts w:ascii="Times New Roman" w:hAnsi="Times New Roman" w:cs="Times New Roman"/>
          <w:sz w:val="22"/>
          <w:szCs w:val="22"/>
        </w:rPr>
        <w:t xml:space="preserve"> mundial de los EEMM</w:t>
      </w:r>
      <w:r w:rsidRPr="002D1B90">
        <w:rPr>
          <w:rFonts w:ascii="Times New Roman" w:hAnsi="Times New Roman" w:cs="Times New Roman"/>
          <w:sz w:val="22"/>
          <w:szCs w:val="22"/>
        </w:rPr>
        <w:t>.</w:t>
      </w:r>
      <w:r w:rsidRPr="00B452E1">
        <w:rPr>
          <w:rFonts w:ascii="Times New Roman" w:hAnsi="Times New Roman" w:cs="Times New Roman"/>
          <w:b/>
          <w:bCs/>
          <w:sz w:val="22"/>
          <w:szCs w:val="22"/>
        </w:rPr>
        <w:t xml:space="preserve"> </w:t>
      </w:r>
    </w:p>
    <w:p w14:paraId="21C35CFC" w14:textId="77777777" w:rsidR="0046251B" w:rsidRDefault="0046251B" w:rsidP="008D019C">
      <w:pPr>
        <w:autoSpaceDE w:val="0"/>
        <w:autoSpaceDN w:val="0"/>
        <w:adjustRightInd w:val="0"/>
        <w:spacing w:line="360" w:lineRule="auto"/>
        <w:jc w:val="both"/>
        <w:rPr>
          <w:rFonts w:ascii="Times New Roman" w:hAnsi="Times New Roman" w:cs="Times New Roman"/>
          <w:b/>
          <w:bCs/>
          <w:sz w:val="22"/>
          <w:szCs w:val="22"/>
        </w:rPr>
      </w:pPr>
    </w:p>
    <w:p w14:paraId="1BB3488C" w14:textId="5468D26A" w:rsidR="008D019C" w:rsidRDefault="008D019C" w:rsidP="008D019C">
      <w:pPr>
        <w:autoSpaceDE w:val="0"/>
        <w:autoSpaceDN w:val="0"/>
        <w:adjustRightInd w:val="0"/>
        <w:spacing w:line="360" w:lineRule="auto"/>
        <w:jc w:val="both"/>
        <w:rPr>
          <w:rFonts w:ascii="Times New Roman" w:hAnsi="Times New Roman" w:cs="Times New Roman"/>
          <w:sz w:val="22"/>
          <w:szCs w:val="22"/>
        </w:rPr>
      </w:pPr>
      <w:r w:rsidRPr="002D1B90">
        <w:rPr>
          <w:rFonts w:ascii="Times New Roman" w:hAnsi="Times New Roman" w:cs="Times New Roman"/>
          <w:sz w:val="22"/>
          <w:szCs w:val="22"/>
        </w:rPr>
        <w:lastRenderedPageBreak/>
        <w:t xml:space="preserve">Dentro de este paradigma </w:t>
      </w:r>
      <w:r>
        <w:rPr>
          <w:rFonts w:ascii="Times New Roman" w:hAnsi="Times New Roman" w:cs="Times New Roman"/>
          <w:sz w:val="22"/>
          <w:szCs w:val="22"/>
        </w:rPr>
        <w:t>u</w:t>
      </w:r>
      <w:r w:rsidRPr="002D1B90">
        <w:rPr>
          <w:rFonts w:ascii="Times New Roman" w:hAnsi="Times New Roman" w:cs="Times New Roman"/>
          <w:sz w:val="22"/>
          <w:szCs w:val="22"/>
        </w:rPr>
        <w:t>na</w:t>
      </w:r>
      <w:r w:rsidRPr="00B452E1">
        <w:rPr>
          <w:rFonts w:ascii="Times New Roman" w:hAnsi="Times New Roman" w:cs="Times New Roman"/>
          <w:sz w:val="22"/>
          <w:szCs w:val="22"/>
        </w:rPr>
        <w:t xml:space="preserve"> de las figuras trascendentales en el SDH es el género dentro de los grupos vulnerables que reconoce el PNUD, y justo desde este organismo surgen los conflictos epistémicos, ya que en algunos de sus documentos </w:t>
      </w:r>
      <w:r>
        <w:rPr>
          <w:rFonts w:ascii="Times New Roman" w:hAnsi="Times New Roman" w:cs="Times New Roman"/>
          <w:sz w:val="22"/>
          <w:szCs w:val="22"/>
        </w:rPr>
        <w:t xml:space="preserve">se </w:t>
      </w:r>
      <w:r w:rsidRPr="00B452E1">
        <w:rPr>
          <w:rFonts w:ascii="Times New Roman" w:hAnsi="Times New Roman" w:cs="Times New Roman"/>
          <w:sz w:val="22"/>
          <w:szCs w:val="22"/>
        </w:rPr>
        <w:t xml:space="preserve">reconoce al género como un grupo vulnerable y </w:t>
      </w:r>
      <w:r>
        <w:rPr>
          <w:rFonts w:ascii="Times New Roman" w:hAnsi="Times New Roman" w:cs="Times New Roman"/>
          <w:sz w:val="22"/>
          <w:szCs w:val="22"/>
        </w:rPr>
        <w:t xml:space="preserve">se traslada esta vulnerabilidad para el grupo género en </w:t>
      </w:r>
      <w:r w:rsidRPr="00B452E1">
        <w:rPr>
          <w:rFonts w:ascii="Times New Roman" w:hAnsi="Times New Roman" w:cs="Times New Roman"/>
          <w:sz w:val="22"/>
          <w:szCs w:val="22"/>
        </w:rPr>
        <w:t>dos sectores poblacionales dentro de dicha denominación</w:t>
      </w:r>
      <w:r w:rsidR="00D7395F">
        <w:rPr>
          <w:rFonts w:ascii="Times New Roman" w:hAnsi="Times New Roman" w:cs="Times New Roman"/>
          <w:sz w:val="22"/>
          <w:szCs w:val="22"/>
        </w:rPr>
        <w:t>;</w:t>
      </w:r>
      <w:r>
        <w:rPr>
          <w:rFonts w:ascii="Times New Roman" w:hAnsi="Times New Roman" w:cs="Times New Roman"/>
          <w:sz w:val="22"/>
          <w:szCs w:val="22"/>
        </w:rPr>
        <w:t xml:space="preserve"> en algunos documentos se coloca como grupo género a las </w:t>
      </w:r>
      <w:r w:rsidRPr="00B452E1">
        <w:rPr>
          <w:rFonts w:ascii="Times New Roman" w:hAnsi="Times New Roman" w:cs="Times New Roman"/>
          <w:sz w:val="22"/>
          <w:szCs w:val="22"/>
        </w:rPr>
        <w:t xml:space="preserve">mujeres y </w:t>
      </w:r>
      <w:r>
        <w:rPr>
          <w:rFonts w:ascii="Times New Roman" w:hAnsi="Times New Roman" w:cs="Times New Roman"/>
          <w:sz w:val="22"/>
          <w:szCs w:val="22"/>
        </w:rPr>
        <w:t xml:space="preserve">en otros documentos a </w:t>
      </w:r>
      <w:r w:rsidRPr="00B452E1">
        <w:rPr>
          <w:rFonts w:ascii="Times New Roman" w:hAnsi="Times New Roman" w:cs="Times New Roman"/>
          <w:sz w:val="22"/>
          <w:szCs w:val="22"/>
        </w:rPr>
        <w:t>personas identificadas en el llamado colectivo LGBT</w:t>
      </w:r>
      <w:r>
        <w:rPr>
          <w:rFonts w:ascii="Times New Roman" w:hAnsi="Times New Roman" w:cs="Times New Roman"/>
          <w:sz w:val="22"/>
          <w:szCs w:val="22"/>
        </w:rPr>
        <w:t>+</w:t>
      </w:r>
      <w:r w:rsidRPr="00B452E1">
        <w:rPr>
          <w:rFonts w:ascii="Times New Roman" w:hAnsi="Times New Roman" w:cs="Times New Roman"/>
          <w:sz w:val="22"/>
          <w:szCs w:val="22"/>
        </w:rPr>
        <w:t xml:space="preserve"> a partir de los elementos del genero: </w:t>
      </w:r>
      <w:r w:rsidR="00F71AC0">
        <w:rPr>
          <w:rFonts w:ascii="Times New Roman" w:hAnsi="Times New Roman" w:cs="Times New Roman"/>
          <w:sz w:val="22"/>
          <w:szCs w:val="22"/>
        </w:rPr>
        <w:t xml:space="preserve">orientación sexual, </w:t>
      </w:r>
      <w:r w:rsidR="00F71AC0" w:rsidRPr="007C4CDB">
        <w:rPr>
          <w:rFonts w:ascii="Times New Roman" w:eastAsia="Times New Roman" w:hAnsi="Times New Roman" w:cs="Times New Roman"/>
          <w:sz w:val="22"/>
          <w:szCs w:val="22"/>
          <w:lang w:eastAsia="es-MX"/>
        </w:rPr>
        <w:t>la identidad de género, la expresión de género y las características sexuales</w:t>
      </w:r>
      <w:r>
        <w:rPr>
          <w:rFonts w:ascii="Times New Roman" w:hAnsi="Times New Roman" w:cs="Times New Roman"/>
          <w:sz w:val="22"/>
          <w:szCs w:val="22"/>
        </w:rPr>
        <w:t>.</w:t>
      </w:r>
    </w:p>
    <w:p w14:paraId="47F2F0EF" w14:textId="77777777" w:rsidR="008D019C" w:rsidRDefault="008D019C" w:rsidP="008D019C">
      <w:pPr>
        <w:autoSpaceDE w:val="0"/>
        <w:autoSpaceDN w:val="0"/>
        <w:adjustRightInd w:val="0"/>
        <w:spacing w:line="360" w:lineRule="auto"/>
        <w:jc w:val="both"/>
        <w:rPr>
          <w:rFonts w:ascii="Times New Roman" w:hAnsi="Times New Roman" w:cs="Times New Roman"/>
          <w:sz w:val="22"/>
          <w:szCs w:val="22"/>
        </w:rPr>
      </w:pPr>
    </w:p>
    <w:p w14:paraId="4E11E501" w14:textId="16A05361" w:rsidR="008D019C" w:rsidRPr="00B452E1" w:rsidRDefault="008D019C" w:rsidP="008D019C">
      <w:pPr>
        <w:autoSpaceDE w:val="0"/>
        <w:autoSpaceDN w:val="0"/>
        <w:adjustRightInd w:val="0"/>
        <w:spacing w:line="360" w:lineRule="auto"/>
        <w:jc w:val="both"/>
        <w:rPr>
          <w:rFonts w:ascii="Times New Roman" w:hAnsi="Times New Roman" w:cs="Times New Roman"/>
          <w:sz w:val="22"/>
          <w:szCs w:val="22"/>
        </w:rPr>
      </w:pPr>
      <w:r w:rsidRPr="00B452E1">
        <w:rPr>
          <w:rFonts w:ascii="Times New Roman" w:hAnsi="Times New Roman" w:cs="Times New Roman"/>
          <w:sz w:val="22"/>
          <w:szCs w:val="22"/>
        </w:rPr>
        <w:t>Uno de los documentos más relevantes en materia de vulnerabilidad es el Informe sobre Desarrollo Humano 2014, Sostener el Progreso Humano: Reducir vulnerabilidades y construir resiliencia</w:t>
      </w:r>
      <w:r w:rsidR="00480936">
        <w:rPr>
          <w:rFonts w:ascii="Times New Roman" w:hAnsi="Times New Roman" w:cs="Times New Roman"/>
          <w:sz w:val="22"/>
          <w:szCs w:val="22"/>
        </w:rPr>
        <w:t xml:space="preserve"> </w:t>
      </w:r>
      <w:r w:rsidR="00480936" w:rsidRPr="00B452E1">
        <w:rPr>
          <w:rFonts w:ascii="Times New Roman" w:hAnsi="Times New Roman" w:cs="Times New Roman"/>
          <w:sz w:val="22"/>
          <w:szCs w:val="22"/>
        </w:rPr>
        <w:t>(PNUD</w:t>
      </w:r>
      <w:r w:rsidR="00480936">
        <w:rPr>
          <w:rFonts w:ascii="Times New Roman" w:hAnsi="Times New Roman" w:cs="Times New Roman"/>
          <w:sz w:val="22"/>
          <w:szCs w:val="22"/>
        </w:rPr>
        <w:t>)</w:t>
      </w:r>
      <w:r w:rsidRPr="00B452E1">
        <w:rPr>
          <w:rFonts w:ascii="Times New Roman" w:hAnsi="Times New Roman" w:cs="Times New Roman"/>
          <w:sz w:val="22"/>
          <w:szCs w:val="22"/>
        </w:rPr>
        <w:t xml:space="preserve"> (2014) el cual señala</w:t>
      </w:r>
      <w:r>
        <w:rPr>
          <w:rFonts w:ascii="Times New Roman" w:hAnsi="Times New Roman" w:cs="Times New Roman"/>
          <w:sz w:val="22"/>
          <w:szCs w:val="22"/>
        </w:rPr>
        <w:t xml:space="preserve"> que son grupos vu</w:t>
      </w:r>
      <w:r w:rsidR="00311259">
        <w:rPr>
          <w:rFonts w:ascii="Times New Roman" w:hAnsi="Times New Roman" w:cs="Times New Roman"/>
          <w:sz w:val="22"/>
          <w:szCs w:val="22"/>
        </w:rPr>
        <w:t>l</w:t>
      </w:r>
      <w:r>
        <w:rPr>
          <w:rFonts w:ascii="Times New Roman" w:hAnsi="Times New Roman" w:cs="Times New Roman"/>
          <w:sz w:val="22"/>
          <w:szCs w:val="22"/>
        </w:rPr>
        <w:t xml:space="preserve">nerables: </w:t>
      </w:r>
      <w:r w:rsidR="00D7395F">
        <w:rPr>
          <w:rFonts w:ascii="Times New Roman" w:hAnsi="Times New Roman" w:cs="Times New Roman"/>
          <w:sz w:val="22"/>
          <w:szCs w:val="22"/>
        </w:rPr>
        <w:t>“</w:t>
      </w:r>
      <w:r>
        <w:rPr>
          <w:rFonts w:ascii="Times New Roman" w:hAnsi="Times New Roman" w:cs="Times New Roman"/>
          <w:sz w:val="22"/>
          <w:szCs w:val="22"/>
        </w:rPr>
        <w:t>… mujeres, migrantes, por condici</w:t>
      </w:r>
      <w:r w:rsidR="00311259">
        <w:rPr>
          <w:rFonts w:ascii="Times New Roman" w:hAnsi="Times New Roman" w:cs="Times New Roman"/>
          <w:sz w:val="22"/>
          <w:szCs w:val="22"/>
        </w:rPr>
        <w:t>ó</w:t>
      </w:r>
      <w:r>
        <w:rPr>
          <w:rFonts w:ascii="Times New Roman" w:hAnsi="Times New Roman" w:cs="Times New Roman"/>
          <w:sz w:val="22"/>
          <w:szCs w:val="22"/>
        </w:rPr>
        <w:t>n de género</w:t>
      </w:r>
      <w:r w:rsidR="00D7395F">
        <w:rPr>
          <w:rFonts w:ascii="Times New Roman" w:hAnsi="Times New Roman" w:cs="Times New Roman"/>
          <w:sz w:val="22"/>
          <w:szCs w:val="22"/>
        </w:rPr>
        <w:t>, …</w:t>
      </w:r>
      <w:r>
        <w:rPr>
          <w:rFonts w:ascii="Times New Roman" w:hAnsi="Times New Roman" w:cs="Times New Roman"/>
          <w:sz w:val="22"/>
          <w:szCs w:val="22"/>
        </w:rPr>
        <w:t>”, esta menci</w:t>
      </w:r>
      <w:r w:rsidR="00311259">
        <w:rPr>
          <w:rFonts w:ascii="Times New Roman" w:hAnsi="Times New Roman" w:cs="Times New Roman"/>
          <w:sz w:val="22"/>
          <w:szCs w:val="22"/>
        </w:rPr>
        <w:t>ó</w:t>
      </w:r>
      <w:r>
        <w:rPr>
          <w:rFonts w:ascii="Times New Roman" w:hAnsi="Times New Roman" w:cs="Times New Roman"/>
          <w:sz w:val="22"/>
          <w:szCs w:val="22"/>
        </w:rPr>
        <w:t>n coloca de manera diferenciada a las mujeres de la condici</w:t>
      </w:r>
      <w:r w:rsidR="00311259">
        <w:rPr>
          <w:rFonts w:ascii="Times New Roman" w:hAnsi="Times New Roman" w:cs="Times New Roman"/>
          <w:sz w:val="22"/>
          <w:szCs w:val="22"/>
        </w:rPr>
        <w:t>ó</w:t>
      </w:r>
      <w:r>
        <w:rPr>
          <w:rFonts w:ascii="Times New Roman" w:hAnsi="Times New Roman" w:cs="Times New Roman"/>
          <w:sz w:val="22"/>
          <w:szCs w:val="22"/>
        </w:rPr>
        <w:t>n de género, quedando a la interpretaci</w:t>
      </w:r>
      <w:r w:rsidR="00311259">
        <w:rPr>
          <w:rFonts w:ascii="Times New Roman" w:hAnsi="Times New Roman" w:cs="Times New Roman"/>
          <w:sz w:val="22"/>
          <w:szCs w:val="22"/>
        </w:rPr>
        <w:t>ó</w:t>
      </w:r>
      <w:r>
        <w:rPr>
          <w:rFonts w:ascii="Times New Roman" w:hAnsi="Times New Roman" w:cs="Times New Roman"/>
          <w:sz w:val="22"/>
          <w:szCs w:val="22"/>
        </w:rPr>
        <w:t xml:space="preserve">n que la </w:t>
      </w:r>
      <w:r w:rsidR="00D7395F">
        <w:rPr>
          <w:rFonts w:ascii="Times New Roman" w:hAnsi="Times New Roman" w:cs="Times New Roman"/>
          <w:sz w:val="22"/>
          <w:szCs w:val="22"/>
        </w:rPr>
        <w:t>“</w:t>
      </w:r>
      <w:r>
        <w:rPr>
          <w:rFonts w:ascii="Times New Roman" w:hAnsi="Times New Roman" w:cs="Times New Roman"/>
          <w:sz w:val="22"/>
          <w:szCs w:val="22"/>
        </w:rPr>
        <w:t>condici</w:t>
      </w:r>
      <w:r w:rsidR="00311259">
        <w:rPr>
          <w:rFonts w:ascii="Times New Roman" w:hAnsi="Times New Roman" w:cs="Times New Roman"/>
          <w:sz w:val="22"/>
          <w:szCs w:val="22"/>
        </w:rPr>
        <w:t>ó</w:t>
      </w:r>
      <w:r>
        <w:rPr>
          <w:rFonts w:ascii="Times New Roman" w:hAnsi="Times New Roman" w:cs="Times New Roman"/>
          <w:sz w:val="22"/>
          <w:szCs w:val="22"/>
        </w:rPr>
        <w:t>n de género</w:t>
      </w:r>
      <w:r w:rsidR="00D7395F">
        <w:rPr>
          <w:rFonts w:ascii="Times New Roman" w:hAnsi="Times New Roman" w:cs="Times New Roman"/>
          <w:sz w:val="22"/>
          <w:szCs w:val="22"/>
        </w:rPr>
        <w:t>”</w:t>
      </w:r>
      <w:r>
        <w:rPr>
          <w:rFonts w:ascii="Times New Roman" w:hAnsi="Times New Roman" w:cs="Times New Roman"/>
          <w:sz w:val="22"/>
          <w:szCs w:val="22"/>
        </w:rPr>
        <w:t xml:space="preserve"> no se refiere a la mujer, cuando este sector poblacional </w:t>
      </w:r>
      <w:r w:rsidR="00D7395F">
        <w:rPr>
          <w:rFonts w:ascii="Times New Roman" w:hAnsi="Times New Roman" w:cs="Times New Roman"/>
          <w:sz w:val="22"/>
          <w:szCs w:val="22"/>
        </w:rPr>
        <w:t xml:space="preserve">ya </w:t>
      </w:r>
      <w:r>
        <w:rPr>
          <w:rFonts w:ascii="Times New Roman" w:hAnsi="Times New Roman" w:cs="Times New Roman"/>
          <w:sz w:val="22"/>
          <w:szCs w:val="22"/>
        </w:rPr>
        <w:t>está mencionado; sino a las poblaciones que cuentan con una orientaci</w:t>
      </w:r>
      <w:r w:rsidR="00311259">
        <w:rPr>
          <w:rFonts w:ascii="Times New Roman" w:hAnsi="Times New Roman" w:cs="Times New Roman"/>
          <w:sz w:val="22"/>
          <w:szCs w:val="22"/>
        </w:rPr>
        <w:t>ó</w:t>
      </w:r>
      <w:r>
        <w:rPr>
          <w:rFonts w:ascii="Times New Roman" w:hAnsi="Times New Roman" w:cs="Times New Roman"/>
          <w:sz w:val="22"/>
          <w:szCs w:val="22"/>
        </w:rPr>
        <w:t xml:space="preserve">n sexual diversa a la heterosexual y una identidad de género distinta a la </w:t>
      </w:r>
      <w:r w:rsidR="00D7395F">
        <w:rPr>
          <w:rFonts w:ascii="Times New Roman" w:hAnsi="Times New Roman" w:cs="Times New Roman"/>
          <w:sz w:val="22"/>
          <w:szCs w:val="22"/>
        </w:rPr>
        <w:t xml:space="preserve">de </w:t>
      </w:r>
      <w:r>
        <w:rPr>
          <w:rFonts w:ascii="Times New Roman" w:hAnsi="Times New Roman" w:cs="Times New Roman"/>
          <w:sz w:val="22"/>
          <w:szCs w:val="22"/>
        </w:rPr>
        <w:t>mujeres femeninas</w:t>
      </w:r>
      <w:r w:rsidR="00756798">
        <w:rPr>
          <w:rFonts w:ascii="Times New Roman" w:hAnsi="Times New Roman" w:cs="Times New Roman"/>
          <w:sz w:val="22"/>
          <w:szCs w:val="22"/>
        </w:rPr>
        <w:t xml:space="preserve"> y</w:t>
      </w:r>
      <w:r>
        <w:rPr>
          <w:rFonts w:ascii="Times New Roman" w:hAnsi="Times New Roman" w:cs="Times New Roman"/>
          <w:sz w:val="22"/>
          <w:szCs w:val="22"/>
        </w:rPr>
        <w:t xml:space="preserve"> hombres masculinos correspondiente al binomio del sistema heteronormativo.</w:t>
      </w:r>
    </w:p>
    <w:p w14:paraId="1F8B2B96" w14:textId="77777777" w:rsidR="008D019C" w:rsidRPr="00B452E1" w:rsidRDefault="008D019C" w:rsidP="008D019C">
      <w:pPr>
        <w:autoSpaceDE w:val="0"/>
        <w:autoSpaceDN w:val="0"/>
        <w:adjustRightInd w:val="0"/>
        <w:spacing w:line="360" w:lineRule="auto"/>
        <w:jc w:val="both"/>
        <w:rPr>
          <w:rFonts w:ascii="Times New Roman" w:hAnsi="Times New Roman" w:cs="Times New Roman"/>
          <w:sz w:val="22"/>
          <w:szCs w:val="22"/>
        </w:rPr>
      </w:pPr>
    </w:p>
    <w:p w14:paraId="3913D343" w14:textId="574B641E" w:rsidR="008D019C" w:rsidRDefault="008D019C" w:rsidP="008D019C">
      <w:pPr>
        <w:spacing w:line="360" w:lineRule="auto"/>
        <w:jc w:val="both"/>
        <w:rPr>
          <w:rFonts w:ascii="Times New Roman" w:eastAsia="Times New Roman" w:hAnsi="Times New Roman" w:cs="Times New Roman"/>
          <w:sz w:val="22"/>
          <w:szCs w:val="22"/>
          <w:lang w:eastAsia="es-MX"/>
        </w:rPr>
      </w:pPr>
      <w:r>
        <w:rPr>
          <w:rFonts w:ascii="Times New Roman" w:hAnsi="Times New Roman" w:cs="Times New Roman"/>
          <w:sz w:val="22"/>
          <w:szCs w:val="22"/>
        </w:rPr>
        <w:t>Al respecto se mencionan a continuación documentos en los que el PNUD considera al género aplicable a las personas del colectivo LGBT+</w:t>
      </w:r>
      <w:r>
        <w:rPr>
          <w:rStyle w:val="Refdenotaalpie"/>
          <w:rFonts w:ascii="Times New Roman" w:hAnsi="Times New Roman" w:cs="Times New Roman"/>
          <w:sz w:val="22"/>
          <w:szCs w:val="22"/>
        </w:rPr>
        <w:footnoteReference w:id="1"/>
      </w:r>
      <w:r>
        <w:rPr>
          <w:rFonts w:ascii="Times New Roman" w:hAnsi="Times New Roman" w:cs="Times New Roman"/>
          <w:sz w:val="22"/>
          <w:szCs w:val="22"/>
        </w:rPr>
        <w:t>, en los cuales se reconocen los elementos componentes del género (orientaci</w:t>
      </w:r>
      <w:r w:rsidR="00311259">
        <w:rPr>
          <w:rFonts w:ascii="Times New Roman" w:hAnsi="Times New Roman" w:cs="Times New Roman"/>
          <w:sz w:val="22"/>
          <w:szCs w:val="22"/>
        </w:rPr>
        <w:t>ó</w:t>
      </w:r>
      <w:r>
        <w:rPr>
          <w:rFonts w:ascii="Times New Roman" w:hAnsi="Times New Roman" w:cs="Times New Roman"/>
          <w:sz w:val="22"/>
          <w:szCs w:val="22"/>
        </w:rPr>
        <w:t>n sexual,</w:t>
      </w:r>
      <w:r w:rsidR="00311259">
        <w:rPr>
          <w:rFonts w:ascii="Times New Roman" w:hAnsi="Times New Roman" w:cs="Times New Roman"/>
          <w:sz w:val="22"/>
          <w:szCs w:val="22"/>
        </w:rPr>
        <w:t xml:space="preserve"> </w:t>
      </w:r>
      <w:r w:rsidRPr="007C4CDB">
        <w:rPr>
          <w:rFonts w:ascii="Times New Roman" w:eastAsia="Times New Roman" w:hAnsi="Times New Roman" w:cs="Times New Roman"/>
          <w:sz w:val="22"/>
          <w:szCs w:val="22"/>
          <w:lang w:eastAsia="es-MX"/>
        </w:rPr>
        <w:t>la identidad de género, la expresión de género y las características sexuales</w:t>
      </w:r>
      <w:r>
        <w:rPr>
          <w:rFonts w:ascii="Times New Roman" w:eastAsia="Times New Roman" w:hAnsi="Times New Roman" w:cs="Times New Roman"/>
          <w:sz w:val="22"/>
          <w:szCs w:val="22"/>
          <w:lang w:eastAsia="es-MX"/>
        </w:rPr>
        <w:t>):</w:t>
      </w:r>
    </w:p>
    <w:p w14:paraId="2C77F08A" w14:textId="02EB281A" w:rsidR="001B3B94" w:rsidRPr="00756798" w:rsidRDefault="001B3B94" w:rsidP="00756798">
      <w:pPr>
        <w:pStyle w:val="Prrafodelista"/>
        <w:numPr>
          <w:ilvl w:val="0"/>
          <w:numId w:val="6"/>
        </w:numPr>
        <w:spacing w:line="360" w:lineRule="auto"/>
        <w:jc w:val="both"/>
        <w:rPr>
          <w:rFonts w:ascii="Times New Roman" w:hAnsi="Times New Roman" w:cs="Times New Roman"/>
          <w:color w:val="000000" w:themeColor="text1"/>
          <w:sz w:val="22"/>
          <w:szCs w:val="22"/>
        </w:rPr>
      </w:pPr>
      <w:r w:rsidRPr="00756798">
        <w:rPr>
          <w:rFonts w:ascii="Times New Roman" w:hAnsi="Times New Roman" w:cs="Times New Roman"/>
          <w:sz w:val="22"/>
          <w:szCs w:val="22"/>
        </w:rPr>
        <w:t>Violencia basada en género, VIH y Poblaciones Clave en Latinoamé</w:t>
      </w:r>
      <w:r w:rsidR="0014235F" w:rsidRPr="00756798">
        <w:rPr>
          <w:rFonts w:ascii="Times New Roman" w:hAnsi="Times New Roman" w:cs="Times New Roman"/>
          <w:sz w:val="22"/>
          <w:szCs w:val="22"/>
        </w:rPr>
        <w:t>r</w:t>
      </w:r>
      <w:r w:rsidRPr="00756798">
        <w:rPr>
          <w:rFonts w:ascii="Times New Roman" w:hAnsi="Times New Roman" w:cs="Times New Roman"/>
          <w:sz w:val="22"/>
          <w:szCs w:val="22"/>
        </w:rPr>
        <w:t xml:space="preserve">ica y el Caribe </w:t>
      </w:r>
      <w:sdt>
        <w:sdtPr>
          <w:id w:val="798653192"/>
          <w:citation/>
        </w:sdtPr>
        <w:sdtEndPr/>
        <w:sdtContent>
          <w:r w:rsidR="00F71AC0" w:rsidRPr="00756798">
            <w:rPr>
              <w:rFonts w:ascii="Times New Roman" w:hAnsi="Times New Roman" w:cs="Times New Roman"/>
              <w:sz w:val="22"/>
              <w:szCs w:val="22"/>
            </w:rPr>
            <w:fldChar w:fldCharType="begin"/>
          </w:r>
          <w:r w:rsidR="00F71AC0" w:rsidRPr="00756798">
            <w:rPr>
              <w:rFonts w:ascii="Times New Roman" w:hAnsi="Times New Roman" w:cs="Times New Roman"/>
              <w:sz w:val="22"/>
              <w:szCs w:val="22"/>
            </w:rPr>
            <w:instrText xml:space="preserve"> CITATION USA18 \l 3082 </w:instrText>
          </w:r>
          <w:r w:rsidR="00F71AC0" w:rsidRPr="00756798">
            <w:rPr>
              <w:rFonts w:ascii="Times New Roman" w:hAnsi="Times New Roman" w:cs="Times New Roman"/>
              <w:sz w:val="22"/>
              <w:szCs w:val="22"/>
            </w:rPr>
            <w:fldChar w:fldCharType="separate"/>
          </w:r>
          <w:r w:rsidR="009B03DC" w:rsidRPr="00756798">
            <w:rPr>
              <w:rFonts w:ascii="Times New Roman" w:hAnsi="Times New Roman" w:cs="Times New Roman"/>
              <w:noProof/>
              <w:sz w:val="22"/>
              <w:szCs w:val="22"/>
            </w:rPr>
            <w:t>(USAID, 2018)</w:t>
          </w:r>
          <w:r w:rsidR="00F71AC0" w:rsidRPr="00756798">
            <w:rPr>
              <w:rFonts w:ascii="Times New Roman" w:hAnsi="Times New Roman" w:cs="Times New Roman"/>
              <w:sz w:val="22"/>
              <w:szCs w:val="22"/>
            </w:rPr>
            <w:fldChar w:fldCharType="end"/>
          </w:r>
        </w:sdtContent>
      </w:sdt>
    </w:p>
    <w:p w14:paraId="489C8CE7" w14:textId="42893BAC" w:rsidR="008D019C" w:rsidRPr="00756798" w:rsidRDefault="00311259" w:rsidP="00756798">
      <w:pPr>
        <w:pStyle w:val="Prrafodelista"/>
        <w:numPr>
          <w:ilvl w:val="0"/>
          <w:numId w:val="6"/>
        </w:numPr>
        <w:spacing w:line="360" w:lineRule="auto"/>
        <w:jc w:val="both"/>
        <w:rPr>
          <w:rFonts w:ascii="Times New Roman" w:eastAsia="Times New Roman" w:hAnsi="Times New Roman" w:cs="Times New Roman"/>
          <w:sz w:val="22"/>
          <w:szCs w:val="22"/>
          <w:lang w:eastAsia="es-MX"/>
        </w:rPr>
      </w:pPr>
      <w:r w:rsidRPr="00756798">
        <w:rPr>
          <w:rFonts w:ascii="Times New Roman" w:hAnsi="Times New Roman" w:cs="Times New Roman"/>
          <w:sz w:val="22"/>
          <w:szCs w:val="22"/>
        </w:rPr>
        <w:t xml:space="preserve">Conjunto de </w:t>
      </w:r>
      <w:r w:rsidR="00612818" w:rsidRPr="00756798">
        <w:rPr>
          <w:rFonts w:ascii="Times New Roman" w:hAnsi="Times New Roman" w:cs="Times New Roman"/>
          <w:sz w:val="22"/>
          <w:szCs w:val="22"/>
        </w:rPr>
        <w:t>I</w:t>
      </w:r>
      <w:r w:rsidRPr="00756798">
        <w:rPr>
          <w:rFonts w:ascii="Times New Roman" w:hAnsi="Times New Roman" w:cs="Times New Roman"/>
          <w:sz w:val="22"/>
          <w:szCs w:val="22"/>
        </w:rPr>
        <w:t>ndicadores</w:t>
      </w:r>
      <w:r w:rsidR="00612818" w:rsidRPr="00756798">
        <w:rPr>
          <w:rFonts w:ascii="Times New Roman" w:hAnsi="Times New Roman" w:cs="Times New Roman"/>
          <w:sz w:val="22"/>
          <w:szCs w:val="22"/>
        </w:rPr>
        <w:t xml:space="preserve"> Propuestos para el </w:t>
      </w:r>
      <w:r w:rsidR="00FA411D" w:rsidRPr="00756798">
        <w:rPr>
          <w:rFonts w:ascii="Times New Roman" w:hAnsi="Times New Roman" w:cs="Times New Roman"/>
          <w:sz w:val="22"/>
          <w:szCs w:val="22"/>
        </w:rPr>
        <w:t>Índice</w:t>
      </w:r>
      <w:r w:rsidR="00612818" w:rsidRPr="00756798">
        <w:rPr>
          <w:rFonts w:ascii="Times New Roman" w:hAnsi="Times New Roman" w:cs="Times New Roman"/>
          <w:sz w:val="22"/>
          <w:szCs w:val="22"/>
        </w:rPr>
        <w:t xml:space="preserve"> de Inclusión LGBTI </w:t>
      </w:r>
      <w:sdt>
        <w:sdtPr>
          <w:id w:val="837193634"/>
          <w:citation/>
        </w:sdtPr>
        <w:sdtEndPr/>
        <w:sdtContent>
          <w:r w:rsidR="00FA411D" w:rsidRPr="00756798">
            <w:rPr>
              <w:rFonts w:ascii="Times New Roman" w:hAnsi="Times New Roman" w:cs="Times New Roman"/>
              <w:sz w:val="22"/>
              <w:szCs w:val="22"/>
            </w:rPr>
            <w:fldChar w:fldCharType="begin"/>
          </w:r>
          <w:r w:rsidR="00FA411D" w:rsidRPr="00756798">
            <w:rPr>
              <w:rFonts w:ascii="Times New Roman" w:hAnsi="Times New Roman" w:cs="Times New Roman"/>
              <w:sz w:val="22"/>
              <w:szCs w:val="22"/>
            </w:rPr>
            <w:instrText xml:space="preserve"> CITATION TWB20 \l 3082 </w:instrText>
          </w:r>
          <w:r w:rsidR="00FA411D" w:rsidRPr="00756798">
            <w:rPr>
              <w:rFonts w:ascii="Times New Roman" w:hAnsi="Times New Roman" w:cs="Times New Roman"/>
              <w:sz w:val="22"/>
              <w:szCs w:val="22"/>
            </w:rPr>
            <w:fldChar w:fldCharType="separate"/>
          </w:r>
          <w:r w:rsidR="009B03DC" w:rsidRPr="00756798">
            <w:rPr>
              <w:rFonts w:ascii="Times New Roman" w:hAnsi="Times New Roman" w:cs="Times New Roman"/>
              <w:noProof/>
              <w:sz w:val="22"/>
              <w:szCs w:val="22"/>
            </w:rPr>
            <w:t>(TWBG &amp; PNUD, 2019)</w:t>
          </w:r>
          <w:r w:rsidR="00FA411D" w:rsidRPr="00756798">
            <w:rPr>
              <w:rFonts w:ascii="Times New Roman" w:hAnsi="Times New Roman" w:cs="Times New Roman"/>
              <w:sz w:val="22"/>
              <w:szCs w:val="22"/>
            </w:rPr>
            <w:fldChar w:fldCharType="end"/>
          </w:r>
        </w:sdtContent>
      </w:sdt>
    </w:p>
    <w:p w14:paraId="38D65269" w14:textId="506A31DE" w:rsidR="008D019C" w:rsidRPr="00756798" w:rsidRDefault="008D019C" w:rsidP="00756798">
      <w:pPr>
        <w:pStyle w:val="Prrafodelista"/>
        <w:numPr>
          <w:ilvl w:val="0"/>
          <w:numId w:val="6"/>
        </w:numPr>
        <w:autoSpaceDE w:val="0"/>
        <w:autoSpaceDN w:val="0"/>
        <w:adjustRightInd w:val="0"/>
        <w:spacing w:line="360" w:lineRule="auto"/>
        <w:jc w:val="both"/>
        <w:rPr>
          <w:rFonts w:ascii="Times New Roman" w:hAnsi="Times New Roman" w:cs="Times New Roman"/>
          <w:sz w:val="22"/>
          <w:szCs w:val="22"/>
        </w:rPr>
      </w:pPr>
      <w:r w:rsidRPr="00756798">
        <w:rPr>
          <w:rFonts w:ascii="Times New Roman" w:hAnsi="Times New Roman" w:cs="Times New Roman"/>
          <w:sz w:val="22"/>
          <w:szCs w:val="22"/>
        </w:rPr>
        <w:t>Ser LGBTI en el Caribe: Reducir la desigualdad y la exclusión experimentadas por las personas LGBTI;</w:t>
      </w:r>
    </w:p>
    <w:p w14:paraId="1507FF6C" w14:textId="01A4BA91" w:rsidR="00F65AEE" w:rsidRPr="00756798" w:rsidRDefault="00F65AEE" w:rsidP="00756798">
      <w:pPr>
        <w:pStyle w:val="Prrafodelista"/>
        <w:numPr>
          <w:ilvl w:val="0"/>
          <w:numId w:val="6"/>
        </w:numPr>
        <w:autoSpaceDE w:val="0"/>
        <w:autoSpaceDN w:val="0"/>
        <w:adjustRightInd w:val="0"/>
        <w:spacing w:line="360" w:lineRule="auto"/>
        <w:jc w:val="both"/>
        <w:rPr>
          <w:rFonts w:ascii="Times New Roman" w:hAnsi="Times New Roman" w:cs="Times New Roman"/>
          <w:sz w:val="22"/>
          <w:szCs w:val="22"/>
        </w:rPr>
      </w:pPr>
      <w:r w:rsidRPr="00756798">
        <w:rPr>
          <w:rFonts w:ascii="Times New Roman" w:hAnsi="Times New Roman" w:cs="Times New Roman"/>
          <w:sz w:val="22"/>
          <w:szCs w:val="22"/>
        </w:rPr>
        <w:t>Ser LGBT+ en Latinoamérica</w:t>
      </w:r>
      <w:r w:rsidR="009A010C" w:rsidRPr="00756798">
        <w:rPr>
          <w:rFonts w:ascii="Times New Roman" w:hAnsi="Times New Roman" w:cs="Times New Roman"/>
          <w:sz w:val="22"/>
          <w:szCs w:val="22"/>
        </w:rPr>
        <w:t xml:space="preserve"> </w:t>
      </w:r>
      <w:sdt>
        <w:sdtPr>
          <w:id w:val="1624955480"/>
          <w:citation/>
        </w:sdtPr>
        <w:sdtEndPr/>
        <w:sdtContent>
          <w:r w:rsidR="009A010C" w:rsidRPr="00756798">
            <w:rPr>
              <w:rFonts w:ascii="Times New Roman" w:hAnsi="Times New Roman" w:cs="Times New Roman"/>
              <w:sz w:val="22"/>
              <w:szCs w:val="22"/>
            </w:rPr>
            <w:fldChar w:fldCharType="begin"/>
          </w:r>
          <w:r w:rsidR="009A010C" w:rsidRPr="00756798">
            <w:rPr>
              <w:rFonts w:ascii="Times New Roman" w:hAnsi="Times New Roman" w:cs="Times New Roman"/>
              <w:sz w:val="22"/>
              <w:szCs w:val="22"/>
            </w:rPr>
            <w:instrText xml:space="preserve"> CITATION FNF21 \l 3082 </w:instrText>
          </w:r>
          <w:r w:rsidR="009A010C" w:rsidRPr="00756798">
            <w:rPr>
              <w:rFonts w:ascii="Times New Roman" w:hAnsi="Times New Roman" w:cs="Times New Roman"/>
              <w:sz w:val="22"/>
              <w:szCs w:val="22"/>
            </w:rPr>
            <w:fldChar w:fldCharType="separate"/>
          </w:r>
          <w:r w:rsidR="009B03DC" w:rsidRPr="00756798">
            <w:rPr>
              <w:rFonts w:ascii="Times New Roman" w:hAnsi="Times New Roman" w:cs="Times New Roman"/>
              <w:noProof/>
              <w:sz w:val="22"/>
              <w:szCs w:val="22"/>
            </w:rPr>
            <w:t>(FNF, 2021)</w:t>
          </w:r>
          <w:r w:rsidR="009A010C" w:rsidRPr="00756798">
            <w:rPr>
              <w:rFonts w:ascii="Times New Roman" w:hAnsi="Times New Roman" w:cs="Times New Roman"/>
              <w:sz w:val="22"/>
              <w:szCs w:val="22"/>
            </w:rPr>
            <w:fldChar w:fldCharType="end"/>
          </w:r>
        </w:sdtContent>
      </w:sdt>
    </w:p>
    <w:p w14:paraId="29132163" w14:textId="0D477AE7" w:rsidR="00D252DC" w:rsidRPr="00756798" w:rsidRDefault="00D252DC" w:rsidP="00756798">
      <w:pPr>
        <w:pStyle w:val="Prrafodelista"/>
        <w:numPr>
          <w:ilvl w:val="0"/>
          <w:numId w:val="6"/>
        </w:numPr>
        <w:autoSpaceDE w:val="0"/>
        <w:autoSpaceDN w:val="0"/>
        <w:adjustRightInd w:val="0"/>
        <w:spacing w:line="360" w:lineRule="auto"/>
        <w:jc w:val="both"/>
        <w:rPr>
          <w:rFonts w:ascii="Times New Roman" w:hAnsi="Times New Roman" w:cs="Times New Roman"/>
          <w:sz w:val="22"/>
          <w:szCs w:val="22"/>
        </w:rPr>
      </w:pPr>
      <w:bookmarkStart w:id="2" w:name="OLE_LINK1"/>
      <w:bookmarkStart w:id="3" w:name="OLE_LINK2"/>
      <w:r w:rsidRPr="00756798">
        <w:rPr>
          <w:rFonts w:ascii="Times New Roman" w:hAnsi="Times New Roman" w:cs="Times New Roman"/>
          <w:sz w:val="22"/>
          <w:szCs w:val="22"/>
        </w:rPr>
        <w:t>Abogar por la igualdad y la no discriminación del personal LGBTI en el sistema de la ONU</w:t>
      </w:r>
      <w:r w:rsidR="0046251B" w:rsidRPr="00756798">
        <w:rPr>
          <w:rFonts w:ascii="Times New Roman" w:hAnsi="Times New Roman" w:cs="Times New Roman"/>
          <w:sz w:val="22"/>
          <w:szCs w:val="22"/>
        </w:rPr>
        <w:t xml:space="preserve"> </w:t>
      </w:r>
      <w:r w:rsidRPr="00756798">
        <w:rPr>
          <w:rFonts w:ascii="Times New Roman" w:hAnsi="Times New Roman" w:cs="Times New Roman"/>
          <w:sz w:val="22"/>
          <w:szCs w:val="22"/>
        </w:rPr>
        <w:t xml:space="preserve">y sus operaciones de mantenimiento de la paz  </w:t>
      </w:r>
      <w:sdt>
        <w:sdtPr>
          <w:id w:val="310458234"/>
          <w:citation/>
        </w:sdtPr>
        <w:sdtEndPr/>
        <w:sdtContent>
          <w:r w:rsidRPr="00756798">
            <w:rPr>
              <w:rFonts w:ascii="Times New Roman" w:hAnsi="Times New Roman" w:cs="Times New Roman"/>
              <w:sz w:val="22"/>
              <w:szCs w:val="22"/>
            </w:rPr>
            <w:fldChar w:fldCharType="begin"/>
          </w:r>
          <w:r w:rsidRPr="00756798">
            <w:rPr>
              <w:rFonts w:ascii="Times New Roman" w:hAnsi="Times New Roman" w:cs="Times New Roman"/>
              <w:sz w:val="22"/>
              <w:szCs w:val="22"/>
            </w:rPr>
            <w:instrText xml:space="preserve">CITATION UNG21 \l 3082 </w:instrText>
          </w:r>
          <w:r w:rsidRPr="00756798">
            <w:rPr>
              <w:rFonts w:ascii="Times New Roman" w:hAnsi="Times New Roman" w:cs="Times New Roman"/>
              <w:sz w:val="22"/>
              <w:szCs w:val="22"/>
            </w:rPr>
            <w:fldChar w:fldCharType="separate"/>
          </w:r>
          <w:r w:rsidR="009B03DC" w:rsidRPr="00756798">
            <w:rPr>
              <w:rFonts w:ascii="Times New Roman" w:hAnsi="Times New Roman" w:cs="Times New Roman"/>
              <w:noProof/>
              <w:sz w:val="22"/>
              <w:szCs w:val="22"/>
            </w:rPr>
            <w:t>(UN-GLOBE, 2021)</w:t>
          </w:r>
          <w:r w:rsidRPr="00756798">
            <w:rPr>
              <w:rFonts w:ascii="Times New Roman" w:hAnsi="Times New Roman" w:cs="Times New Roman"/>
              <w:sz w:val="22"/>
              <w:szCs w:val="22"/>
            </w:rPr>
            <w:fldChar w:fldCharType="end"/>
          </w:r>
        </w:sdtContent>
      </w:sdt>
    </w:p>
    <w:p w14:paraId="0D3A0C26" w14:textId="77777777" w:rsidR="0046251B" w:rsidRPr="00566884" w:rsidRDefault="0046251B" w:rsidP="008D019C">
      <w:pPr>
        <w:autoSpaceDE w:val="0"/>
        <w:autoSpaceDN w:val="0"/>
        <w:adjustRightInd w:val="0"/>
        <w:spacing w:line="360" w:lineRule="auto"/>
        <w:jc w:val="both"/>
        <w:rPr>
          <w:rFonts w:ascii="Times New Roman" w:hAnsi="Times New Roman" w:cs="Times New Roman"/>
          <w:sz w:val="22"/>
          <w:szCs w:val="22"/>
        </w:rPr>
      </w:pPr>
    </w:p>
    <w:bookmarkEnd w:id="2"/>
    <w:bookmarkEnd w:id="3"/>
    <w:p w14:paraId="0ED8223D" w14:textId="78D1A16D" w:rsidR="009A010C" w:rsidRPr="00566884" w:rsidRDefault="009A010C" w:rsidP="008D019C">
      <w:pPr>
        <w:autoSpaceDE w:val="0"/>
        <w:autoSpaceDN w:val="0"/>
        <w:adjustRightInd w:val="0"/>
        <w:spacing w:line="360" w:lineRule="auto"/>
        <w:jc w:val="both"/>
        <w:rPr>
          <w:rFonts w:ascii="Times New Roman" w:hAnsi="Times New Roman" w:cs="Times New Roman"/>
          <w:sz w:val="22"/>
          <w:szCs w:val="22"/>
        </w:rPr>
      </w:pPr>
      <w:r w:rsidRPr="00566884">
        <w:rPr>
          <w:rFonts w:ascii="Times New Roman" w:hAnsi="Times New Roman" w:cs="Times New Roman"/>
          <w:sz w:val="22"/>
          <w:szCs w:val="22"/>
        </w:rPr>
        <w:t>Por o</w:t>
      </w:r>
      <w:r w:rsidR="00566884" w:rsidRPr="00566884">
        <w:rPr>
          <w:rFonts w:ascii="Times New Roman" w:hAnsi="Times New Roman" w:cs="Times New Roman"/>
          <w:sz w:val="22"/>
          <w:szCs w:val="22"/>
        </w:rPr>
        <w:t>t</w:t>
      </w:r>
      <w:r w:rsidRPr="00566884">
        <w:rPr>
          <w:rFonts w:ascii="Times New Roman" w:hAnsi="Times New Roman" w:cs="Times New Roman"/>
          <w:sz w:val="22"/>
          <w:szCs w:val="22"/>
        </w:rPr>
        <w:t>ra parte</w:t>
      </w:r>
      <w:r w:rsidR="008F4106">
        <w:rPr>
          <w:rFonts w:ascii="Times New Roman" w:hAnsi="Times New Roman" w:cs="Times New Roman"/>
          <w:sz w:val="22"/>
          <w:szCs w:val="22"/>
        </w:rPr>
        <w:t>,</w:t>
      </w:r>
      <w:r w:rsidRPr="00566884">
        <w:rPr>
          <w:rFonts w:ascii="Times New Roman" w:hAnsi="Times New Roman" w:cs="Times New Roman"/>
          <w:sz w:val="22"/>
          <w:szCs w:val="22"/>
        </w:rPr>
        <w:t xml:space="preserve"> el mismo organismo PNUD genera diversos documentos e informes sobre género refiriéndose </w:t>
      </w:r>
      <w:r w:rsidR="00566884">
        <w:rPr>
          <w:rFonts w:ascii="Times New Roman" w:hAnsi="Times New Roman" w:cs="Times New Roman"/>
          <w:sz w:val="22"/>
          <w:szCs w:val="22"/>
        </w:rPr>
        <w:t xml:space="preserve">exclusivamente </w:t>
      </w:r>
      <w:r w:rsidRPr="00566884">
        <w:rPr>
          <w:rFonts w:ascii="Times New Roman" w:hAnsi="Times New Roman" w:cs="Times New Roman"/>
          <w:sz w:val="22"/>
          <w:szCs w:val="22"/>
        </w:rPr>
        <w:t>al sector poblacional mujeres, tales como:</w:t>
      </w:r>
    </w:p>
    <w:p w14:paraId="7B308BA1" w14:textId="3CDC5DBA" w:rsidR="009A010C" w:rsidRPr="00756798" w:rsidRDefault="009A010C" w:rsidP="00756798">
      <w:pPr>
        <w:pStyle w:val="Prrafodelista"/>
        <w:numPr>
          <w:ilvl w:val="0"/>
          <w:numId w:val="7"/>
        </w:numPr>
        <w:autoSpaceDE w:val="0"/>
        <w:autoSpaceDN w:val="0"/>
        <w:adjustRightInd w:val="0"/>
        <w:spacing w:line="360" w:lineRule="auto"/>
        <w:jc w:val="both"/>
        <w:rPr>
          <w:rFonts w:ascii="Times New Roman" w:hAnsi="Times New Roman" w:cs="Times New Roman"/>
          <w:sz w:val="22"/>
          <w:szCs w:val="22"/>
          <w:lang w:val="es-MX"/>
        </w:rPr>
      </w:pPr>
      <w:r w:rsidRPr="00756798">
        <w:rPr>
          <w:rFonts w:ascii="Times New Roman" w:hAnsi="Times New Roman" w:cs="Times New Roman"/>
          <w:sz w:val="22"/>
          <w:szCs w:val="22"/>
          <w:lang w:val="es-MX"/>
        </w:rPr>
        <w:t xml:space="preserve">Indice de Desigualdad de Género 2019 </w:t>
      </w:r>
      <w:sdt>
        <w:sdtPr>
          <w:rPr>
            <w:lang w:val="es-MX"/>
          </w:rPr>
          <w:id w:val="-336236276"/>
          <w:citation/>
        </w:sdtPr>
        <w:sdtEndPr/>
        <w:sdtContent>
          <w:r w:rsidR="00566884" w:rsidRPr="00756798">
            <w:rPr>
              <w:rFonts w:ascii="Times New Roman" w:hAnsi="Times New Roman" w:cs="Times New Roman"/>
              <w:sz w:val="22"/>
              <w:szCs w:val="22"/>
              <w:lang w:val="es-MX"/>
            </w:rPr>
            <w:fldChar w:fldCharType="begin"/>
          </w:r>
          <w:r w:rsidR="00566884" w:rsidRPr="00756798">
            <w:rPr>
              <w:rFonts w:ascii="Times New Roman" w:hAnsi="Times New Roman" w:cs="Times New Roman"/>
              <w:sz w:val="22"/>
              <w:szCs w:val="22"/>
            </w:rPr>
            <w:instrText xml:space="preserve">CITATION RAC20 \t  \l 3082 </w:instrText>
          </w:r>
          <w:r w:rsidR="00566884" w:rsidRPr="00756798">
            <w:rPr>
              <w:rFonts w:ascii="Times New Roman" w:hAnsi="Times New Roman" w:cs="Times New Roman"/>
              <w:sz w:val="22"/>
              <w:szCs w:val="22"/>
              <w:lang w:val="es-MX"/>
            </w:rPr>
            <w:fldChar w:fldCharType="separate"/>
          </w:r>
          <w:r w:rsidR="009B03DC" w:rsidRPr="00756798">
            <w:rPr>
              <w:rFonts w:ascii="Times New Roman" w:hAnsi="Times New Roman" w:cs="Times New Roman"/>
              <w:noProof/>
              <w:sz w:val="22"/>
              <w:szCs w:val="22"/>
            </w:rPr>
            <w:t>(PNUD, 2020)</w:t>
          </w:r>
          <w:r w:rsidR="00566884" w:rsidRPr="00756798">
            <w:rPr>
              <w:rFonts w:ascii="Times New Roman" w:hAnsi="Times New Roman" w:cs="Times New Roman"/>
              <w:sz w:val="22"/>
              <w:szCs w:val="22"/>
              <w:lang w:val="es-MX"/>
            </w:rPr>
            <w:fldChar w:fldCharType="end"/>
          </w:r>
        </w:sdtContent>
      </w:sdt>
    </w:p>
    <w:p w14:paraId="7580C003" w14:textId="760715D5" w:rsidR="00566884" w:rsidRPr="00756798" w:rsidRDefault="00566884" w:rsidP="00756798">
      <w:pPr>
        <w:pStyle w:val="Prrafodelista"/>
        <w:numPr>
          <w:ilvl w:val="0"/>
          <w:numId w:val="7"/>
        </w:numPr>
        <w:autoSpaceDE w:val="0"/>
        <w:autoSpaceDN w:val="0"/>
        <w:adjustRightInd w:val="0"/>
        <w:spacing w:line="360" w:lineRule="auto"/>
        <w:jc w:val="both"/>
        <w:rPr>
          <w:rFonts w:ascii="Times New Roman" w:hAnsi="Times New Roman" w:cs="Times New Roman"/>
          <w:sz w:val="22"/>
          <w:szCs w:val="22"/>
          <w:lang w:val="es-MX"/>
        </w:rPr>
      </w:pPr>
      <w:r w:rsidRPr="00756798">
        <w:rPr>
          <w:rFonts w:ascii="Times New Roman" w:hAnsi="Times New Roman" w:cs="Times New Roman"/>
          <w:sz w:val="22"/>
          <w:szCs w:val="22"/>
          <w:lang w:val="es-MX"/>
        </w:rPr>
        <w:t>Estrategia de Igualdad de G</w:t>
      </w:r>
      <w:r w:rsidR="00D7395F" w:rsidRPr="00756798">
        <w:rPr>
          <w:rFonts w:ascii="Times New Roman" w:hAnsi="Times New Roman" w:cs="Times New Roman"/>
          <w:sz w:val="22"/>
          <w:szCs w:val="22"/>
          <w:lang w:val="es-MX"/>
        </w:rPr>
        <w:t>é</w:t>
      </w:r>
      <w:r w:rsidRPr="00756798">
        <w:rPr>
          <w:rFonts w:ascii="Times New Roman" w:hAnsi="Times New Roman" w:cs="Times New Roman"/>
          <w:sz w:val="22"/>
          <w:szCs w:val="22"/>
          <w:lang w:val="es-MX"/>
        </w:rPr>
        <w:t xml:space="preserve">nero </w:t>
      </w:r>
      <w:sdt>
        <w:sdtPr>
          <w:rPr>
            <w:lang w:val="es-MX"/>
          </w:rPr>
          <w:id w:val="1366325999"/>
          <w:citation/>
        </w:sdtPr>
        <w:sdtEndPr/>
        <w:sdtContent>
          <w:r w:rsidRPr="00756798">
            <w:rPr>
              <w:rFonts w:ascii="Times New Roman" w:hAnsi="Times New Roman" w:cs="Times New Roman"/>
              <w:sz w:val="22"/>
              <w:szCs w:val="22"/>
              <w:lang w:val="es-MX"/>
            </w:rPr>
            <w:fldChar w:fldCharType="begin"/>
          </w:r>
          <w:r w:rsidRPr="00756798">
            <w:rPr>
              <w:rFonts w:ascii="Times New Roman" w:hAnsi="Times New Roman" w:cs="Times New Roman"/>
              <w:sz w:val="22"/>
              <w:szCs w:val="22"/>
            </w:rPr>
            <w:instrText xml:space="preserve">CITATION PNU211 \t  \l 3082 </w:instrText>
          </w:r>
          <w:r w:rsidRPr="00756798">
            <w:rPr>
              <w:rFonts w:ascii="Times New Roman" w:hAnsi="Times New Roman" w:cs="Times New Roman"/>
              <w:sz w:val="22"/>
              <w:szCs w:val="22"/>
              <w:lang w:val="es-MX"/>
            </w:rPr>
            <w:fldChar w:fldCharType="separate"/>
          </w:r>
          <w:r w:rsidR="009B03DC" w:rsidRPr="00756798">
            <w:rPr>
              <w:rFonts w:ascii="Times New Roman" w:hAnsi="Times New Roman" w:cs="Times New Roman"/>
              <w:noProof/>
              <w:sz w:val="22"/>
              <w:szCs w:val="22"/>
            </w:rPr>
            <w:t>(PNUD, 2018-2021)</w:t>
          </w:r>
          <w:r w:rsidRPr="00756798">
            <w:rPr>
              <w:rFonts w:ascii="Times New Roman" w:hAnsi="Times New Roman" w:cs="Times New Roman"/>
              <w:sz w:val="22"/>
              <w:szCs w:val="22"/>
              <w:lang w:val="es-MX"/>
            </w:rPr>
            <w:fldChar w:fldCharType="end"/>
          </w:r>
        </w:sdtContent>
      </w:sdt>
    </w:p>
    <w:p w14:paraId="0ABF43A8" w14:textId="4F3C527F" w:rsidR="00D252DC" w:rsidRPr="00756798" w:rsidRDefault="00566884" w:rsidP="00756798">
      <w:pPr>
        <w:pStyle w:val="Prrafodelista"/>
        <w:numPr>
          <w:ilvl w:val="0"/>
          <w:numId w:val="7"/>
        </w:numPr>
        <w:autoSpaceDE w:val="0"/>
        <w:autoSpaceDN w:val="0"/>
        <w:adjustRightInd w:val="0"/>
        <w:spacing w:line="360" w:lineRule="auto"/>
        <w:jc w:val="both"/>
        <w:rPr>
          <w:rFonts w:ascii="Times New Roman" w:hAnsi="Times New Roman" w:cs="Times New Roman"/>
          <w:sz w:val="22"/>
          <w:szCs w:val="22"/>
          <w:lang w:val="es-MX"/>
        </w:rPr>
      </w:pPr>
      <w:r w:rsidRPr="00756798">
        <w:rPr>
          <w:rFonts w:ascii="Times New Roman" w:hAnsi="Times New Roman" w:cs="Times New Roman"/>
          <w:sz w:val="22"/>
          <w:szCs w:val="22"/>
          <w:lang w:val="es-MX"/>
        </w:rPr>
        <w:t xml:space="preserve">Genero, Derechos y Desarrollo Social </w:t>
      </w:r>
      <w:sdt>
        <w:sdtPr>
          <w:rPr>
            <w:lang w:val="es-MX"/>
          </w:rPr>
          <w:id w:val="-1168397422"/>
          <w:citation/>
        </w:sdtPr>
        <w:sdtEndPr/>
        <w:sdtContent>
          <w:r w:rsidRPr="00756798">
            <w:rPr>
              <w:rFonts w:ascii="Times New Roman" w:hAnsi="Times New Roman" w:cs="Times New Roman"/>
              <w:sz w:val="22"/>
              <w:szCs w:val="22"/>
              <w:lang w:val="es-MX"/>
            </w:rPr>
            <w:fldChar w:fldCharType="begin"/>
          </w:r>
          <w:r w:rsidRPr="00756798">
            <w:rPr>
              <w:rFonts w:ascii="Times New Roman" w:hAnsi="Times New Roman" w:cs="Times New Roman"/>
              <w:sz w:val="22"/>
              <w:szCs w:val="22"/>
            </w:rPr>
            <w:instrText xml:space="preserve">CITATION PNU212 \t  \l 3082 </w:instrText>
          </w:r>
          <w:r w:rsidRPr="00756798">
            <w:rPr>
              <w:rFonts w:ascii="Times New Roman" w:hAnsi="Times New Roman" w:cs="Times New Roman"/>
              <w:sz w:val="22"/>
              <w:szCs w:val="22"/>
              <w:lang w:val="es-MX"/>
            </w:rPr>
            <w:fldChar w:fldCharType="separate"/>
          </w:r>
          <w:r w:rsidR="009B03DC" w:rsidRPr="00756798">
            <w:rPr>
              <w:rFonts w:ascii="Times New Roman" w:hAnsi="Times New Roman" w:cs="Times New Roman"/>
              <w:noProof/>
              <w:sz w:val="22"/>
              <w:szCs w:val="22"/>
            </w:rPr>
            <w:t>(PNUD, 2019)</w:t>
          </w:r>
          <w:r w:rsidRPr="00756798">
            <w:rPr>
              <w:rFonts w:ascii="Times New Roman" w:hAnsi="Times New Roman" w:cs="Times New Roman"/>
              <w:sz w:val="22"/>
              <w:szCs w:val="22"/>
              <w:lang w:val="es-MX"/>
            </w:rPr>
            <w:fldChar w:fldCharType="end"/>
          </w:r>
        </w:sdtContent>
      </w:sdt>
    </w:p>
    <w:p w14:paraId="74BDB18B" w14:textId="4C1FAFF7" w:rsidR="00BF3921" w:rsidRPr="00756798" w:rsidRDefault="00D252DC" w:rsidP="008D019C">
      <w:pPr>
        <w:pStyle w:val="Prrafodelista"/>
        <w:numPr>
          <w:ilvl w:val="0"/>
          <w:numId w:val="7"/>
        </w:numPr>
        <w:autoSpaceDE w:val="0"/>
        <w:autoSpaceDN w:val="0"/>
        <w:adjustRightInd w:val="0"/>
        <w:spacing w:line="360" w:lineRule="auto"/>
        <w:jc w:val="both"/>
        <w:rPr>
          <w:rFonts w:ascii="Times New Roman" w:hAnsi="Times New Roman" w:cs="Times New Roman"/>
          <w:sz w:val="22"/>
          <w:szCs w:val="22"/>
          <w:lang w:val="es-MX"/>
        </w:rPr>
      </w:pPr>
      <w:r w:rsidRPr="00756798">
        <w:rPr>
          <w:rFonts w:ascii="Times New Roman" w:hAnsi="Times New Roman" w:cs="Times New Roman"/>
          <w:sz w:val="22"/>
          <w:szCs w:val="22"/>
          <w:lang w:val="es-MX"/>
        </w:rPr>
        <w:lastRenderedPageBreak/>
        <w:t>Enfoque de Igualdad de Género</w:t>
      </w:r>
      <w:sdt>
        <w:sdtPr>
          <w:rPr>
            <w:lang w:val="es-MX"/>
          </w:rPr>
          <w:id w:val="-17160778"/>
          <w:citation/>
        </w:sdtPr>
        <w:sdtEndPr/>
        <w:sdtContent>
          <w:r w:rsidR="00566884" w:rsidRPr="00756798">
            <w:rPr>
              <w:rFonts w:ascii="Times New Roman" w:hAnsi="Times New Roman" w:cs="Times New Roman"/>
              <w:sz w:val="22"/>
              <w:szCs w:val="22"/>
              <w:lang w:val="es-MX"/>
            </w:rPr>
            <w:fldChar w:fldCharType="begin"/>
          </w:r>
          <w:r w:rsidRPr="00756798">
            <w:rPr>
              <w:rFonts w:ascii="Times New Roman" w:hAnsi="Times New Roman" w:cs="Times New Roman"/>
              <w:sz w:val="22"/>
              <w:szCs w:val="22"/>
            </w:rPr>
            <w:instrText xml:space="preserve">CITATION PNU213 \t  \l 3082 </w:instrText>
          </w:r>
          <w:r w:rsidR="00566884" w:rsidRPr="00756798">
            <w:rPr>
              <w:rFonts w:ascii="Times New Roman" w:hAnsi="Times New Roman" w:cs="Times New Roman"/>
              <w:sz w:val="22"/>
              <w:szCs w:val="22"/>
              <w:lang w:val="es-MX"/>
            </w:rPr>
            <w:fldChar w:fldCharType="separate"/>
          </w:r>
          <w:r w:rsidR="009B03DC" w:rsidRPr="00756798">
            <w:rPr>
              <w:rFonts w:ascii="Times New Roman" w:hAnsi="Times New Roman" w:cs="Times New Roman"/>
              <w:noProof/>
              <w:sz w:val="22"/>
              <w:szCs w:val="22"/>
            </w:rPr>
            <w:t xml:space="preserve"> (PNUD, 2021)</w:t>
          </w:r>
          <w:r w:rsidR="00566884" w:rsidRPr="00756798">
            <w:rPr>
              <w:rFonts w:ascii="Times New Roman" w:hAnsi="Times New Roman" w:cs="Times New Roman"/>
              <w:sz w:val="22"/>
              <w:szCs w:val="22"/>
              <w:lang w:val="es-MX"/>
            </w:rPr>
            <w:fldChar w:fldCharType="end"/>
          </w:r>
        </w:sdtContent>
      </w:sdt>
    </w:p>
    <w:p w14:paraId="76AE65ED" w14:textId="77777777" w:rsidR="00756798" w:rsidRPr="00756798" w:rsidRDefault="00756798" w:rsidP="00756798">
      <w:pPr>
        <w:pStyle w:val="Prrafodelista"/>
        <w:autoSpaceDE w:val="0"/>
        <w:autoSpaceDN w:val="0"/>
        <w:adjustRightInd w:val="0"/>
        <w:spacing w:line="360" w:lineRule="auto"/>
        <w:jc w:val="both"/>
        <w:rPr>
          <w:rFonts w:ascii="Times New Roman" w:hAnsi="Times New Roman" w:cs="Times New Roman"/>
          <w:sz w:val="22"/>
          <w:szCs w:val="22"/>
          <w:lang w:val="es-MX"/>
        </w:rPr>
      </w:pPr>
    </w:p>
    <w:p w14:paraId="5ACBA2F2" w14:textId="182AB253" w:rsidR="004E7359" w:rsidRDefault="00BF3921" w:rsidP="008D019C">
      <w:pPr>
        <w:autoSpaceDE w:val="0"/>
        <w:autoSpaceDN w:val="0"/>
        <w:adjustRightInd w:val="0"/>
        <w:spacing w:line="360" w:lineRule="auto"/>
        <w:jc w:val="both"/>
        <w:rPr>
          <w:rFonts w:ascii="Times New Roman" w:hAnsi="Times New Roman" w:cs="Times New Roman"/>
          <w:sz w:val="22"/>
          <w:szCs w:val="22"/>
        </w:rPr>
      </w:pPr>
      <w:r>
        <w:rPr>
          <w:rFonts w:ascii="Times New Roman" w:hAnsi="Times New Roman" w:cs="Times New Roman"/>
          <w:sz w:val="22"/>
          <w:szCs w:val="22"/>
          <w:lang w:val="es-MX"/>
        </w:rPr>
        <w:t>La s</w:t>
      </w:r>
      <w:r w:rsidR="00865C9E">
        <w:rPr>
          <w:rFonts w:ascii="Times New Roman" w:hAnsi="Times New Roman" w:cs="Times New Roman"/>
          <w:sz w:val="22"/>
          <w:szCs w:val="22"/>
          <w:lang w:val="es-MX"/>
        </w:rPr>
        <w:t>e</w:t>
      </w:r>
      <w:r>
        <w:rPr>
          <w:rFonts w:ascii="Times New Roman" w:hAnsi="Times New Roman" w:cs="Times New Roman"/>
          <w:sz w:val="22"/>
          <w:szCs w:val="22"/>
          <w:lang w:val="es-MX"/>
        </w:rPr>
        <w:t xml:space="preserve">rie de documentos emitidos por el PNUD </w:t>
      </w:r>
      <w:r w:rsidR="00C330F7">
        <w:rPr>
          <w:rFonts w:ascii="Times New Roman" w:hAnsi="Times New Roman" w:cs="Times New Roman"/>
          <w:sz w:val="22"/>
          <w:szCs w:val="22"/>
          <w:lang w:val="es-MX"/>
        </w:rPr>
        <w:t xml:space="preserve">en </w:t>
      </w:r>
      <w:r>
        <w:rPr>
          <w:rFonts w:ascii="Times New Roman" w:hAnsi="Times New Roman" w:cs="Times New Roman"/>
          <w:sz w:val="22"/>
          <w:szCs w:val="22"/>
          <w:lang w:val="es-MX"/>
        </w:rPr>
        <w:t>materia de g</w:t>
      </w:r>
      <w:r w:rsidR="00C330F7">
        <w:rPr>
          <w:rFonts w:ascii="Times New Roman" w:hAnsi="Times New Roman" w:cs="Times New Roman"/>
          <w:sz w:val="22"/>
          <w:szCs w:val="22"/>
          <w:lang w:val="es-MX"/>
        </w:rPr>
        <w:t>é</w:t>
      </w:r>
      <w:r>
        <w:rPr>
          <w:rFonts w:ascii="Times New Roman" w:hAnsi="Times New Roman" w:cs="Times New Roman"/>
          <w:sz w:val="22"/>
          <w:szCs w:val="22"/>
          <w:lang w:val="es-MX"/>
        </w:rPr>
        <w:t>nero son una muestra del conflicto epist</w:t>
      </w:r>
      <w:r w:rsidR="00865C9E">
        <w:rPr>
          <w:rFonts w:ascii="Times New Roman" w:hAnsi="Times New Roman" w:cs="Times New Roman"/>
          <w:sz w:val="22"/>
          <w:szCs w:val="22"/>
          <w:lang w:val="es-MX"/>
        </w:rPr>
        <w:t>é</w:t>
      </w:r>
      <w:r>
        <w:rPr>
          <w:rFonts w:ascii="Times New Roman" w:hAnsi="Times New Roman" w:cs="Times New Roman"/>
          <w:sz w:val="22"/>
          <w:szCs w:val="22"/>
          <w:lang w:val="es-MX"/>
        </w:rPr>
        <w:t xml:space="preserve">mico que posteriormente </w:t>
      </w:r>
      <w:r w:rsidR="00756798">
        <w:rPr>
          <w:rFonts w:ascii="Times New Roman" w:hAnsi="Times New Roman" w:cs="Times New Roman"/>
          <w:sz w:val="22"/>
          <w:szCs w:val="22"/>
          <w:lang w:val="es-MX"/>
        </w:rPr>
        <w:t>se</w:t>
      </w:r>
      <w:r>
        <w:rPr>
          <w:rFonts w:ascii="Times New Roman" w:hAnsi="Times New Roman" w:cs="Times New Roman"/>
          <w:sz w:val="22"/>
          <w:szCs w:val="22"/>
          <w:lang w:val="es-MX"/>
        </w:rPr>
        <w:t xml:space="preserve"> mantiene en los organismos internacionales como la FAO, OMS, UNICEF, OEA, entre muchos m</w:t>
      </w:r>
      <w:r w:rsidR="00756798">
        <w:rPr>
          <w:rFonts w:ascii="Times New Roman" w:hAnsi="Times New Roman" w:cs="Times New Roman"/>
          <w:sz w:val="22"/>
          <w:szCs w:val="22"/>
          <w:lang w:val="es-MX"/>
        </w:rPr>
        <w:t>á</w:t>
      </w:r>
      <w:r>
        <w:rPr>
          <w:rFonts w:ascii="Times New Roman" w:hAnsi="Times New Roman" w:cs="Times New Roman"/>
          <w:sz w:val="22"/>
          <w:szCs w:val="22"/>
          <w:lang w:val="es-MX"/>
        </w:rPr>
        <w:t>s, generando una disparidad en cuanto a los derechos que los EEMM adquieren en funcion de las estrategias de g</w:t>
      </w:r>
      <w:r w:rsidR="00756798">
        <w:rPr>
          <w:rFonts w:ascii="Times New Roman" w:hAnsi="Times New Roman" w:cs="Times New Roman"/>
          <w:sz w:val="22"/>
          <w:szCs w:val="22"/>
          <w:lang w:val="es-MX"/>
        </w:rPr>
        <w:t>é</w:t>
      </w:r>
      <w:r>
        <w:rPr>
          <w:rFonts w:ascii="Times New Roman" w:hAnsi="Times New Roman" w:cs="Times New Roman"/>
          <w:sz w:val="22"/>
          <w:szCs w:val="22"/>
          <w:lang w:val="es-MX"/>
        </w:rPr>
        <w:t xml:space="preserve">nero diseñadas en el sistema heteronormativo y que ponen en peligro </w:t>
      </w:r>
      <w:r w:rsidR="00EE7366">
        <w:rPr>
          <w:rFonts w:ascii="Times New Roman" w:hAnsi="Times New Roman" w:cs="Times New Roman"/>
          <w:sz w:val="22"/>
          <w:szCs w:val="22"/>
          <w:lang w:val="es-MX"/>
        </w:rPr>
        <w:t>los derechos fundamentales de toda persona humana, tal y como lo determina el SDH a trav</w:t>
      </w:r>
      <w:r w:rsidR="004E7359">
        <w:rPr>
          <w:rFonts w:ascii="Times New Roman" w:hAnsi="Times New Roman" w:cs="Times New Roman"/>
          <w:sz w:val="22"/>
          <w:szCs w:val="22"/>
          <w:lang w:val="es-MX"/>
        </w:rPr>
        <w:t>é</w:t>
      </w:r>
      <w:r w:rsidR="00EE7366">
        <w:rPr>
          <w:rFonts w:ascii="Times New Roman" w:hAnsi="Times New Roman" w:cs="Times New Roman"/>
          <w:sz w:val="22"/>
          <w:szCs w:val="22"/>
          <w:lang w:val="es-MX"/>
        </w:rPr>
        <w:t>s de las pol</w:t>
      </w:r>
      <w:r w:rsidR="00865C9E">
        <w:rPr>
          <w:rFonts w:ascii="Times New Roman" w:hAnsi="Times New Roman" w:cs="Times New Roman"/>
          <w:sz w:val="22"/>
          <w:szCs w:val="22"/>
          <w:lang w:val="es-MX"/>
        </w:rPr>
        <w:t>í</w:t>
      </w:r>
      <w:r w:rsidR="00EE7366">
        <w:rPr>
          <w:rFonts w:ascii="Times New Roman" w:hAnsi="Times New Roman" w:cs="Times New Roman"/>
          <w:sz w:val="22"/>
          <w:szCs w:val="22"/>
          <w:lang w:val="es-MX"/>
        </w:rPr>
        <w:t xml:space="preserve">ticas internacionales, </w:t>
      </w:r>
      <w:r w:rsidR="008D019C" w:rsidRPr="00B452E1">
        <w:rPr>
          <w:rFonts w:ascii="Times New Roman" w:hAnsi="Times New Roman" w:cs="Times New Roman"/>
          <w:sz w:val="22"/>
          <w:szCs w:val="22"/>
        </w:rPr>
        <w:t xml:space="preserve">ignorando los llamamientos </w:t>
      </w:r>
      <w:r w:rsidR="00865C9E">
        <w:rPr>
          <w:rFonts w:ascii="Times New Roman" w:hAnsi="Times New Roman" w:cs="Times New Roman"/>
          <w:sz w:val="22"/>
          <w:szCs w:val="22"/>
        </w:rPr>
        <w:t xml:space="preserve">de </w:t>
      </w:r>
      <w:r w:rsidR="00865C9E" w:rsidRPr="00865C9E">
        <w:rPr>
          <w:rFonts w:ascii="Times New Roman" w:hAnsi="Times New Roman" w:cs="Times New Roman"/>
          <w:sz w:val="22"/>
          <w:szCs w:val="22"/>
        </w:rPr>
        <w:t xml:space="preserve">la </w:t>
      </w:r>
      <w:r w:rsidR="00865C9E">
        <w:rPr>
          <w:rFonts w:ascii="Times New Roman" w:hAnsi="Times New Roman" w:cs="Times New Roman"/>
          <w:sz w:val="22"/>
          <w:szCs w:val="22"/>
        </w:rPr>
        <w:t>Comisión Interamericana de Derechos Humanos (</w:t>
      </w:r>
      <w:r w:rsidR="00865C9E" w:rsidRPr="00865C9E">
        <w:rPr>
          <w:rFonts w:ascii="Times New Roman" w:hAnsi="Times New Roman" w:cs="Times New Roman"/>
          <w:sz w:val="22"/>
          <w:szCs w:val="22"/>
        </w:rPr>
        <w:t>C</w:t>
      </w:r>
      <w:r w:rsidR="00C330F7">
        <w:rPr>
          <w:rFonts w:ascii="Times New Roman" w:hAnsi="Times New Roman" w:cs="Times New Roman"/>
          <w:sz w:val="22"/>
          <w:szCs w:val="22"/>
        </w:rPr>
        <w:t>O</w:t>
      </w:r>
      <w:r w:rsidR="00865C9E" w:rsidRPr="00865C9E">
        <w:rPr>
          <w:rFonts w:ascii="Times New Roman" w:hAnsi="Times New Roman" w:cs="Times New Roman"/>
          <w:sz w:val="22"/>
          <w:szCs w:val="22"/>
        </w:rPr>
        <w:t>IDH</w:t>
      </w:r>
      <w:r w:rsidR="00865C9E">
        <w:rPr>
          <w:rFonts w:ascii="Times New Roman" w:hAnsi="Times New Roman" w:cs="Times New Roman"/>
          <w:sz w:val="22"/>
          <w:szCs w:val="22"/>
        </w:rPr>
        <w:t>), que</w:t>
      </w:r>
      <w:r w:rsidR="00865C9E" w:rsidRPr="00865C9E">
        <w:rPr>
          <w:rFonts w:ascii="Times New Roman" w:hAnsi="Times New Roman" w:cs="Times New Roman"/>
          <w:sz w:val="22"/>
          <w:szCs w:val="22"/>
        </w:rPr>
        <w:t xml:space="preserve"> reconoce la importancia de la integración de la perspectiva de género para </w:t>
      </w:r>
      <w:r w:rsidR="00865C9E">
        <w:rPr>
          <w:rFonts w:ascii="Times New Roman" w:hAnsi="Times New Roman" w:cs="Times New Roman"/>
          <w:sz w:val="22"/>
          <w:szCs w:val="22"/>
        </w:rPr>
        <w:t xml:space="preserve">la función pública de los EEMM para una nueva impartición, procuración y administración de justicia, basada en la protección de los derechos humanos a toda persona, </w:t>
      </w:r>
      <w:r w:rsidR="004E7359">
        <w:rPr>
          <w:rFonts w:ascii="Times New Roman" w:hAnsi="Times New Roman" w:cs="Times New Roman"/>
          <w:sz w:val="22"/>
          <w:szCs w:val="22"/>
        </w:rPr>
        <w:t xml:space="preserve">mediante </w:t>
      </w:r>
      <w:r w:rsidR="00865C9E">
        <w:rPr>
          <w:rFonts w:ascii="Times New Roman" w:hAnsi="Times New Roman" w:cs="Times New Roman"/>
          <w:sz w:val="22"/>
          <w:szCs w:val="22"/>
        </w:rPr>
        <w:t xml:space="preserve">una </w:t>
      </w:r>
      <w:r w:rsidR="00865C9E" w:rsidRPr="00865C9E">
        <w:rPr>
          <w:rFonts w:ascii="Times New Roman" w:hAnsi="Times New Roman" w:cs="Times New Roman"/>
          <w:sz w:val="22"/>
          <w:szCs w:val="22"/>
        </w:rPr>
        <w:t>educación a la diversidad y al respeto de todas las personas, en especial de aquellas con identidades de género y orientaciones sexuales diversas</w:t>
      </w:r>
      <w:r w:rsidR="004E7359">
        <w:rPr>
          <w:rFonts w:ascii="Times New Roman" w:hAnsi="Times New Roman" w:cs="Times New Roman"/>
          <w:sz w:val="22"/>
          <w:szCs w:val="22"/>
        </w:rPr>
        <w:t>.</w:t>
      </w:r>
    </w:p>
    <w:p w14:paraId="1DBA3802" w14:textId="0C036744" w:rsidR="00C330F7" w:rsidRDefault="00C330F7" w:rsidP="008D019C">
      <w:pPr>
        <w:autoSpaceDE w:val="0"/>
        <w:autoSpaceDN w:val="0"/>
        <w:adjustRightInd w:val="0"/>
        <w:spacing w:line="360" w:lineRule="auto"/>
        <w:jc w:val="both"/>
        <w:rPr>
          <w:rFonts w:ascii="Times New Roman" w:hAnsi="Times New Roman" w:cs="Times New Roman"/>
          <w:sz w:val="22"/>
          <w:szCs w:val="22"/>
        </w:rPr>
      </w:pPr>
    </w:p>
    <w:p w14:paraId="799D5A91" w14:textId="08AE9B04" w:rsidR="00C330F7" w:rsidRDefault="00C330F7" w:rsidP="008D019C">
      <w:pPr>
        <w:autoSpaceDE w:val="0"/>
        <w:autoSpaceDN w:val="0"/>
        <w:adjustRightInd w:val="0"/>
        <w:spacing w:line="360" w:lineRule="auto"/>
        <w:jc w:val="both"/>
        <w:rPr>
          <w:rFonts w:ascii="Times New Roman" w:hAnsi="Times New Roman" w:cs="Times New Roman"/>
          <w:sz w:val="22"/>
          <w:szCs w:val="22"/>
        </w:rPr>
      </w:pPr>
      <w:r>
        <w:rPr>
          <w:rFonts w:ascii="Times New Roman" w:hAnsi="Times New Roman" w:cs="Times New Roman"/>
          <w:sz w:val="22"/>
          <w:szCs w:val="22"/>
        </w:rPr>
        <w:t xml:space="preserve">En todo caso es posible considerar que el PNUD abarca dos grupos vulnerables en materia de género, por un lado la mujer, como sector de la población </w:t>
      </w:r>
      <w:proofErr w:type="spellStart"/>
      <w:r>
        <w:rPr>
          <w:rFonts w:ascii="Times New Roman" w:hAnsi="Times New Roman" w:cs="Times New Roman"/>
          <w:sz w:val="22"/>
          <w:szCs w:val="22"/>
        </w:rPr>
        <w:t>heteronormativa</w:t>
      </w:r>
      <w:proofErr w:type="spellEnd"/>
      <w:r>
        <w:rPr>
          <w:rFonts w:ascii="Times New Roman" w:hAnsi="Times New Roman" w:cs="Times New Roman"/>
          <w:sz w:val="22"/>
          <w:szCs w:val="22"/>
        </w:rPr>
        <w:t>, ante las desigualdades,  la violencia generalizada y los feminicidios respecto del varón; y por otra parte el colectivo LGBT+ como sector de la población mundial no considerado aun en la totalidad de los EEMM que pertenecen al SDH en la consideración a la protección de todos sus derechos fundamentales y las realidades que este sector poblacional guarda en materia de discriminación, estigmatización, violencia, asesinatos en relación a la población heterosexual de mujeres y varones.</w:t>
      </w:r>
    </w:p>
    <w:p w14:paraId="4660C68D" w14:textId="77777777" w:rsidR="004E7359" w:rsidRDefault="004E7359" w:rsidP="008D019C">
      <w:pPr>
        <w:autoSpaceDE w:val="0"/>
        <w:autoSpaceDN w:val="0"/>
        <w:adjustRightInd w:val="0"/>
        <w:spacing w:line="360" w:lineRule="auto"/>
        <w:jc w:val="both"/>
        <w:rPr>
          <w:rFonts w:ascii="Times New Roman" w:hAnsi="Times New Roman" w:cs="Times New Roman"/>
          <w:sz w:val="22"/>
          <w:szCs w:val="22"/>
        </w:rPr>
      </w:pPr>
    </w:p>
    <w:p w14:paraId="01BB581F" w14:textId="46AAB156" w:rsidR="00865C9E" w:rsidRDefault="00C330F7" w:rsidP="008D019C">
      <w:pPr>
        <w:autoSpaceDE w:val="0"/>
        <w:autoSpaceDN w:val="0"/>
        <w:adjustRightInd w:val="0"/>
        <w:spacing w:line="360" w:lineRule="auto"/>
        <w:jc w:val="both"/>
        <w:rPr>
          <w:rFonts w:ascii="Times New Roman" w:hAnsi="Times New Roman" w:cs="Times New Roman"/>
          <w:sz w:val="22"/>
          <w:szCs w:val="22"/>
        </w:rPr>
      </w:pPr>
      <w:r>
        <w:rPr>
          <w:rFonts w:ascii="Times New Roman" w:hAnsi="Times New Roman" w:cs="Times New Roman"/>
          <w:sz w:val="22"/>
          <w:szCs w:val="22"/>
        </w:rPr>
        <w:t xml:space="preserve">Al respecto cabe remarcar </w:t>
      </w:r>
      <w:r w:rsidR="00865C9E">
        <w:rPr>
          <w:rFonts w:ascii="Times New Roman" w:hAnsi="Times New Roman" w:cs="Times New Roman"/>
          <w:sz w:val="22"/>
          <w:szCs w:val="22"/>
        </w:rPr>
        <w:t xml:space="preserve">que la </w:t>
      </w:r>
      <w:r>
        <w:rPr>
          <w:rFonts w:ascii="Times New Roman" w:hAnsi="Times New Roman" w:cs="Times New Roman"/>
          <w:sz w:val="22"/>
          <w:szCs w:val="22"/>
        </w:rPr>
        <w:t>Corte Interamericana de Derechos Humanos (</w:t>
      </w:r>
      <w:r w:rsidR="00865C9E">
        <w:rPr>
          <w:rFonts w:ascii="Times New Roman" w:hAnsi="Times New Roman" w:cs="Times New Roman"/>
          <w:sz w:val="22"/>
          <w:szCs w:val="22"/>
        </w:rPr>
        <w:t>C</w:t>
      </w:r>
      <w:r w:rsidR="00756798">
        <w:rPr>
          <w:rFonts w:ascii="Times New Roman" w:hAnsi="Times New Roman" w:cs="Times New Roman"/>
          <w:sz w:val="22"/>
          <w:szCs w:val="22"/>
        </w:rPr>
        <w:t xml:space="preserve">orte </w:t>
      </w:r>
      <w:r w:rsidR="00865C9E">
        <w:rPr>
          <w:rFonts w:ascii="Times New Roman" w:hAnsi="Times New Roman" w:cs="Times New Roman"/>
          <w:sz w:val="22"/>
          <w:szCs w:val="22"/>
        </w:rPr>
        <w:t>IDH</w:t>
      </w:r>
      <w:r>
        <w:rPr>
          <w:rFonts w:ascii="Times New Roman" w:hAnsi="Times New Roman" w:cs="Times New Roman"/>
          <w:sz w:val="22"/>
          <w:szCs w:val="22"/>
        </w:rPr>
        <w:t>)</w:t>
      </w:r>
      <w:r w:rsidR="00865C9E">
        <w:rPr>
          <w:rFonts w:ascii="Times New Roman" w:hAnsi="Times New Roman" w:cs="Times New Roman"/>
          <w:sz w:val="22"/>
          <w:szCs w:val="22"/>
        </w:rPr>
        <w:t xml:space="preserve"> </w:t>
      </w:r>
      <w:r w:rsidR="00865C9E" w:rsidRPr="00865C9E">
        <w:rPr>
          <w:rFonts w:ascii="Times New Roman" w:hAnsi="Times New Roman" w:cs="Times New Roman"/>
          <w:sz w:val="22"/>
          <w:szCs w:val="22"/>
        </w:rPr>
        <w:t>reconoc</w:t>
      </w:r>
      <w:r w:rsidR="00865C9E">
        <w:rPr>
          <w:rFonts w:ascii="Times New Roman" w:hAnsi="Times New Roman" w:cs="Times New Roman"/>
          <w:sz w:val="22"/>
          <w:szCs w:val="22"/>
        </w:rPr>
        <w:t>e</w:t>
      </w:r>
      <w:r w:rsidR="00865C9E" w:rsidRPr="00865C9E">
        <w:rPr>
          <w:rFonts w:ascii="Times New Roman" w:hAnsi="Times New Roman" w:cs="Times New Roman"/>
          <w:sz w:val="22"/>
          <w:szCs w:val="22"/>
        </w:rPr>
        <w:t xml:space="preserve"> a la identidad de género como contenido constitucionalmente protegido del derecho a la identidad personal determin</w:t>
      </w:r>
      <w:r w:rsidR="00865C9E">
        <w:rPr>
          <w:rFonts w:ascii="Times New Roman" w:hAnsi="Times New Roman" w:cs="Times New Roman"/>
          <w:sz w:val="22"/>
          <w:szCs w:val="22"/>
        </w:rPr>
        <w:t>ando</w:t>
      </w:r>
      <w:r w:rsidR="00865C9E" w:rsidRPr="00865C9E">
        <w:rPr>
          <w:rFonts w:ascii="Times New Roman" w:hAnsi="Times New Roman" w:cs="Times New Roman"/>
          <w:sz w:val="22"/>
          <w:szCs w:val="22"/>
        </w:rPr>
        <w:t xml:space="preserve"> que “si comprobamos en nuestra sociedad la existencia de personas heterosexuales, homosexuales, transgénero o intersexuales es nuestra obligación, por mandato, humano, convencional y constitucio</w:t>
      </w:r>
      <w:r w:rsidR="00865C9E">
        <w:rPr>
          <w:rFonts w:ascii="Times New Roman" w:hAnsi="Times New Roman" w:cs="Times New Roman"/>
          <w:sz w:val="22"/>
          <w:szCs w:val="22"/>
        </w:rPr>
        <w:t>nal brindarles el mismo respeto y consideración que a cualquier otro ser humano”</w:t>
      </w:r>
      <w:sdt>
        <w:sdtPr>
          <w:rPr>
            <w:rFonts w:ascii="Times New Roman" w:hAnsi="Times New Roman" w:cs="Times New Roman"/>
            <w:sz w:val="22"/>
            <w:szCs w:val="22"/>
          </w:rPr>
          <w:id w:val="-1535568059"/>
          <w:citation/>
        </w:sdtPr>
        <w:sdtEndPr/>
        <w:sdtContent>
          <w:r w:rsidR="00865C9E">
            <w:rPr>
              <w:rFonts w:ascii="Times New Roman" w:hAnsi="Times New Roman" w:cs="Times New Roman"/>
              <w:sz w:val="22"/>
              <w:szCs w:val="22"/>
            </w:rPr>
            <w:fldChar w:fldCharType="begin"/>
          </w:r>
          <w:r w:rsidR="00865C9E">
            <w:rPr>
              <w:rFonts w:ascii="Times New Roman" w:hAnsi="Times New Roman" w:cs="Times New Roman"/>
              <w:sz w:val="22"/>
              <w:szCs w:val="22"/>
            </w:rPr>
            <w:instrText xml:space="preserve"> CITATION COI19 \l 3082 </w:instrText>
          </w:r>
          <w:r w:rsidR="00865C9E">
            <w:rPr>
              <w:rFonts w:ascii="Times New Roman" w:hAnsi="Times New Roman" w:cs="Times New Roman"/>
              <w:sz w:val="22"/>
              <w:szCs w:val="22"/>
            </w:rPr>
            <w:fldChar w:fldCharType="separate"/>
          </w:r>
          <w:r w:rsidR="009B03DC">
            <w:rPr>
              <w:rFonts w:ascii="Times New Roman" w:hAnsi="Times New Roman" w:cs="Times New Roman"/>
              <w:noProof/>
              <w:sz w:val="22"/>
              <w:szCs w:val="22"/>
            </w:rPr>
            <w:t xml:space="preserve"> </w:t>
          </w:r>
          <w:r w:rsidR="009B03DC" w:rsidRPr="009B03DC">
            <w:rPr>
              <w:rFonts w:ascii="Times New Roman" w:hAnsi="Times New Roman" w:cs="Times New Roman"/>
              <w:noProof/>
              <w:sz w:val="22"/>
              <w:szCs w:val="22"/>
            </w:rPr>
            <w:t>(OEA, 2019)</w:t>
          </w:r>
          <w:r w:rsidR="00865C9E">
            <w:rPr>
              <w:rFonts w:ascii="Times New Roman" w:hAnsi="Times New Roman" w:cs="Times New Roman"/>
              <w:sz w:val="22"/>
              <w:szCs w:val="22"/>
            </w:rPr>
            <w:fldChar w:fldCharType="end"/>
          </w:r>
        </w:sdtContent>
      </w:sdt>
      <w:r w:rsidR="00865C9E">
        <w:rPr>
          <w:rFonts w:ascii="Times New Roman" w:hAnsi="Times New Roman" w:cs="Times New Roman"/>
          <w:sz w:val="22"/>
          <w:szCs w:val="22"/>
        </w:rPr>
        <w:t>.</w:t>
      </w:r>
    </w:p>
    <w:p w14:paraId="5711FA48" w14:textId="77777777" w:rsidR="00865C9E" w:rsidRDefault="00865C9E" w:rsidP="008D019C">
      <w:pPr>
        <w:autoSpaceDE w:val="0"/>
        <w:autoSpaceDN w:val="0"/>
        <w:adjustRightInd w:val="0"/>
        <w:spacing w:line="360" w:lineRule="auto"/>
        <w:jc w:val="both"/>
        <w:rPr>
          <w:rFonts w:ascii="Times New Roman" w:hAnsi="Times New Roman" w:cs="Times New Roman"/>
          <w:sz w:val="22"/>
          <w:szCs w:val="22"/>
        </w:rPr>
      </w:pPr>
    </w:p>
    <w:p w14:paraId="11244D7B" w14:textId="3F419C17" w:rsidR="008D019C" w:rsidRPr="00BF3921" w:rsidRDefault="00865C9E" w:rsidP="008D019C">
      <w:pPr>
        <w:autoSpaceDE w:val="0"/>
        <w:autoSpaceDN w:val="0"/>
        <w:adjustRightInd w:val="0"/>
        <w:spacing w:line="360" w:lineRule="auto"/>
        <w:jc w:val="both"/>
        <w:rPr>
          <w:rFonts w:ascii="Times New Roman" w:hAnsi="Times New Roman" w:cs="Times New Roman"/>
          <w:sz w:val="22"/>
          <w:szCs w:val="22"/>
          <w:lang w:val="es-MX"/>
        </w:rPr>
      </w:pPr>
      <w:r>
        <w:rPr>
          <w:rFonts w:ascii="Times New Roman" w:hAnsi="Times New Roman" w:cs="Times New Roman"/>
          <w:sz w:val="22"/>
          <w:szCs w:val="22"/>
        </w:rPr>
        <w:t>Por lo tanto</w:t>
      </w:r>
      <w:r w:rsidR="00756798">
        <w:rPr>
          <w:rFonts w:ascii="Times New Roman" w:hAnsi="Times New Roman" w:cs="Times New Roman"/>
          <w:sz w:val="22"/>
          <w:szCs w:val="22"/>
        </w:rPr>
        <w:t>,</w:t>
      </w:r>
      <w:r>
        <w:rPr>
          <w:rFonts w:ascii="Times New Roman" w:hAnsi="Times New Roman" w:cs="Times New Roman"/>
          <w:sz w:val="22"/>
          <w:szCs w:val="22"/>
        </w:rPr>
        <w:t xml:space="preserve"> la perspectiva de g</w:t>
      </w:r>
      <w:r w:rsidR="00756798">
        <w:rPr>
          <w:rFonts w:ascii="Times New Roman" w:hAnsi="Times New Roman" w:cs="Times New Roman"/>
          <w:sz w:val="22"/>
          <w:szCs w:val="22"/>
        </w:rPr>
        <w:t>é</w:t>
      </w:r>
      <w:r>
        <w:rPr>
          <w:rFonts w:ascii="Times New Roman" w:hAnsi="Times New Roman" w:cs="Times New Roman"/>
          <w:sz w:val="22"/>
          <w:szCs w:val="22"/>
        </w:rPr>
        <w:t xml:space="preserve">nero desde el SDH contenido en la política internacional reconoce la trascendencia de eliminar </w:t>
      </w:r>
      <w:r w:rsidR="008D019C" w:rsidRPr="00B452E1">
        <w:rPr>
          <w:rFonts w:ascii="Times New Roman" w:hAnsi="Times New Roman" w:cs="Times New Roman"/>
          <w:sz w:val="22"/>
          <w:szCs w:val="22"/>
        </w:rPr>
        <w:t>toda forma de discriminación contra las personas por razón de su orientación sexual e identidad o expresión de género</w:t>
      </w:r>
      <w:r>
        <w:rPr>
          <w:rFonts w:ascii="Times New Roman" w:hAnsi="Times New Roman" w:cs="Times New Roman"/>
          <w:sz w:val="22"/>
          <w:szCs w:val="22"/>
        </w:rPr>
        <w:t xml:space="preserve">; es decir, se reconoce que la perspectiva de género es aplicable a toda persona humana en el sistema heteronormativo que no ha sido </w:t>
      </w:r>
      <w:r w:rsidR="004E7359">
        <w:rPr>
          <w:rFonts w:ascii="Times New Roman" w:hAnsi="Times New Roman" w:cs="Times New Roman"/>
          <w:sz w:val="22"/>
          <w:szCs w:val="22"/>
        </w:rPr>
        <w:t>cancelado</w:t>
      </w:r>
      <w:r w:rsidR="00C330F7">
        <w:rPr>
          <w:rFonts w:ascii="Times New Roman" w:hAnsi="Times New Roman" w:cs="Times New Roman"/>
          <w:sz w:val="22"/>
          <w:szCs w:val="22"/>
        </w:rPr>
        <w:t>,</w:t>
      </w:r>
      <w:r w:rsidR="004E7359">
        <w:rPr>
          <w:rFonts w:ascii="Times New Roman" w:hAnsi="Times New Roman" w:cs="Times New Roman"/>
          <w:sz w:val="22"/>
          <w:szCs w:val="22"/>
        </w:rPr>
        <w:t xml:space="preserve"> debido a la importancia que tiene la violencia contra la mujer a nivel mundial y por otra parte</w:t>
      </w:r>
      <w:r w:rsidR="00756798">
        <w:rPr>
          <w:rFonts w:ascii="Times New Roman" w:hAnsi="Times New Roman" w:cs="Times New Roman"/>
          <w:sz w:val="22"/>
          <w:szCs w:val="22"/>
        </w:rPr>
        <w:t>,</w:t>
      </w:r>
      <w:r w:rsidR="004E7359">
        <w:rPr>
          <w:rFonts w:ascii="Times New Roman" w:hAnsi="Times New Roman" w:cs="Times New Roman"/>
          <w:sz w:val="22"/>
          <w:szCs w:val="22"/>
        </w:rPr>
        <w:t xml:space="preserve"> en el sistema de dignidad</w:t>
      </w:r>
      <w:r w:rsidR="00C330F7">
        <w:rPr>
          <w:rFonts w:ascii="Times New Roman" w:hAnsi="Times New Roman" w:cs="Times New Roman"/>
          <w:sz w:val="22"/>
          <w:szCs w:val="22"/>
        </w:rPr>
        <w:t xml:space="preserve">, dicha perspectiva como herramienta </w:t>
      </w:r>
      <w:r w:rsidR="004E7359">
        <w:rPr>
          <w:rFonts w:ascii="Times New Roman" w:hAnsi="Times New Roman" w:cs="Times New Roman"/>
          <w:sz w:val="22"/>
          <w:szCs w:val="22"/>
        </w:rPr>
        <w:t xml:space="preserve">para lograr </w:t>
      </w:r>
      <w:r w:rsidR="008D019C" w:rsidRPr="00B452E1">
        <w:rPr>
          <w:rFonts w:ascii="Times New Roman" w:hAnsi="Times New Roman" w:cs="Times New Roman"/>
          <w:sz w:val="22"/>
          <w:szCs w:val="22"/>
        </w:rPr>
        <w:t>eliminar</w:t>
      </w:r>
      <w:r w:rsidR="004E7359">
        <w:rPr>
          <w:rFonts w:ascii="Times New Roman" w:hAnsi="Times New Roman" w:cs="Times New Roman"/>
          <w:sz w:val="22"/>
          <w:szCs w:val="22"/>
        </w:rPr>
        <w:t xml:space="preserve"> </w:t>
      </w:r>
      <w:r w:rsidR="008D019C" w:rsidRPr="00B452E1">
        <w:rPr>
          <w:rFonts w:ascii="Times New Roman" w:hAnsi="Times New Roman" w:cs="Times New Roman"/>
          <w:sz w:val="22"/>
          <w:szCs w:val="22"/>
        </w:rPr>
        <w:t xml:space="preserve">barreras que enfrentan las personas lesbianas, </w:t>
      </w:r>
      <w:proofErr w:type="spellStart"/>
      <w:r w:rsidR="008D019C" w:rsidRPr="00B452E1">
        <w:rPr>
          <w:rFonts w:ascii="Times New Roman" w:hAnsi="Times New Roman" w:cs="Times New Roman"/>
          <w:sz w:val="22"/>
          <w:szCs w:val="22"/>
        </w:rPr>
        <w:t>gays</w:t>
      </w:r>
      <w:proofErr w:type="spellEnd"/>
      <w:r w:rsidR="008D019C" w:rsidRPr="00B452E1">
        <w:rPr>
          <w:rFonts w:ascii="Times New Roman" w:hAnsi="Times New Roman" w:cs="Times New Roman"/>
          <w:sz w:val="22"/>
          <w:szCs w:val="22"/>
        </w:rPr>
        <w:t xml:space="preserve">, bisexuales, </w:t>
      </w:r>
      <w:proofErr w:type="spellStart"/>
      <w:r w:rsidR="008D019C" w:rsidRPr="00B452E1">
        <w:rPr>
          <w:rFonts w:ascii="Times New Roman" w:hAnsi="Times New Roman" w:cs="Times New Roman"/>
          <w:sz w:val="22"/>
          <w:szCs w:val="22"/>
        </w:rPr>
        <w:t>trans</w:t>
      </w:r>
      <w:proofErr w:type="spellEnd"/>
      <w:r w:rsidR="008D019C" w:rsidRPr="00B452E1">
        <w:rPr>
          <w:rFonts w:ascii="Times New Roman" w:hAnsi="Times New Roman" w:cs="Times New Roman"/>
          <w:sz w:val="22"/>
          <w:szCs w:val="22"/>
        </w:rPr>
        <w:t xml:space="preserve"> e </w:t>
      </w:r>
      <w:proofErr w:type="spellStart"/>
      <w:r w:rsidR="008D019C" w:rsidRPr="00B452E1">
        <w:rPr>
          <w:rFonts w:ascii="Times New Roman" w:hAnsi="Times New Roman" w:cs="Times New Roman"/>
          <w:sz w:val="22"/>
          <w:szCs w:val="22"/>
        </w:rPr>
        <w:t>intersex</w:t>
      </w:r>
      <w:proofErr w:type="spellEnd"/>
      <w:r w:rsidR="008D019C" w:rsidRPr="00B452E1">
        <w:rPr>
          <w:rFonts w:ascii="Times New Roman" w:hAnsi="Times New Roman" w:cs="Times New Roman"/>
          <w:sz w:val="22"/>
          <w:szCs w:val="22"/>
        </w:rPr>
        <w:t xml:space="preserve"> (LGBTI</w:t>
      </w:r>
      <w:r w:rsidR="00C330F7">
        <w:rPr>
          <w:rFonts w:ascii="Times New Roman" w:hAnsi="Times New Roman" w:cs="Times New Roman"/>
          <w:sz w:val="22"/>
          <w:szCs w:val="22"/>
        </w:rPr>
        <w:t>+</w:t>
      </w:r>
      <w:r w:rsidR="008D019C" w:rsidRPr="00B452E1">
        <w:rPr>
          <w:rFonts w:ascii="Times New Roman" w:hAnsi="Times New Roman" w:cs="Times New Roman"/>
          <w:sz w:val="22"/>
          <w:szCs w:val="22"/>
        </w:rPr>
        <w:t xml:space="preserve">) en igualdad de acceso a la </w:t>
      </w:r>
      <w:r w:rsidR="004E7359">
        <w:rPr>
          <w:rFonts w:ascii="Times New Roman" w:hAnsi="Times New Roman" w:cs="Times New Roman"/>
          <w:sz w:val="22"/>
          <w:szCs w:val="22"/>
        </w:rPr>
        <w:t>democracia participativa</w:t>
      </w:r>
      <w:r w:rsidR="00C330F7">
        <w:rPr>
          <w:rFonts w:ascii="Times New Roman" w:hAnsi="Times New Roman" w:cs="Times New Roman"/>
          <w:sz w:val="22"/>
          <w:szCs w:val="22"/>
        </w:rPr>
        <w:t>,</w:t>
      </w:r>
      <w:r w:rsidR="004E7359">
        <w:rPr>
          <w:rFonts w:ascii="Times New Roman" w:hAnsi="Times New Roman" w:cs="Times New Roman"/>
          <w:sz w:val="22"/>
          <w:szCs w:val="22"/>
        </w:rPr>
        <w:t xml:space="preserve"> y por lo tanto</w:t>
      </w:r>
      <w:r w:rsidR="00365D83">
        <w:rPr>
          <w:rFonts w:ascii="Times New Roman" w:hAnsi="Times New Roman" w:cs="Times New Roman"/>
          <w:sz w:val="22"/>
          <w:szCs w:val="22"/>
        </w:rPr>
        <w:t>,</w:t>
      </w:r>
      <w:r w:rsidR="00C330F7">
        <w:rPr>
          <w:rFonts w:ascii="Times New Roman" w:hAnsi="Times New Roman" w:cs="Times New Roman"/>
          <w:sz w:val="22"/>
          <w:szCs w:val="22"/>
        </w:rPr>
        <w:t xml:space="preserve"> </w:t>
      </w:r>
      <w:r w:rsidR="004E7359">
        <w:rPr>
          <w:rFonts w:ascii="Times New Roman" w:hAnsi="Times New Roman" w:cs="Times New Roman"/>
          <w:sz w:val="22"/>
          <w:szCs w:val="22"/>
        </w:rPr>
        <w:t>a todos los derechos fundamentales otorgados en igualdad de condiciones</w:t>
      </w:r>
      <w:r w:rsidR="00C330F7">
        <w:rPr>
          <w:rFonts w:ascii="Times New Roman" w:hAnsi="Times New Roman" w:cs="Times New Roman"/>
          <w:sz w:val="22"/>
          <w:szCs w:val="22"/>
        </w:rPr>
        <w:t>, en todos los</w:t>
      </w:r>
      <w:r w:rsidR="008D019C" w:rsidRPr="00B452E1">
        <w:rPr>
          <w:rFonts w:ascii="Times New Roman" w:hAnsi="Times New Roman" w:cs="Times New Roman"/>
          <w:sz w:val="22"/>
          <w:szCs w:val="22"/>
        </w:rPr>
        <w:t xml:space="preserve"> ámbitos de la vida pública, y </w:t>
      </w:r>
      <w:r w:rsidR="004E7359">
        <w:rPr>
          <w:rFonts w:ascii="Times New Roman" w:hAnsi="Times New Roman" w:cs="Times New Roman"/>
          <w:sz w:val="22"/>
          <w:szCs w:val="22"/>
        </w:rPr>
        <w:t xml:space="preserve">especialmente </w:t>
      </w:r>
      <w:r w:rsidR="008D019C" w:rsidRPr="00B452E1">
        <w:rPr>
          <w:rFonts w:ascii="Times New Roman" w:hAnsi="Times New Roman" w:cs="Times New Roman"/>
          <w:sz w:val="22"/>
          <w:szCs w:val="22"/>
        </w:rPr>
        <w:t xml:space="preserve">para evitar </w:t>
      </w:r>
      <w:r w:rsidR="004E7359">
        <w:rPr>
          <w:rFonts w:ascii="Times New Roman" w:hAnsi="Times New Roman" w:cs="Times New Roman"/>
          <w:sz w:val="22"/>
          <w:szCs w:val="22"/>
        </w:rPr>
        <w:t xml:space="preserve">la discriminación, estigmatización, prejuicios, violencia y asesinatos contra su </w:t>
      </w:r>
      <w:r w:rsidR="008D019C" w:rsidRPr="00B452E1">
        <w:rPr>
          <w:rFonts w:ascii="Times New Roman" w:hAnsi="Times New Roman" w:cs="Times New Roman"/>
          <w:sz w:val="22"/>
          <w:szCs w:val="22"/>
        </w:rPr>
        <w:t>vida privada</w:t>
      </w:r>
      <w:r w:rsidR="004E7359">
        <w:rPr>
          <w:rFonts w:ascii="Times New Roman" w:hAnsi="Times New Roman" w:cs="Times New Roman"/>
          <w:sz w:val="22"/>
          <w:szCs w:val="22"/>
        </w:rPr>
        <w:t>.</w:t>
      </w:r>
    </w:p>
    <w:p w14:paraId="65869169" w14:textId="77777777" w:rsidR="00566884" w:rsidRPr="00B452E1" w:rsidRDefault="00566884" w:rsidP="008D019C">
      <w:pPr>
        <w:autoSpaceDE w:val="0"/>
        <w:autoSpaceDN w:val="0"/>
        <w:adjustRightInd w:val="0"/>
        <w:spacing w:line="360" w:lineRule="auto"/>
        <w:jc w:val="both"/>
        <w:rPr>
          <w:rFonts w:ascii="Times New Roman" w:hAnsi="Times New Roman" w:cs="Times New Roman"/>
          <w:sz w:val="22"/>
          <w:szCs w:val="22"/>
        </w:rPr>
      </w:pPr>
    </w:p>
    <w:p w14:paraId="38BD182A" w14:textId="30E76B00" w:rsidR="008D019C" w:rsidRPr="00B452E1" w:rsidRDefault="008D019C" w:rsidP="008D019C">
      <w:pPr>
        <w:autoSpaceDE w:val="0"/>
        <w:autoSpaceDN w:val="0"/>
        <w:adjustRightInd w:val="0"/>
        <w:spacing w:line="360" w:lineRule="auto"/>
        <w:jc w:val="both"/>
        <w:rPr>
          <w:rFonts w:ascii="Times New Roman" w:hAnsi="Times New Roman" w:cs="Times New Roman"/>
          <w:sz w:val="22"/>
          <w:szCs w:val="22"/>
        </w:rPr>
      </w:pPr>
      <w:r w:rsidRPr="00B452E1">
        <w:rPr>
          <w:rFonts w:ascii="Times New Roman" w:hAnsi="Times New Roman" w:cs="Times New Roman"/>
          <w:sz w:val="22"/>
          <w:szCs w:val="22"/>
        </w:rPr>
        <w:lastRenderedPageBreak/>
        <w:t>Derivado del sistema político internacional en materia de género, se desarrollan una larga lista de documentos en materia de género, que colocan al género como exclusivo del sector poblacional mujeres; sin embargo los documentos que refieren a las diversidades de género en materia de orientación sexual e identidad de género claramente señalan que fuera del sistema heteronormativo</w:t>
      </w:r>
      <w:r w:rsidR="00365D83">
        <w:rPr>
          <w:rFonts w:ascii="Times New Roman" w:hAnsi="Times New Roman" w:cs="Times New Roman"/>
          <w:sz w:val="22"/>
          <w:szCs w:val="22"/>
        </w:rPr>
        <w:t xml:space="preserve">, </w:t>
      </w:r>
      <w:r w:rsidRPr="00B452E1">
        <w:rPr>
          <w:rFonts w:ascii="Times New Roman" w:hAnsi="Times New Roman" w:cs="Times New Roman"/>
          <w:sz w:val="22"/>
          <w:szCs w:val="22"/>
        </w:rPr>
        <w:t>el género corresponde a una categorización de toda persona humana y que contiene elementos físicos, biológicos, emocionales y culturales  del binomio hombres y mujeres</w:t>
      </w:r>
      <w:r w:rsidR="00365D83">
        <w:rPr>
          <w:rFonts w:ascii="Times New Roman" w:hAnsi="Times New Roman" w:cs="Times New Roman"/>
          <w:sz w:val="22"/>
          <w:szCs w:val="22"/>
        </w:rPr>
        <w:t xml:space="preserve"> </w:t>
      </w:r>
      <w:r w:rsidRPr="00B452E1">
        <w:rPr>
          <w:rFonts w:ascii="Times New Roman" w:hAnsi="Times New Roman" w:cs="Times New Roman"/>
          <w:sz w:val="22"/>
          <w:szCs w:val="22"/>
        </w:rPr>
        <w:t>reconocidos como los dos sectores poblacionales generales en el sistema heteronormativo global.</w:t>
      </w:r>
    </w:p>
    <w:p w14:paraId="4954CABD" w14:textId="77777777" w:rsidR="008D019C" w:rsidRPr="00B452E1" w:rsidRDefault="008D019C" w:rsidP="008D019C">
      <w:pPr>
        <w:autoSpaceDE w:val="0"/>
        <w:autoSpaceDN w:val="0"/>
        <w:adjustRightInd w:val="0"/>
        <w:spacing w:line="360" w:lineRule="auto"/>
        <w:jc w:val="both"/>
        <w:rPr>
          <w:rFonts w:ascii="Times New Roman" w:hAnsi="Times New Roman" w:cs="Times New Roman"/>
          <w:sz w:val="22"/>
          <w:szCs w:val="22"/>
        </w:rPr>
      </w:pPr>
    </w:p>
    <w:p w14:paraId="2169B10D" w14:textId="3900A296" w:rsidR="008F4106" w:rsidRDefault="008F4106" w:rsidP="00365D83">
      <w:pPr>
        <w:autoSpaceDE w:val="0"/>
        <w:autoSpaceDN w:val="0"/>
        <w:adjustRightInd w:val="0"/>
        <w:spacing w:line="360" w:lineRule="auto"/>
        <w:jc w:val="center"/>
        <w:rPr>
          <w:rFonts w:ascii="Times New Roman" w:hAnsi="Times New Roman" w:cs="Times New Roman"/>
          <w:sz w:val="22"/>
          <w:szCs w:val="22"/>
        </w:rPr>
      </w:pPr>
      <w:r>
        <w:rPr>
          <w:rFonts w:ascii="Times New Roman" w:hAnsi="Times New Roman" w:cs="Times New Roman"/>
          <w:b/>
          <w:bCs/>
          <w:sz w:val="22"/>
          <w:szCs w:val="22"/>
        </w:rPr>
        <w:t xml:space="preserve">2. </w:t>
      </w:r>
      <w:r w:rsidRPr="008F4106">
        <w:rPr>
          <w:rFonts w:ascii="Times New Roman" w:hAnsi="Times New Roman" w:cs="Times New Roman"/>
          <w:b/>
          <w:bCs/>
          <w:sz w:val="22"/>
          <w:szCs w:val="22"/>
        </w:rPr>
        <w:t>Elementos del género desde la perspectiva teórica y el sistema político internacional</w:t>
      </w:r>
      <w:r w:rsidRPr="00B452E1">
        <w:rPr>
          <w:rFonts w:ascii="Times New Roman" w:hAnsi="Times New Roman" w:cs="Times New Roman"/>
          <w:sz w:val="22"/>
          <w:szCs w:val="22"/>
        </w:rPr>
        <w:t>.</w:t>
      </w:r>
    </w:p>
    <w:p w14:paraId="6AEE6983" w14:textId="686A282F" w:rsidR="00CE0AF2" w:rsidRDefault="00CE0AF2" w:rsidP="008D019C">
      <w:pPr>
        <w:autoSpaceDE w:val="0"/>
        <w:autoSpaceDN w:val="0"/>
        <w:adjustRightInd w:val="0"/>
        <w:spacing w:line="360" w:lineRule="auto"/>
        <w:jc w:val="both"/>
        <w:rPr>
          <w:rFonts w:ascii="Times New Roman" w:hAnsi="Times New Roman" w:cs="Times New Roman"/>
          <w:sz w:val="22"/>
          <w:szCs w:val="22"/>
        </w:rPr>
      </w:pPr>
      <w:r>
        <w:rPr>
          <w:rFonts w:ascii="Times New Roman" w:hAnsi="Times New Roman" w:cs="Times New Roman"/>
          <w:sz w:val="22"/>
          <w:szCs w:val="22"/>
        </w:rPr>
        <w:t>El género y su perspectiva desde los derechos humanos y el aspecto económico del desarrollo humano en cuanto a calidad de vida y bienestar social, adquiere importancia en el mundo académico toda vez que la teoría del género ha sido estudiada desde las ciencias sociales a fin de problematizar las realidades sociales que guarda el comportamiento desigual, violento y de discriminación entre lo femenino y lo masculino como un binomio que selecciona y determina los cuerpos humanos, para luego categorizarlos en el entorno de sus relaciones colocando a cada sujeto superior o inferior respecto a otro por su condición de nacimiento -es decir biológica-</w:t>
      </w:r>
      <w:r w:rsidR="008B7C5B">
        <w:rPr>
          <w:rFonts w:ascii="Times New Roman" w:hAnsi="Times New Roman" w:cs="Times New Roman"/>
          <w:sz w:val="22"/>
          <w:szCs w:val="22"/>
        </w:rPr>
        <w:t xml:space="preserve"> </w:t>
      </w:r>
      <w:r>
        <w:rPr>
          <w:rFonts w:ascii="Times New Roman" w:hAnsi="Times New Roman" w:cs="Times New Roman"/>
          <w:sz w:val="22"/>
          <w:szCs w:val="22"/>
        </w:rPr>
        <w:t xml:space="preserve"> su comportamiento íntimo, su modo de expresión ante su entorno y la influencia de los rangos de valorización entre sujetos desde el discurso de la educación, el medio de comunicación y la familia, como ejes rectores de conducta.</w:t>
      </w:r>
    </w:p>
    <w:p w14:paraId="4B948F28" w14:textId="77777777" w:rsidR="00365D83" w:rsidRDefault="00365D83" w:rsidP="008D019C">
      <w:pPr>
        <w:autoSpaceDE w:val="0"/>
        <w:autoSpaceDN w:val="0"/>
        <w:adjustRightInd w:val="0"/>
        <w:spacing w:line="360" w:lineRule="auto"/>
        <w:jc w:val="both"/>
        <w:rPr>
          <w:rFonts w:ascii="Times New Roman" w:hAnsi="Times New Roman" w:cs="Times New Roman"/>
          <w:sz w:val="22"/>
          <w:szCs w:val="22"/>
        </w:rPr>
      </w:pPr>
    </w:p>
    <w:p w14:paraId="3AB3B450" w14:textId="5AB80F28" w:rsidR="008D019C" w:rsidRPr="00B452E1" w:rsidRDefault="008D019C" w:rsidP="008D019C">
      <w:pPr>
        <w:autoSpaceDE w:val="0"/>
        <w:autoSpaceDN w:val="0"/>
        <w:adjustRightInd w:val="0"/>
        <w:spacing w:line="360" w:lineRule="auto"/>
        <w:jc w:val="both"/>
        <w:rPr>
          <w:rFonts w:ascii="Times New Roman" w:hAnsi="Times New Roman" w:cs="Times New Roman"/>
          <w:sz w:val="22"/>
          <w:szCs w:val="22"/>
        </w:rPr>
      </w:pPr>
      <w:r w:rsidRPr="00B452E1">
        <w:rPr>
          <w:rFonts w:ascii="Times New Roman" w:hAnsi="Times New Roman" w:cs="Times New Roman"/>
          <w:sz w:val="22"/>
          <w:szCs w:val="22"/>
        </w:rPr>
        <w:t xml:space="preserve">Al respecto se considera una de las concepciones vanguardistas </w:t>
      </w:r>
      <w:r w:rsidR="00CE0AF2">
        <w:rPr>
          <w:rFonts w:ascii="Times New Roman" w:hAnsi="Times New Roman" w:cs="Times New Roman"/>
          <w:sz w:val="22"/>
          <w:szCs w:val="22"/>
        </w:rPr>
        <w:t xml:space="preserve">del siglo XXI desde la </w:t>
      </w:r>
      <w:r w:rsidRPr="00B452E1">
        <w:rPr>
          <w:rFonts w:ascii="Times New Roman" w:hAnsi="Times New Roman" w:cs="Times New Roman"/>
          <w:sz w:val="22"/>
          <w:szCs w:val="22"/>
        </w:rPr>
        <w:t xml:space="preserve">que el género es una “forma social de definir los cuerpos humanos sexuados, no </w:t>
      </w:r>
      <w:proofErr w:type="spellStart"/>
      <w:r w:rsidRPr="00B452E1">
        <w:rPr>
          <w:rFonts w:ascii="Times New Roman" w:hAnsi="Times New Roman" w:cs="Times New Roman"/>
          <w:sz w:val="22"/>
          <w:szCs w:val="22"/>
        </w:rPr>
        <w:t>constatativo</w:t>
      </w:r>
      <w:proofErr w:type="spellEnd"/>
      <w:r w:rsidRPr="00B452E1">
        <w:rPr>
          <w:rFonts w:ascii="Times New Roman" w:hAnsi="Times New Roman" w:cs="Times New Roman"/>
          <w:sz w:val="22"/>
          <w:szCs w:val="22"/>
        </w:rPr>
        <w:t xml:space="preserve">, sino </w:t>
      </w:r>
      <w:proofErr w:type="spellStart"/>
      <w:r w:rsidRPr="00B452E1">
        <w:rPr>
          <w:rFonts w:ascii="Times New Roman" w:hAnsi="Times New Roman" w:cs="Times New Roman"/>
          <w:sz w:val="22"/>
          <w:szCs w:val="22"/>
        </w:rPr>
        <w:t>performativo</w:t>
      </w:r>
      <w:proofErr w:type="spellEnd"/>
      <w:r w:rsidRPr="00B452E1">
        <w:rPr>
          <w:rFonts w:ascii="Times New Roman" w:hAnsi="Times New Roman" w:cs="Times New Roman"/>
          <w:sz w:val="22"/>
          <w:szCs w:val="22"/>
        </w:rPr>
        <w:t>, impuesto por las prácticas reguladoras de lo coherente”</w:t>
      </w:r>
      <w:r w:rsidR="00365D83">
        <w:rPr>
          <w:rFonts w:ascii="Times New Roman" w:hAnsi="Times New Roman" w:cs="Times New Roman"/>
          <w:sz w:val="22"/>
          <w:szCs w:val="22"/>
        </w:rPr>
        <w:t xml:space="preserve"> </w:t>
      </w:r>
      <w:r w:rsidRPr="008B7C5B">
        <w:rPr>
          <w:rFonts w:ascii="Times New Roman" w:hAnsi="Times New Roman" w:cs="Times New Roman"/>
          <w:sz w:val="22"/>
          <w:szCs w:val="22"/>
        </w:rPr>
        <w:t>(Butler, 1993)</w:t>
      </w:r>
      <w:r w:rsidR="00365D83">
        <w:rPr>
          <w:rFonts w:ascii="Times New Roman" w:hAnsi="Times New Roman" w:cs="Times New Roman"/>
          <w:sz w:val="22"/>
          <w:szCs w:val="22"/>
        </w:rPr>
        <w:t>.</w:t>
      </w:r>
      <w:r w:rsidR="008B7C5B">
        <w:rPr>
          <w:rFonts w:ascii="Times New Roman" w:hAnsi="Times New Roman" w:cs="Times New Roman"/>
          <w:sz w:val="22"/>
          <w:szCs w:val="22"/>
        </w:rPr>
        <w:t xml:space="preserve"> E</w:t>
      </w:r>
      <w:r w:rsidRPr="00B452E1">
        <w:rPr>
          <w:rFonts w:ascii="Times New Roman" w:hAnsi="Times New Roman" w:cs="Times New Roman"/>
          <w:sz w:val="22"/>
          <w:szCs w:val="22"/>
        </w:rPr>
        <w:t xml:space="preserve">sta perspectiva teórica </w:t>
      </w:r>
      <w:proofErr w:type="spellStart"/>
      <w:r w:rsidRPr="00B452E1">
        <w:rPr>
          <w:rFonts w:ascii="Times New Roman" w:hAnsi="Times New Roman" w:cs="Times New Roman"/>
          <w:sz w:val="22"/>
          <w:szCs w:val="22"/>
        </w:rPr>
        <w:t>performativa</w:t>
      </w:r>
      <w:proofErr w:type="spellEnd"/>
      <w:r w:rsidRPr="00B452E1">
        <w:rPr>
          <w:rFonts w:ascii="Times New Roman" w:hAnsi="Times New Roman" w:cs="Times New Roman"/>
          <w:sz w:val="22"/>
          <w:szCs w:val="22"/>
        </w:rPr>
        <w:t xml:space="preserve"> determina que el género </w:t>
      </w:r>
      <w:r w:rsidR="008B7C5B">
        <w:rPr>
          <w:rFonts w:ascii="Times New Roman" w:hAnsi="Times New Roman" w:cs="Times New Roman"/>
          <w:sz w:val="22"/>
          <w:szCs w:val="22"/>
        </w:rPr>
        <w:t>se encuentra</w:t>
      </w:r>
      <w:r w:rsidRPr="00B452E1">
        <w:rPr>
          <w:rFonts w:ascii="Times New Roman" w:hAnsi="Times New Roman" w:cs="Times New Roman"/>
          <w:sz w:val="22"/>
          <w:szCs w:val="22"/>
        </w:rPr>
        <w:t xml:space="preserve"> conformado por una percepción que el ser humano mantiene en sus relaciones en sociedad y denomina al ser humano en función de</w:t>
      </w:r>
      <w:r w:rsidR="008B7C5B">
        <w:rPr>
          <w:rFonts w:ascii="Times New Roman" w:hAnsi="Times New Roman" w:cs="Times New Roman"/>
          <w:sz w:val="22"/>
          <w:szCs w:val="22"/>
        </w:rPr>
        <w:t>l sexo biológico que corresponde al cuerpo que debe mostrar en sociedad</w:t>
      </w:r>
      <w:r w:rsidRPr="00B452E1">
        <w:rPr>
          <w:rFonts w:ascii="Times New Roman" w:hAnsi="Times New Roman" w:cs="Times New Roman"/>
          <w:sz w:val="22"/>
          <w:szCs w:val="22"/>
        </w:rPr>
        <w:t xml:space="preserve">, </w:t>
      </w:r>
      <w:r w:rsidR="008B7C5B">
        <w:rPr>
          <w:rFonts w:ascii="Times New Roman" w:hAnsi="Times New Roman" w:cs="Times New Roman"/>
          <w:sz w:val="22"/>
          <w:szCs w:val="22"/>
        </w:rPr>
        <w:t xml:space="preserve">por lo que se vuelve </w:t>
      </w:r>
      <w:r w:rsidRPr="00B452E1">
        <w:rPr>
          <w:rFonts w:ascii="Times New Roman" w:hAnsi="Times New Roman" w:cs="Times New Roman"/>
          <w:sz w:val="22"/>
          <w:szCs w:val="22"/>
        </w:rPr>
        <w:t xml:space="preserve">importante desentrañar en qué consiste </w:t>
      </w:r>
      <w:proofErr w:type="spellStart"/>
      <w:r w:rsidRPr="00B452E1">
        <w:rPr>
          <w:rFonts w:ascii="Times New Roman" w:hAnsi="Times New Roman" w:cs="Times New Roman"/>
          <w:sz w:val="22"/>
          <w:szCs w:val="22"/>
        </w:rPr>
        <w:t>sexualizar</w:t>
      </w:r>
      <w:proofErr w:type="spellEnd"/>
      <w:r w:rsidRPr="00B452E1">
        <w:rPr>
          <w:rFonts w:ascii="Times New Roman" w:hAnsi="Times New Roman" w:cs="Times New Roman"/>
          <w:sz w:val="22"/>
          <w:szCs w:val="22"/>
        </w:rPr>
        <w:t xml:space="preserve"> a un cuerpo, y solo puede hacerse desde un discurso social donde lo correcto y lo incorrecto toma un rango de valor trascendental</w:t>
      </w:r>
      <w:r w:rsidR="008B7C5B">
        <w:rPr>
          <w:rFonts w:ascii="Times New Roman" w:hAnsi="Times New Roman" w:cs="Times New Roman"/>
          <w:sz w:val="22"/>
          <w:szCs w:val="22"/>
        </w:rPr>
        <w:t xml:space="preserve"> para lo que significa el sexo biológico de nacimiento o por adquisición, o transformación. Cuando las “practicas reguladoras de lo coherente” son parte del género, su implicación para defender el rango de valor sobre lo correcto y lo incorrecto, en el mundo del deber ser de los sectores sociales, se torna de tal grave</w:t>
      </w:r>
      <w:r w:rsidR="00365D83">
        <w:rPr>
          <w:rFonts w:ascii="Times New Roman" w:hAnsi="Times New Roman" w:cs="Times New Roman"/>
          <w:sz w:val="22"/>
          <w:szCs w:val="22"/>
        </w:rPr>
        <w:t xml:space="preserve">dad </w:t>
      </w:r>
      <w:r w:rsidR="008B7C5B">
        <w:rPr>
          <w:rFonts w:ascii="Times New Roman" w:hAnsi="Times New Roman" w:cs="Times New Roman"/>
          <w:sz w:val="22"/>
          <w:szCs w:val="22"/>
        </w:rPr>
        <w:t xml:space="preserve">que puede permitir o no la vida, la libertad, la identidad, la intimidad de una persona humana </w:t>
      </w:r>
      <w:proofErr w:type="gramStart"/>
      <w:r w:rsidR="008B7C5B">
        <w:rPr>
          <w:rFonts w:ascii="Times New Roman" w:hAnsi="Times New Roman" w:cs="Times New Roman"/>
          <w:sz w:val="22"/>
          <w:szCs w:val="22"/>
        </w:rPr>
        <w:t>y</w:t>
      </w:r>
      <w:proofErr w:type="gramEnd"/>
      <w:r w:rsidR="008B7C5B">
        <w:rPr>
          <w:rFonts w:ascii="Times New Roman" w:hAnsi="Times New Roman" w:cs="Times New Roman"/>
          <w:sz w:val="22"/>
          <w:szCs w:val="22"/>
        </w:rPr>
        <w:t xml:space="preserve"> por lo tanto, la defensa de su dignidad </w:t>
      </w:r>
      <w:r w:rsidR="00365D83">
        <w:rPr>
          <w:rFonts w:ascii="Times New Roman" w:hAnsi="Times New Roman" w:cs="Times New Roman"/>
          <w:sz w:val="22"/>
          <w:szCs w:val="22"/>
        </w:rPr>
        <w:t xml:space="preserve">y </w:t>
      </w:r>
      <w:r w:rsidR="008B7C5B">
        <w:rPr>
          <w:rFonts w:ascii="Times New Roman" w:hAnsi="Times New Roman" w:cs="Times New Roman"/>
          <w:sz w:val="22"/>
          <w:szCs w:val="22"/>
        </w:rPr>
        <w:t>se vuelve una lucha social constante para el reconocimiento del SDH.</w:t>
      </w:r>
    </w:p>
    <w:p w14:paraId="1B1946BE" w14:textId="77777777" w:rsidR="008D019C" w:rsidRPr="00B452E1" w:rsidRDefault="008D019C" w:rsidP="008D019C">
      <w:pPr>
        <w:autoSpaceDE w:val="0"/>
        <w:autoSpaceDN w:val="0"/>
        <w:adjustRightInd w:val="0"/>
        <w:spacing w:line="360" w:lineRule="auto"/>
        <w:jc w:val="both"/>
        <w:rPr>
          <w:rFonts w:ascii="Times New Roman" w:hAnsi="Times New Roman" w:cs="Times New Roman"/>
          <w:sz w:val="22"/>
          <w:szCs w:val="22"/>
        </w:rPr>
      </w:pPr>
    </w:p>
    <w:p w14:paraId="41EEB1F8" w14:textId="69DE3F34" w:rsidR="008D019C" w:rsidRDefault="008B7C5B" w:rsidP="008D019C">
      <w:pPr>
        <w:autoSpaceDE w:val="0"/>
        <w:autoSpaceDN w:val="0"/>
        <w:adjustRightInd w:val="0"/>
        <w:spacing w:line="360" w:lineRule="auto"/>
        <w:jc w:val="both"/>
        <w:rPr>
          <w:rFonts w:ascii="Times New Roman" w:hAnsi="Times New Roman" w:cs="Times New Roman"/>
          <w:sz w:val="22"/>
          <w:szCs w:val="22"/>
        </w:rPr>
      </w:pPr>
      <w:r>
        <w:rPr>
          <w:rFonts w:ascii="Times New Roman" w:hAnsi="Times New Roman" w:cs="Times New Roman"/>
          <w:sz w:val="22"/>
          <w:szCs w:val="22"/>
        </w:rPr>
        <w:t>Anterior al SDH</w:t>
      </w:r>
      <w:r w:rsidR="00365D83">
        <w:rPr>
          <w:rFonts w:ascii="Times New Roman" w:hAnsi="Times New Roman" w:cs="Times New Roman"/>
          <w:sz w:val="22"/>
          <w:szCs w:val="22"/>
        </w:rPr>
        <w:t>,</w:t>
      </w:r>
      <w:r>
        <w:rPr>
          <w:rFonts w:ascii="Times New Roman" w:hAnsi="Times New Roman" w:cs="Times New Roman"/>
          <w:sz w:val="22"/>
          <w:szCs w:val="22"/>
        </w:rPr>
        <w:t xml:space="preserve"> </w:t>
      </w:r>
      <w:r w:rsidR="00661BF2">
        <w:rPr>
          <w:rFonts w:ascii="Times New Roman" w:hAnsi="Times New Roman" w:cs="Times New Roman"/>
          <w:sz w:val="22"/>
          <w:szCs w:val="22"/>
        </w:rPr>
        <w:t xml:space="preserve">las figuras en materia de derechos humanos como los grupos vulnerables no era conceptualizado a partir de las categorizaciones que hoy </w:t>
      </w:r>
      <w:proofErr w:type="spellStart"/>
      <w:r w:rsidR="00661BF2">
        <w:rPr>
          <w:rFonts w:ascii="Times New Roman" w:hAnsi="Times New Roman" w:cs="Times New Roman"/>
          <w:sz w:val="22"/>
          <w:szCs w:val="22"/>
        </w:rPr>
        <w:t>interseccionan</w:t>
      </w:r>
      <w:proofErr w:type="spellEnd"/>
      <w:r w:rsidR="00661BF2">
        <w:rPr>
          <w:rFonts w:ascii="Times New Roman" w:hAnsi="Times New Roman" w:cs="Times New Roman"/>
          <w:sz w:val="22"/>
          <w:szCs w:val="22"/>
        </w:rPr>
        <w:t xml:space="preserve"> las características biológicas, culturales, económica, filosóficas, lingüísticas, educativas… de los sujetos de derecho y revelan la superioridad e inferioridad entre los mismos. Por ello, dentro de la teorización del g</w:t>
      </w:r>
      <w:r w:rsidR="00365D83">
        <w:rPr>
          <w:rFonts w:ascii="Times New Roman" w:hAnsi="Times New Roman" w:cs="Times New Roman"/>
          <w:sz w:val="22"/>
          <w:szCs w:val="22"/>
        </w:rPr>
        <w:t>é</w:t>
      </w:r>
      <w:r w:rsidR="00661BF2">
        <w:rPr>
          <w:rFonts w:ascii="Times New Roman" w:hAnsi="Times New Roman" w:cs="Times New Roman"/>
          <w:sz w:val="22"/>
          <w:szCs w:val="22"/>
        </w:rPr>
        <w:t xml:space="preserve">nero, pensadores como </w:t>
      </w:r>
      <w:proofErr w:type="spellStart"/>
      <w:r w:rsidR="00661BF2">
        <w:rPr>
          <w:rFonts w:ascii="Times New Roman" w:hAnsi="Times New Roman" w:cs="Times New Roman"/>
          <w:sz w:val="22"/>
          <w:szCs w:val="22"/>
        </w:rPr>
        <w:t>D</w:t>
      </w:r>
      <w:r w:rsidR="005E4C7B">
        <w:rPr>
          <w:rFonts w:ascii="Times New Roman" w:hAnsi="Times New Roman" w:cs="Times New Roman"/>
          <w:sz w:val="22"/>
          <w:szCs w:val="22"/>
        </w:rPr>
        <w:t>o</w:t>
      </w:r>
      <w:r w:rsidR="00661BF2">
        <w:rPr>
          <w:rFonts w:ascii="Times New Roman" w:hAnsi="Times New Roman" w:cs="Times New Roman"/>
          <w:sz w:val="22"/>
          <w:szCs w:val="22"/>
        </w:rPr>
        <w:t>nna</w:t>
      </w:r>
      <w:proofErr w:type="spellEnd"/>
      <w:r w:rsidR="00661BF2">
        <w:rPr>
          <w:rFonts w:ascii="Times New Roman" w:hAnsi="Times New Roman" w:cs="Times New Roman"/>
          <w:sz w:val="22"/>
          <w:szCs w:val="22"/>
        </w:rPr>
        <w:t xml:space="preserve"> </w:t>
      </w:r>
      <w:proofErr w:type="spellStart"/>
      <w:r w:rsidR="00661BF2">
        <w:rPr>
          <w:rFonts w:ascii="Times New Roman" w:hAnsi="Times New Roman" w:cs="Times New Roman"/>
          <w:sz w:val="22"/>
          <w:szCs w:val="22"/>
        </w:rPr>
        <w:t>Haraway</w:t>
      </w:r>
      <w:proofErr w:type="spellEnd"/>
      <w:r w:rsidR="00661BF2">
        <w:rPr>
          <w:rFonts w:ascii="Times New Roman" w:hAnsi="Times New Roman" w:cs="Times New Roman"/>
          <w:sz w:val="22"/>
          <w:szCs w:val="22"/>
        </w:rPr>
        <w:t xml:space="preserve"> lo conciben como un: </w:t>
      </w:r>
      <w:r w:rsidR="008D019C" w:rsidRPr="00B452E1">
        <w:rPr>
          <w:rFonts w:ascii="Times New Roman" w:hAnsi="Times New Roman" w:cs="Times New Roman"/>
          <w:sz w:val="22"/>
          <w:szCs w:val="22"/>
        </w:rPr>
        <w:t>“</w:t>
      </w:r>
      <w:r w:rsidR="00661BF2">
        <w:rPr>
          <w:rFonts w:ascii="Times New Roman" w:hAnsi="Times New Roman" w:cs="Times New Roman"/>
          <w:sz w:val="22"/>
          <w:szCs w:val="22"/>
        </w:rPr>
        <w:t>l</w:t>
      </w:r>
      <w:r w:rsidR="008D019C" w:rsidRPr="00B452E1">
        <w:rPr>
          <w:rFonts w:ascii="Times New Roman" w:hAnsi="Times New Roman" w:cs="Times New Roman"/>
          <w:sz w:val="22"/>
          <w:szCs w:val="22"/>
        </w:rPr>
        <w:t>ogro alcanzado a través de la experiencia histórica de realidades sociales contradictorias como el patriarcado, el colonialismo, el racismo y el capitalismo.</w:t>
      </w:r>
      <w:r w:rsidR="00661BF2">
        <w:rPr>
          <w:rFonts w:ascii="Times New Roman" w:hAnsi="Times New Roman" w:cs="Times New Roman"/>
          <w:sz w:val="22"/>
          <w:szCs w:val="22"/>
        </w:rPr>
        <w:t xml:space="preserve"> L</w:t>
      </w:r>
      <w:r w:rsidR="008D019C" w:rsidRPr="00B452E1">
        <w:rPr>
          <w:rFonts w:ascii="Times New Roman" w:hAnsi="Times New Roman" w:cs="Times New Roman"/>
          <w:sz w:val="22"/>
          <w:szCs w:val="22"/>
        </w:rPr>
        <w:t>o cual niega la capacidad para encontrar un «nosotros»"</w:t>
      </w:r>
      <w:sdt>
        <w:sdtPr>
          <w:rPr>
            <w:rFonts w:ascii="Times New Roman" w:hAnsi="Times New Roman" w:cs="Times New Roman"/>
            <w:sz w:val="22"/>
            <w:szCs w:val="22"/>
          </w:rPr>
          <w:id w:val="52668742"/>
          <w:citation/>
        </w:sdtPr>
        <w:sdtEndPr/>
        <w:sdtContent>
          <w:r w:rsidR="005E4C7B">
            <w:rPr>
              <w:rFonts w:ascii="Times New Roman" w:hAnsi="Times New Roman" w:cs="Times New Roman"/>
              <w:sz w:val="22"/>
              <w:szCs w:val="22"/>
            </w:rPr>
            <w:fldChar w:fldCharType="begin"/>
          </w:r>
          <w:r w:rsidR="005E4C7B">
            <w:rPr>
              <w:rFonts w:ascii="Times New Roman" w:hAnsi="Times New Roman" w:cs="Times New Roman"/>
              <w:sz w:val="22"/>
              <w:szCs w:val="22"/>
            </w:rPr>
            <w:instrText xml:space="preserve"> CITATION Har12 \l 3082 </w:instrText>
          </w:r>
          <w:r w:rsidR="005E4C7B">
            <w:rPr>
              <w:rFonts w:ascii="Times New Roman" w:hAnsi="Times New Roman" w:cs="Times New Roman"/>
              <w:sz w:val="22"/>
              <w:szCs w:val="22"/>
            </w:rPr>
            <w:fldChar w:fldCharType="separate"/>
          </w:r>
          <w:r w:rsidR="009B03DC">
            <w:rPr>
              <w:rFonts w:ascii="Times New Roman" w:hAnsi="Times New Roman" w:cs="Times New Roman"/>
              <w:noProof/>
              <w:sz w:val="22"/>
              <w:szCs w:val="22"/>
            </w:rPr>
            <w:t xml:space="preserve"> </w:t>
          </w:r>
          <w:r w:rsidR="009B03DC" w:rsidRPr="009B03DC">
            <w:rPr>
              <w:rFonts w:ascii="Times New Roman" w:hAnsi="Times New Roman" w:cs="Times New Roman"/>
              <w:noProof/>
              <w:sz w:val="22"/>
              <w:szCs w:val="22"/>
            </w:rPr>
            <w:t>(Haraway, 2012)</w:t>
          </w:r>
          <w:r w:rsidR="005E4C7B">
            <w:rPr>
              <w:rFonts w:ascii="Times New Roman" w:hAnsi="Times New Roman" w:cs="Times New Roman"/>
              <w:sz w:val="22"/>
              <w:szCs w:val="22"/>
            </w:rPr>
            <w:fldChar w:fldCharType="end"/>
          </w:r>
        </w:sdtContent>
      </w:sdt>
      <w:r w:rsidR="00365D83">
        <w:rPr>
          <w:rFonts w:ascii="Times New Roman" w:hAnsi="Times New Roman" w:cs="Times New Roman"/>
          <w:sz w:val="22"/>
          <w:szCs w:val="22"/>
        </w:rPr>
        <w:t xml:space="preserve">. </w:t>
      </w:r>
      <w:r w:rsidR="000D1846">
        <w:rPr>
          <w:rFonts w:ascii="Times New Roman" w:hAnsi="Times New Roman" w:cs="Times New Roman"/>
          <w:sz w:val="22"/>
          <w:szCs w:val="22"/>
        </w:rPr>
        <w:t>V</w:t>
      </w:r>
      <w:r w:rsidR="00661BF2">
        <w:rPr>
          <w:rFonts w:ascii="Times New Roman" w:hAnsi="Times New Roman" w:cs="Times New Roman"/>
          <w:sz w:val="22"/>
          <w:szCs w:val="22"/>
        </w:rPr>
        <w:t xml:space="preserve">inculando los procesos de observación de realidad social a </w:t>
      </w:r>
      <w:r w:rsidR="00661BF2">
        <w:rPr>
          <w:rFonts w:ascii="Times New Roman" w:hAnsi="Times New Roman" w:cs="Times New Roman"/>
          <w:sz w:val="22"/>
          <w:szCs w:val="22"/>
        </w:rPr>
        <w:lastRenderedPageBreak/>
        <w:t>través de la memoria y los resultados de dicha observación</w:t>
      </w:r>
      <w:r w:rsidR="000D1846">
        <w:rPr>
          <w:rFonts w:ascii="Times New Roman" w:hAnsi="Times New Roman" w:cs="Times New Roman"/>
          <w:sz w:val="22"/>
          <w:szCs w:val="22"/>
        </w:rPr>
        <w:t xml:space="preserve"> donde lo masculino guarda un espacio de superioridad a</w:t>
      </w:r>
      <w:r w:rsidR="00365D83">
        <w:rPr>
          <w:rFonts w:ascii="Times New Roman" w:hAnsi="Times New Roman" w:cs="Times New Roman"/>
          <w:sz w:val="22"/>
          <w:szCs w:val="22"/>
        </w:rPr>
        <w:t>ú</w:t>
      </w:r>
      <w:r w:rsidR="000D1846">
        <w:rPr>
          <w:rFonts w:ascii="Times New Roman" w:hAnsi="Times New Roman" w:cs="Times New Roman"/>
          <w:sz w:val="22"/>
          <w:szCs w:val="22"/>
        </w:rPr>
        <w:t>n en el proceso capitalista que reconoció al SDH</w:t>
      </w:r>
      <w:r w:rsidR="00661BF2">
        <w:rPr>
          <w:rFonts w:ascii="Times New Roman" w:hAnsi="Times New Roman" w:cs="Times New Roman"/>
          <w:sz w:val="22"/>
          <w:szCs w:val="22"/>
        </w:rPr>
        <w:t xml:space="preserve">. </w:t>
      </w:r>
    </w:p>
    <w:p w14:paraId="216F081A" w14:textId="2D10AA37" w:rsidR="00661BF2" w:rsidRPr="00B452E1" w:rsidRDefault="00661BF2" w:rsidP="008D019C">
      <w:pPr>
        <w:autoSpaceDE w:val="0"/>
        <w:autoSpaceDN w:val="0"/>
        <w:adjustRightInd w:val="0"/>
        <w:spacing w:line="360" w:lineRule="auto"/>
        <w:jc w:val="both"/>
        <w:rPr>
          <w:rFonts w:ascii="Times New Roman" w:hAnsi="Times New Roman" w:cs="Times New Roman"/>
          <w:sz w:val="22"/>
          <w:szCs w:val="22"/>
        </w:rPr>
      </w:pPr>
    </w:p>
    <w:p w14:paraId="4C0AA445" w14:textId="5D661198" w:rsidR="000D1846" w:rsidRDefault="00661BF2" w:rsidP="008D019C">
      <w:pPr>
        <w:autoSpaceDE w:val="0"/>
        <w:autoSpaceDN w:val="0"/>
        <w:adjustRightInd w:val="0"/>
        <w:spacing w:line="360" w:lineRule="auto"/>
        <w:jc w:val="both"/>
        <w:rPr>
          <w:rFonts w:ascii="Times New Roman" w:hAnsi="Times New Roman" w:cs="Times New Roman"/>
          <w:sz w:val="22"/>
          <w:szCs w:val="22"/>
        </w:rPr>
      </w:pPr>
      <w:r>
        <w:rPr>
          <w:rFonts w:ascii="Times New Roman" w:hAnsi="Times New Roman" w:cs="Times New Roman"/>
          <w:sz w:val="22"/>
          <w:szCs w:val="22"/>
        </w:rPr>
        <w:t>Identificar al sistema social dentro de procesos globales que determinan la opresión o la sumisión no obligatoria como lo hacia el sistema anterior al SDH, es a</w:t>
      </w:r>
      <w:r w:rsidR="000D1846">
        <w:rPr>
          <w:rFonts w:ascii="Times New Roman" w:hAnsi="Times New Roman" w:cs="Times New Roman"/>
          <w:sz w:val="22"/>
          <w:szCs w:val="22"/>
        </w:rPr>
        <w:t>ú</w:t>
      </w:r>
      <w:r>
        <w:rPr>
          <w:rFonts w:ascii="Times New Roman" w:hAnsi="Times New Roman" w:cs="Times New Roman"/>
          <w:sz w:val="22"/>
          <w:szCs w:val="22"/>
        </w:rPr>
        <w:t>n m</w:t>
      </w:r>
      <w:r w:rsidR="00365D83">
        <w:rPr>
          <w:rFonts w:ascii="Times New Roman" w:hAnsi="Times New Roman" w:cs="Times New Roman"/>
          <w:sz w:val="22"/>
          <w:szCs w:val="22"/>
        </w:rPr>
        <w:t>á</w:t>
      </w:r>
      <w:r>
        <w:rPr>
          <w:rFonts w:ascii="Times New Roman" w:hAnsi="Times New Roman" w:cs="Times New Roman"/>
          <w:sz w:val="22"/>
          <w:szCs w:val="22"/>
        </w:rPr>
        <w:t>s conflictivo, pues hoy que se reconoce, se difunde</w:t>
      </w:r>
      <w:r w:rsidR="00365D83">
        <w:rPr>
          <w:rFonts w:ascii="Times New Roman" w:hAnsi="Times New Roman" w:cs="Times New Roman"/>
          <w:sz w:val="22"/>
          <w:szCs w:val="22"/>
        </w:rPr>
        <w:t xml:space="preserve"> y</w:t>
      </w:r>
      <w:r>
        <w:rPr>
          <w:rFonts w:ascii="Times New Roman" w:hAnsi="Times New Roman" w:cs="Times New Roman"/>
          <w:sz w:val="22"/>
          <w:szCs w:val="22"/>
        </w:rPr>
        <w:t xml:space="preserve"> se promueve la dignidad de toda persona humana en todos los EEMM que </w:t>
      </w:r>
      <w:r w:rsidR="000D1846">
        <w:rPr>
          <w:rFonts w:ascii="Times New Roman" w:hAnsi="Times New Roman" w:cs="Times New Roman"/>
          <w:sz w:val="22"/>
          <w:szCs w:val="22"/>
        </w:rPr>
        <w:t xml:space="preserve">identifican </w:t>
      </w:r>
      <w:r>
        <w:rPr>
          <w:rFonts w:ascii="Times New Roman" w:hAnsi="Times New Roman" w:cs="Times New Roman"/>
          <w:sz w:val="22"/>
          <w:szCs w:val="22"/>
        </w:rPr>
        <w:t xml:space="preserve">la obligación de proteger derechos fundamentales por el sistema gubernamental </w:t>
      </w:r>
      <w:r w:rsidR="000D1846">
        <w:rPr>
          <w:rFonts w:ascii="Times New Roman" w:hAnsi="Times New Roman" w:cs="Times New Roman"/>
          <w:sz w:val="22"/>
          <w:szCs w:val="22"/>
        </w:rPr>
        <w:t>de cada EN, no debería de mantener su antigua fuerza los sistemas: patriarcales, hegemónicos, heteronormativos, opresores, violentos, discriminatorios, en contra de sectores de población; sin embargo, todo parece anunciar que</w:t>
      </w:r>
      <w:r w:rsidR="00365D83">
        <w:rPr>
          <w:rFonts w:ascii="Times New Roman" w:hAnsi="Times New Roman" w:cs="Times New Roman"/>
          <w:sz w:val="22"/>
          <w:szCs w:val="22"/>
        </w:rPr>
        <w:t xml:space="preserve"> el</w:t>
      </w:r>
      <w:r w:rsidR="000D1846">
        <w:rPr>
          <w:rFonts w:ascii="Times New Roman" w:hAnsi="Times New Roman" w:cs="Times New Roman"/>
          <w:sz w:val="22"/>
          <w:szCs w:val="22"/>
        </w:rPr>
        <w:t xml:space="preserve"> siglo XXI implica la observación de las fotografías tomadas de la realidad social </w:t>
      </w:r>
      <w:r w:rsidR="00365D83">
        <w:rPr>
          <w:rFonts w:ascii="Times New Roman" w:hAnsi="Times New Roman" w:cs="Times New Roman"/>
          <w:sz w:val="22"/>
          <w:szCs w:val="22"/>
        </w:rPr>
        <w:t>que no son</w:t>
      </w:r>
      <w:r w:rsidR="000D1846">
        <w:rPr>
          <w:rFonts w:ascii="Times New Roman" w:hAnsi="Times New Roman" w:cs="Times New Roman"/>
          <w:sz w:val="22"/>
          <w:szCs w:val="22"/>
        </w:rPr>
        <w:t xml:space="preserve"> reveladas con anterioridad por los medios de comunicación.</w:t>
      </w:r>
    </w:p>
    <w:p w14:paraId="4E2255DA" w14:textId="77777777" w:rsidR="000D1846" w:rsidRDefault="000D1846" w:rsidP="008D019C">
      <w:pPr>
        <w:autoSpaceDE w:val="0"/>
        <w:autoSpaceDN w:val="0"/>
        <w:adjustRightInd w:val="0"/>
        <w:spacing w:line="360" w:lineRule="auto"/>
        <w:jc w:val="both"/>
        <w:rPr>
          <w:rFonts w:ascii="Times New Roman" w:hAnsi="Times New Roman" w:cs="Times New Roman"/>
          <w:sz w:val="22"/>
          <w:szCs w:val="22"/>
        </w:rPr>
      </w:pPr>
    </w:p>
    <w:p w14:paraId="7D2E5A25" w14:textId="1F06ED5C" w:rsidR="008D019C" w:rsidRPr="00B452E1" w:rsidRDefault="000D1846" w:rsidP="008D019C">
      <w:pPr>
        <w:autoSpaceDE w:val="0"/>
        <w:autoSpaceDN w:val="0"/>
        <w:adjustRightInd w:val="0"/>
        <w:spacing w:line="360" w:lineRule="auto"/>
        <w:jc w:val="both"/>
        <w:rPr>
          <w:rFonts w:ascii="Times New Roman" w:hAnsi="Times New Roman" w:cs="Times New Roman"/>
          <w:sz w:val="22"/>
          <w:szCs w:val="22"/>
        </w:rPr>
      </w:pPr>
      <w:r>
        <w:rPr>
          <w:rFonts w:ascii="Times New Roman" w:hAnsi="Times New Roman" w:cs="Times New Roman"/>
          <w:sz w:val="22"/>
          <w:szCs w:val="22"/>
        </w:rPr>
        <w:t>En este sentido</w:t>
      </w:r>
      <w:r w:rsidR="00365D83">
        <w:rPr>
          <w:rFonts w:ascii="Times New Roman" w:hAnsi="Times New Roman" w:cs="Times New Roman"/>
          <w:sz w:val="22"/>
          <w:szCs w:val="22"/>
        </w:rPr>
        <w:t>,</w:t>
      </w:r>
      <w:r>
        <w:rPr>
          <w:rFonts w:ascii="Times New Roman" w:hAnsi="Times New Roman" w:cs="Times New Roman"/>
          <w:sz w:val="22"/>
          <w:szCs w:val="22"/>
        </w:rPr>
        <w:t xml:space="preserve"> u</w:t>
      </w:r>
      <w:r w:rsidR="008D019C" w:rsidRPr="00B452E1">
        <w:rPr>
          <w:rFonts w:ascii="Times New Roman" w:hAnsi="Times New Roman" w:cs="Times New Roman"/>
          <w:sz w:val="22"/>
          <w:szCs w:val="22"/>
        </w:rPr>
        <w:t xml:space="preserve">na de las innovaciones de la teoría feminista en las últimas décadas ha sido la consolidación de la categoría de género como herramienta de análisis para comprender los procesos de desigualdad entre mujeres y </w:t>
      </w:r>
      <w:r w:rsidR="00365D83">
        <w:rPr>
          <w:rFonts w:ascii="Times New Roman" w:hAnsi="Times New Roman" w:cs="Times New Roman"/>
          <w:sz w:val="22"/>
          <w:szCs w:val="22"/>
        </w:rPr>
        <w:t>hombres</w:t>
      </w:r>
      <w:r>
        <w:rPr>
          <w:rFonts w:ascii="Times New Roman" w:hAnsi="Times New Roman" w:cs="Times New Roman"/>
          <w:sz w:val="22"/>
          <w:szCs w:val="22"/>
        </w:rPr>
        <w:t xml:space="preserve">, comprendiendo que el género es un concepto en construcción </w:t>
      </w:r>
      <w:proofErr w:type="gramStart"/>
      <w:r>
        <w:rPr>
          <w:rFonts w:ascii="Times New Roman" w:hAnsi="Times New Roman" w:cs="Times New Roman"/>
          <w:sz w:val="22"/>
          <w:szCs w:val="22"/>
        </w:rPr>
        <w:t>y</w:t>
      </w:r>
      <w:proofErr w:type="gramEnd"/>
      <w:r>
        <w:rPr>
          <w:rFonts w:ascii="Times New Roman" w:hAnsi="Times New Roman" w:cs="Times New Roman"/>
          <w:sz w:val="22"/>
          <w:szCs w:val="22"/>
        </w:rPr>
        <w:t xml:space="preserve"> por lo tanto</w:t>
      </w:r>
      <w:r w:rsidR="00365D83">
        <w:rPr>
          <w:rFonts w:ascii="Times New Roman" w:hAnsi="Times New Roman" w:cs="Times New Roman"/>
          <w:sz w:val="22"/>
          <w:szCs w:val="22"/>
        </w:rPr>
        <w:t>,</w:t>
      </w:r>
      <w:r>
        <w:rPr>
          <w:rFonts w:ascii="Times New Roman" w:hAnsi="Times New Roman" w:cs="Times New Roman"/>
          <w:sz w:val="22"/>
          <w:szCs w:val="22"/>
        </w:rPr>
        <w:t xml:space="preserve"> ha tenido evolución dentro de los espacios teóricos y también en los espacios de la política internacional en materia de derechos humanos</w:t>
      </w:r>
      <w:r w:rsidR="008D019C" w:rsidRPr="00B452E1">
        <w:rPr>
          <w:rFonts w:ascii="Times New Roman" w:hAnsi="Times New Roman" w:cs="Times New Roman"/>
          <w:sz w:val="22"/>
          <w:szCs w:val="22"/>
        </w:rPr>
        <w:t>.</w:t>
      </w:r>
      <w:r>
        <w:rPr>
          <w:rFonts w:ascii="Times New Roman" w:hAnsi="Times New Roman" w:cs="Times New Roman"/>
          <w:sz w:val="22"/>
          <w:szCs w:val="22"/>
        </w:rPr>
        <w:t xml:space="preserve"> Reuniendo los modelos teóricos de la concepción del género y los espacios sociales que marcan la ausencia de una realidad de protección de derechos humanos e igualdad entre las personas es posible reconocer que:</w:t>
      </w:r>
    </w:p>
    <w:p w14:paraId="76454296" w14:textId="2E8B4B22" w:rsidR="008D019C" w:rsidRDefault="00365D83" w:rsidP="00661BF2">
      <w:pPr>
        <w:autoSpaceDE w:val="0"/>
        <w:autoSpaceDN w:val="0"/>
        <w:adjustRightInd w:val="0"/>
        <w:spacing w:line="360" w:lineRule="auto"/>
        <w:ind w:left="708"/>
        <w:jc w:val="both"/>
        <w:rPr>
          <w:rFonts w:ascii="Times New Roman" w:hAnsi="Times New Roman" w:cs="Times New Roman"/>
          <w:sz w:val="22"/>
          <w:szCs w:val="22"/>
        </w:rPr>
      </w:pPr>
      <w:r>
        <w:rPr>
          <w:rFonts w:ascii="Times New Roman" w:hAnsi="Times New Roman" w:cs="Times New Roman"/>
          <w:sz w:val="22"/>
          <w:szCs w:val="22"/>
        </w:rPr>
        <w:t>E</w:t>
      </w:r>
      <w:r w:rsidR="008D019C" w:rsidRPr="00B452E1">
        <w:rPr>
          <w:rFonts w:ascii="Times New Roman" w:hAnsi="Times New Roman" w:cs="Times New Roman"/>
          <w:sz w:val="22"/>
          <w:szCs w:val="22"/>
        </w:rPr>
        <w:t>l género es, en sí mismo, una categoría de análisis muy importante y en modo alguno deberíamos paralizarnos por el hecho de existan diferencias</w:t>
      </w:r>
      <w:r w:rsidR="000D1846">
        <w:rPr>
          <w:rFonts w:ascii="Times New Roman" w:hAnsi="Times New Roman" w:cs="Times New Roman"/>
          <w:sz w:val="22"/>
          <w:szCs w:val="22"/>
        </w:rPr>
        <w:t xml:space="preserve">… </w:t>
      </w:r>
      <w:r w:rsidR="008D019C" w:rsidRPr="00B452E1">
        <w:rPr>
          <w:rFonts w:ascii="Times New Roman" w:hAnsi="Times New Roman" w:cs="Times New Roman"/>
          <w:sz w:val="22"/>
          <w:szCs w:val="22"/>
        </w:rPr>
        <w:t xml:space="preserve">En todos los lugares, en todas las clases, en todas las razas y en todas las culturas encontramos similitudes en los rasgos característicos de </w:t>
      </w:r>
      <w:r w:rsidR="000D1846">
        <w:rPr>
          <w:rFonts w:ascii="Times New Roman" w:hAnsi="Times New Roman" w:cs="Times New Roman"/>
          <w:sz w:val="22"/>
          <w:szCs w:val="22"/>
        </w:rPr>
        <w:t>…</w:t>
      </w:r>
      <w:r w:rsidR="008D019C" w:rsidRPr="00B452E1">
        <w:rPr>
          <w:rFonts w:ascii="Times New Roman" w:hAnsi="Times New Roman" w:cs="Times New Roman"/>
          <w:sz w:val="22"/>
          <w:szCs w:val="22"/>
        </w:rPr>
        <w:t xml:space="preserve"> desigualdades, así como en lo relativo a sus causas y sus efectos, aunque a menudo su magnitud o su gravedad difieran. (</w:t>
      </w:r>
      <w:proofErr w:type="spellStart"/>
      <w:r w:rsidR="008D019C" w:rsidRPr="00B452E1">
        <w:rPr>
          <w:rFonts w:ascii="Times New Roman" w:hAnsi="Times New Roman" w:cs="Times New Roman"/>
          <w:sz w:val="22"/>
          <w:szCs w:val="22"/>
        </w:rPr>
        <w:t>Murugó</w:t>
      </w:r>
      <w:proofErr w:type="spellEnd"/>
      <w:r w:rsidR="008D019C" w:rsidRPr="00B452E1">
        <w:rPr>
          <w:rFonts w:ascii="Times New Roman" w:hAnsi="Times New Roman" w:cs="Times New Roman"/>
          <w:sz w:val="22"/>
          <w:szCs w:val="22"/>
        </w:rPr>
        <w:t>, 1996, pág. 384)</w:t>
      </w:r>
    </w:p>
    <w:p w14:paraId="1898CE1E" w14:textId="77777777" w:rsidR="008B7C5B" w:rsidRDefault="008B7C5B" w:rsidP="008B7C5B">
      <w:pPr>
        <w:autoSpaceDE w:val="0"/>
        <w:autoSpaceDN w:val="0"/>
        <w:adjustRightInd w:val="0"/>
        <w:spacing w:line="360" w:lineRule="auto"/>
        <w:jc w:val="both"/>
        <w:rPr>
          <w:rFonts w:ascii="Times New Roman" w:hAnsi="Times New Roman" w:cs="Times New Roman"/>
          <w:sz w:val="22"/>
          <w:szCs w:val="22"/>
        </w:rPr>
      </w:pPr>
    </w:p>
    <w:p w14:paraId="2FC42FAF" w14:textId="701B4ADD" w:rsidR="008B7C5B" w:rsidRPr="00B452E1" w:rsidRDefault="008B7C5B" w:rsidP="008B7C5B">
      <w:pPr>
        <w:autoSpaceDE w:val="0"/>
        <w:autoSpaceDN w:val="0"/>
        <w:adjustRightInd w:val="0"/>
        <w:spacing w:line="360" w:lineRule="auto"/>
        <w:jc w:val="both"/>
        <w:rPr>
          <w:rFonts w:ascii="Times New Roman" w:hAnsi="Times New Roman" w:cs="Times New Roman"/>
          <w:sz w:val="22"/>
          <w:szCs w:val="22"/>
        </w:rPr>
      </w:pPr>
      <w:r>
        <w:rPr>
          <w:rFonts w:ascii="Times New Roman" w:hAnsi="Times New Roman" w:cs="Times New Roman"/>
          <w:sz w:val="22"/>
          <w:szCs w:val="22"/>
        </w:rPr>
        <w:t xml:space="preserve">Derivado de lo anterior y aplicable al SDH en el sistema político internacional en materia de derechos humanos, se </w:t>
      </w:r>
      <w:r w:rsidRPr="00B452E1">
        <w:rPr>
          <w:rFonts w:ascii="Times New Roman" w:hAnsi="Times New Roman" w:cs="Times New Roman"/>
          <w:sz w:val="22"/>
          <w:szCs w:val="22"/>
        </w:rPr>
        <w:t xml:space="preserve">comprende el género por tres elementos </w:t>
      </w:r>
      <w:r w:rsidR="005E4C7B">
        <w:rPr>
          <w:rFonts w:ascii="Times New Roman" w:hAnsi="Times New Roman" w:cs="Times New Roman"/>
          <w:sz w:val="22"/>
          <w:szCs w:val="22"/>
        </w:rPr>
        <w:t xml:space="preserve">ineludibles: </w:t>
      </w:r>
      <w:r w:rsidRPr="00B452E1">
        <w:rPr>
          <w:rFonts w:ascii="Times New Roman" w:hAnsi="Times New Roman" w:cs="Times New Roman"/>
          <w:sz w:val="22"/>
          <w:szCs w:val="22"/>
        </w:rPr>
        <w:t>identidad de género, orientación sexual, expresión de genero</w:t>
      </w:r>
      <w:r w:rsidR="005E4C7B">
        <w:rPr>
          <w:rFonts w:ascii="Times New Roman" w:hAnsi="Times New Roman" w:cs="Times New Roman"/>
          <w:sz w:val="22"/>
          <w:szCs w:val="22"/>
        </w:rPr>
        <w:t>,</w:t>
      </w:r>
      <w:r w:rsidRPr="00B452E1">
        <w:rPr>
          <w:rFonts w:ascii="Times New Roman" w:hAnsi="Times New Roman" w:cs="Times New Roman"/>
          <w:sz w:val="22"/>
          <w:szCs w:val="22"/>
        </w:rPr>
        <w:t xml:space="preserve"> qué son parte de todo ser humano, evidentemente también de la mujer, pero entonces aquí vamos descubriendo que no es lo mismo las violencias que se reciben por parte del grupo humano en su género, a partir de su identidad de género, orientación sexual y expresión de género, </w:t>
      </w:r>
      <w:r w:rsidR="00365D83">
        <w:rPr>
          <w:rFonts w:ascii="Times New Roman" w:hAnsi="Times New Roman" w:cs="Times New Roman"/>
          <w:sz w:val="22"/>
          <w:szCs w:val="22"/>
        </w:rPr>
        <w:t xml:space="preserve">y </w:t>
      </w:r>
      <w:r w:rsidRPr="00B452E1">
        <w:rPr>
          <w:rFonts w:ascii="Times New Roman" w:hAnsi="Times New Roman" w:cs="Times New Roman"/>
          <w:sz w:val="22"/>
          <w:szCs w:val="22"/>
        </w:rPr>
        <w:t>que no tiene relación directa sólo con el colectivo LGBT+, es decir, no solamente las personas con una orientación sexual diversa a la heterosexual, o común, o con una identidad diversa a la normalizada, van a tener estos elementos sino que todo ser humano dependiendo de su categorización física, biológica, endocrina, hormonal, etc</w:t>
      </w:r>
      <w:r>
        <w:rPr>
          <w:rFonts w:ascii="Times New Roman" w:hAnsi="Times New Roman" w:cs="Times New Roman"/>
          <w:sz w:val="22"/>
          <w:szCs w:val="22"/>
        </w:rPr>
        <w:t>.</w:t>
      </w:r>
      <w:r w:rsidRPr="00B452E1">
        <w:rPr>
          <w:rFonts w:ascii="Times New Roman" w:hAnsi="Times New Roman" w:cs="Times New Roman"/>
          <w:sz w:val="22"/>
          <w:szCs w:val="22"/>
        </w:rPr>
        <w:t>, tiene estos tres elementos y que a partir de ahí</w:t>
      </w:r>
      <w:r w:rsidR="00365D83">
        <w:rPr>
          <w:rFonts w:ascii="Times New Roman" w:hAnsi="Times New Roman" w:cs="Times New Roman"/>
          <w:sz w:val="22"/>
          <w:szCs w:val="22"/>
        </w:rPr>
        <w:t>,</w:t>
      </w:r>
      <w:r w:rsidRPr="00B452E1">
        <w:rPr>
          <w:rFonts w:ascii="Times New Roman" w:hAnsi="Times New Roman" w:cs="Times New Roman"/>
          <w:sz w:val="22"/>
          <w:szCs w:val="22"/>
        </w:rPr>
        <w:t xml:space="preserve"> hay un sentido de opresión doble; desde lo femenino </w:t>
      </w:r>
      <w:r>
        <w:rPr>
          <w:rFonts w:ascii="Times New Roman" w:hAnsi="Times New Roman" w:cs="Times New Roman"/>
          <w:sz w:val="22"/>
          <w:szCs w:val="22"/>
        </w:rPr>
        <w:t xml:space="preserve">en relación a lo </w:t>
      </w:r>
      <w:r w:rsidRPr="00B452E1">
        <w:rPr>
          <w:rFonts w:ascii="Times New Roman" w:hAnsi="Times New Roman" w:cs="Times New Roman"/>
          <w:sz w:val="22"/>
          <w:szCs w:val="22"/>
        </w:rPr>
        <w:t>masculino</w:t>
      </w:r>
      <w:r>
        <w:rPr>
          <w:rFonts w:ascii="Times New Roman" w:hAnsi="Times New Roman" w:cs="Times New Roman"/>
          <w:sz w:val="22"/>
          <w:szCs w:val="22"/>
        </w:rPr>
        <w:t xml:space="preserve">, </w:t>
      </w:r>
      <w:r w:rsidRPr="00B452E1">
        <w:rPr>
          <w:rFonts w:ascii="Times New Roman" w:hAnsi="Times New Roman" w:cs="Times New Roman"/>
          <w:sz w:val="22"/>
          <w:szCs w:val="22"/>
        </w:rPr>
        <w:t>y desde la estructura del colectivo a partir de cómo vamos observando, entonces sí, las orientaciones diversas a la heterosexual y las identidades diversas a la heterosexual, implica que vayamos a ver cómo los organismos internacionales están funcionando desde documentos internacionales</w:t>
      </w:r>
      <w:r>
        <w:rPr>
          <w:rFonts w:ascii="Times New Roman" w:hAnsi="Times New Roman" w:cs="Times New Roman"/>
          <w:sz w:val="22"/>
          <w:szCs w:val="22"/>
        </w:rPr>
        <w:t xml:space="preserve"> para construir la perspectiva de género, considerando al género como un grupo vulnerable</w:t>
      </w:r>
      <w:r w:rsidRPr="00B452E1">
        <w:rPr>
          <w:rFonts w:ascii="Times New Roman" w:hAnsi="Times New Roman" w:cs="Times New Roman"/>
          <w:sz w:val="22"/>
          <w:szCs w:val="22"/>
        </w:rPr>
        <w:t>.</w:t>
      </w:r>
    </w:p>
    <w:p w14:paraId="5A186C27" w14:textId="28E045D2" w:rsidR="008D019C" w:rsidRDefault="008D019C" w:rsidP="008D019C">
      <w:pPr>
        <w:autoSpaceDE w:val="0"/>
        <w:autoSpaceDN w:val="0"/>
        <w:adjustRightInd w:val="0"/>
        <w:spacing w:line="360" w:lineRule="auto"/>
        <w:jc w:val="both"/>
        <w:rPr>
          <w:rFonts w:ascii="Times New Roman" w:hAnsi="Times New Roman" w:cs="Times New Roman"/>
          <w:sz w:val="22"/>
          <w:szCs w:val="22"/>
        </w:rPr>
      </w:pPr>
    </w:p>
    <w:p w14:paraId="3EE34468" w14:textId="77777777" w:rsidR="008B7C5B" w:rsidRPr="00B452E1" w:rsidRDefault="008B7C5B" w:rsidP="008D019C">
      <w:pPr>
        <w:autoSpaceDE w:val="0"/>
        <w:autoSpaceDN w:val="0"/>
        <w:adjustRightInd w:val="0"/>
        <w:spacing w:line="360" w:lineRule="auto"/>
        <w:jc w:val="both"/>
        <w:rPr>
          <w:rFonts w:ascii="Times New Roman" w:hAnsi="Times New Roman" w:cs="Times New Roman"/>
          <w:sz w:val="22"/>
          <w:szCs w:val="22"/>
        </w:rPr>
      </w:pPr>
    </w:p>
    <w:p w14:paraId="2EF24FA1" w14:textId="47BCC98E" w:rsidR="005E4C7B" w:rsidRPr="00365D83" w:rsidRDefault="005E4C7B" w:rsidP="00365D83">
      <w:pPr>
        <w:pStyle w:val="Prrafodelista"/>
        <w:numPr>
          <w:ilvl w:val="0"/>
          <w:numId w:val="5"/>
        </w:numPr>
        <w:autoSpaceDE w:val="0"/>
        <w:autoSpaceDN w:val="0"/>
        <w:adjustRightInd w:val="0"/>
        <w:spacing w:line="360" w:lineRule="auto"/>
        <w:jc w:val="center"/>
        <w:rPr>
          <w:rFonts w:ascii="Times New Roman" w:hAnsi="Times New Roman" w:cs="Times New Roman"/>
          <w:b/>
          <w:bCs/>
          <w:sz w:val="22"/>
          <w:szCs w:val="22"/>
        </w:rPr>
      </w:pPr>
      <w:r w:rsidRPr="00EE7258">
        <w:rPr>
          <w:rFonts w:ascii="Times New Roman" w:hAnsi="Times New Roman" w:cs="Times New Roman"/>
          <w:b/>
          <w:bCs/>
          <w:sz w:val="22"/>
          <w:szCs w:val="22"/>
        </w:rPr>
        <w:t>Interseccionalidad como herramienta para minimizar la desigualdad del género en el sistema internacional.</w:t>
      </w:r>
    </w:p>
    <w:p w14:paraId="4F1BADD7" w14:textId="1629A41E" w:rsidR="005E4C7B" w:rsidRDefault="005E4C7B" w:rsidP="005E4C7B">
      <w:pPr>
        <w:autoSpaceDE w:val="0"/>
        <w:autoSpaceDN w:val="0"/>
        <w:adjustRightInd w:val="0"/>
        <w:spacing w:line="360" w:lineRule="auto"/>
        <w:jc w:val="both"/>
        <w:rPr>
          <w:rFonts w:ascii="Times New Roman" w:hAnsi="Times New Roman" w:cs="Times New Roman"/>
          <w:sz w:val="22"/>
          <w:szCs w:val="22"/>
        </w:rPr>
      </w:pPr>
      <w:r w:rsidRPr="00B452E1">
        <w:rPr>
          <w:rFonts w:ascii="Times New Roman" w:hAnsi="Times New Roman" w:cs="Times New Roman"/>
          <w:sz w:val="22"/>
          <w:szCs w:val="22"/>
        </w:rPr>
        <w:t>Como formas de impedimento y conflicto epistémico del género derivan la intersección e interseccionalidad; ambas figuras como metodologías estructurales dentro de las ciencias sociales</w:t>
      </w:r>
      <w:r>
        <w:rPr>
          <w:rFonts w:ascii="Times New Roman" w:hAnsi="Times New Roman" w:cs="Times New Roman"/>
          <w:sz w:val="22"/>
          <w:szCs w:val="22"/>
        </w:rPr>
        <w:t xml:space="preserve"> utilizadas para la observación de la sectorización de las poblaciones a nivel mundial y sobretodo la identificación de las desigualdades biológicas, culturales, educativas, filosóficas, religiosas, eugenésicas, lingüísticas y de género de los seres humanos</w:t>
      </w:r>
      <w:r w:rsidRPr="00B452E1">
        <w:rPr>
          <w:rFonts w:ascii="Times New Roman" w:hAnsi="Times New Roman" w:cs="Times New Roman"/>
          <w:sz w:val="22"/>
          <w:szCs w:val="22"/>
        </w:rPr>
        <w:t xml:space="preserve">. </w:t>
      </w:r>
    </w:p>
    <w:p w14:paraId="5689D18A" w14:textId="77777777" w:rsidR="000E16F6" w:rsidRPr="00B452E1" w:rsidRDefault="000E16F6" w:rsidP="005E4C7B">
      <w:pPr>
        <w:autoSpaceDE w:val="0"/>
        <w:autoSpaceDN w:val="0"/>
        <w:adjustRightInd w:val="0"/>
        <w:spacing w:line="360" w:lineRule="auto"/>
        <w:jc w:val="both"/>
        <w:rPr>
          <w:rFonts w:ascii="Times New Roman" w:hAnsi="Times New Roman" w:cs="Times New Roman"/>
          <w:sz w:val="22"/>
          <w:szCs w:val="22"/>
        </w:rPr>
      </w:pPr>
    </w:p>
    <w:p w14:paraId="755EFA51" w14:textId="2E55BDCC" w:rsidR="009A4551" w:rsidRDefault="005E4C7B" w:rsidP="005E4C7B">
      <w:pPr>
        <w:autoSpaceDE w:val="0"/>
        <w:autoSpaceDN w:val="0"/>
        <w:adjustRightInd w:val="0"/>
        <w:spacing w:line="360" w:lineRule="auto"/>
        <w:jc w:val="both"/>
        <w:rPr>
          <w:rFonts w:ascii="Times New Roman" w:hAnsi="Times New Roman" w:cs="Times New Roman"/>
          <w:sz w:val="22"/>
          <w:szCs w:val="22"/>
        </w:rPr>
      </w:pPr>
      <w:r w:rsidRPr="00B452E1">
        <w:rPr>
          <w:rFonts w:ascii="Times New Roman" w:hAnsi="Times New Roman" w:cs="Times New Roman"/>
          <w:sz w:val="22"/>
          <w:szCs w:val="22"/>
        </w:rPr>
        <w:t xml:space="preserve">La intersección </w:t>
      </w:r>
      <w:r>
        <w:rPr>
          <w:rFonts w:ascii="Times New Roman" w:hAnsi="Times New Roman" w:cs="Times New Roman"/>
          <w:sz w:val="22"/>
          <w:szCs w:val="22"/>
        </w:rPr>
        <w:t>de conformidad con Lugones “</w:t>
      </w:r>
      <w:r w:rsidRPr="00B452E1">
        <w:rPr>
          <w:rFonts w:ascii="Times New Roman" w:hAnsi="Times New Roman" w:cs="Times New Roman"/>
          <w:sz w:val="22"/>
          <w:szCs w:val="22"/>
        </w:rPr>
        <w:t>es el mecanismo de control, inmovilización y desconexión, que estabilizan las relaciones sociales, fragmentando en categorías hegemónicas y creando posiciones fijas</w:t>
      </w:r>
      <w:r>
        <w:rPr>
          <w:rFonts w:ascii="Times New Roman" w:hAnsi="Times New Roman" w:cs="Times New Roman"/>
          <w:sz w:val="22"/>
          <w:szCs w:val="22"/>
        </w:rPr>
        <w:t>”</w:t>
      </w:r>
      <w:r w:rsidRPr="00B452E1">
        <w:rPr>
          <w:rFonts w:ascii="Times New Roman" w:hAnsi="Times New Roman" w:cs="Times New Roman"/>
          <w:sz w:val="22"/>
          <w:szCs w:val="22"/>
        </w:rPr>
        <w:t xml:space="preserve">. </w:t>
      </w:r>
      <w:sdt>
        <w:sdtPr>
          <w:rPr>
            <w:rFonts w:ascii="Times New Roman" w:hAnsi="Times New Roman" w:cs="Times New Roman"/>
            <w:sz w:val="22"/>
            <w:szCs w:val="22"/>
          </w:rPr>
          <w:id w:val="1973550608"/>
          <w:citation/>
        </w:sdtPr>
        <w:sdtEndPr/>
        <w:sdtContent>
          <w:r>
            <w:rPr>
              <w:rFonts w:ascii="Times New Roman" w:hAnsi="Times New Roman" w:cs="Times New Roman"/>
              <w:sz w:val="22"/>
              <w:szCs w:val="22"/>
            </w:rPr>
            <w:fldChar w:fldCharType="begin"/>
          </w:r>
          <w:r>
            <w:rPr>
              <w:rFonts w:ascii="Times New Roman" w:hAnsi="Times New Roman" w:cs="Times New Roman"/>
              <w:sz w:val="22"/>
              <w:szCs w:val="22"/>
            </w:rPr>
            <w:instrText xml:space="preserve"> CITATION Lug05 \l 3082 </w:instrText>
          </w:r>
          <w:r>
            <w:rPr>
              <w:rFonts w:ascii="Times New Roman" w:hAnsi="Times New Roman" w:cs="Times New Roman"/>
              <w:sz w:val="22"/>
              <w:szCs w:val="22"/>
            </w:rPr>
            <w:fldChar w:fldCharType="separate"/>
          </w:r>
          <w:r w:rsidR="009B03DC" w:rsidRPr="009B03DC">
            <w:rPr>
              <w:rFonts w:ascii="Times New Roman" w:hAnsi="Times New Roman" w:cs="Times New Roman"/>
              <w:noProof/>
              <w:sz w:val="22"/>
              <w:szCs w:val="22"/>
            </w:rPr>
            <w:t>(Lugones, 2005)</w:t>
          </w:r>
          <w:r>
            <w:rPr>
              <w:rFonts w:ascii="Times New Roman" w:hAnsi="Times New Roman" w:cs="Times New Roman"/>
              <w:sz w:val="22"/>
              <w:szCs w:val="22"/>
            </w:rPr>
            <w:fldChar w:fldCharType="end"/>
          </w:r>
        </w:sdtContent>
      </w:sdt>
      <w:r w:rsidR="000E16F6">
        <w:rPr>
          <w:rFonts w:ascii="Times New Roman" w:hAnsi="Times New Roman" w:cs="Times New Roman"/>
          <w:sz w:val="22"/>
          <w:szCs w:val="22"/>
        </w:rPr>
        <w:t>,</w:t>
      </w:r>
      <w:r w:rsidR="00EF7E6D">
        <w:rPr>
          <w:rFonts w:ascii="Times New Roman" w:hAnsi="Times New Roman" w:cs="Times New Roman"/>
          <w:sz w:val="22"/>
          <w:szCs w:val="22"/>
        </w:rPr>
        <w:t xml:space="preserve"> </w:t>
      </w:r>
      <w:r w:rsidR="000E16F6">
        <w:rPr>
          <w:rFonts w:ascii="Times New Roman" w:hAnsi="Times New Roman" w:cs="Times New Roman"/>
          <w:sz w:val="22"/>
          <w:szCs w:val="22"/>
        </w:rPr>
        <w:t>m</w:t>
      </w:r>
      <w:r w:rsidRPr="00B452E1">
        <w:rPr>
          <w:rFonts w:ascii="Times New Roman" w:hAnsi="Times New Roman" w:cs="Times New Roman"/>
          <w:sz w:val="22"/>
          <w:szCs w:val="22"/>
        </w:rPr>
        <w:t xml:space="preserve">ientras que la interseccionalidad </w:t>
      </w:r>
      <w:proofErr w:type="gramStart"/>
      <w:r>
        <w:rPr>
          <w:rFonts w:ascii="Times New Roman" w:hAnsi="Times New Roman" w:cs="Times New Roman"/>
          <w:sz w:val="22"/>
          <w:szCs w:val="22"/>
        </w:rPr>
        <w:t>de acuerdo a</w:t>
      </w:r>
      <w:proofErr w:type="gramEnd"/>
      <w:r>
        <w:rPr>
          <w:rFonts w:ascii="Times New Roman" w:hAnsi="Times New Roman" w:cs="Times New Roman"/>
          <w:sz w:val="22"/>
          <w:szCs w:val="22"/>
        </w:rPr>
        <w:t xml:space="preserve"> </w:t>
      </w:r>
      <w:r w:rsidRPr="00B452E1">
        <w:rPr>
          <w:rFonts w:ascii="Times New Roman" w:hAnsi="Times New Roman" w:cs="Times New Roman"/>
          <w:sz w:val="22"/>
          <w:szCs w:val="22"/>
        </w:rPr>
        <w:t xml:space="preserve">Crenshaw, </w:t>
      </w:r>
      <w:r>
        <w:rPr>
          <w:rFonts w:ascii="Times New Roman" w:hAnsi="Times New Roman" w:cs="Times New Roman"/>
          <w:sz w:val="22"/>
          <w:szCs w:val="22"/>
        </w:rPr>
        <w:t>quien analiza</w:t>
      </w:r>
      <w:r w:rsidR="00630275">
        <w:rPr>
          <w:rFonts w:ascii="Times New Roman" w:hAnsi="Times New Roman" w:cs="Times New Roman"/>
          <w:sz w:val="22"/>
          <w:szCs w:val="22"/>
        </w:rPr>
        <w:t xml:space="preserve"> este concepto </w:t>
      </w:r>
      <w:r>
        <w:rPr>
          <w:rFonts w:ascii="Times New Roman" w:hAnsi="Times New Roman" w:cs="Times New Roman"/>
          <w:sz w:val="22"/>
          <w:szCs w:val="22"/>
        </w:rPr>
        <w:t xml:space="preserve">desde </w:t>
      </w:r>
      <w:r w:rsidR="00630275">
        <w:rPr>
          <w:rFonts w:ascii="Times New Roman" w:hAnsi="Times New Roman" w:cs="Times New Roman"/>
          <w:sz w:val="22"/>
          <w:szCs w:val="22"/>
        </w:rPr>
        <w:t>la raza, el g</w:t>
      </w:r>
      <w:r w:rsidR="000E16F6">
        <w:rPr>
          <w:rFonts w:ascii="Times New Roman" w:hAnsi="Times New Roman" w:cs="Times New Roman"/>
          <w:sz w:val="22"/>
          <w:szCs w:val="22"/>
        </w:rPr>
        <w:t>é</w:t>
      </w:r>
      <w:r w:rsidR="00630275">
        <w:rPr>
          <w:rFonts w:ascii="Times New Roman" w:hAnsi="Times New Roman" w:cs="Times New Roman"/>
          <w:sz w:val="22"/>
          <w:szCs w:val="22"/>
        </w:rPr>
        <w:t xml:space="preserve">nero y la clase </w:t>
      </w:r>
      <w:r w:rsidR="00EF7E6D">
        <w:rPr>
          <w:rFonts w:ascii="Times New Roman" w:hAnsi="Times New Roman" w:cs="Times New Roman"/>
          <w:sz w:val="22"/>
          <w:szCs w:val="22"/>
        </w:rPr>
        <w:t xml:space="preserve">la considera </w:t>
      </w:r>
      <w:r w:rsidR="00630275">
        <w:rPr>
          <w:rFonts w:ascii="Times New Roman" w:hAnsi="Times New Roman" w:cs="Times New Roman"/>
          <w:sz w:val="22"/>
          <w:szCs w:val="22"/>
        </w:rPr>
        <w:t>como</w:t>
      </w:r>
      <w:r w:rsidRPr="00B452E1">
        <w:rPr>
          <w:rFonts w:ascii="Times New Roman" w:hAnsi="Times New Roman" w:cs="Times New Roman"/>
          <w:sz w:val="22"/>
          <w:szCs w:val="22"/>
        </w:rPr>
        <w:t xml:space="preserve"> </w:t>
      </w:r>
      <w:r w:rsidR="00630275">
        <w:rPr>
          <w:rFonts w:ascii="Times New Roman" w:hAnsi="Times New Roman" w:cs="Times New Roman"/>
          <w:sz w:val="22"/>
          <w:szCs w:val="22"/>
        </w:rPr>
        <w:t>“</w:t>
      </w:r>
      <w:r w:rsidRPr="00B452E1">
        <w:rPr>
          <w:rFonts w:ascii="Times New Roman" w:hAnsi="Times New Roman" w:cs="Times New Roman"/>
          <w:sz w:val="22"/>
          <w:szCs w:val="22"/>
        </w:rPr>
        <w:t>el fenómeno por el cual cada individuo sufre opresión u ostenta privilegio con base en su pertenencia a múltiples categorías sociales</w:t>
      </w:r>
      <w:r w:rsidR="00EF7E6D">
        <w:rPr>
          <w:rFonts w:ascii="Times New Roman" w:hAnsi="Times New Roman" w:cs="Times New Roman"/>
          <w:sz w:val="22"/>
          <w:szCs w:val="22"/>
        </w:rPr>
        <w:t>”</w:t>
      </w:r>
      <w:r w:rsidR="009A4551">
        <w:rPr>
          <w:rFonts w:ascii="Times New Roman" w:hAnsi="Times New Roman" w:cs="Times New Roman"/>
          <w:sz w:val="22"/>
          <w:szCs w:val="22"/>
        </w:rPr>
        <w:t xml:space="preserve"> </w:t>
      </w:r>
      <w:sdt>
        <w:sdtPr>
          <w:rPr>
            <w:rFonts w:ascii="Times New Roman" w:hAnsi="Times New Roman" w:cs="Times New Roman"/>
            <w:sz w:val="22"/>
            <w:szCs w:val="22"/>
          </w:rPr>
          <w:id w:val="-1469505446"/>
          <w:citation/>
        </w:sdtPr>
        <w:sdtContent>
          <w:r w:rsidR="000E16F6">
            <w:rPr>
              <w:rFonts w:ascii="Times New Roman" w:hAnsi="Times New Roman" w:cs="Times New Roman"/>
              <w:sz w:val="22"/>
              <w:szCs w:val="22"/>
            </w:rPr>
            <w:fldChar w:fldCharType="begin"/>
          </w:r>
          <w:r w:rsidR="000E16F6">
            <w:rPr>
              <w:rFonts w:ascii="Times New Roman" w:hAnsi="Times New Roman" w:cs="Times New Roman"/>
              <w:sz w:val="22"/>
              <w:szCs w:val="22"/>
            </w:rPr>
            <w:instrText xml:space="preserve"> CITATION Wil12 \l 3082 </w:instrText>
          </w:r>
          <w:r w:rsidR="000E16F6">
            <w:rPr>
              <w:rFonts w:ascii="Times New Roman" w:hAnsi="Times New Roman" w:cs="Times New Roman"/>
              <w:sz w:val="22"/>
              <w:szCs w:val="22"/>
            </w:rPr>
            <w:fldChar w:fldCharType="separate"/>
          </w:r>
          <w:r w:rsidR="000E16F6" w:rsidRPr="009B03DC">
            <w:rPr>
              <w:rFonts w:ascii="Times New Roman" w:hAnsi="Times New Roman" w:cs="Times New Roman"/>
              <w:noProof/>
              <w:sz w:val="22"/>
              <w:szCs w:val="22"/>
            </w:rPr>
            <w:t>(Williams, 2012)</w:t>
          </w:r>
          <w:r w:rsidR="000E16F6">
            <w:rPr>
              <w:rFonts w:ascii="Times New Roman" w:hAnsi="Times New Roman" w:cs="Times New Roman"/>
              <w:sz w:val="22"/>
              <w:szCs w:val="22"/>
            </w:rPr>
            <w:fldChar w:fldCharType="end"/>
          </w:r>
        </w:sdtContent>
      </w:sdt>
      <w:r w:rsidR="000E16F6">
        <w:rPr>
          <w:rFonts w:ascii="Times New Roman" w:hAnsi="Times New Roman" w:cs="Times New Roman"/>
          <w:sz w:val="22"/>
          <w:szCs w:val="22"/>
        </w:rPr>
        <w:t xml:space="preserve"> </w:t>
      </w:r>
      <w:r w:rsidR="009A4551">
        <w:rPr>
          <w:rFonts w:ascii="Times New Roman" w:hAnsi="Times New Roman" w:cs="Times New Roman"/>
          <w:sz w:val="22"/>
          <w:szCs w:val="22"/>
        </w:rPr>
        <w:t>generando una concepción para la interseccionalidad estructural y la interseccionalidad política</w:t>
      </w:r>
      <w:r w:rsidRPr="00B452E1">
        <w:rPr>
          <w:rFonts w:ascii="Times New Roman" w:hAnsi="Times New Roman" w:cs="Times New Roman"/>
          <w:sz w:val="22"/>
          <w:szCs w:val="22"/>
        </w:rPr>
        <w:t xml:space="preserve">. </w:t>
      </w:r>
    </w:p>
    <w:p w14:paraId="7A85F444" w14:textId="77777777" w:rsidR="009A4551" w:rsidRDefault="009A4551" w:rsidP="005E4C7B">
      <w:pPr>
        <w:autoSpaceDE w:val="0"/>
        <w:autoSpaceDN w:val="0"/>
        <w:adjustRightInd w:val="0"/>
        <w:spacing w:line="360" w:lineRule="auto"/>
        <w:jc w:val="both"/>
        <w:rPr>
          <w:rFonts w:ascii="Times New Roman" w:hAnsi="Times New Roman" w:cs="Times New Roman"/>
          <w:sz w:val="22"/>
          <w:szCs w:val="22"/>
        </w:rPr>
      </w:pPr>
    </w:p>
    <w:p w14:paraId="571E1C79" w14:textId="2A8625C2" w:rsidR="00EF7E6D" w:rsidRDefault="005E4C7B" w:rsidP="005E4C7B">
      <w:pPr>
        <w:autoSpaceDE w:val="0"/>
        <w:autoSpaceDN w:val="0"/>
        <w:adjustRightInd w:val="0"/>
        <w:spacing w:line="360" w:lineRule="auto"/>
        <w:jc w:val="both"/>
        <w:rPr>
          <w:rFonts w:ascii="Times New Roman" w:hAnsi="Times New Roman" w:cs="Times New Roman"/>
          <w:sz w:val="22"/>
          <w:szCs w:val="22"/>
        </w:rPr>
      </w:pPr>
      <w:r w:rsidRPr="00B452E1">
        <w:rPr>
          <w:rFonts w:ascii="Times New Roman" w:hAnsi="Times New Roman" w:cs="Times New Roman"/>
          <w:sz w:val="22"/>
          <w:szCs w:val="22"/>
        </w:rPr>
        <w:t xml:space="preserve">Ambas implican la colocación de los seres humanos en el </w:t>
      </w:r>
      <w:r w:rsidR="00EF7E6D">
        <w:rPr>
          <w:rFonts w:ascii="Times New Roman" w:hAnsi="Times New Roman" w:cs="Times New Roman"/>
          <w:sz w:val="22"/>
          <w:szCs w:val="22"/>
        </w:rPr>
        <w:t>diagrama de la interseccionalidad m</w:t>
      </w:r>
      <w:r w:rsidR="000E16F6">
        <w:rPr>
          <w:rFonts w:ascii="Times New Roman" w:hAnsi="Times New Roman" w:cs="Times New Roman"/>
          <w:sz w:val="22"/>
          <w:szCs w:val="22"/>
        </w:rPr>
        <w:t>á</w:t>
      </w:r>
      <w:r w:rsidR="00EF7E6D">
        <w:rPr>
          <w:rFonts w:ascii="Times New Roman" w:hAnsi="Times New Roman" w:cs="Times New Roman"/>
          <w:sz w:val="22"/>
          <w:szCs w:val="22"/>
        </w:rPr>
        <w:t>s cerca o m</w:t>
      </w:r>
      <w:r w:rsidR="000E16F6">
        <w:rPr>
          <w:rFonts w:ascii="Times New Roman" w:hAnsi="Times New Roman" w:cs="Times New Roman"/>
          <w:sz w:val="22"/>
          <w:szCs w:val="22"/>
        </w:rPr>
        <w:t>á</w:t>
      </w:r>
      <w:r w:rsidR="00EF7E6D">
        <w:rPr>
          <w:rFonts w:ascii="Times New Roman" w:hAnsi="Times New Roman" w:cs="Times New Roman"/>
          <w:sz w:val="22"/>
          <w:szCs w:val="22"/>
        </w:rPr>
        <w:t>s lejos del privilegio, m</w:t>
      </w:r>
      <w:r w:rsidR="000E16F6">
        <w:rPr>
          <w:rFonts w:ascii="Times New Roman" w:hAnsi="Times New Roman" w:cs="Times New Roman"/>
          <w:sz w:val="22"/>
          <w:szCs w:val="22"/>
        </w:rPr>
        <w:t>á</w:t>
      </w:r>
      <w:r w:rsidR="00EF7E6D">
        <w:rPr>
          <w:rFonts w:ascii="Times New Roman" w:hAnsi="Times New Roman" w:cs="Times New Roman"/>
          <w:sz w:val="22"/>
          <w:szCs w:val="22"/>
        </w:rPr>
        <w:t>s cerca o m</w:t>
      </w:r>
      <w:r w:rsidR="000E16F6">
        <w:rPr>
          <w:rFonts w:ascii="Times New Roman" w:hAnsi="Times New Roman" w:cs="Times New Roman"/>
          <w:sz w:val="22"/>
          <w:szCs w:val="22"/>
        </w:rPr>
        <w:t>á</w:t>
      </w:r>
      <w:r w:rsidR="00EF7E6D">
        <w:rPr>
          <w:rFonts w:ascii="Times New Roman" w:hAnsi="Times New Roman" w:cs="Times New Roman"/>
          <w:sz w:val="22"/>
          <w:szCs w:val="22"/>
        </w:rPr>
        <w:t xml:space="preserve">s lejos de la opresión, coincidiendo la opresión con la vulnerabilidad en el sistema de calidad de vida y bienestar del PNUD, al reconocer la superioridad e inferioridad de los sujetos de derecho </w:t>
      </w:r>
      <w:r w:rsidR="009A4551">
        <w:rPr>
          <w:rFonts w:ascii="Times New Roman" w:hAnsi="Times New Roman" w:cs="Times New Roman"/>
          <w:sz w:val="22"/>
          <w:szCs w:val="22"/>
        </w:rPr>
        <w:t>derivado</w:t>
      </w:r>
      <w:r w:rsidR="00EF7E6D">
        <w:rPr>
          <w:rFonts w:ascii="Times New Roman" w:hAnsi="Times New Roman" w:cs="Times New Roman"/>
          <w:sz w:val="22"/>
          <w:szCs w:val="22"/>
        </w:rPr>
        <w:t xml:space="preserve"> de todas y cada una de sus condiciones de vida temporales o permanentes, tal y como se puede observar en el diagrama siguiente</w:t>
      </w:r>
      <w:r w:rsidR="009A4551">
        <w:rPr>
          <w:rFonts w:ascii="Times New Roman" w:hAnsi="Times New Roman" w:cs="Times New Roman"/>
          <w:sz w:val="22"/>
          <w:szCs w:val="22"/>
        </w:rPr>
        <w:t>:</w:t>
      </w:r>
    </w:p>
    <w:p w14:paraId="131B7900" w14:textId="39A6E0CB" w:rsidR="00EF7E6D" w:rsidRDefault="00EF7E6D" w:rsidP="000E16F6">
      <w:pPr>
        <w:autoSpaceDE w:val="0"/>
        <w:autoSpaceDN w:val="0"/>
        <w:adjustRightInd w:val="0"/>
        <w:spacing w:line="360" w:lineRule="auto"/>
        <w:jc w:val="center"/>
        <w:rPr>
          <w:rFonts w:ascii="Times New Roman" w:hAnsi="Times New Roman" w:cs="Times New Roman"/>
          <w:sz w:val="22"/>
          <w:szCs w:val="22"/>
        </w:rPr>
      </w:pPr>
      <w:r>
        <w:rPr>
          <w:noProof/>
        </w:rPr>
        <w:drawing>
          <wp:inline distT="0" distB="0" distL="0" distR="0" wp14:anchorId="6566E7A9" wp14:editId="7D5A03A3">
            <wp:extent cx="4795520" cy="3657600"/>
            <wp:effectExtent l="0" t="0" r="5080" b="0"/>
            <wp:docPr id="7" name="Imagen 6" descr="Gráfico, Diagrama, Gráfico radial&#10;&#10;Descripción generada automáticamente">
              <a:extLst xmlns:a="http://schemas.openxmlformats.org/drawingml/2006/main">
                <a:ext uri="{FF2B5EF4-FFF2-40B4-BE49-F238E27FC236}">
                  <a16:creationId xmlns:a16="http://schemas.microsoft.com/office/drawing/2014/main" id="{3D81B624-2FEE-1141-A2FB-14EDFA03465E}"/>
                </a:ext>
              </a:extLst>
            </wp:docPr>
            <wp:cNvGraphicFramePr/>
            <a:graphic xmlns:a="http://schemas.openxmlformats.org/drawingml/2006/main">
              <a:graphicData uri="http://schemas.openxmlformats.org/drawingml/2006/picture">
                <pic:pic xmlns:pic="http://schemas.openxmlformats.org/drawingml/2006/picture">
                  <pic:nvPicPr>
                    <pic:cNvPr id="7" name="Imagen 6" descr="Gráfico, Diagrama, Gráfico radial&#10;&#10;Descripción generada automáticamente">
                      <a:extLst>
                        <a:ext uri="{FF2B5EF4-FFF2-40B4-BE49-F238E27FC236}">
                          <a16:creationId xmlns:a16="http://schemas.microsoft.com/office/drawing/2014/main" id="{3D81B624-2FEE-1141-A2FB-14EDFA03465E}"/>
                        </a:ext>
                      </a:extLst>
                    </pic:cNvPr>
                    <pic:cNvPicPr/>
                  </pic:nvPicPr>
                  <pic:blipFill>
                    <a:blip r:embed="rId8"/>
                    <a:stretch>
                      <a:fillRect/>
                    </a:stretch>
                  </pic:blipFill>
                  <pic:spPr>
                    <a:xfrm>
                      <a:off x="0" y="0"/>
                      <a:ext cx="4795520" cy="3657600"/>
                    </a:xfrm>
                    <a:prstGeom prst="rect">
                      <a:avLst/>
                    </a:prstGeom>
                  </pic:spPr>
                </pic:pic>
              </a:graphicData>
            </a:graphic>
          </wp:inline>
        </w:drawing>
      </w:r>
    </w:p>
    <w:p w14:paraId="520A9A58" w14:textId="2C8F3C4B" w:rsidR="00EF7E6D" w:rsidRPr="00EF7E6D" w:rsidRDefault="00EF7E6D" w:rsidP="000E16F6">
      <w:pPr>
        <w:autoSpaceDE w:val="0"/>
        <w:autoSpaceDN w:val="0"/>
        <w:adjustRightInd w:val="0"/>
        <w:spacing w:line="360" w:lineRule="auto"/>
        <w:jc w:val="center"/>
        <w:rPr>
          <w:rFonts w:ascii="Times New Roman" w:hAnsi="Times New Roman" w:cs="Times New Roman"/>
          <w:sz w:val="20"/>
          <w:szCs w:val="20"/>
        </w:rPr>
      </w:pPr>
      <w:r w:rsidRPr="00EF7E6D">
        <w:rPr>
          <w:rFonts w:ascii="Times New Roman" w:hAnsi="Times New Roman" w:cs="Times New Roman"/>
          <w:sz w:val="20"/>
          <w:szCs w:val="20"/>
        </w:rPr>
        <w:t>F</w:t>
      </w:r>
      <w:r w:rsidR="000E16F6" w:rsidRPr="00EF7E6D">
        <w:rPr>
          <w:rFonts w:ascii="Times New Roman" w:hAnsi="Times New Roman" w:cs="Times New Roman"/>
          <w:sz w:val="20"/>
          <w:szCs w:val="20"/>
        </w:rPr>
        <w:t>uente</w:t>
      </w:r>
      <w:r w:rsidRPr="00EF7E6D">
        <w:rPr>
          <w:rFonts w:ascii="Times New Roman" w:hAnsi="Times New Roman" w:cs="Times New Roman"/>
          <w:sz w:val="20"/>
          <w:szCs w:val="20"/>
        </w:rPr>
        <w:t>:</w:t>
      </w:r>
      <w:r w:rsidR="00515F86">
        <w:rPr>
          <w:rFonts w:ascii="Times New Roman" w:hAnsi="Times New Roman" w:cs="Times New Roman"/>
          <w:sz w:val="20"/>
          <w:szCs w:val="20"/>
        </w:rPr>
        <w:t xml:space="preserve"> </w:t>
      </w:r>
      <w:sdt>
        <w:sdtPr>
          <w:rPr>
            <w:rFonts w:ascii="Times New Roman" w:hAnsi="Times New Roman" w:cs="Times New Roman"/>
            <w:sz w:val="20"/>
            <w:szCs w:val="20"/>
          </w:rPr>
          <w:id w:val="-490876453"/>
          <w:citation/>
        </w:sdtPr>
        <w:sdtEndPr/>
        <w:sdtContent>
          <w:r w:rsidR="00515F86">
            <w:rPr>
              <w:rFonts w:ascii="Times New Roman" w:hAnsi="Times New Roman" w:cs="Times New Roman"/>
              <w:sz w:val="20"/>
              <w:szCs w:val="20"/>
            </w:rPr>
            <w:fldChar w:fldCharType="begin"/>
          </w:r>
          <w:r w:rsidR="00515F86">
            <w:rPr>
              <w:rFonts w:ascii="Times New Roman" w:hAnsi="Times New Roman" w:cs="Times New Roman"/>
              <w:sz w:val="20"/>
              <w:szCs w:val="20"/>
            </w:rPr>
            <w:instrText xml:space="preserve">CITATION Mor96 \l 3082 </w:instrText>
          </w:r>
          <w:r w:rsidR="00515F86">
            <w:rPr>
              <w:rFonts w:ascii="Times New Roman" w:hAnsi="Times New Roman" w:cs="Times New Roman"/>
              <w:sz w:val="20"/>
              <w:szCs w:val="20"/>
            </w:rPr>
            <w:fldChar w:fldCharType="separate"/>
          </w:r>
          <w:r w:rsidR="009B03DC" w:rsidRPr="009B03DC">
            <w:rPr>
              <w:rFonts w:ascii="Times New Roman" w:hAnsi="Times New Roman" w:cs="Times New Roman"/>
              <w:noProof/>
              <w:sz w:val="20"/>
              <w:szCs w:val="20"/>
            </w:rPr>
            <w:t>(Morgan, 1996)</w:t>
          </w:r>
          <w:r w:rsidR="00515F86">
            <w:rPr>
              <w:rFonts w:ascii="Times New Roman" w:hAnsi="Times New Roman" w:cs="Times New Roman"/>
              <w:sz w:val="20"/>
              <w:szCs w:val="20"/>
            </w:rPr>
            <w:fldChar w:fldCharType="end"/>
          </w:r>
        </w:sdtContent>
      </w:sdt>
    </w:p>
    <w:p w14:paraId="4C06A926" w14:textId="77777777" w:rsidR="00515F86" w:rsidRDefault="00515F86" w:rsidP="005E4C7B">
      <w:pPr>
        <w:autoSpaceDE w:val="0"/>
        <w:autoSpaceDN w:val="0"/>
        <w:adjustRightInd w:val="0"/>
        <w:spacing w:line="360" w:lineRule="auto"/>
        <w:jc w:val="both"/>
        <w:rPr>
          <w:rFonts w:ascii="Times New Roman" w:hAnsi="Times New Roman" w:cs="Times New Roman"/>
          <w:sz w:val="22"/>
          <w:szCs w:val="22"/>
        </w:rPr>
      </w:pPr>
    </w:p>
    <w:p w14:paraId="4E287AB9" w14:textId="13695C4D" w:rsidR="005E4C7B" w:rsidRPr="00B452E1" w:rsidRDefault="005E4C7B" w:rsidP="005E4C7B">
      <w:pPr>
        <w:autoSpaceDE w:val="0"/>
        <w:autoSpaceDN w:val="0"/>
        <w:adjustRightInd w:val="0"/>
        <w:spacing w:line="360" w:lineRule="auto"/>
        <w:jc w:val="both"/>
        <w:rPr>
          <w:rFonts w:ascii="Times New Roman" w:hAnsi="Times New Roman" w:cs="Times New Roman"/>
          <w:sz w:val="22"/>
          <w:szCs w:val="22"/>
        </w:rPr>
      </w:pPr>
      <w:r w:rsidRPr="00B452E1">
        <w:rPr>
          <w:rFonts w:ascii="Times New Roman" w:hAnsi="Times New Roman" w:cs="Times New Roman"/>
          <w:sz w:val="22"/>
          <w:szCs w:val="22"/>
        </w:rPr>
        <w:t xml:space="preserve">Para su análisis depende de dos supuestos: </w:t>
      </w:r>
    </w:p>
    <w:p w14:paraId="01F8EDF7" w14:textId="77777777" w:rsidR="005E4C7B" w:rsidRPr="00B452E1" w:rsidRDefault="005E4C7B" w:rsidP="000E16F6">
      <w:pPr>
        <w:tabs>
          <w:tab w:val="left" w:pos="142"/>
          <w:tab w:val="left" w:pos="284"/>
        </w:tabs>
        <w:autoSpaceDE w:val="0"/>
        <w:autoSpaceDN w:val="0"/>
        <w:adjustRightInd w:val="0"/>
        <w:spacing w:line="360" w:lineRule="auto"/>
        <w:jc w:val="both"/>
        <w:rPr>
          <w:rFonts w:ascii="Times New Roman" w:hAnsi="Times New Roman" w:cs="Times New Roman"/>
          <w:sz w:val="22"/>
          <w:szCs w:val="22"/>
        </w:rPr>
      </w:pPr>
      <w:r w:rsidRPr="00B452E1">
        <w:rPr>
          <w:rFonts w:ascii="Times New Roman" w:hAnsi="Times New Roman" w:cs="Times New Roman"/>
          <w:sz w:val="22"/>
          <w:szCs w:val="22"/>
        </w:rPr>
        <w:t>a)</w:t>
      </w:r>
      <w:r w:rsidRPr="00B452E1">
        <w:rPr>
          <w:rFonts w:ascii="Times New Roman" w:hAnsi="Times New Roman" w:cs="Times New Roman"/>
          <w:sz w:val="22"/>
          <w:szCs w:val="22"/>
        </w:rPr>
        <w:tab/>
        <w:t xml:space="preserve">Sí hay movimiento puede haber interseccionalidad. </w:t>
      </w:r>
    </w:p>
    <w:p w14:paraId="4065B6B4" w14:textId="60C1F586" w:rsidR="005E4C7B" w:rsidRDefault="005E4C7B" w:rsidP="000E16F6">
      <w:pPr>
        <w:tabs>
          <w:tab w:val="left" w:pos="142"/>
          <w:tab w:val="left" w:pos="284"/>
        </w:tabs>
        <w:autoSpaceDE w:val="0"/>
        <w:autoSpaceDN w:val="0"/>
        <w:adjustRightInd w:val="0"/>
        <w:spacing w:line="360" w:lineRule="auto"/>
        <w:jc w:val="both"/>
        <w:rPr>
          <w:rFonts w:ascii="Times New Roman" w:hAnsi="Times New Roman" w:cs="Times New Roman"/>
          <w:sz w:val="22"/>
          <w:szCs w:val="22"/>
        </w:rPr>
      </w:pPr>
      <w:r w:rsidRPr="00B452E1">
        <w:rPr>
          <w:rFonts w:ascii="Times New Roman" w:hAnsi="Times New Roman" w:cs="Times New Roman"/>
          <w:sz w:val="22"/>
          <w:szCs w:val="22"/>
        </w:rPr>
        <w:t>b)</w:t>
      </w:r>
      <w:r w:rsidRPr="00B452E1">
        <w:rPr>
          <w:rFonts w:ascii="Times New Roman" w:hAnsi="Times New Roman" w:cs="Times New Roman"/>
          <w:sz w:val="22"/>
          <w:szCs w:val="22"/>
        </w:rPr>
        <w:tab/>
        <w:t xml:space="preserve">Si no hay movimiento y hay un espacio estático para categorizar al ser humano y particularmente al sujeto de derechos en materia de </w:t>
      </w:r>
      <w:r w:rsidR="00EF7E6D">
        <w:rPr>
          <w:rFonts w:ascii="Times New Roman" w:hAnsi="Times New Roman" w:cs="Times New Roman"/>
          <w:sz w:val="22"/>
          <w:szCs w:val="22"/>
        </w:rPr>
        <w:t>d</w:t>
      </w:r>
      <w:r w:rsidRPr="00B452E1">
        <w:rPr>
          <w:rFonts w:ascii="Times New Roman" w:hAnsi="Times New Roman" w:cs="Times New Roman"/>
          <w:sz w:val="22"/>
          <w:szCs w:val="22"/>
        </w:rPr>
        <w:t xml:space="preserve">erechos </w:t>
      </w:r>
      <w:r w:rsidR="00EF7E6D">
        <w:rPr>
          <w:rFonts w:ascii="Times New Roman" w:hAnsi="Times New Roman" w:cs="Times New Roman"/>
          <w:sz w:val="22"/>
          <w:szCs w:val="22"/>
        </w:rPr>
        <w:t>h</w:t>
      </w:r>
      <w:r w:rsidRPr="00B452E1">
        <w:rPr>
          <w:rFonts w:ascii="Times New Roman" w:hAnsi="Times New Roman" w:cs="Times New Roman"/>
          <w:sz w:val="22"/>
          <w:szCs w:val="22"/>
        </w:rPr>
        <w:t>umanos, significa intersección. De este diagrama resulta muy atrayente el poder observar en dónde se coloca a  los seres humanos como sujetos de derechos y resulta trascendental, la colocación desde el sistema heteronormativo y hegemónico, del varón y la mujer; después se dirige hacia otras identidades como a lo masculino</w:t>
      </w:r>
      <w:r w:rsidR="000E16F6">
        <w:rPr>
          <w:rFonts w:ascii="Times New Roman" w:hAnsi="Times New Roman" w:cs="Times New Roman"/>
          <w:sz w:val="22"/>
          <w:szCs w:val="22"/>
        </w:rPr>
        <w:t>,</w:t>
      </w:r>
      <w:r w:rsidRPr="00B452E1">
        <w:rPr>
          <w:rFonts w:ascii="Times New Roman" w:hAnsi="Times New Roman" w:cs="Times New Roman"/>
          <w:sz w:val="22"/>
          <w:szCs w:val="22"/>
        </w:rPr>
        <w:t xml:space="preserve"> no a los hombres varones sino a la caracterización de masculinidad</w:t>
      </w:r>
      <w:r w:rsidR="00EF7E6D">
        <w:rPr>
          <w:rFonts w:ascii="Times New Roman" w:hAnsi="Times New Roman" w:cs="Times New Roman"/>
          <w:sz w:val="22"/>
          <w:szCs w:val="22"/>
        </w:rPr>
        <w:t xml:space="preserve">, </w:t>
      </w:r>
      <w:r w:rsidRPr="00B452E1">
        <w:rPr>
          <w:rFonts w:ascii="Times New Roman" w:hAnsi="Times New Roman" w:cs="Times New Roman"/>
          <w:sz w:val="22"/>
          <w:szCs w:val="22"/>
        </w:rPr>
        <w:t>y como en cada sector social se va determinando</w:t>
      </w:r>
      <w:r w:rsidR="00EF7E6D">
        <w:rPr>
          <w:rFonts w:ascii="Times New Roman" w:hAnsi="Times New Roman" w:cs="Times New Roman"/>
          <w:sz w:val="22"/>
          <w:szCs w:val="22"/>
        </w:rPr>
        <w:t xml:space="preserve"> lo</w:t>
      </w:r>
      <w:r w:rsidRPr="00B452E1">
        <w:rPr>
          <w:rFonts w:ascii="Times New Roman" w:hAnsi="Times New Roman" w:cs="Times New Roman"/>
          <w:sz w:val="22"/>
          <w:szCs w:val="22"/>
        </w:rPr>
        <w:t xml:space="preserve"> masculino bajo ciertas características y categorías ya estereotipadas así como en el caso de la mujer</w:t>
      </w:r>
      <w:r w:rsidR="00EF7E6D">
        <w:rPr>
          <w:rFonts w:ascii="Times New Roman" w:hAnsi="Times New Roman" w:cs="Times New Roman"/>
          <w:sz w:val="22"/>
          <w:szCs w:val="22"/>
        </w:rPr>
        <w:t xml:space="preserve">, </w:t>
      </w:r>
      <w:r w:rsidRPr="00B452E1">
        <w:rPr>
          <w:rFonts w:ascii="Times New Roman" w:hAnsi="Times New Roman" w:cs="Times New Roman"/>
          <w:sz w:val="22"/>
          <w:szCs w:val="22"/>
        </w:rPr>
        <w:t xml:space="preserve">y sobre todo ir entendiendo que no es lo mismo mujer que femenino. </w:t>
      </w:r>
      <w:r w:rsidR="00EF7E6D" w:rsidRPr="00B452E1">
        <w:rPr>
          <w:rFonts w:ascii="Times New Roman" w:hAnsi="Times New Roman" w:cs="Times New Roman"/>
          <w:sz w:val="22"/>
          <w:szCs w:val="22"/>
        </w:rPr>
        <w:t xml:space="preserve">Pero, el género, es irlo entendiendo como aquellos tres elementos que tiene toda persona humana y que cuando se acerca lo femenino o cuando se acerca a lo no heteronormativo tiene un conflicto </w:t>
      </w:r>
      <w:r w:rsidR="00515F86">
        <w:rPr>
          <w:rFonts w:ascii="Times New Roman" w:hAnsi="Times New Roman" w:cs="Times New Roman"/>
          <w:sz w:val="22"/>
          <w:szCs w:val="22"/>
        </w:rPr>
        <w:t>en la vulnerabilidad y el no acceso al sistema social de privilegio.</w:t>
      </w:r>
    </w:p>
    <w:p w14:paraId="6BB67054" w14:textId="77777777" w:rsidR="00515F86" w:rsidRDefault="00515F86" w:rsidP="005E4C7B">
      <w:pPr>
        <w:autoSpaceDE w:val="0"/>
        <w:autoSpaceDN w:val="0"/>
        <w:adjustRightInd w:val="0"/>
        <w:spacing w:line="360" w:lineRule="auto"/>
        <w:jc w:val="both"/>
        <w:rPr>
          <w:rFonts w:ascii="Times New Roman" w:hAnsi="Times New Roman" w:cs="Times New Roman"/>
          <w:sz w:val="22"/>
          <w:szCs w:val="22"/>
        </w:rPr>
      </w:pPr>
    </w:p>
    <w:p w14:paraId="163EFE14" w14:textId="04ECAF40" w:rsidR="00515F86" w:rsidRDefault="00515F86" w:rsidP="005E4C7B">
      <w:pPr>
        <w:autoSpaceDE w:val="0"/>
        <w:autoSpaceDN w:val="0"/>
        <w:adjustRightInd w:val="0"/>
        <w:spacing w:line="360" w:lineRule="auto"/>
        <w:jc w:val="both"/>
        <w:rPr>
          <w:rFonts w:ascii="Times New Roman" w:hAnsi="Times New Roman" w:cs="Times New Roman"/>
          <w:sz w:val="22"/>
          <w:szCs w:val="22"/>
        </w:rPr>
      </w:pPr>
      <w:r>
        <w:rPr>
          <w:rFonts w:ascii="Times New Roman" w:hAnsi="Times New Roman" w:cs="Times New Roman"/>
          <w:sz w:val="22"/>
          <w:szCs w:val="22"/>
        </w:rPr>
        <w:t>La interseccionalidad pretende ser una herramienta para ilustrar modelos de subordinación para los sectores poblacionales desfavorecidos y sobre todo lograr visibilizar que existe una categorización de seres humanos, generada por un sector en el poder hegemónico, que controla y determina los estereotipos de superioridad. Al ser una herramienta de visibilización puede coadyuvar para la representación en materia de género de la superioridad que se manifiesta en la evolución humana de lo masculino y la opresión en la que se le ha mantenido a lo femenino, acercando al colectivo LGBT+ a mayor opresión</w:t>
      </w:r>
      <w:r w:rsidR="000E16F6">
        <w:rPr>
          <w:rFonts w:ascii="Times New Roman" w:hAnsi="Times New Roman" w:cs="Times New Roman"/>
          <w:sz w:val="22"/>
          <w:szCs w:val="22"/>
        </w:rPr>
        <w:t>.</w:t>
      </w:r>
    </w:p>
    <w:p w14:paraId="4A8F5955" w14:textId="648DA578" w:rsidR="00515F86" w:rsidRDefault="00515F86" w:rsidP="005E4C7B">
      <w:pPr>
        <w:autoSpaceDE w:val="0"/>
        <w:autoSpaceDN w:val="0"/>
        <w:adjustRightInd w:val="0"/>
        <w:spacing w:line="360" w:lineRule="auto"/>
        <w:jc w:val="both"/>
        <w:rPr>
          <w:rFonts w:ascii="Times New Roman" w:hAnsi="Times New Roman" w:cs="Times New Roman"/>
          <w:sz w:val="22"/>
          <w:szCs w:val="22"/>
        </w:rPr>
      </w:pPr>
    </w:p>
    <w:p w14:paraId="2911C83C" w14:textId="1C754D35" w:rsidR="00515F86" w:rsidRPr="00B452E1" w:rsidRDefault="00515F86" w:rsidP="005E4C7B">
      <w:pPr>
        <w:autoSpaceDE w:val="0"/>
        <w:autoSpaceDN w:val="0"/>
        <w:adjustRightInd w:val="0"/>
        <w:spacing w:line="360" w:lineRule="auto"/>
        <w:jc w:val="both"/>
        <w:rPr>
          <w:rFonts w:ascii="Times New Roman" w:hAnsi="Times New Roman" w:cs="Times New Roman"/>
          <w:sz w:val="22"/>
          <w:szCs w:val="22"/>
        </w:rPr>
      </w:pPr>
      <w:r>
        <w:rPr>
          <w:rFonts w:ascii="Times New Roman" w:hAnsi="Times New Roman" w:cs="Times New Roman"/>
          <w:sz w:val="22"/>
          <w:szCs w:val="22"/>
        </w:rPr>
        <w:t xml:space="preserve">De utilizarse esta </w:t>
      </w:r>
      <w:r w:rsidR="00EE7258">
        <w:rPr>
          <w:rFonts w:ascii="Times New Roman" w:hAnsi="Times New Roman" w:cs="Times New Roman"/>
          <w:sz w:val="22"/>
          <w:szCs w:val="22"/>
        </w:rPr>
        <w:t>perspectiva</w:t>
      </w:r>
      <w:r>
        <w:rPr>
          <w:rFonts w:ascii="Times New Roman" w:hAnsi="Times New Roman" w:cs="Times New Roman"/>
          <w:sz w:val="22"/>
          <w:szCs w:val="22"/>
        </w:rPr>
        <w:t xml:space="preserve"> de interseccionalidad en las </w:t>
      </w:r>
      <w:r w:rsidR="00EE7258">
        <w:rPr>
          <w:rFonts w:ascii="Times New Roman" w:hAnsi="Times New Roman" w:cs="Times New Roman"/>
          <w:sz w:val="22"/>
          <w:szCs w:val="22"/>
        </w:rPr>
        <w:t>políticas internacionales en materia de género abarcando ambos sectores de vulnerabilidad (mujeres y colectivo LGBT+) puede comenzar una nueva armonización en los sistemas jurídicos que los EEMM adopten obligatorios para minimizar la violación a derechos fundamentales en el sistema gubernamental para la impartición, procuración y administración de justicia; así como en el sector privado en materia de discriminación, violencia, estereotipos, asesinatos</w:t>
      </w:r>
      <w:r w:rsidR="000E16F6">
        <w:rPr>
          <w:rFonts w:ascii="Times New Roman" w:hAnsi="Times New Roman" w:cs="Times New Roman"/>
          <w:sz w:val="22"/>
          <w:szCs w:val="22"/>
        </w:rPr>
        <w:t>…</w:t>
      </w:r>
      <w:r w:rsidR="00EE7258">
        <w:rPr>
          <w:rFonts w:ascii="Times New Roman" w:hAnsi="Times New Roman" w:cs="Times New Roman"/>
          <w:sz w:val="22"/>
          <w:szCs w:val="22"/>
        </w:rPr>
        <w:t xml:space="preserve"> desde una nueva educación a través de las políticas publicas internas de los EN y por lo tanto en los medios de comunicación.</w:t>
      </w:r>
    </w:p>
    <w:p w14:paraId="057C37F5" w14:textId="2EC7CCCE" w:rsidR="005E4C7B" w:rsidRDefault="005E4C7B" w:rsidP="008D019C">
      <w:pPr>
        <w:autoSpaceDE w:val="0"/>
        <w:autoSpaceDN w:val="0"/>
        <w:adjustRightInd w:val="0"/>
        <w:spacing w:line="360" w:lineRule="auto"/>
        <w:jc w:val="both"/>
        <w:rPr>
          <w:rFonts w:ascii="Times New Roman" w:hAnsi="Times New Roman" w:cs="Times New Roman"/>
          <w:sz w:val="22"/>
          <w:szCs w:val="22"/>
        </w:rPr>
      </w:pPr>
    </w:p>
    <w:p w14:paraId="4208BE46" w14:textId="77777777" w:rsidR="00123A2C" w:rsidRDefault="00123A2C" w:rsidP="008D019C">
      <w:pPr>
        <w:autoSpaceDE w:val="0"/>
        <w:autoSpaceDN w:val="0"/>
        <w:adjustRightInd w:val="0"/>
        <w:spacing w:line="360" w:lineRule="auto"/>
        <w:jc w:val="both"/>
        <w:rPr>
          <w:rFonts w:ascii="Times New Roman" w:hAnsi="Times New Roman" w:cs="Times New Roman"/>
          <w:sz w:val="22"/>
          <w:szCs w:val="22"/>
        </w:rPr>
      </w:pPr>
    </w:p>
    <w:p w14:paraId="6088F37B" w14:textId="4B796EB0" w:rsidR="005E4C7B" w:rsidRPr="000E16F6" w:rsidRDefault="00EE7258" w:rsidP="008D019C">
      <w:pPr>
        <w:pStyle w:val="Prrafodelista"/>
        <w:numPr>
          <w:ilvl w:val="0"/>
          <w:numId w:val="5"/>
        </w:numPr>
        <w:autoSpaceDE w:val="0"/>
        <w:autoSpaceDN w:val="0"/>
        <w:adjustRightInd w:val="0"/>
        <w:spacing w:line="360" w:lineRule="auto"/>
        <w:jc w:val="both"/>
        <w:rPr>
          <w:rFonts w:ascii="Times New Roman" w:hAnsi="Times New Roman" w:cs="Times New Roman"/>
          <w:b/>
          <w:bCs/>
          <w:sz w:val="22"/>
          <w:szCs w:val="22"/>
        </w:rPr>
      </w:pPr>
      <w:r w:rsidRPr="00EE7258">
        <w:rPr>
          <w:rFonts w:ascii="Times New Roman" w:hAnsi="Times New Roman" w:cs="Times New Roman"/>
          <w:b/>
          <w:bCs/>
          <w:sz w:val="22"/>
          <w:szCs w:val="22"/>
        </w:rPr>
        <w:t>Categorías hegemónicas (propuesta Arriaga) del sistema internacional que impiden: administración, procuración e impartición de justicia desde una perspectiva de género.</w:t>
      </w:r>
    </w:p>
    <w:p w14:paraId="10A54EF8" w14:textId="7E058507" w:rsidR="008D019C" w:rsidRPr="00B452E1" w:rsidRDefault="008D019C" w:rsidP="008D019C">
      <w:pPr>
        <w:autoSpaceDE w:val="0"/>
        <w:autoSpaceDN w:val="0"/>
        <w:adjustRightInd w:val="0"/>
        <w:spacing w:line="360" w:lineRule="auto"/>
        <w:jc w:val="both"/>
        <w:rPr>
          <w:rFonts w:ascii="Times New Roman" w:hAnsi="Times New Roman" w:cs="Times New Roman"/>
          <w:sz w:val="22"/>
          <w:szCs w:val="22"/>
        </w:rPr>
      </w:pPr>
      <w:r w:rsidRPr="00B452E1">
        <w:rPr>
          <w:rFonts w:ascii="Times New Roman" w:hAnsi="Times New Roman" w:cs="Times New Roman"/>
          <w:sz w:val="22"/>
          <w:szCs w:val="22"/>
        </w:rPr>
        <w:t xml:space="preserve">Se propone el análisis de cinco categorías hegemónicas que </w:t>
      </w:r>
      <w:r w:rsidR="000E16F6">
        <w:rPr>
          <w:rFonts w:ascii="Times New Roman" w:hAnsi="Times New Roman" w:cs="Times New Roman"/>
          <w:sz w:val="22"/>
          <w:szCs w:val="22"/>
        </w:rPr>
        <w:t>inciden en la</w:t>
      </w:r>
      <w:r w:rsidRPr="00B452E1">
        <w:rPr>
          <w:rFonts w:ascii="Times New Roman" w:hAnsi="Times New Roman" w:cs="Times New Roman"/>
          <w:sz w:val="22"/>
          <w:szCs w:val="22"/>
        </w:rPr>
        <w:t xml:space="preserve"> hegemonía </w:t>
      </w:r>
      <w:r w:rsidR="000E16F6">
        <w:rPr>
          <w:rFonts w:ascii="Times New Roman" w:hAnsi="Times New Roman" w:cs="Times New Roman"/>
          <w:sz w:val="22"/>
          <w:szCs w:val="22"/>
        </w:rPr>
        <w:t xml:space="preserve">presente en la realidad global </w:t>
      </w:r>
      <w:r w:rsidRPr="00B452E1">
        <w:rPr>
          <w:rFonts w:ascii="Times New Roman" w:hAnsi="Times New Roman" w:cs="Times New Roman"/>
          <w:sz w:val="22"/>
          <w:szCs w:val="22"/>
        </w:rPr>
        <w:t xml:space="preserve">y que </w:t>
      </w:r>
      <w:r w:rsidR="000E16F6">
        <w:rPr>
          <w:rFonts w:ascii="Times New Roman" w:hAnsi="Times New Roman" w:cs="Times New Roman"/>
          <w:sz w:val="22"/>
          <w:szCs w:val="22"/>
        </w:rPr>
        <w:t>han instaurado la forma de</w:t>
      </w:r>
      <w:r w:rsidRPr="00B452E1">
        <w:rPr>
          <w:rFonts w:ascii="Times New Roman" w:hAnsi="Times New Roman" w:cs="Times New Roman"/>
          <w:sz w:val="22"/>
          <w:szCs w:val="22"/>
        </w:rPr>
        <w:t xml:space="preserve"> entender al género como una construcción cultural y no biológica; sin embargo, los avances y estudios ha</w:t>
      </w:r>
      <w:r w:rsidR="000E16F6">
        <w:rPr>
          <w:rFonts w:ascii="Times New Roman" w:hAnsi="Times New Roman" w:cs="Times New Roman"/>
          <w:sz w:val="22"/>
          <w:szCs w:val="22"/>
        </w:rPr>
        <w:t>n</w:t>
      </w:r>
      <w:r w:rsidRPr="00B452E1">
        <w:rPr>
          <w:rFonts w:ascii="Times New Roman" w:hAnsi="Times New Roman" w:cs="Times New Roman"/>
          <w:sz w:val="22"/>
          <w:szCs w:val="22"/>
        </w:rPr>
        <w:t xml:space="preserve"> demostrado que el género no escapa de lo biológico, sino que este lo determina y posteriormente resulta en el sistema cultural social. </w:t>
      </w:r>
    </w:p>
    <w:p w14:paraId="30D345DA" w14:textId="77777777" w:rsidR="008D019C" w:rsidRPr="00B452E1" w:rsidRDefault="008D019C" w:rsidP="008D019C">
      <w:pPr>
        <w:autoSpaceDE w:val="0"/>
        <w:autoSpaceDN w:val="0"/>
        <w:adjustRightInd w:val="0"/>
        <w:spacing w:line="360" w:lineRule="auto"/>
        <w:jc w:val="both"/>
        <w:rPr>
          <w:rFonts w:ascii="Times New Roman" w:hAnsi="Times New Roman" w:cs="Times New Roman"/>
          <w:b/>
          <w:bCs/>
          <w:sz w:val="22"/>
          <w:szCs w:val="22"/>
        </w:rPr>
      </w:pPr>
    </w:p>
    <w:p w14:paraId="342B9A28" w14:textId="5BA6C466" w:rsidR="008D019C" w:rsidRPr="00B452E1" w:rsidRDefault="008D019C" w:rsidP="008D019C">
      <w:pPr>
        <w:autoSpaceDE w:val="0"/>
        <w:autoSpaceDN w:val="0"/>
        <w:adjustRightInd w:val="0"/>
        <w:spacing w:line="360" w:lineRule="auto"/>
        <w:jc w:val="both"/>
        <w:rPr>
          <w:rFonts w:ascii="Times New Roman" w:hAnsi="Times New Roman" w:cs="Times New Roman"/>
          <w:sz w:val="22"/>
          <w:szCs w:val="22"/>
        </w:rPr>
      </w:pPr>
      <w:r w:rsidRPr="00B452E1">
        <w:rPr>
          <w:rFonts w:ascii="Times New Roman" w:hAnsi="Times New Roman" w:cs="Times New Roman"/>
          <w:sz w:val="22"/>
          <w:szCs w:val="22"/>
        </w:rPr>
        <w:lastRenderedPageBreak/>
        <w:t>La hegemonía se reproduce en la realidad social a partir de cinco categorías hegemónicas, que determinan un modelo ideal de persona y que s</w:t>
      </w:r>
      <w:r w:rsidR="000E16F6">
        <w:rPr>
          <w:rFonts w:ascii="Times New Roman" w:hAnsi="Times New Roman" w:cs="Times New Roman"/>
          <w:sz w:val="22"/>
          <w:szCs w:val="22"/>
        </w:rPr>
        <w:t>ó</w:t>
      </w:r>
      <w:r w:rsidRPr="00B452E1">
        <w:rPr>
          <w:rFonts w:ascii="Times New Roman" w:hAnsi="Times New Roman" w:cs="Times New Roman"/>
          <w:sz w:val="22"/>
          <w:szCs w:val="22"/>
        </w:rPr>
        <w:t>lo, quien cumplimente las categorías podrá acceder al sistema social determinado:</w:t>
      </w:r>
    </w:p>
    <w:p w14:paraId="07C5C1D5" w14:textId="77777777" w:rsidR="008D019C" w:rsidRPr="00B842E1" w:rsidRDefault="008D019C" w:rsidP="00B842E1">
      <w:pPr>
        <w:tabs>
          <w:tab w:val="left" w:pos="284"/>
        </w:tabs>
        <w:autoSpaceDE w:val="0"/>
        <w:autoSpaceDN w:val="0"/>
        <w:adjustRightInd w:val="0"/>
        <w:spacing w:line="360" w:lineRule="auto"/>
        <w:ind w:left="284"/>
        <w:jc w:val="both"/>
        <w:rPr>
          <w:rFonts w:ascii="Times New Roman" w:hAnsi="Times New Roman" w:cs="Times New Roman"/>
          <w:sz w:val="22"/>
          <w:szCs w:val="22"/>
        </w:rPr>
      </w:pPr>
      <w:r w:rsidRPr="00B842E1">
        <w:rPr>
          <w:rFonts w:ascii="Times New Roman" w:hAnsi="Times New Roman" w:cs="Times New Roman"/>
          <w:b/>
          <w:bCs/>
          <w:sz w:val="22"/>
          <w:szCs w:val="22"/>
        </w:rPr>
        <w:t>a)</w:t>
      </w:r>
      <w:r w:rsidRPr="00B842E1">
        <w:rPr>
          <w:rFonts w:ascii="Times New Roman" w:hAnsi="Times New Roman" w:cs="Times New Roman"/>
          <w:b/>
          <w:bCs/>
          <w:sz w:val="22"/>
          <w:szCs w:val="22"/>
        </w:rPr>
        <w:tab/>
        <w:t>Masculino.</w:t>
      </w:r>
      <w:r w:rsidRPr="00B842E1">
        <w:rPr>
          <w:rFonts w:ascii="Times New Roman" w:hAnsi="Times New Roman" w:cs="Times New Roman"/>
          <w:sz w:val="22"/>
          <w:szCs w:val="22"/>
        </w:rPr>
        <w:t xml:space="preserve"> Orden de las relaciones sociales que se condicionan por los cuerpos físicos de las personas y por ello, se definen posibilidades, los accesos y las diferencias que enfrenta una persona ante su realidad social (Guevara, 2008). </w:t>
      </w:r>
    </w:p>
    <w:p w14:paraId="48A9BEED" w14:textId="7A50F163" w:rsidR="008D019C" w:rsidRPr="00B842E1" w:rsidRDefault="008D019C" w:rsidP="00B842E1">
      <w:pPr>
        <w:tabs>
          <w:tab w:val="left" w:pos="284"/>
        </w:tabs>
        <w:autoSpaceDE w:val="0"/>
        <w:autoSpaceDN w:val="0"/>
        <w:adjustRightInd w:val="0"/>
        <w:spacing w:line="360" w:lineRule="auto"/>
        <w:ind w:left="284"/>
        <w:jc w:val="both"/>
        <w:rPr>
          <w:rFonts w:ascii="Times New Roman" w:hAnsi="Times New Roman" w:cs="Times New Roman"/>
          <w:sz w:val="22"/>
          <w:szCs w:val="22"/>
        </w:rPr>
      </w:pPr>
      <w:r w:rsidRPr="00B842E1">
        <w:rPr>
          <w:rFonts w:ascii="Times New Roman" w:hAnsi="Times New Roman" w:cs="Times New Roman"/>
          <w:b/>
          <w:bCs/>
          <w:sz w:val="22"/>
          <w:szCs w:val="22"/>
        </w:rPr>
        <w:t>b)</w:t>
      </w:r>
      <w:r w:rsidRPr="00B842E1">
        <w:rPr>
          <w:rFonts w:ascii="Times New Roman" w:hAnsi="Times New Roman" w:cs="Times New Roman"/>
          <w:b/>
          <w:bCs/>
          <w:sz w:val="22"/>
          <w:szCs w:val="22"/>
        </w:rPr>
        <w:tab/>
        <w:t>Burgués.</w:t>
      </w:r>
      <w:r w:rsidRPr="00B842E1">
        <w:rPr>
          <w:rFonts w:ascii="Times New Roman" w:hAnsi="Times New Roman" w:cs="Times New Roman"/>
          <w:sz w:val="22"/>
          <w:szCs w:val="22"/>
        </w:rPr>
        <w:t xml:space="preserve"> Se refiere al reconocimiento social del poder y de jerarquización de un grupo de personas que son la clase social con poderío económico, que tienden a la reproducción de comportamientos y patrones que demuestran dicho poder en la realidad social (Gómez, 1996).   </w:t>
      </w:r>
    </w:p>
    <w:p w14:paraId="330E6CEE" w14:textId="0E494965" w:rsidR="008D019C" w:rsidRPr="00B842E1" w:rsidRDefault="008D019C" w:rsidP="00B842E1">
      <w:pPr>
        <w:tabs>
          <w:tab w:val="left" w:pos="284"/>
        </w:tabs>
        <w:autoSpaceDE w:val="0"/>
        <w:autoSpaceDN w:val="0"/>
        <w:adjustRightInd w:val="0"/>
        <w:spacing w:line="360" w:lineRule="auto"/>
        <w:ind w:left="284"/>
        <w:jc w:val="both"/>
        <w:rPr>
          <w:rFonts w:ascii="Times New Roman" w:hAnsi="Times New Roman" w:cs="Times New Roman"/>
          <w:sz w:val="22"/>
          <w:szCs w:val="22"/>
        </w:rPr>
      </w:pPr>
      <w:r w:rsidRPr="00B842E1">
        <w:rPr>
          <w:rFonts w:ascii="Times New Roman" w:hAnsi="Times New Roman" w:cs="Times New Roman"/>
          <w:b/>
          <w:bCs/>
          <w:sz w:val="22"/>
          <w:szCs w:val="22"/>
        </w:rPr>
        <w:t>c)</w:t>
      </w:r>
      <w:r w:rsidRPr="00B842E1">
        <w:rPr>
          <w:rFonts w:ascii="Times New Roman" w:hAnsi="Times New Roman" w:cs="Times New Roman"/>
          <w:b/>
          <w:bCs/>
          <w:sz w:val="22"/>
          <w:szCs w:val="22"/>
        </w:rPr>
        <w:tab/>
      </w:r>
      <w:proofErr w:type="gramStart"/>
      <w:r w:rsidRPr="00B842E1">
        <w:rPr>
          <w:rFonts w:ascii="Times New Roman" w:hAnsi="Times New Roman" w:cs="Times New Roman"/>
          <w:b/>
          <w:bCs/>
          <w:sz w:val="22"/>
          <w:szCs w:val="22"/>
        </w:rPr>
        <w:t>Cristiano</w:t>
      </w:r>
      <w:proofErr w:type="gramEnd"/>
      <w:r w:rsidRPr="00B842E1">
        <w:rPr>
          <w:rFonts w:ascii="Times New Roman" w:hAnsi="Times New Roman" w:cs="Times New Roman"/>
          <w:sz w:val="22"/>
          <w:szCs w:val="22"/>
        </w:rPr>
        <w:t>. Hace referencia al conjunto de creencias o dogmas acerca de la divinidad, de sentimientos de veneración y temor hacia ella, de normas morales para la conducta individual y de prácticas rituales, principalmente la oración y el sacrificio para darle culto (RAE, 2021).</w:t>
      </w:r>
    </w:p>
    <w:p w14:paraId="4B75B057" w14:textId="77777777" w:rsidR="008D019C" w:rsidRPr="00B842E1" w:rsidRDefault="008D019C" w:rsidP="00B842E1">
      <w:pPr>
        <w:tabs>
          <w:tab w:val="left" w:pos="284"/>
        </w:tabs>
        <w:autoSpaceDE w:val="0"/>
        <w:autoSpaceDN w:val="0"/>
        <w:adjustRightInd w:val="0"/>
        <w:spacing w:line="360" w:lineRule="auto"/>
        <w:ind w:left="284"/>
        <w:jc w:val="both"/>
        <w:rPr>
          <w:rFonts w:ascii="Times New Roman" w:hAnsi="Times New Roman" w:cs="Times New Roman"/>
          <w:sz w:val="22"/>
          <w:szCs w:val="22"/>
        </w:rPr>
      </w:pPr>
      <w:r w:rsidRPr="00B842E1">
        <w:rPr>
          <w:rFonts w:ascii="Times New Roman" w:hAnsi="Times New Roman" w:cs="Times New Roman"/>
          <w:b/>
          <w:bCs/>
          <w:sz w:val="22"/>
          <w:szCs w:val="22"/>
        </w:rPr>
        <w:t>d)</w:t>
      </w:r>
      <w:r w:rsidRPr="00B842E1">
        <w:rPr>
          <w:rFonts w:ascii="Times New Roman" w:hAnsi="Times New Roman" w:cs="Times New Roman"/>
          <w:b/>
          <w:bCs/>
          <w:sz w:val="22"/>
          <w:szCs w:val="22"/>
        </w:rPr>
        <w:tab/>
        <w:t>Familia.</w:t>
      </w:r>
      <w:r w:rsidRPr="00B842E1">
        <w:rPr>
          <w:rFonts w:ascii="Times New Roman" w:hAnsi="Times New Roman" w:cs="Times New Roman"/>
          <w:sz w:val="22"/>
          <w:szCs w:val="22"/>
        </w:rPr>
        <w:t xml:space="preserve"> Medio de control social inmediato para el sujeto individual existente desde su nacimiento e incluso hasta su muerte originado por el vinculo que tiene ante el conjunto de personas con quienes comparte lazos con reconocimiento colectivo social (Ross, 2018). </w:t>
      </w:r>
    </w:p>
    <w:p w14:paraId="3E1E479F" w14:textId="6123BE1E" w:rsidR="008D019C" w:rsidRDefault="008D019C" w:rsidP="00B842E1">
      <w:pPr>
        <w:tabs>
          <w:tab w:val="left" w:pos="284"/>
        </w:tabs>
        <w:autoSpaceDE w:val="0"/>
        <w:autoSpaceDN w:val="0"/>
        <w:adjustRightInd w:val="0"/>
        <w:spacing w:line="360" w:lineRule="auto"/>
        <w:ind w:left="284"/>
        <w:jc w:val="both"/>
        <w:rPr>
          <w:rFonts w:ascii="Times New Roman" w:hAnsi="Times New Roman" w:cs="Times New Roman"/>
          <w:sz w:val="22"/>
          <w:szCs w:val="22"/>
        </w:rPr>
      </w:pPr>
      <w:r w:rsidRPr="00B842E1">
        <w:rPr>
          <w:rFonts w:ascii="Times New Roman" w:hAnsi="Times New Roman" w:cs="Times New Roman"/>
          <w:b/>
          <w:bCs/>
          <w:sz w:val="22"/>
          <w:szCs w:val="22"/>
        </w:rPr>
        <w:t>e)</w:t>
      </w:r>
      <w:r w:rsidRPr="00B842E1">
        <w:rPr>
          <w:rFonts w:ascii="Times New Roman" w:hAnsi="Times New Roman" w:cs="Times New Roman"/>
          <w:b/>
          <w:bCs/>
          <w:sz w:val="22"/>
          <w:szCs w:val="22"/>
        </w:rPr>
        <w:tab/>
        <w:t>Racismo.</w:t>
      </w:r>
      <w:r w:rsidRPr="00B842E1">
        <w:rPr>
          <w:rFonts w:ascii="Times New Roman" w:hAnsi="Times New Roman" w:cs="Times New Roman"/>
          <w:sz w:val="22"/>
          <w:szCs w:val="22"/>
        </w:rPr>
        <w:t xml:space="preserve"> Jerarquía mundial de superioridad e inferioridad sobre la línea de lo humano que ha sido políticamente producida</w:t>
      </w:r>
      <w:r w:rsidRPr="00B452E1">
        <w:rPr>
          <w:rFonts w:ascii="Times New Roman" w:hAnsi="Times New Roman" w:cs="Times New Roman"/>
          <w:sz w:val="22"/>
          <w:szCs w:val="22"/>
        </w:rPr>
        <w:t xml:space="preserve"> y reproducida como estructura de dominación durante siglos por el sistema imperialista/ occidental o céntrico/ cristiano céntrico/ capitalista/ patriarcal/ moderno/ colonial (Grosfiguel, 2012).    </w:t>
      </w:r>
    </w:p>
    <w:p w14:paraId="33416795" w14:textId="77777777" w:rsidR="00B842E1" w:rsidRPr="00B452E1" w:rsidRDefault="00B842E1" w:rsidP="00B842E1">
      <w:pPr>
        <w:tabs>
          <w:tab w:val="left" w:pos="284"/>
        </w:tabs>
        <w:autoSpaceDE w:val="0"/>
        <w:autoSpaceDN w:val="0"/>
        <w:adjustRightInd w:val="0"/>
        <w:spacing w:line="360" w:lineRule="auto"/>
        <w:ind w:left="284"/>
        <w:jc w:val="both"/>
        <w:rPr>
          <w:rFonts w:ascii="Times New Roman" w:hAnsi="Times New Roman" w:cs="Times New Roman"/>
          <w:sz w:val="22"/>
          <w:szCs w:val="22"/>
        </w:rPr>
      </w:pPr>
    </w:p>
    <w:p w14:paraId="04D1A682" w14:textId="7B926964" w:rsidR="008D019C" w:rsidRPr="00EF7E6D" w:rsidRDefault="008D019C" w:rsidP="008D019C">
      <w:pPr>
        <w:autoSpaceDE w:val="0"/>
        <w:autoSpaceDN w:val="0"/>
        <w:adjustRightInd w:val="0"/>
        <w:spacing w:line="360" w:lineRule="auto"/>
        <w:jc w:val="both"/>
        <w:rPr>
          <w:rFonts w:ascii="Times New Roman" w:hAnsi="Times New Roman" w:cs="Times New Roman"/>
          <w:sz w:val="22"/>
          <w:szCs w:val="22"/>
        </w:rPr>
      </w:pPr>
      <w:r w:rsidRPr="00B452E1">
        <w:rPr>
          <w:rFonts w:ascii="Times New Roman" w:hAnsi="Times New Roman" w:cs="Times New Roman"/>
          <w:sz w:val="22"/>
          <w:szCs w:val="22"/>
        </w:rPr>
        <w:t xml:space="preserve">En particular, se observa como el sistema jurídico sigue sin superar estas estructuras y mientras el sistema hegemónico se mantiene vigente dentro de la cultura estamos partiendo del concepto hegemonía de Gramsci; identificando una reproducción, una autopoiesis dentro de los sistemas sociales, y esto ha generado una brecha dentro del </w:t>
      </w:r>
      <w:r w:rsidR="00B842E1">
        <w:rPr>
          <w:rFonts w:ascii="Times New Roman" w:hAnsi="Times New Roman" w:cs="Times New Roman"/>
          <w:sz w:val="22"/>
          <w:szCs w:val="22"/>
        </w:rPr>
        <w:t>SDH</w:t>
      </w:r>
      <w:r w:rsidRPr="00B452E1">
        <w:rPr>
          <w:rFonts w:ascii="Times New Roman" w:hAnsi="Times New Roman" w:cs="Times New Roman"/>
          <w:sz w:val="22"/>
          <w:szCs w:val="22"/>
        </w:rPr>
        <w:t xml:space="preserve"> que nace en 1948 y como el PNUD va reconociendo e identificando a partir de estos factores hegemónicos y la interseccionalidad a las estructuras de los grupos vulnerables, qué implica el no acceso a derechos, aunque muchos </w:t>
      </w:r>
      <w:r w:rsidR="00B842E1">
        <w:rPr>
          <w:rFonts w:ascii="Times New Roman" w:hAnsi="Times New Roman" w:cs="Times New Roman"/>
          <w:sz w:val="22"/>
          <w:szCs w:val="22"/>
        </w:rPr>
        <w:t>EN</w:t>
      </w:r>
      <w:r w:rsidRPr="00B452E1">
        <w:rPr>
          <w:rFonts w:ascii="Times New Roman" w:hAnsi="Times New Roman" w:cs="Times New Roman"/>
          <w:sz w:val="22"/>
          <w:szCs w:val="22"/>
        </w:rPr>
        <w:t xml:space="preserve"> firman y ratifican la documentación del </w:t>
      </w:r>
      <w:r w:rsidR="00B842E1">
        <w:rPr>
          <w:rFonts w:ascii="Times New Roman" w:hAnsi="Times New Roman" w:cs="Times New Roman"/>
          <w:sz w:val="22"/>
          <w:szCs w:val="22"/>
        </w:rPr>
        <w:t>SDH</w:t>
      </w:r>
      <w:r w:rsidRPr="00B452E1">
        <w:rPr>
          <w:rFonts w:ascii="Times New Roman" w:hAnsi="Times New Roman" w:cs="Times New Roman"/>
          <w:sz w:val="22"/>
          <w:szCs w:val="22"/>
        </w:rPr>
        <w:t xml:space="preserve"> en 1948, la realidad es que no acogen este sistema de manera obligatoria dentro de sus sistemas jurídicos, lo cual implica que se mantienen sistemas jurídicos heteronormativos y por lo tanto hegemónicos</w:t>
      </w:r>
      <w:r w:rsidR="00B842E1">
        <w:rPr>
          <w:rFonts w:ascii="Times New Roman" w:hAnsi="Times New Roman" w:cs="Times New Roman"/>
          <w:sz w:val="22"/>
          <w:szCs w:val="22"/>
        </w:rPr>
        <w:t>.</w:t>
      </w:r>
    </w:p>
    <w:p w14:paraId="1B0D6A92" w14:textId="77777777" w:rsidR="00EE7258" w:rsidRDefault="00EE7258" w:rsidP="00EE7258">
      <w:pPr>
        <w:autoSpaceDE w:val="0"/>
        <w:autoSpaceDN w:val="0"/>
        <w:adjustRightInd w:val="0"/>
        <w:spacing w:line="360" w:lineRule="auto"/>
        <w:jc w:val="both"/>
        <w:rPr>
          <w:rFonts w:ascii="Times New Roman" w:hAnsi="Times New Roman" w:cs="Times New Roman"/>
          <w:sz w:val="22"/>
          <w:szCs w:val="22"/>
        </w:rPr>
      </w:pPr>
    </w:p>
    <w:p w14:paraId="3B802DC2" w14:textId="6CA8429A" w:rsidR="00EE7258" w:rsidRDefault="00EE7258" w:rsidP="00EE7258">
      <w:pPr>
        <w:autoSpaceDE w:val="0"/>
        <w:autoSpaceDN w:val="0"/>
        <w:adjustRightInd w:val="0"/>
        <w:spacing w:line="360" w:lineRule="auto"/>
        <w:jc w:val="both"/>
        <w:rPr>
          <w:rFonts w:ascii="Times New Roman" w:hAnsi="Times New Roman" w:cs="Times New Roman"/>
          <w:sz w:val="22"/>
          <w:szCs w:val="22"/>
        </w:rPr>
      </w:pPr>
      <w:r w:rsidRPr="00B452E1">
        <w:rPr>
          <w:rFonts w:ascii="Times New Roman" w:hAnsi="Times New Roman" w:cs="Times New Roman"/>
          <w:sz w:val="22"/>
          <w:szCs w:val="22"/>
        </w:rPr>
        <w:t>Entre más lejos esté de las categorías hegemónicas lo masculino, la familia tradicional, la religión cristiana, la clase media o alta en la burguesía y la raza blanca, una vez que se va alejando</w:t>
      </w:r>
      <w:r w:rsidR="00B842E1">
        <w:rPr>
          <w:rFonts w:ascii="Times New Roman" w:hAnsi="Times New Roman" w:cs="Times New Roman"/>
          <w:sz w:val="22"/>
          <w:szCs w:val="22"/>
        </w:rPr>
        <w:t xml:space="preserve">, </w:t>
      </w:r>
      <w:r w:rsidRPr="00B452E1">
        <w:rPr>
          <w:rFonts w:ascii="Times New Roman" w:hAnsi="Times New Roman" w:cs="Times New Roman"/>
          <w:sz w:val="22"/>
          <w:szCs w:val="22"/>
        </w:rPr>
        <w:t>el sujeto de derechos por condición de vida temporal o atemporal automáticamente va saliendo de esta sección de esta intersección y puede ir entonces recibiendo un conflicto negativo, un conflicto en cuanto al acceso de derechos.</w:t>
      </w:r>
    </w:p>
    <w:p w14:paraId="0E0FF7BF" w14:textId="15A02026" w:rsidR="00B842E1" w:rsidRDefault="00B842E1" w:rsidP="00EE7258">
      <w:pPr>
        <w:autoSpaceDE w:val="0"/>
        <w:autoSpaceDN w:val="0"/>
        <w:adjustRightInd w:val="0"/>
        <w:spacing w:line="360" w:lineRule="auto"/>
        <w:jc w:val="both"/>
        <w:rPr>
          <w:rFonts w:ascii="Times New Roman" w:hAnsi="Times New Roman" w:cs="Times New Roman"/>
          <w:sz w:val="22"/>
          <w:szCs w:val="22"/>
        </w:rPr>
      </w:pPr>
    </w:p>
    <w:p w14:paraId="3AFE0967" w14:textId="3EBB85B7" w:rsidR="00B842E1" w:rsidRDefault="00B842E1" w:rsidP="00EE7258">
      <w:pPr>
        <w:autoSpaceDE w:val="0"/>
        <w:autoSpaceDN w:val="0"/>
        <w:adjustRightInd w:val="0"/>
        <w:spacing w:line="360" w:lineRule="auto"/>
        <w:jc w:val="both"/>
        <w:rPr>
          <w:rFonts w:ascii="Times New Roman" w:hAnsi="Times New Roman" w:cs="Times New Roman"/>
          <w:sz w:val="22"/>
          <w:szCs w:val="22"/>
        </w:rPr>
      </w:pPr>
    </w:p>
    <w:p w14:paraId="3B059A64" w14:textId="6100D128" w:rsidR="00B842E1" w:rsidRDefault="00B842E1" w:rsidP="00EE7258">
      <w:pPr>
        <w:autoSpaceDE w:val="0"/>
        <w:autoSpaceDN w:val="0"/>
        <w:adjustRightInd w:val="0"/>
        <w:spacing w:line="360" w:lineRule="auto"/>
        <w:jc w:val="both"/>
        <w:rPr>
          <w:rFonts w:ascii="Times New Roman" w:hAnsi="Times New Roman" w:cs="Times New Roman"/>
          <w:sz w:val="22"/>
          <w:szCs w:val="22"/>
        </w:rPr>
      </w:pPr>
    </w:p>
    <w:p w14:paraId="7764DBC5" w14:textId="77777777" w:rsidR="00B842E1" w:rsidRDefault="00B842E1" w:rsidP="00EE7258">
      <w:pPr>
        <w:autoSpaceDE w:val="0"/>
        <w:autoSpaceDN w:val="0"/>
        <w:adjustRightInd w:val="0"/>
        <w:spacing w:line="360" w:lineRule="auto"/>
        <w:jc w:val="both"/>
        <w:rPr>
          <w:rFonts w:ascii="Times New Roman" w:hAnsi="Times New Roman" w:cs="Times New Roman"/>
          <w:sz w:val="22"/>
          <w:szCs w:val="22"/>
        </w:rPr>
      </w:pPr>
    </w:p>
    <w:p w14:paraId="108BE6E0" w14:textId="779BAA2A" w:rsidR="009A4551" w:rsidRPr="00B452E1" w:rsidRDefault="009A4551" w:rsidP="00EE7258">
      <w:pPr>
        <w:autoSpaceDE w:val="0"/>
        <w:autoSpaceDN w:val="0"/>
        <w:adjustRightInd w:val="0"/>
        <w:spacing w:line="360" w:lineRule="auto"/>
        <w:jc w:val="both"/>
        <w:rPr>
          <w:rFonts w:ascii="Times New Roman" w:hAnsi="Times New Roman" w:cs="Times New Roman"/>
          <w:sz w:val="22"/>
          <w:szCs w:val="22"/>
        </w:rPr>
      </w:pPr>
      <w:r>
        <w:rPr>
          <w:rFonts w:ascii="Times New Roman" w:hAnsi="Times New Roman" w:cs="Times New Roman"/>
          <w:sz w:val="22"/>
          <w:szCs w:val="22"/>
        </w:rPr>
        <w:lastRenderedPageBreak/>
        <w:t>Algunos de los documentos en materia de g</w:t>
      </w:r>
      <w:r w:rsidR="00B842E1">
        <w:rPr>
          <w:rFonts w:ascii="Times New Roman" w:hAnsi="Times New Roman" w:cs="Times New Roman"/>
          <w:sz w:val="22"/>
          <w:szCs w:val="22"/>
        </w:rPr>
        <w:t>é</w:t>
      </w:r>
      <w:r>
        <w:rPr>
          <w:rFonts w:ascii="Times New Roman" w:hAnsi="Times New Roman" w:cs="Times New Roman"/>
          <w:sz w:val="22"/>
          <w:szCs w:val="22"/>
        </w:rPr>
        <w:t>nero del sistema político internacional en materia de derechos humanos que pretenden minimizar las categorías hegemónicas en el sector género par</w:t>
      </w:r>
      <w:r w:rsidR="00367282">
        <w:rPr>
          <w:rFonts w:ascii="Times New Roman" w:hAnsi="Times New Roman" w:cs="Times New Roman"/>
          <w:sz w:val="22"/>
          <w:szCs w:val="22"/>
        </w:rPr>
        <w:t xml:space="preserve">a </w:t>
      </w:r>
      <w:r>
        <w:rPr>
          <w:rFonts w:ascii="Times New Roman" w:hAnsi="Times New Roman" w:cs="Times New Roman"/>
          <w:sz w:val="22"/>
          <w:szCs w:val="22"/>
        </w:rPr>
        <w:t xml:space="preserve">el colectivo LGBT+ son los siguientes: </w:t>
      </w:r>
    </w:p>
    <w:p w14:paraId="131B2D57" w14:textId="77777777" w:rsidR="009A4551" w:rsidRPr="00B842E1" w:rsidRDefault="009A4551" w:rsidP="00B842E1">
      <w:pPr>
        <w:pStyle w:val="Prrafodelista"/>
        <w:numPr>
          <w:ilvl w:val="0"/>
          <w:numId w:val="8"/>
        </w:numPr>
        <w:autoSpaceDE w:val="0"/>
        <w:autoSpaceDN w:val="0"/>
        <w:adjustRightInd w:val="0"/>
        <w:spacing w:line="360" w:lineRule="auto"/>
        <w:jc w:val="both"/>
        <w:rPr>
          <w:rFonts w:ascii="Times New Roman" w:hAnsi="Times New Roman" w:cs="Times New Roman"/>
          <w:sz w:val="22"/>
          <w:szCs w:val="22"/>
        </w:rPr>
      </w:pPr>
      <w:r w:rsidRPr="00B842E1">
        <w:rPr>
          <w:rFonts w:ascii="Times New Roman" w:hAnsi="Times New Roman" w:cs="Times New Roman"/>
          <w:sz w:val="22"/>
          <w:szCs w:val="22"/>
        </w:rPr>
        <w:t>Declaración Universal de los Derechos Humanos 1948</w:t>
      </w:r>
    </w:p>
    <w:p w14:paraId="14A71B8E" w14:textId="77777777" w:rsidR="009A4551" w:rsidRPr="00B842E1" w:rsidRDefault="009A4551" w:rsidP="00B842E1">
      <w:pPr>
        <w:pStyle w:val="Prrafodelista"/>
        <w:numPr>
          <w:ilvl w:val="0"/>
          <w:numId w:val="8"/>
        </w:numPr>
        <w:autoSpaceDE w:val="0"/>
        <w:autoSpaceDN w:val="0"/>
        <w:adjustRightInd w:val="0"/>
        <w:spacing w:line="360" w:lineRule="auto"/>
        <w:jc w:val="both"/>
        <w:rPr>
          <w:rFonts w:ascii="Times New Roman" w:hAnsi="Times New Roman" w:cs="Times New Roman"/>
          <w:sz w:val="22"/>
          <w:szCs w:val="22"/>
        </w:rPr>
      </w:pPr>
      <w:r w:rsidRPr="00B842E1">
        <w:rPr>
          <w:rFonts w:ascii="Times New Roman" w:hAnsi="Times New Roman" w:cs="Times New Roman"/>
          <w:sz w:val="22"/>
          <w:szCs w:val="22"/>
        </w:rPr>
        <w:t>Pacto Internacional de derechos Civiles y Políticos 1966</w:t>
      </w:r>
    </w:p>
    <w:p w14:paraId="69D8CBDC" w14:textId="77777777" w:rsidR="009A4551" w:rsidRPr="00B842E1" w:rsidRDefault="009A4551" w:rsidP="00B842E1">
      <w:pPr>
        <w:pStyle w:val="Prrafodelista"/>
        <w:numPr>
          <w:ilvl w:val="0"/>
          <w:numId w:val="8"/>
        </w:numPr>
        <w:autoSpaceDE w:val="0"/>
        <w:autoSpaceDN w:val="0"/>
        <w:adjustRightInd w:val="0"/>
        <w:spacing w:line="360" w:lineRule="auto"/>
        <w:jc w:val="both"/>
        <w:rPr>
          <w:rFonts w:ascii="Times New Roman" w:hAnsi="Times New Roman" w:cs="Times New Roman"/>
          <w:sz w:val="22"/>
          <w:szCs w:val="22"/>
        </w:rPr>
      </w:pPr>
      <w:r w:rsidRPr="00B842E1">
        <w:rPr>
          <w:rFonts w:ascii="Times New Roman" w:hAnsi="Times New Roman" w:cs="Times New Roman"/>
          <w:sz w:val="22"/>
          <w:szCs w:val="22"/>
        </w:rPr>
        <w:t>Pacto Internacional de Derechos Económicos, Culturales y Sociales 1966</w:t>
      </w:r>
    </w:p>
    <w:p w14:paraId="3D119662" w14:textId="77777777" w:rsidR="009A4551" w:rsidRPr="00B842E1" w:rsidRDefault="009A4551" w:rsidP="00B842E1">
      <w:pPr>
        <w:pStyle w:val="Prrafodelista"/>
        <w:numPr>
          <w:ilvl w:val="0"/>
          <w:numId w:val="8"/>
        </w:numPr>
        <w:autoSpaceDE w:val="0"/>
        <w:autoSpaceDN w:val="0"/>
        <w:adjustRightInd w:val="0"/>
        <w:spacing w:line="360" w:lineRule="auto"/>
        <w:jc w:val="both"/>
        <w:rPr>
          <w:rFonts w:ascii="Times New Roman" w:hAnsi="Times New Roman" w:cs="Times New Roman"/>
          <w:sz w:val="22"/>
          <w:szCs w:val="22"/>
        </w:rPr>
      </w:pPr>
      <w:r w:rsidRPr="00B842E1">
        <w:rPr>
          <w:rFonts w:ascii="Times New Roman" w:hAnsi="Times New Roman" w:cs="Times New Roman"/>
          <w:sz w:val="22"/>
          <w:szCs w:val="22"/>
        </w:rPr>
        <w:t xml:space="preserve">Declaración Universal de los Derechos Sexuales, 1999. </w:t>
      </w:r>
    </w:p>
    <w:p w14:paraId="66C2F0CF" w14:textId="77777777" w:rsidR="009A4551" w:rsidRPr="00B842E1" w:rsidRDefault="009A4551" w:rsidP="00B842E1">
      <w:pPr>
        <w:pStyle w:val="Prrafodelista"/>
        <w:numPr>
          <w:ilvl w:val="0"/>
          <w:numId w:val="8"/>
        </w:numPr>
        <w:autoSpaceDE w:val="0"/>
        <w:autoSpaceDN w:val="0"/>
        <w:adjustRightInd w:val="0"/>
        <w:spacing w:line="360" w:lineRule="auto"/>
        <w:jc w:val="both"/>
        <w:rPr>
          <w:rFonts w:ascii="Times New Roman" w:hAnsi="Times New Roman" w:cs="Times New Roman"/>
          <w:sz w:val="22"/>
          <w:szCs w:val="22"/>
        </w:rPr>
      </w:pPr>
      <w:r w:rsidRPr="00B842E1">
        <w:rPr>
          <w:rFonts w:ascii="Times New Roman" w:hAnsi="Times New Roman" w:cs="Times New Roman"/>
          <w:sz w:val="22"/>
          <w:szCs w:val="22"/>
        </w:rPr>
        <w:t>Declaración Sobre Orientación Sexual e Identidad de Género de las Naciones Unidas, 2008.</w:t>
      </w:r>
    </w:p>
    <w:p w14:paraId="5F9D32C7" w14:textId="77777777" w:rsidR="009A4551" w:rsidRPr="00B842E1" w:rsidRDefault="009A4551" w:rsidP="00B842E1">
      <w:pPr>
        <w:pStyle w:val="Prrafodelista"/>
        <w:numPr>
          <w:ilvl w:val="0"/>
          <w:numId w:val="8"/>
        </w:numPr>
        <w:autoSpaceDE w:val="0"/>
        <w:autoSpaceDN w:val="0"/>
        <w:adjustRightInd w:val="0"/>
        <w:spacing w:line="360" w:lineRule="auto"/>
        <w:jc w:val="both"/>
        <w:rPr>
          <w:rFonts w:ascii="Times New Roman" w:hAnsi="Times New Roman" w:cs="Times New Roman"/>
          <w:sz w:val="22"/>
          <w:szCs w:val="22"/>
        </w:rPr>
      </w:pPr>
      <w:r w:rsidRPr="00B842E1">
        <w:rPr>
          <w:rFonts w:ascii="Times New Roman" w:hAnsi="Times New Roman" w:cs="Times New Roman"/>
          <w:sz w:val="22"/>
          <w:szCs w:val="22"/>
        </w:rPr>
        <w:t>Derechos Sexuales: Una Declaración De IPPF, 2008.</w:t>
      </w:r>
    </w:p>
    <w:p w14:paraId="2CB1E69E" w14:textId="77777777" w:rsidR="009A4551" w:rsidRPr="00B842E1" w:rsidRDefault="009A4551" w:rsidP="00B842E1">
      <w:pPr>
        <w:pStyle w:val="Prrafodelista"/>
        <w:numPr>
          <w:ilvl w:val="0"/>
          <w:numId w:val="8"/>
        </w:numPr>
        <w:autoSpaceDE w:val="0"/>
        <w:autoSpaceDN w:val="0"/>
        <w:adjustRightInd w:val="0"/>
        <w:spacing w:line="360" w:lineRule="auto"/>
        <w:jc w:val="both"/>
        <w:rPr>
          <w:rFonts w:ascii="Times New Roman" w:hAnsi="Times New Roman" w:cs="Times New Roman"/>
          <w:sz w:val="22"/>
          <w:szCs w:val="22"/>
        </w:rPr>
      </w:pPr>
      <w:r w:rsidRPr="00B842E1">
        <w:rPr>
          <w:rFonts w:ascii="Times New Roman" w:hAnsi="Times New Roman" w:cs="Times New Roman"/>
          <w:sz w:val="22"/>
          <w:szCs w:val="22"/>
        </w:rPr>
        <w:t>Declaración Conjunta de los Miembros Fundadores del Grupo de Apoyo LGBT+, 2016.</w:t>
      </w:r>
    </w:p>
    <w:p w14:paraId="3FE90B92" w14:textId="52C6385D" w:rsidR="009A4551" w:rsidRPr="00B842E1" w:rsidRDefault="009A4551" w:rsidP="00B842E1">
      <w:pPr>
        <w:pStyle w:val="Prrafodelista"/>
        <w:numPr>
          <w:ilvl w:val="0"/>
          <w:numId w:val="8"/>
        </w:numPr>
        <w:autoSpaceDE w:val="0"/>
        <w:autoSpaceDN w:val="0"/>
        <w:adjustRightInd w:val="0"/>
        <w:spacing w:line="360" w:lineRule="auto"/>
        <w:jc w:val="both"/>
        <w:rPr>
          <w:rFonts w:ascii="Times New Roman" w:hAnsi="Times New Roman" w:cs="Times New Roman"/>
          <w:sz w:val="22"/>
          <w:szCs w:val="22"/>
        </w:rPr>
      </w:pPr>
      <w:r w:rsidRPr="00B842E1">
        <w:rPr>
          <w:rFonts w:ascii="Times New Roman" w:hAnsi="Times New Roman" w:cs="Times New Roman"/>
          <w:sz w:val="22"/>
          <w:szCs w:val="22"/>
        </w:rPr>
        <w:t>Orden Ejecutiva Número 16-03 Política Institucional de Igualdad de Género, Diversidad y Derechos Humanos, 2016</w:t>
      </w:r>
    </w:p>
    <w:p w14:paraId="07862469" w14:textId="58202C8B" w:rsidR="008D019C" w:rsidRPr="00B842E1" w:rsidRDefault="009A4551" w:rsidP="00B842E1">
      <w:pPr>
        <w:pStyle w:val="Prrafodelista"/>
        <w:numPr>
          <w:ilvl w:val="0"/>
          <w:numId w:val="8"/>
        </w:numPr>
        <w:autoSpaceDE w:val="0"/>
        <w:autoSpaceDN w:val="0"/>
        <w:adjustRightInd w:val="0"/>
        <w:spacing w:line="360" w:lineRule="auto"/>
        <w:jc w:val="both"/>
        <w:rPr>
          <w:rFonts w:ascii="Times New Roman" w:hAnsi="Times New Roman" w:cs="Times New Roman"/>
          <w:sz w:val="22"/>
          <w:szCs w:val="22"/>
        </w:rPr>
      </w:pPr>
      <w:r w:rsidRPr="00B842E1">
        <w:rPr>
          <w:rFonts w:ascii="Times New Roman" w:hAnsi="Times New Roman" w:cs="Times New Roman"/>
          <w:sz w:val="22"/>
          <w:szCs w:val="22"/>
        </w:rPr>
        <w:t>Los Principios Yogyakarta 2007</w:t>
      </w:r>
      <w:r w:rsidR="00367282" w:rsidRPr="00B842E1">
        <w:rPr>
          <w:rFonts w:ascii="Times New Roman" w:hAnsi="Times New Roman" w:cs="Times New Roman"/>
          <w:sz w:val="22"/>
          <w:szCs w:val="22"/>
        </w:rPr>
        <w:t xml:space="preserve">, </w:t>
      </w:r>
      <w:r w:rsidRPr="00B842E1">
        <w:rPr>
          <w:rFonts w:ascii="Times New Roman" w:hAnsi="Times New Roman" w:cs="Times New Roman"/>
          <w:sz w:val="22"/>
          <w:szCs w:val="22"/>
        </w:rPr>
        <w:t>marcan un punto de partida</w:t>
      </w:r>
      <w:r w:rsidR="00367282" w:rsidRPr="00B842E1">
        <w:rPr>
          <w:rFonts w:ascii="Times New Roman" w:hAnsi="Times New Roman" w:cs="Times New Roman"/>
          <w:sz w:val="22"/>
          <w:szCs w:val="22"/>
        </w:rPr>
        <w:t xml:space="preserve"> a nivel internacional en el sistema gubernamental de los EN</w:t>
      </w:r>
      <w:r w:rsidRPr="00B842E1">
        <w:rPr>
          <w:rFonts w:ascii="Times New Roman" w:hAnsi="Times New Roman" w:cs="Times New Roman"/>
          <w:sz w:val="22"/>
          <w:szCs w:val="22"/>
        </w:rPr>
        <w:t xml:space="preserve"> para minimizar la hegemonía en el colectivo LGBT +</w:t>
      </w:r>
      <w:r w:rsidR="00367282" w:rsidRPr="00B842E1">
        <w:rPr>
          <w:rFonts w:ascii="Times New Roman" w:hAnsi="Times New Roman" w:cs="Times New Roman"/>
          <w:sz w:val="22"/>
          <w:szCs w:val="22"/>
        </w:rPr>
        <w:t>,</w:t>
      </w:r>
      <w:r w:rsidRPr="00B842E1">
        <w:rPr>
          <w:rFonts w:ascii="Times New Roman" w:hAnsi="Times New Roman" w:cs="Times New Roman"/>
          <w:sz w:val="22"/>
          <w:szCs w:val="22"/>
        </w:rPr>
        <w:t xml:space="preserve"> a partir de una eficaz protección de los derechos humanos en este sector por parte del sistema gubernamental </w:t>
      </w:r>
      <w:r w:rsidR="00367282" w:rsidRPr="00B842E1">
        <w:rPr>
          <w:rFonts w:ascii="Times New Roman" w:hAnsi="Times New Roman" w:cs="Times New Roman"/>
          <w:sz w:val="22"/>
          <w:szCs w:val="22"/>
        </w:rPr>
        <w:t xml:space="preserve">de los EEMM </w:t>
      </w:r>
      <w:proofErr w:type="gramStart"/>
      <w:r w:rsidR="00367282" w:rsidRPr="00B842E1">
        <w:rPr>
          <w:rFonts w:ascii="Times New Roman" w:hAnsi="Times New Roman" w:cs="Times New Roman"/>
          <w:sz w:val="22"/>
          <w:szCs w:val="22"/>
        </w:rPr>
        <w:t>y</w:t>
      </w:r>
      <w:proofErr w:type="gramEnd"/>
      <w:r w:rsidR="00367282" w:rsidRPr="00B842E1">
        <w:rPr>
          <w:rFonts w:ascii="Times New Roman" w:hAnsi="Times New Roman" w:cs="Times New Roman"/>
          <w:sz w:val="22"/>
          <w:szCs w:val="22"/>
        </w:rPr>
        <w:t xml:space="preserve"> por lo tanto</w:t>
      </w:r>
      <w:r w:rsidR="00B842E1">
        <w:rPr>
          <w:rFonts w:ascii="Times New Roman" w:hAnsi="Times New Roman" w:cs="Times New Roman"/>
          <w:sz w:val="22"/>
          <w:szCs w:val="22"/>
        </w:rPr>
        <w:t>,</w:t>
      </w:r>
      <w:r w:rsidR="00367282" w:rsidRPr="00B842E1">
        <w:rPr>
          <w:rFonts w:ascii="Times New Roman" w:hAnsi="Times New Roman" w:cs="Times New Roman"/>
          <w:sz w:val="22"/>
          <w:szCs w:val="22"/>
        </w:rPr>
        <w:t xml:space="preserve"> generar una impartición, procuración y administración de justicia que proteja a toda persona humana de una posible violación a sus derechos fundamentales. </w:t>
      </w:r>
      <w:r w:rsidR="00B842E1">
        <w:rPr>
          <w:rFonts w:ascii="Times New Roman" w:hAnsi="Times New Roman" w:cs="Times New Roman"/>
          <w:sz w:val="22"/>
          <w:szCs w:val="22"/>
        </w:rPr>
        <w:t>Estos</w:t>
      </w:r>
      <w:r w:rsidR="00367282" w:rsidRPr="00B842E1">
        <w:rPr>
          <w:rFonts w:ascii="Times New Roman" w:hAnsi="Times New Roman" w:cs="Times New Roman"/>
          <w:sz w:val="22"/>
          <w:szCs w:val="22"/>
        </w:rPr>
        <w:t xml:space="preserve"> Principios s</w:t>
      </w:r>
      <w:r w:rsidR="008D019C" w:rsidRPr="00B842E1">
        <w:rPr>
          <w:rFonts w:ascii="Times New Roman" w:hAnsi="Times New Roman" w:cs="Times New Roman"/>
          <w:sz w:val="22"/>
          <w:szCs w:val="22"/>
        </w:rPr>
        <w:t>on aquellas directrices para la aplicación de la legislación internacional de derechos humanos con relación a la orientación sexual y la identidad de género;</w:t>
      </w:r>
      <w:r w:rsidR="00367282" w:rsidRPr="00B842E1">
        <w:rPr>
          <w:rFonts w:ascii="Times New Roman" w:hAnsi="Times New Roman" w:cs="Times New Roman"/>
          <w:sz w:val="22"/>
          <w:szCs w:val="22"/>
        </w:rPr>
        <w:t xml:space="preserve"> </w:t>
      </w:r>
      <w:proofErr w:type="gramStart"/>
      <w:r w:rsidR="00367282" w:rsidRPr="00B842E1">
        <w:rPr>
          <w:rFonts w:ascii="Times New Roman" w:hAnsi="Times New Roman" w:cs="Times New Roman"/>
          <w:sz w:val="22"/>
          <w:szCs w:val="22"/>
        </w:rPr>
        <w:t>y</w:t>
      </w:r>
      <w:proofErr w:type="gramEnd"/>
      <w:r w:rsidR="00367282" w:rsidRPr="00B842E1">
        <w:rPr>
          <w:rFonts w:ascii="Times New Roman" w:hAnsi="Times New Roman" w:cs="Times New Roman"/>
          <w:sz w:val="22"/>
          <w:szCs w:val="22"/>
        </w:rPr>
        <w:t xml:space="preserve"> </w:t>
      </w:r>
      <w:r w:rsidR="008D019C" w:rsidRPr="00B842E1">
        <w:rPr>
          <w:rFonts w:ascii="Times New Roman" w:hAnsi="Times New Roman" w:cs="Times New Roman"/>
          <w:sz w:val="22"/>
          <w:szCs w:val="22"/>
        </w:rPr>
        <w:t xml:space="preserve">por tanto, exige la correspondencia en el subsistema normativo, gubernamental y los mecanismos procesales. </w:t>
      </w:r>
    </w:p>
    <w:p w14:paraId="784F6E26" w14:textId="77777777" w:rsidR="008D019C" w:rsidRPr="00B452E1" w:rsidRDefault="008D019C" w:rsidP="008D019C">
      <w:pPr>
        <w:autoSpaceDE w:val="0"/>
        <w:autoSpaceDN w:val="0"/>
        <w:adjustRightInd w:val="0"/>
        <w:spacing w:line="360" w:lineRule="auto"/>
        <w:jc w:val="both"/>
        <w:rPr>
          <w:rFonts w:ascii="Times New Roman" w:hAnsi="Times New Roman" w:cs="Times New Roman"/>
          <w:sz w:val="22"/>
          <w:szCs w:val="22"/>
        </w:rPr>
      </w:pPr>
    </w:p>
    <w:p w14:paraId="1A419CB2" w14:textId="4CA17B36" w:rsidR="008D019C" w:rsidRPr="00B452E1" w:rsidRDefault="008D019C" w:rsidP="008D019C">
      <w:pPr>
        <w:autoSpaceDE w:val="0"/>
        <w:autoSpaceDN w:val="0"/>
        <w:adjustRightInd w:val="0"/>
        <w:spacing w:line="360" w:lineRule="auto"/>
        <w:jc w:val="both"/>
        <w:rPr>
          <w:rFonts w:ascii="Times New Roman" w:hAnsi="Times New Roman" w:cs="Times New Roman"/>
          <w:sz w:val="22"/>
          <w:szCs w:val="22"/>
        </w:rPr>
      </w:pPr>
      <w:r w:rsidRPr="00B452E1">
        <w:rPr>
          <w:rFonts w:ascii="Times New Roman" w:hAnsi="Times New Roman" w:cs="Times New Roman"/>
          <w:sz w:val="22"/>
          <w:szCs w:val="22"/>
        </w:rPr>
        <w:t>En este caso, cuando se instaura este sistema de dignidad humana se da por sentado la superación de la vulnerabilidad jurídica y social, así como todas las figuras jurídicas que coloquen en detrimento de los derechos fundamentales de los sujetos de derecho como la discriminación, la desigualdad… etc., además de la opresión y de las interseccionalidades sociales, sin embargo, la realidad social refleja que cada persona tenemos la posibilidad de entrar en los supuestos de la interseccionalidad y como consecuencia dentro de la vulnerabilidad</w:t>
      </w:r>
      <w:r w:rsidR="00367282">
        <w:rPr>
          <w:rFonts w:ascii="Times New Roman" w:hAnsi="Times New Roman" w:cs="Times New Roman"/>
          <w:sz w:val="22"/>
          <w:szCs w:val="22"/>
        </w:rPr>
        <w:t>,</w:t>
      </w:r>
      <w:r w:rsidRPr="00B452E1">
        <w:rPr>
          <w:rFonts w:ascii="Times New Roman" w:hAnsi="Times New Roman" w:cs="Times New Roman"/>
          <w:sz w:val="22"/>
          <w:szCs w:val="22"/>
        </w:rPr>
        <w:t xml:space="preserve"> a causa de las categorías hegemónicas instauradas biopolíticamente por el </w:t>
      </w:r>
      <w:r w:rsidR="001164A0">
        <w:rPr>
          <w:rFonts w:ascii="Times New Roman" w:hAnsi="Times New Roman" w:cs="Times New Roman"/>
          <w:sz w:val="22"/>
          <w:szCs w:val="22"/>
        </w:rPr>
        <w:t xml:space="preserve">sistema </w:t>
      </w:r>
      <w:r w:rsidRPr="00B452E1">
        <w:rPr>
          <w:rFonts w:ascii="Times New Roman" w:hAnsi="Times New Roman" w:cs="Times New Roman"/>
          <w:sz w:val="22"/>
          <w:szCs w:val="22"/>
        </w:rPr>
        <w:t xml:space="preserve">gubernamental y por el </w:t>
      </w:r>
      <w:r w:rsidR="001164A0">
        <w:rPr>
          <w:rFonts w:ascii="Times New Roman" w:hAnsi="Times New Roman" w:cs="Times New Roman"/>
          <w:sz w:val="22"/>
          <w:szCs w:val="22"/>
        </w:rPr>
        <w:t xml:space="preserve">sistema </w:t>
      </w:r>
      <w:r w:rsidRPr="00B452E1">
        <w:rPr>
          <w:rFonts w:ascii="Times New Roman" w:hAnsi="Times New Roman" w:cs="Times New Roman"/>
          <w:sz w:val="22"/>
          <w:szCs w:val="22"/>
        </w:rPr>
        <w:t xml:space="preserve">de comunicación. </w:t>
      </w:r>
    </w:p>
    <w:p w14:paraId="5C8AB91E" w14:textId="77777777" w:rsidR="008D019C" w:rsidRPr="00B452E1" w:rsidRDefault="008D019C" w:rsidP="008D019C">
      <w:pPr>
        <w:autoSpaceDE w:val="0"/>
        <w:autoSpaceDN w:val="0"/>
        <w:adjustRightInd w:val="0"/>
        <w:spacing w:line="360" w:lineRule="auto"/>
        <w:jc w:val="both"/>
        <w:rPr>
          <w:rFonts w:ascii="Times New Roman" w:hAnsi="Times New Roman" w:cs="Times New Roman"/>
          <w:sz w:val="22"/>
          <w:szCs w:val="22"/>
        </w:rPr>
      </w:pPr>
    </w:p>
    <w:p w14:paraId="1369E642" w14:textId="666F4231" w:rsidR="00367282" w:rsidRPr="00B452E1" w:rsidRDefault="00367282" w:rsidP="00367282">
      <w:pPr>
        <w:autoSpaceDE w:val="0"/>
        <w:autoSpaceDN w:val="0"/>
        <w:adjustRightInd w:val="0"/>
        <w:spacing w:line="360" w:lineRule="auto"/>
        <w:jc w:val="both"/>
        <w:rPr>
          <w:rFonts w:ascii="Times New Roman" w:hAnsi="Times New Roman" w:cs="Times New Roman"/>
          <w:sz w:val="22"/>
          <w:szCs w:val="22"/>
        </w:rPr>
      </w:pPr>
      <w:r>
        <w:rPr>
          <w:rFonts w:ascii="Times New Roman" w:hAnsi="Times New Roman" w:cs="Times New Roman"/>
          <w:sz w:val="22"/>
          <w:szCs w:val="22"/>
        </w:rPr>
        <w:t>Algunos de los documentos en materia de g</w:t>
      </w:r>
      <w:r w:rsidR="00B842E1">
        <w:rPr>
          <w:rFonts w:ascii="Times New Roman" w:hAnsi="Times New Roman" w:cs="Times New Roman"/>
          <w:sz w:val="22"/>
          <w:szCs w:val="22"/>
        </w:rPr>
        <w:t>é</w:t>
      </w:r>
      <w:r>
        <w:rPr>
          <w:rFonts w:ascii="Times New Roman" w:hAnsi="Times New Roman" w:cs="Times New Roman"/>
          <w:sz w:val="22"/>
          <w:szCs w:val="22"/>
        </w:rPr>
        <w:t>nero del sistema político internacional en materia de derechos humanos que pretenden minimizar las categorías hegemónicas en el sector género considerando en este sector a las mujeres</w:t>
      </w:r>
      <w:r w:rsidR="00B842E1">
        <w:rPr>
          <w:rFonts w:ascii="Times New Roman" w:hAnsi="Times New Roman" w:cs="Times New Roman"/>
          <w:sz w:val="22"/>
          <w:szCs w:val="22"/>
        </w:rPr>
        <w:t>,</w:t>
      </w:r>
      <w:r>
        <w:rPr>
          <w:rFonts w:ascii="Times New Roman" w:hAnsi="Times New Roman" w:cs="Times New Roman"/>
          <w:sz w:val="22"/>
          <w:szCs w:val="22"/>
        </w:rPr>
        <w:t xml:space="preserve"> son los siguientes: </w:t>
      </w:r>
    </w:p>
    <w:p w14:paraId="4239BCE1" w14:textId="0C52EA0D" w:rsidR="00367282" w:rsidRPr="00B842E1" w:rsidRDefault="008D019C" w:rsidP="00B842E1">
      <w:pPr>
        <w:pStyle w:val="Prrafodelista"/>
        <w:numPr>
          <w:ilvl w:val="0"/>
          <w:numId w:val="9"/>
        </w:numPr>
        <w:autoSpaceDE w:val="0"/>
        <w:autoSpaceDN w:val="0"/>
        <w:adjustRightInd w:val="0"/>
        <w:spacing w:line="360" w:lineRule="auto"/>
        <w:jc w:val="both"/>
        <w:rPr>
          <w:rFonts w:ascii="Times New Roman" w:hAnsi="Times New Roman" w:cs="Times New Roman"/>
          <w:sz w:val="22"/>
          <w:szCs w:val="22"/>
        </w:rPr>
      </w:pPr>
      <w:r w:rsidRPr="00B842E1">
        <w:rPr>
          <w:rFonts w:ascii="Times New Roman" w:hAnsi="Times New Roman" w:cs="Times New Roman"/>
          <w:sz w:val="22"/>
          <w:szCs w:val="22"/>
        </w:rPr>
        <w:t xml:space="preserve">Convención sobre la Eliminación de Todas las Formas de Discriminación Contra la Mujer </w:t>
      </w:r>
      <w:sdt>
        <w:sdtPr>
          <w:rPr>
            <w:rFonts w:ascii="Times New Roman" w:hAnsi="Times New Roman" w:cs="Times New Roman"/>
            <w:sz w:val="22"/>
            <w:szCs w:val="22"/>
          </w:rPr>
          <w:id w:val="-1906827329"/>
          <w:citation/>
        </w:sdtPr>
        <w:sdtContent>
          <w:r w:rsidR="00B842E1">
            <w:rPr>
              <w:rFonts w:ascii="Times New Roman" w:hAnsi="Times New Roman" w:cs="Times New Roman"/>
              <w:sz w:val="22"/>
              <w:szCs w:val="22"/>
            </w:rPr>
            <w:fldChar w:fldCharType="begin"/>
          </w:r>
          <w:r w:rsidR="00B842E1">
            <w:rPr>
              <w:rFonts w:ascii="Times New Roman" w:hAnsi="Times New Roman" w:cs="Times New Roman"/>
              <w:sz w:val="22"/>
              <w:szCs w:val="22"/>
            </w:rPr>
            <w:instrText xml:space="preserve">CITATION CED79 \y  \t  \l 3082 </w:instrText>
          </w:r>
          <w:r w:rsidR="00B842E1">
            <w:rPr>
              <w:rFonts w:ascii="Times New Roman" w:hAnsi="Times New Roman" w:cs="Times New Roman"/>
              <w:sz w:val="22"/>
              <w:szCs w:val="22"/>
            </w:rPr>
            <w:fldChar w:fldCharType="separate"/>
          </w:r>
          <w:r w:rsidR="00B842E1" w:rsidRPr="00B842E1">
            <w:rPr>
              <w:rFonts w:ascii="Times New Roman" w:hAnsi="Times New Roman" w:cs="Times New Roman"/>
              <w:noProof/>
              <w:sz w:val="22"/>
              <w:szCs w:val="22"/>
            </w:rPr>
            <w:t>(CEDAW)</w:t>
          </w:r>
          <w:r w:rsidR="00B842E1">
            <w:rPr>
              <w:rFonts w:ascii="Times New Roman" w:hAnsi="Times New Roman" w:cs="Times New Roman"/>
              <w:sz w:val="22"/>
              <w:szCs w:val="22"/>
            </w:rPr>
            <w:fldChar w:fldCharType="end"/>
          </w:r>
        </w:sdtContent>
      </w:sdt>
      <w:r w:rsidR="00B842E1">
        <w:rPr>
          <w:rFonts w:ascii="Times New Roman" w:hAnsi="Times New Roman" w:cs="Times New Roman"/>
          <w:sz w:val="22"/>
          <w:szCs w:val="22"/>
        </w:rPr>
        <w:t xml:space="preserve"> (1979)</w:t>
      </w:r>
    </w:p>
    <w:p w14:paraId="30E74F2A" w14:textId="22C718E9" w:rsidR="00367282" w:rsidRPr="00B842E1" w:rsidRDefault="008D019C" w:rsidP="00B842E1">
      <w:pPr>
        <w:pStyle w:val="Prrafodelista"/>
        <w:numPr>
          <w:ilvl w:val="0"/>
          <w:numId w:val="9"/>
        </w:numPr>
        <w:autoSpaceDE w:val="0"/>
        <w:autoSpaceDN w:val="0"/>
        <w:adjustRightInd w:val="0"/>
        <w:spacing w:line="360" w:lineRule="auto"/>
        <w:jc w:val="both"/>
        <w:rPr>
          <w:rFonts w:ascii="Times New Roman" w:hAnsi="Times New Roman" w:cs="Times New Roman"/>
          <w:sz w:val="22"/>
          <w:szCs w:val="22"/>
        </w:rPr>
      </w:pPr>
      <w:r w:rsidRPr="00B842E1">
        <w:rPr>
          <w:rFonts w:ascii="Times New Roman" w:hAnsi="Times New Roman" w:cs="Times New Roman"/>
          <w:sz w:val="22"/>
          <w:szCs w:val="22"/>
        </w:rPr>
        <w:t xml:space="preserve">Declaración y Plataforma de Acción de Beijing </w:t>
      </w:r>
      <w:sdt>
        <w:sdtPr>
          <w:rPr>
            <w:rFonts w:ascii="Times New Roman" w:hAnsi="Times New Roman" w:cs="Times New Roman"/>
            <w:sz w:val="22"/>
            <w:szCs w:val="22"/>
          </w:rPr>
          <w:id w:val="1381285858"/>
          <w:citation/>
        </w:sdtPr>
        <w:sdtContent>
          <w:r w:rsidR="00B842E1">
            <w:rPr>
              <w:rFonts w:ascii="Times New Roman" w:hAnsi="Times New Roman" w:cs="Times New Roman"/>
              <w:sz w:val="22"/>
              <w:szCs w:val="22"/>
            </w:rPr>
            <w:fldChar w:fldCharType="begin"/>
          </w:r>
          <w:r w:rsidR="00B842E1">
            <w:rPr>
              <w:rFonts w:ascii="Times New Roman" w:hAnsi="Times New Roman" w:cs="Times New Roman"/>
              <w:sz w:val="22"/>
              <w:szCs w:val="22"/>
            </w:rPr>
            <w:instrText xml:space="preserve">CITATION PAB95 \y  \t  \l 3082 </w:instrText>
          </w:r>
          <w:r w:rsidR="00B842E1">
            <w:rPr>
              <w:rFonts w:ascii="Times New Roman" w:hAnsi="Times New Roman" w:cs="Times New Roman"/>
              <w:sz w:val="22"/>
              <w:szCs w:val="22"/>
            </w:rPr>
            <w:fldChar w:fldCharType="separate"/>
          </w:r>
          <w:r w:rsidR="00B842E1" w:rsidRPr="00B842E1">
            <w:rPr>
              <w:rFonts w:ascii="Times New Roman" w:hAnsi="Times New Roman" w:cs="Times New Roman"/>
              <w:noProof/>
              <w:sz w:val="22"/>
              <w:szCs w:val="22"/>
            </w:rPr>
            <w:t>(PAB)</w:t>
          </w:r>
          <w:r w:rsidR="00B842E1">
            <w:rPr>
              <w:rFonts w:ascii="Times New Roman" w:hAnsi="Times New Roman" w:cs="Times New Roman"/>
              <w:sz w:val="22"/>
              <w:szCs w:val="22"/>
            </w:rPr>
            <w:fldChar w:fldCharType="end"/>
          </w:r>
        </w:sdtContent>
      </w:sdt>
      <w:r w:rsidR="00B842E1">
        <w:rPr>
          <w:rFonts w:ascii="Times New Roman" w:hAnsi="Times New Roman" w:cs="Times New Roman"/>
          <w:sz w:val="22"/>
          <w:szCs w:val="22"/>
        </w:rPr>
        <w:t xml:space="preserve"> (1995) </w:t>
      </w:r>
    </w:p>
    <w:p w14:paraId="63E34F38" w14:textId="3A181766" w:rsidR="00367282" w:rsidRPr="00B842E1" w:rsidRDefault="008D019C" w:rsidP="00B842E1">
      <w:pPr>
        <w:pStyle w:val="Prrafodelista"/>
        <w:numPr>
          <w:ilvl w:val="0"/>
          <w:numId w:val="9"/>
        </w:numPr>
        <w:autoSpaceDE w:val="0"/>
        <w:autoSpaceDN w:val="0"/>
        <w:adjustRightInd w:val="0"/>
        <w:spacing w:line="360" w:lineRule="auto"/>
        <w:jc w:val="both"/>
        <w:rPr>
          <w:rFonts w:ascii="Times New Roman" w:hAnsi="Times New Roman" w:cs="Times New Roman"/>
          <w:sz w:val="22"/>
          <w:szCs w:val="22"/>
        </w:rPr>
      </w:pPr>
      <w:r w:rsidRPr="00B842E1">
        <w:rPr>
          <w:rFonts w:ascii="Times New Roman" w:hAnsi="Times New Roman" w:cs="Times New Roman"/>
          <w:sz w:val="22"/>
          <w:szCs w:val="22"/>
        </w:rPr>
        <w:t>Objetivos del Milenio, 2000</w:t>
      </w:r>
      <w:r w:rsidR="00B842E1">
        <w:rPr>
          <w:rFonts w:ascii="Times New Roman" w:hAnsi="Times New Roman" w:cs="Times New Roman"/>
          <w:sz w:val="22"/>
          <w:szCs w:val="22"/>
        </w:rPr>
        <w:t xml:space="preserve">. </w:t>
      </w:r>
      <w:sdt>
        <w:sdtPr>
          <w:rPr>
            <w:rFonts w:ascii="Times New Roman" w:hAnsi="Times New Roman" w:cs="Times New Roman"/>
            <w:sz w:val="22"/>
            <w:szCs w:val="22"/>
          </w:rPr>
          <w:id w:val="109480093"/>
          <w:citation/>
        </w:sdtPr>
        <w:sdtContent>
          <w:r w:rsidR="00B842E1">
            <w:rPr>
              <w:rFonts w:ascii="Times New Roman" w:hAnsi="Times New Roman" w:cs="Times New Roman"/>
              <w:sz w:val="22"/>
              <w:szCs w:val="22"/>
            </w:rPr>
            <w:fldChar w:fldCharType="begin"/>
          </w:r>
          <w:r w:rsidR="00B842E1">
            <w:rPr>
              <w:rFonts w:ascii="Times New Roman" w:hAnsi="Times New Roman" w:cs="Times New Roman"/>
              <w:sz w:val="22"/>
              <w:szCs w:val="22"/>
            </w:rPr>
            <w:instrText xml:space="preserve">CITATION ODM15 \y  \t  \l 3082 </w:instrText>
          </w:r>
          <w:r w:rsidR="00B842E1">
            <w:rPr>
              <w:rFonts w:ascii="Times New Roman" w:hAnsi="Times New Roman" w:cs="Times New Roman"/>
              <w:sz w:val="22"/>
              <w:szCs w:val="22"/>
            </w:rPr>
            <w:fldChar w:fldCharType="separate"/>
          </w:r>
          <w:r w:rsidR="00B842E1" w:rsidRPr="00B842E1">
            <w:rPr>
              <w:rFonts w:ascii="Times New Roman" w:hAnsi="Times New Roman" w:cs="Times New Roman"/>
              <w:noProof/>
              <w:sz w:val="22"/>
              <w:szCs w:val="22"/>
            </w:rPr>
            <w:t>(ODM)</w:t>
          </w:r>
          <w:r w:rsidR="00B842E1">
            <w:rPr>
              <w:rFonts w:ascii="Times New Roman" w:hAnsi="Times New Roman" w:cs="Times New Roman"/>
              <w:sz w:val="22"/>
              <w:szCs w:val="22"/>
            </w:rPr>
            <w:fldChar w:fldCharType="end"/>
          </w:r>
        </w:sdtContent>
      </w:sdt>
      <w:r w:rsidR="00B842E1" w:rsidRPr="00B842E1">
        <w:rPr>
          <w:rFonts w:ascii="Times New Roman" w:hAnsi="Times New Roman" w:cs="Times New Roman"/>
          <w:sz w:val="22"/>
          <w:szCs w:val="22"/>
        </w:rPr>
        <w:t xml:space="preserve"> </w:t>
      </w:r>
      <w:sdt>
        <w:sdtPr>
          <w:rPr>
            <w:rFonts w:ascii="Times New Roman" w:hAnsi="Times New Roman" w:cs="Times New Roman"/>
            <w:sz w:val="22"/>
            <w:szCs w:val="22"/>
          </w:rPr>
          <w:id w:val="-899980432"/>
          <w:citation/>
        </w:sdtPr>
        <w:sdtContent>
          <w:r w:rsidR="00B842E1">
            <w:rPr>
              <w:rFonts w:ascii="Times New Roman" w:hAnsi="Times New Roman" w:cs="Times New Roman"/>
              <w:sz w:val="22"/>
              <w:szCs w:val="22"/>
            </w:rPr>
            <w:fldChar w:fldCharType="begin"/>
          </w:r>
          <w:r w:rsidR="00B842E1">
            <w:rPr>
              <w:rFonts w:ascii="Times New Roman" w:hAnsi="Times New Roman" w:cs="Times New Roman"/>
              <w:sz w:val="22"/>
              <w:szCs w:val="22"/>
            </w:rPr>
            <w:instrText xml:space="preserve">CITATION ODM15 \n  \t  \l 3082 </w:instrText>
          </w:r>
          <w:r w:rsidR="00B842E1">
            <w:rPr>
              <w:rFonts w:ascii="Times New Roman" w:hAnsi="Times New Roman" w:cs="Times New Roman"/>
              <w:sz w:val="22"/>
              <w:szCs w:val="22"/>
            </w:rPr>
            <w:fldChar w:fldCharType="separate"/>
          </w:r>
          <w:r w:rsidR="00B842E1" w:rsidRPr="00B842E1">
            <w:rPr>
              <w:rFonts w:ascii="Times New Roman" w:hAnsi="Times New Roman" w:cs="Times New Roman"/>
              <w:noProof/>
              <w:sz w:val="22"/>
              <w:szCs w:val="22"/>
            </w:rPr>
            <w:t>(2000-2015)</w:t>
          </w:r>
          <w:r w:rsidR="00B842E1">
            <w:rPr>
              <w:rFonts w:ascii="Times New Roman" w:hAnsi="Times New Roman" w:cs="Times New Roman"/>
              <w:sz w:val="22"/>
              <w:szCs w:val="22"/>
            </w:rPr>
            <w:fldChar w:fldCharType="end"/>
          </w:r>
        </w:sdtContent>
      </w:sdt>
    </w:p>
    <w:p w14:paraId="3A935660" w14:textId="115F5F9D" w:rsidR="00B842E1" w:rsidRDefault="00B842E1" w:rsidP="008D019C">
      <w:pPr>
        <w:pStyle w:val="Prrafodelista"/>
        <w:numPr>
          <w:ilvl w:val="0"/>
          <w:numId w:val="9"/>
        </w:numPr>
        <w:autoSpaceDE w:val="0"/>
        <w:autoSpaceDN w:val="0"/>
        <w:adjustRightInd w:val="0"/>
        <w:spacing w:line="360" w:lineRule="auto"/>
        <w:jc w:val="both"/>
        <w:rPr>
          <w:rFonts w:ascii="Times New Roman" w:hAnsi="Times New Roman" w:cs="Times New Roman"/>
          <w:sz w:val="22"/>
          <w:szCs w:val="22"/>
        </w:rPr>
      </w:pPr>
      <w:r>
        <w:rPr>
          <w:rFonts w:ascii="Times New Roman" w:hAnsi="Times New Roman" w:cs="Times New Roman"/>
          <w:sz w:val="22"/>
          <w:szCs w:val="22"/>
        </w:rPr>
        <w:lastRenderedPageBreak/>
        <w:t>La</w:t>
      </w:r>
      <w:r w:rsidR="008D019C" w:rsidRPr="00B842E1">
        <w:rPr>
          <w:rFonts w:ascii="Times New Roman" w:hAnsi="Times New Roman" w:cs="Times New Roman"/>
          <w:sz w:val="22"/>
          <w:szCs w:val="22"/>
        </w:rPr>
        <w:t xml:space="preserve"> resolución 1325, qué es una resolución muy importante porque marca la inauguración de una gran cantidad de resoluciones, sobre todo las más importantes </w:t>
      </w:r>
      <w:r w:rsidRPr="00B842E1">
        <w:rPr>
          <w:rFonts w:ascii="Times New Roman" w:hAnsi="Times New Roman" w:cs="Times New Roman"/>
          <w:sz w:val="22"/>
          <w:szCs w:val="22"/>
        </w:rPr>
        <w:t>de acuerdo con</w:t>
      </w:r>
      <w:r w:rsidR="008D019C" w:rsidRPr="00B842E1">
        <w:rPr>
          <w:rFonts w:ascii="Times New Roman" w:hAnsi="Times New Roman" w:cs="Times New Roman"/>
          <w:sz w:val="22"/>
          <w:szCs w:val="22"/>
        </w:rPr>
        <w:t xml:space="preserve"> los derechos de la mujer, son siete y la última versión se </w:t>
      </w:r>
      <w:r w:rsidRPr="00B842E1">
        <w:rPr>
          <w:rFonts w:ascii="Times New Roman" w:hAnsi="Times New Roman" w:cs="Times New Roman"/>
          <w:sz w:val="22"/>
          <w:szCs w:val="22"/>
        </w:rPr>
        <w:t>d</w:t>
      </w:r>
      <w:r>
        <w:rPr>
          <w:rFonts w:ascii="Times New Roman" w:hAnsi="Times New Roman" w:cs="Times New Roman"/>
          <w:sz w:val="22"/>
          <w:szCs w:val="22"/>
        </w:rPr>
        <w:t>a</w:t>
      </w:r>
      <w:r w:rsidR="008D019C" w:rsidRPr="00B842E1">
        <w:rPr>
          <w:rFonts w:ascii="Times New Roman" w:hAnsi="Times New Roman" w:cs="Times New Roman"/>
          <w:sz w:val="22"/>
          <w:szCs w:val="22"/>
        </w:rPr>
        <w:t xml:space="preserve"> en 2017</w:t>
      </w:r>
      <w:r>
        <w:rPr>
          <w:rFonts w:ascii="Times New Roman" w:hAnsi="Times New Roman" w:cs="Times New Roman"/>
          <w:sz w:val="22"/>
          <w:szCs w:val="22"/>
        </w:rPr>
        <w:t>.</w:t>
      </w:r>
      <w:r w:rsidR="008D019C" w:rsidRPr="00B842E1">
        <w:rPr>
          <w:rFonts w:ascii="Times New Roman" w:hAnsi="Times New Roman" w:cs="Times New Roman"/>
          <w:sz w:val="22"/>
          <w:szCs w:val="22"/>
        </w:rPr>
        <w:t xml:space="preserve"> </w:t>
      </w:r>
    </w:p>
    <w:p w14:paraId="6A21166A" w14:textId="5B3926D3" w:rsidR="00367282" w:rsidRPr="00B842E1" w:rsidRDefault="00367282" w:rsidP="008D019C">
      <w:pPr>
        <w:pStyle w:val="Prrafodelista"/>
        <w:numPr>
          <w:ilvl w:val="0"/>
          <w:numId w:val="9"/>
        </w:numPr>
        <w:autoSpaceDE w:val="0"/>
        <w:autoSpaceDN w:val="0"/>
        <w:adjustRightInd w:val="0"/>
        <w:spacing w:line="360" w:lineRule="auto"/>
        <w:jc w:val="both"/>
        <w:rPr>
          <w:rFonts w:ascii="Times New Roman" w:hAnsi="Times New Roman" w:cs="Times New Roman"/>
          <w:sz w:val="22"/>
          <w:szCs w:val="22"/>
        </w:rPr>
      </w:pPr>
      <w:r w:rsidRPr="00B842E1">
        <w:rPr>
          <w:rFonts w:ascii="Times New Roman" w:hAnsi="Times New Roman" w:cs="Times New Roman"/>
          <w:sz w:val="22"/>
          <w:szCs w:val="22"/>
        </w:rPr>
        <w:t>L</w:t>
      </w:r>
      <w:r w:rsidR="008D019C" w:rsidRPr="00B842E1">
        <w:rPr>
          <w:rFonts w:ascii="Times New Roman" w:hAnsi="Times New Roman" w:cs="Times New Roman"/>
          <w:sz w:val="22"/>
          <w:szCs w:val="22"/>
        </w:rPr>
        <w:t>os Objetivos de Desarrollo Sostenible y la Guía Práctica para el uso del Derecho Internacional de los Derechos Humanos y de los Mecanismos para defender Derechos Humanos de las Mujeres; estos documentos, como documentos que surgen de la Organización de las Naciones Unidas de manera directa</w:t>
      </w:r>
      <w:r w:rsidRPr="00B842E1">
        <w:rPr>
          <w:rFonts w:ascii="Times New Roman" w:hAnsi="Times New Roman" w:cs="Times New Roman"/>
          <w:sz w:val="22"/>
          <w:szCs w:val="22"/>
        </w:rPr>
        <w:t>.</w:t>
      </w:r>
    </w:p>
    <w:p w14:paraId="4C67A0C7" w14:textId="7047D622" w:rsidR="00367282" w:rsidRDefault="00367282" w:rsidP="008D019C">
      <w:pPr>
        <w:autoSpaceDE w:val="0"/>
        <w:autoSpaceDN w:val="0"/>
        <w:adjustRightInd w:val="0"/>
        <w:spacing w:line="360" w:lineRule="auto"/>
        <w:jc w:val="both"/>
        <w:rPr>
          <w:rFonts w:ascii="Times New Roman" w:hAnsi="Times New Roman" w:cs="Times New Roman"/>
          <w:sz w:val="22"/>
          <w:szCs w:val="22"/>
        </w:rPr>
      </w:pPr>
      <w:r>
        <w:rPr>
          <w:rFonts w:ascii="Times New Roman" w:hAnsi="Times New Roman" w:cs="Times New Roman"/>
          <w:sz w:val="22"/>
          <w:szCs w:val="22"/>
        </w:rPr>
        <w:t>D</w:t>
      </w:r>
      <w:r w:rsidR="008D019C" w:rsidRPr="00B452E1">
        <w:rPr>
          <w:rFonts w:ascii="Times New Roman" w:hAnsi="Times New Roman" w:cs="Times New Roman"/>
          <w:sz w:val="22"/>
          <w:szCs w:val="22"/>
        </w:rPr>
        <w:t>espués de estos documentos</w:t>
      </w:r>
      <w:r w:rsidR="00B842E1">
        <w:rPr>
          <w:rFonts w:ascii="Times New Roman" w:hAnsi="Times New Roman" w:cs="Times New Roman"/>
          <w:sz w:val="22"/>
          <w:szCs w:val="22"/>
        </w:rPr>
        <w:t>,</w:t>
      </w:r>
      <w:r w:rsidR="008D019C" w:rsidRPr="00B452E1">
        <w:rPr>
          <w:rFonts w:ascii="Times New Roman" w:hAnsi="Times New Roman" w:cs="Times New Roman"/>
          <w:sz w:val="22"/>
          <w:szCs w:val="22"/>
        </w:rPr>
        <w:t xml:space="preserve"> tenemos una gran cantidad también Latinoamérica y el Caribe y en algunos casos son documentos por parte de la Corte </w:t>
      </w:r>
      <w:r w:rsidR="00B842E1">
        <w:rPr>
          <w:rFonts w:ascii="Times New Roman" w:hAnsi="Times New Roman" w:cs="Times New Roman"/>
          <w:sz w:val="22"/>
          <w:szCs w:val="22"/>
        </w:rPr>
        <w:t>IDH</w:t>
      </w:r>
      <w:r w:rsidR="008D019C" w:rsidRPr="00B452E1">
        <w:rPr>
          <w:rFonts w:ascii="Times New Roman" w:hAnsi="Times New Roman" w:cs="Times New Roman"/>
          <w:sz w:val="22"/>
          <w:szCs w:val="22"/>
        </w:rPr>
        <w:t xml:space="preserve"> y en otros casos son documentos por la CEPAL de los programas de acciones regionales, y aquí tenemos</w:t>
      </w:r>
      <w:r>
        <w:rPr>
          <w:rFonts w:ascii="Times New Roman" w:hAnsi="Times New Roman" w:cs="Times New Roman"/>
          <w:sz w:val="22"/>
          <w:szCs w:val="22"/>
        </w:rPr>
        <w:t>:</w:t>
      </w:r>
    </w:p>
    <w:p w14:paraId="1EFD9236" w14:textId="12F5DE5B" w:rsidR="008D019C" w:rsidRPr="00B452E1" w:rsidRDefault="008D019C" w:rsidP="008D019C">
      <w:pPr>
        <w:autoSpaceDE w:val="0"/>
        <w:autoSpaceDN w:val="0"/>
        <w:adjustRightInd w:val="0"/>
        <w:spacing w:line="360" w:lineRule="auto"/>
        <w:jc w:val="both"/>
        <w:rPr>
          <w:rFonts w:ascii="Times New Roman" w:hAnsi="Times New Roman" w:cs="Times New Roman"/>
          <w:sz w:val="22"/>
          <w:szCs w:val="22"/>
        </w:rPr>
      </w:pPr>
      <w:r w:rsidRPr="00B452E1">
        <w:rPr>
          <w:rFonts w:ascii="Times New Roman" w:hAnsi="Times New Roman" w:cs="Times New Roman"/>
          <w:sz w:val="22"/>
          <w:szCs w:val="22"/>
        </w:rPr>
        <w:t>Convención Interamericana para Prevenir Sancionar y Erradicar la Violencia Contra la Mujer</w:t>
      </w:r>
      <w:r w:rsidR="00B842E1">
        <w:rPr>
          <w:rFonts w:ascii="Times New Roman" w:hAnsi="Times New Roman" w:cs="Times New Roman"/>
          <w:sz w:val="22"/>
          <w:szCs w:val="22"/>
        </w:rPr>
        <w:t xml:space="preserve">; </w:t>
      </w:r>
      <w:r w:rsidRPr="00B452E1">
        <w:rPr>
          <w:rFonts w:ascii="Times New Roman" w:hAnsi="Times New Roman" w:cs="Times New Roman"/>
          <w:sz w:val="22"/>
          <w:szCs w:val="22"/>
        </w:rPr>
        <w:t>Programa de Acción Regional para las Mujeres de América Latina y el Caribe</w:t>
      </w:r>
      <w:r w:rsidR="00B842E1">
        <w:rPr>
          <w:rFonts w:ascii="Times New Roman" w:hAnsi="Times New Roman" w:cs="Times New Roman"/>
          <w:sz w:val="22"/>
          <w:szCs w:val="22"/>
        </w:rPr>
        <w:t xml:space="preserve"> y el </w:t>
      </w:r>
      <w:r w:rsidRPr="00B452E1">
        <w:rPr>
          <w:rFonts w:ascii="Times New Roman" w:hAnsi="Times New Roman" w:cs="Times New Roman"/>
          <w:sz w:val="22"/>
          <w:szCs w:val="22"/>
        </w:rPr>
        <w:t>Programa Interamericano Sobre la Promoción de los Derechos Humanos de la Mujer y la Equidad e Igualdad de Género</w:t>
      </w:r>
      <w:r w:rsidR="00B842E1">
        <w:rPr>
          <w:rFonts w:ascii="Times New Roman" w:hAnsi="Times New Roman" w:cs="Times New Roman"/>
          <w:sz w:val="22"/>
          <w:szCs w:val="22"/>
        </w:rPr>
        <w:t>.</w:t>
      </w:r>
    </w:p>
    <w:p w14:paraId="00DEF1DF" w14:textId="77777777" w:rsidR="008D019C" w:rsidRPr="00B452E1" w:rsidRDefault="008D019C" w:rsidP="008D019C">
      <w:pPr>
        <w:autoSpaceDE w:val="0"/>
        <w:autoSpaceDN w:val="0"/>
        <w:adjustRightInd w:val="0"/>
        <w:spacing w:line="360" w:lineRule="auto"/>
        <w:jc w:val="both"/>
        <w:rPr>
          <w:rFonts w:ascii="Times New Roman" w:hAnsi="Times New Roman" w:cs="Times New Roman"/>
          <w:b/>
          <w:bCs/>
          <w:sz w:val="22"/>
          <w:szCs w:val="22"/>
        </w:rPr>
      </w:pPr>
    </w:p>
    <w:p w14:paraId="26427E6E" w14:textId="77777777" w:rsidR="008D019C" w:rsidRPr="00B452E1" w:rsidRDefault="008D019C" w:rsidP="008D019C">
      <w:pPr>
        <w:autoSpaceDE w:val="0"/>
        <w:autoSpaceDN w:val="0"/>
        <w:adjustRightInd w:val="0"/>
        <w:spacing w:line="360" w:lineRule="auto"/>
        <w:jc w:val="both"/>
        <w:rPr>
          <w:rFonts w:ascii="Times New Roman" w:hAnsi="Times New Roman" w:cs="Times New Roman"/>
          <w:sz w:val="22"/>
          <w:szCs w:val="22"/>
        </w:rPr>
      </w:pPr>
    </w:p>
    <w:p w14:paraId="2A1C6AE2" w14:textId="759C9465" w:rsidR="00EF7E6D" w:rsidRDefault="008D019C" w:rsidP="00EF7E6D">
      <w:pPr>
        <w:autoSpaceDE w:val="0"/>
        <w:autoSpaceDN w:val="0"/>
        <w:adjustRightInd w:val="0"/>
        <w:spacing w:line="360" w:lineRule="auto"/>
        <w:jc w:val="both"/>
        <w:rPr>
          <w:rFonts w:ascii="Times New Roman" w:hAnsi="Times New Roman" w:cs="Times New Roman"/>
          <w:b/>
          <w:bCs/>
          <w:sz w:val="22"/>
          <w:szCs w:val="22"/>
        </w:rPr>
      </w:pPr>
      <w:r w:rsidRPr="00B452E1">
        <w:rPr>
          <w:rFonts w:ascii="Times New Roman" w:hAnsi="Times New Roman" w:cs="Times New Roman"/>
          <w:b/>
          <w:bCs/>
          <w:sz w:val="22"/>
          <w:szCs w:val="22"/>
        </w:rPr>
        <w:t>C</w:t>
      </w:r>
      <w:r w:rsidR="00123A2C" w:rsidRPr="00B452E1">
        <w:rPr>
          <w:rFonts w:ascii="Times New Roman" w:hAnsi="Times New Roman" w:cs="Times New Roman"/>
          <w:b/>
          <w:bCs/>
          <w:sz w:val="22"/>
          <w:szCs w:val="22"/>
        </w:rPr>
        <w:t>onclusiones</w:t>
      </w:r>
    </w:p>
    <w:p w14:paraId="06E92329" w14:textId="677EF6FD" w:rsidR="009B03DC" w:rsidRPr="00B842E1" w:rsidRDefault="008D019C" w:rsidP="00B842E1">
      <w:pPr>
        <w:pStyle w:val="Prrafodelista"/>
        <w:numPr>
          <w:ilvl w:val="0"/>
          <w:numId w:val="10"/>
        </w:numPr>
        <w:autoSpaceDE w:val="0"/>
        <w:autoSpaceDN w:val="0"/>
        <w:adjustRightInd w:val="0"/>
        <w:spacing w:line="360" w:lineRule="auto"/>
        <w:jc w:val="both"/>
        <w:rPr>
          <w:rFonts w:ascii="Times New Roman" w:hAnsi="Times New Roman" w:cs="Times New Roman"/>
          <w:b/>
          <w:bCs/>
          <w:sz w:val="22"/>
          <w:szCs w:val="22"/>
        </w:rPr>
      </w:pPr>
      <w:r w:rsidRPr="00B842E1">
        <w:rPr>
          <w:rFonts w:ascii="Times New Roman" w:hAnsi="Times New Roman" w:cs="Times New Roman"/>
          <w:sz w:val="22"/>
          <w:szCs w:val="22"/>
        </w:rPr>
        <w:t xml:space="preserve">El problema epistémico en materia de vulnerabilidad social y jurídica </w:t>
      </w:r>
      <w:r w:rsidR="009B03DC" w:rsidRPr="00B842E1">
        <w:rPr>
          <w:rFonts w:ascii="Times New Roman" w:hAnsi="Times New Roman" w:cs="Times New Roman"/>
          <w:sz w:val="22"/>
          <w:szCs w:val="22"/>
        </w:rPr>
        <w:t xml:space="preserve">que hoy mantienen </w:t>
      </w:r>
      <w:r w:rsidRPr="00B842E1">
        <w:rPr>
          <w:rFonts w:ascii="Times New Roman" w:hAnsi="Times New Roman" w:cs="Times New Roman"/>
          <w:sz w:val="22"/>
          <w:szCs w:val="22"/>
        </w:rPr>
        <w:t xml:space="preserve">las políticas internacionales sobre el </w:t>
      </w:r>
      <w:r w:rsidR="00C845FC" w:rsidRPr="00B842E1">
        <w:rPr>
          <w:rFonts w:ascii="Times New Roman" w:hAnsi="Times New Roman" w:cs="Times New Roman"/>
          <w:sz w:val="22"/>
          <w:szCs w:val="22"/>
        </w:rPr>
        <w:t>género</w:t>
      </w:r>
      <w:r w:rsidR="009B03DC" w:rsidRPr="00B842E1">
        <w:rPr>
          <w:rFonts w:ascii="Times New Roman" w:hAnsi="Times New Roman" w:cs="Times New Roman"/>
          <w:sz w:val="22"/>
          <w:szCs w:val="22"/>
        </w:rPr>
        <w:t xml:space="preserve"> </w:t>
      </w:r>
      <w:r w:rsidRPr="00B842E1">
        <w:rPr>
          <w:rFonts w:ascii="Times New Roman" w:hAnsi="Times New Roman" w:cs="Times New Roman"/>
          <w:sz w:val="22"/>
          <w:szCs w:val="22"/>
        </w:rPr>
        <w:t>transfiere dicho conflicto a los estados nación</w:t>
      </w:r>
      <w:r w:rsidR="009B03DC" w:rsidRPr="00B842E1">
        <w:rPr>
          <w:rFonts w:ascii="Times New Roman" w:hAnsi="Times New Roman" w:cs="Times New Roman"/>
          <w:sz w:val="22"/>
          <w:szCs w:val="22"/>
        </w:rPr>
        <w:t xml:space="preserve"> como parte de su concepción de género para realizar políticas internas y por lo tanto a sus sistemas jurídicos en materia de derechos humanos con una impartición, procuración y administración de justicia ineficaz para la protección de derechos fundamentales</w:t>
      </w:r>
      <w:r w:rsidRPr="00B842E1">
        <w:rPr>
          <w:rFonts w:ascii="Times New Roman" w:hAnsi="Times New Roman" w:cs="Times New Roman"/>
          <w:sz w:val="22"/>
          <w:szCs w:val="22"/>
        </w:rPr>
        <w:t>.</w:t>
      </w:r>
    </w:p>
    <w:p w14:paraId="66D87651" w14:textId="77777777" w:rsidR="009B03DC" w:rsidRDefault="009B03DC" w:rsidP="009B03DC">
      <w:pPr>
        <w:autoSpaceDE w:val="0"/>
        <w:autoSpaceDN w:val="0"/>
        <w:adjustRightInd w:val="0"/>
        <w:spacing w:line="360" w:lineRule="auto"/>
        <w:jc w:val="both"/>
        <w:rPr>
          <w:rFonts w:ascii="Times New Roman" w:hAnsi="Times New Roman" w:cs="Times New Roman"/>
          <w:b/>
          <w:bCs/>
          <w:sz w:val="22"/>
          <w:szCs w:val="22"/>
        </w:rPr>
      </w:pPr>
    </w:p>
    <w:p w14:paraId="26AAA2A7" w14:textId="055DACAF" w:rsidR="009A4551" w:rsidRPr="00B842E1" w:rsidRDefault="00EF7E6D" w:rsidP="00B842E1">
      <w:pPr>
        <w:pStyle w:val="Prrafodelista"/>
        <w:numPr>
          <w:ilvl w:val="0"/>
          <w:numId w:val="10"/>
        </w:numPr>
        <w:autoSpaceDE w:val="0"/>
        <w:autoSpaceDN w:val="0"/>
        <w:adjustRightInd w:val="0"/>
        <w:spacing w:line="360" w:lineRule="auto"/>
        <w:jc w:val="both"/>
        <w:rPr>
          <w:rFonts w:ascii="Times New Roman" w:hAnsi="Times New Roman" w:cs="Times New Roman"/>
          <w:b/>
          <w:bCs/>
          <w:sz w:val="22"/>
          <w:szCs w:val="22"/>
        </w:rPr>
      </w:pPr>
      <w:r w:rsidRPr="00B842E1">
        <w:rPr>
          <w:rFonts w:ascii="Times New Roman" w:hAnsi="Times New Roman" w:cs="Times New Roman"/>
          <w:sz w:val="22"/>
          <w:szCs w:val="22"/>
        </w:rPr>
        <w:t>El género desde el sistema político internacional de dignidad humana</w:t>
      </w:r>
      <w:r w:rsidR="009B03DC" w:rsidRPr="00B842E1">
        <w:rPr>
          <w:rFonts w:ascii="Times New Roman" w:hAnsi="Times New Roman" w:cs="Times New Roman"/>
          <w:sz w:val="22"/>
          <w:szCs w:val="22"/>
        </w:rPr>
        <w:t xml:space="preserve"> considera dos sectores de población como grupos vulnerables: mujeres</w:t>
      </w:r>
      <w:r w:rsidR="00123A2C">
        <w:rPr>
          <w:rFonts w:ascii="Times New Roman" w:hAnsi="Times New Roman" w:cs="Times New Roman"/>
          <w:sz w:val="22"/>
          <w:szCs w:val="22"/>
        </w:rPr>
        <w:t xml:space="preserve"> y </w:t>
      </w:r>
      <w:r w:rsidR="009B03DC" w:rsidRPr="00B842E1">
        <w:rPr>
          <w:rFonts w:ascii="Times New Roman" w:hAnsi="Times New Roman" w:cs="Times New Roman"/>
          <w:sz w:val="22"/>
          <w:szCs w:val="22"/>
        </w:rPr>
        <w:t>colectivo LGBT</w:t>
      </w:r>
      <w:r w:rsidR="009A4551" w:rsidRPr="00B842E1">
        <w:rPr>
          <w:rFonts w:ascii="Times New Roman" w:hAnsi="Times New Roman" w:cs="Times New Roman"/>
          <w:sz w:val="22"/>
          <w:szCs w:val="22"/>
        </w:rPr>
        <w:t>+</w:t>
      </w:r>
      <w:r w:rsidR="00123A2C">
        <w:rPr>
          <w:rFonts w:ascii="Times New Roman" w:hAnsi="Times New Roman" w:cs="Times New Roman"/>
          <w:sz w:val="22"/>
          <w:szCs w:val="22"/>
        </w:rPr>
        <w:t>.</w:t>
      </w:r>
    </w:p>
    <w:p w14:paraId="4543BD9F" w14:textId="77777777" w:rsidR="009A4551" w:rsidRDefault="009A4551" w:rsidP="009A4551">
      <w:pPr>
        <w:autoSpaceDE w:val="0"/>
        <w:autoSpaceDN w:val="0"/>
        <w:adjustRightInd w:val="0"/>
        <w:spacing w:line="360" w:lineRule="auto"/>
        <w:jc w:val="both"/>
        <w:rPr>
          <w:rFonts w:ascii="Times New Roman" w:hAnsi="Times New Roman" w:cs="Times New Roman"/>
          <w:b/>
          <w:bCs/>
          <w:sz w:val="22"/>
          <w:szCs w:val="22"/>
        </w:rPr>
      </w:pPr>
    </w:p>
    <w:p w14:paraId="110AD879" w14:textId="3EE5D479" w:rsidR="00EF7E6D" w:rsidRPr="00B842E1" w:rsidRDefault="009A4551" w:rsidP="00B842E1">
      <w:pPr>
        <w:pStyle w:val="Prrafodelista"/>
        <w:numPr>
          <w:ilvl w:val="0"/>
          <w:numId w:val="10"/>
        </w:numPr>
        <w:autoSpaceDE w:val="0"/>
        <w:autoSpaceDN w:val="0"/>
        <w:adjustRightInd w:val="0"/>
        <w:spacing w:line="360" w:lineRule="auto"/>
        <w:jc w:val="both"/>
        <w:rPr>
          <w:rFonts w:ascii="Times New Roman" w:hAnsi="Times New Roman" w:cs="Times New Roman"/>
          <w:sz w:val="22"/>
          <w:szCs w:val="22"/>
        </w:rPr>
      </w:pPr>
      <w:r w:rsidRPr="00B842E1">
        <w:rPr>
          <w:rFonts w:ascii="Times New Roman" w:hAnsi="Times New Roman" w:cs="Times New Roman"/>
          <w:sz w:val="22"/>
          <w:szCs w:val="22"/>
        </w:rPr>
        <w:t>De conformidad con los</w:t>
      </w:r>
      <w:r w:rsidRPr="00B842E1">
        <w:rPr>
          <w:rFonts w:ascii="Times New Roman" w:hAnsi="Times New Roman" w:cs="Times New Roman"/>
          <w:b/>
          <w:bCs/>
          <w:sz w:val="22"/>
          <w:szCs w:val="22"/>
        </w:rPr>
        <w:t xml:space="preserve"> </w:t>
      </w:r>
      <w:r w:rsidRPr="00B842E1">
        <w:rPr>
          <w:rFonts w:ascii="Times New Roman" w:hAnsi="Times New Roman" w:cs="Times New Roman"/>
          <w:sz w:val="22"/>
          <w:szCs w:val="22"/>
        </w:rPr>
        <w:t>instrumentos de política internacional en materia de derechos humanos y la teoría de la performatividad del género</w:t>
      </w:r>
      <w:r w:rsidR="00123A2C">
        <w:rPr>
          <w:rFonts w:ascii="Times New Roman" w:hAnsi="Times New Roman" w:cs="Times New Roman"/>
          <w:sz w:val="22"/>
          <w:szCs w:val="22"/>
        </w:rPr>
        <w:t>,</w:t>
      </w:r>
      <w:r w:rsidRPr="00B842E1">
        <w:rPr>
          <w:rFonts w:ascii="Times New Roman" w:hAnsi="Times New Roman" w:cs="Times New Roman"/>
          <w:sz w:val="22"/>
          <w:szCs w:val="22"/>
        </w:rPr>
        <w:t xml:space="preserve"> los</w:t>
      </w:r>
      <w:r w:rsidRPr="00B842E1">
        <w:rPr>
          <w:rFonts w:ascii="Times New Roman" w:hAnsi="Times New Roman" w:cs="Times New Roman"/>
          <w:b/>
          <w:bCs/>
          <w:sz w:val="22"/>
          <w:szCs w:val="22"/>
        </w:rPr>
        <w:t xml:space="preserve"> </w:t>
      </w:r>
      <w:r w:rsidRPr="00B842E1">
        <w:rPr>
          <w:rFonts w:ascii="Times New Roman" w:hAnsi="Times New Roman" w:cs="Times New Roman"/>
          <w:sz w:val="22"/>
          <w:szCs w:val="22"/>
        </w:rPr>
        <w:t>e</w:t>
      </w:r>
      <w:r w:rsidR="00EF7E6D" w:rsidRPr="00B842E1">
        <w:rPr>
          <w:rFonts w:ascii="Times New Roman" w:hAnsi="Times New Roman" w:cs="Times New Roman"/>
          <w:sz w:val="22"/>
          <w:szCs w:val="22"/>
        </w:rPr>
        <w:t xml:space="preserve">lementos </w:t>
      </w:r>
      <w:r w:rsidRPr="00B842E1">
        <w:rPr>
          <w:rFonts w:ascii="Times New Roman" w:hAnsi="Times New Roman" w:cs="Times New Roman"/>
          <w:sz w:val="22"/>
          <w:szCs w:val="22"/>
        </w:rPr>
        <w:t xml:space="preserve">que lo integran son: la orientación sexual, identidad de genero </w:t>
      </w:r>
      <w:r w:rsidR="00123A2C">
        <w:rPr>
          <w:rFonts w:ascii="Times New Roman" w:hAnsi="Times New Roman" w:cs="Times New Roman"/>
          <w:sz w:val="22"/>
          <w:szCs w:val="22"/>
        </w:rPr>
        <w:t xml:space="preserve">y </w:t>
      </w:r>
      <w:r w:rsidRPr="00B842E1">
        <w:rPr>
          <w:rFonts w:ascii="Times New Roman" w:hAnsi="Times New Roman" w:cs="Times New Roman"/>
          <w:sz w:val="22"/>
          <w:szCs w:val="22"/>
        </w:rPr>
        <w:t>expresión de género.</w:t>
      </w:r>
    </w:p>
    <w:p w14:paraId="11CDBC96" w14:textId="77777777" w:rsidR="009A4551" w:rsidRDefault="009A4551" w:rsidP="009A4551">
      <w:pPr>
        <w:autoSpaceDE w:val="0"/>
        <w:autoSpaceDN w:val="0"/>
        <w:adjustRightInd w:val="0"/>
        <w:spacing w:line="360" w:lineRule="auto"/>
        <w:rPr>
          <w:rFonts w:ascii="Times New Roman" w:hAnsi="Times New Roman" w:cs="Times New Roman"/>
          <w:b/>
          <w:bCs/>
          <w:sz w:val="22"/>
          <w:szCs w:val="22"/>
        </w:rPr>
      </w:pPr>
    </w:p>
    <w:p w14:paraId="681F4770" w14:textId="12150CFD" w:rsidR="00EF7E6D" w:rsidRPr="00B842E1" w:rsidRDefault="009A4551" w:rsidP="00B842E1">
      <w:pPr>
        <w:pStyle w:val="Prrafodelista"/>
        <w:numPr>
          <w:ilvl w:val="0"/>
          <w:numId w:val="10"/>
        </w:numPr>
        <w:autoSpaceDE w:val="0"/>
        <w:autoSpaceDN w:val="0"/>
        <w:adjustRightInd w:val="0"/>
        <w:spacing w:line="360" w:lineRule="auto"/>
        <w:jc w:val="both"/>
        <w:rPr>
          <w:rFonts w:ascii="Times New Roman" w:hAnsi="Times New Roman" w:cs="Times New Roman"/>
          <w:sz w:val="22"/>
          <w:szCs w:val="22"/>
        </w:rPr>
      </w:pPr>
      <w:r w:rsidRPr="00B842E1">
        <w:rPr>
          <w:rFonts w:ascii="Times New Roman" w:hAnsi="Times New Roman" w:cs="Times New Roman"/>
          <w:sz w:val="22"/>
          <w:szCs w:val="22"/>
        </w:rPr>
        <w:t xml:space="preserve">La </w:t>
      </w:r>
      <w:r w:rsidR="00EF7E6D" w:rsidRPr="00B842E1">
        <w:rPr>
          <w:rFonts w:ascii="Times New Roman" w:hAnsi="Times New Roman" w:cs="Times New Roman"/>
          <w:sz w:val="22"/>
          <w:szCs w:val="22"/>
        </w:rPr>
        <w:t xml:space="preserve">Interseccionalidad </w:t>
      </w:r>
      <w:r w:rsidRPr="00B842E1">
        <w:rPr>
          <w:rFonts w:ascii="Times New Roman" w:hAnsi="Times New Roman" w:cs="Times New Roman"/>
          <w:sz w:val="22"/>
          <w:szCs w:val="22"/>
        </w:rPr>
        <w:t>debe s</w:t>
      </w:r>
      <w:r w:rsidR="00123A2C">
        <w:rPr>
          <w:rFonts w:ascii="Times New Roman" w:hAnsi="Times New Roman" w:cs="Times New Roman"/>
          <w:sz w:val="22"/>
          <w:szCs w:val="22"/>
        </w:rPr>
        <w:t>e</w:t>
      </w:r>
      <w:r w:rsidRPr="00B842E1">
        <w:rPr>
          <w:rFonts w:ascii="Times New Roman" w:hAnsi="Times New Roman" w:cs="Times New Roman"/>
          <w:sz w:val="22"/>
          <w:szCs w:val="22"/>
        </w:rPr>
        <w:t xml:space="preserve">r utilizada por el sistema político internacional de los derechos humanos para la estructuración del género, </w:t>
      </w:r>
      <w:r w:rsidR="00EF7E6D" w:rsidRPr="00B842E1">
        <w:rPr>
          <w:rFonts w:ascii="Times New Roman" w:hAnsi="Times New Roman" w:cs="Times New Roman"/>
          <w:sz w:val="22"/>
          <w:szCs w:val="22"/>
        </w:rPr>
        <w:t>como herramienta para minimizar la desigualdad del género en el sistema internacional</w:t>
      </w:r>
      <w:r w:rsidRPr="00B842E1">
        <w:rPr>
          <w:rFonts w:ascii="Times New Roman" w:hAnsi="Times New Roman" w:cs="Times New Roman"/>
          <w:sz w:val="22"/>
          <w:szCs w:val="22"/>
        </w:rPr>
        <w:t xml:space="preserve"> que visibilice las desigualdades entre los seres humanos</w:t>
      </w:r>
      <w:r w:rsidR="00EF7E6D" w:rsidRPr="00B842E1">
        <w:rPr>
          <w:rFonts w:ascii="Times New Roman" w:hAnsi="Times New Roman" w:cs="Times New Roman"/>
          <w:sz w:val="22"/>
          <w:szCs w:val="22"/>
        </w:rPr>
        <w:t>.</w:t>
      </w:r>
    </w:p>
    <w:p w14:paraId="7A18572B" w14:textId="77777777" w:rsidR="00367282" w:rsidRDefault="00367282" w:rsidP="00C845FC">
      <w:pPr>
        <w:autoSpaceDE w:val="0"/>
        <w:autoSpaceDN w:val="0"/>
        <w:adjustRightInd w:val="0"/>
        <w:spacing w:line="360" w:lineRule="auto"/>
        <w:jc w:val="both"/>
        <w:rPr>
          <w:rFonts w:ascii="Times New Roman" w:hAnsi="Times New Roman" w:cs="Times New Roman"/>
          <w:sz w:val="22"/>
          <w:szCs w:val="22"/>
        </w:rPr>
      </w:pPr>
    </w:p>
    <w:p w14:paraId="0DF63170" w14:textId="11FA3CC7" w:rsidR="008D019C" w:rsidRPr="00B842E1" w:rsidRDefault="00367282" w:rsidP="00B842E1">
      <w:pPr>
        <w:pStyle w:val="Prrafodelista"/>
        <w:numPr>
          <w:ilvl w:val="0"/>
          <w:numId w:val="10"/>
        </w:numPr>
        <w:autoSpaceDE w:val="0"/>
        <w:autoSpaceDN w:val="0"/>
        <w:adjustRightInd w:val="0"/>
        <w:spacing w:line="360" w:lineRule="auto"/>
        <w:jc w:val="both"/>
        <w:rPr>
          <w:rFonts w:ascii="Times New Roman" w:hAnsi="Times New Roman" w:cs="Times New Roman"/>
          <w:sz w:val="22"/>
          <w:szCs w:val="22"/>
        </w:rPr>
      </w:pPr>
      <w:r w:rsidRPr="00B842E1">
        <w:rPr>
          <w:rFonts w:ascii="Times New Roman" w:hAnsi="Times New Roman" w:cs="Times New Roman"/>
          <w:sz w:val="22"/>
          <w:szCs w:val="22"/>
        </w:rPr>
        <w:t>Las c</w:t>
      </w:r>
      <w:r w:rsidR="00EF7E6D" w:rsidRPr="00B842E1">
        <w:rPr>
          <w:rFonts w:ascii="Times New Roman" w:hAnsi="Times New Roman" w:cs="Times New Roman"/>
          <w:sz w:val="22"/>
          <w:szCs w:val="22"/>
        </w:rPr>
        <w:t>ategorías hegemónicas (propuesta Arriaga)</w:t>
      </w:r>
      <w:r w:rsidRPr="00B842E1">
        <w:rPr>
          <w:rFonts w:ascii="Times New Roman" w:hAnsi="Times New Roman" w:cs="Times New Roman"/>
          <w:sz w:val="22"/>
          <w:szCs w:val="22"/>
        </w:rPr>
        <w:t xml:space="preserve"> aún se encuentran sin ser minimizadas a pesar de la existencia de un sinnúmero de documentos en materia de género para el colectivo LGBT+, as</w:t>
      </w:r>
      <w:r w:rsidR="00C845FC" w:rsidRPr="00B842E1">
        <w:rPr>
          <w:rFonts w:ascii="Times New Roman" w:hAnsi="Times New Roman" w:cs="Times New Roman"/>
          <w:sz w:val="22"/>
          <w:szCs w:val="22"/>
        </w:rPr>
        <w:t xml:space="preserve">í </w:t>
      </w:r>
      <w:r w:rsidRPr="00B842E1">
        <w:rPr>
          <w:rFonts w:ascii="Times New Roman" w:hAnsi="Times New Roman" w:cs="Times New Roman"/>
          <w:sz w:val="22"/>
          <w:szCs w:val="22"/>
        </w:rPr>
        <w:t>como para la protección de los derechos de la mujer</w:t>
      </w:r>
      <w:r w:rsidR="00C845FC" w:rsidRPr="00B842E1">
        <w:rPr>
          <w:rFonts w:ascii="Times New Roman" w:hAnsi="Times New Roman" w:cs="Times New Roman"/>
          <w:sz w:val="22"/>
          <w:szCs w:val="22"/>
        </w:rPr>
        <w:t>; dichas categorizaciones impiden</w:t>
      </w:r>
      <w:r w:rsidR="00EF7E6D" w:rsidRPr="00B842E1">
        <w:rPr>
          <w:rFonts w:ascii="Times New Roman" w:hAnsi="Times New Roman" w:cs="Times New Roman"/>
          <w:sz w:val="22"/>
          <w:szCs w:val="22"/>
        </w:rPr>
        <w:t xml:space="preserve"> </w:t>
      </w:r>
      <w:r w:rsidR="00C845FC" w:rsidRPr="00B842E1">
        <w:rPr>
          <w:rFonts w:ascii="Times New Roman" w:hAnsi="Times New Roman" w:cs="Times New Roman"/>
          <w:sz w:val="22"/>
          <w:szCs w:val="22"/>
        </w:rPr>
        <w:t xml:space="preserve">una eficaz </w:t>
      </w:r>
      <w:r w:rsidR="00EF7E6D" w:rsidRPr="00B842E1">
        <w:rPr>
          <w:rFonts w:ascii="Times New Roman" w:hAnsi="Times New Roman" w:cs="Times New Roman"/>
          <w:sz w:val="22"/>
          <w:szCs w:val="22"/>
        </w:rPr>
        <w:t>administración, procuración e impartición de justicia desde una perspectiva de género.</w:t>
      </w:r>
    </w:p>
    <w:p w14:paraId="4634C847" w14:textId="77777777" w:rsidR="009B03DC" w:rsidRPr="009B03DC" w:rsidRDefault="009B03DC" w:rsidP="009B03DC">
      <w:pPr>
        <w:autoSpaceDE w:val="0"/>
        <w:autoSpaceDN w:val="0"/>
        <w:adjustRightInd w:val="0"/>
        <w:spacing w:line="360" w:lineRule="auto"/>
        <w:jc w:val="center"/>
        <w:rPr>
          <w:rFonts w:ascii="Times New Roman" w:hAnsi="Times New Roman" w:cs="Times New Roman"/>
          <w:sz w:val="22"/>
          <w:szCs w:val="22"/>
        </w:rPr>
      </w:pPr>
    </w:p>
    <w:sdt>
      <w:sdtPr>
        <w:rPr>
          <w:rFonts w:ascii="Arial" w:eastAsiaTheme="minorHAnsi" w:hAnsi="Arial" w:cs="Arial"/>
          <w:b w:val="0"/>
          <w:bCs w:val="0"/>
          <w:color w:val="auto"/>
          <w:sz w:val="24"/>
          <w:szCs w:val="24"/>
          <w:lang w:val="es-ES" w:eastAsia="en-US"/>
        </w:rPr>
        <w:id w:val="-1979756924"/>
        <w:docPartObj>
          <w:docPartGallery w:val="Bibliographies"/>
          <w:docPartUnique/>
        </w:docPartObj>
      </w:sdtPr>
      <w:sdtEndPr>
        <w:rPr>
          <w:rFonts w:ascii="Times New Roman" w:hAnsi="Times New Roman" w:cs="Times New Roman"/>
          <w:sz w:val="22"/>
          <w:szCs w:val="22"/>
        </w:rPr>
      </w:sdtEndPr>
      <w:sdtContent>
        <w:p w14:paraId="13DE6480" w14:textId="61C85ACA" w:rsidR="00E1112C" w:rsidRPr="001164A0" w:rsidRDefault="00E1112C" w:rsidP="00123A2C">
          <w:pPr>
            <w:pStyle w:val="Ttulo1"/>
            <w:jc w:val="both"/>
            <w:rPr>
              <w:rFonts w:ascii="Times New Roman" w:hAnsi="Times New Roman" w:cs="Times New Roman"/>
              <w:color w:val="000000" w:themeColor="text1"/>
              <w:sz w:val="22"/>
              <w:szCs w:val="22"/>
              <w:lang w:val="es-ES"/>
            </w:rPr>
          </w:pPr>
          <w:r w:rsidRPr="001164A0">
            <w:rPr>
              <w:rFonts w:ascii="Times New Roman" w:hAnsi="Times New Roman" w:cs="Times New Roman"/>
              <w:color w:val="000000" w:themeColor="text1"/>
              <w:sz w:val="22"/>
              <w:szCs w:val="22"/>
              <w:lang w:val="es-ES"/>
            </w:rPr>
            <w:t>F</w:t>
          </w:r>
          <w:r w:rsidR="00123A2C" w:rsidRPr="001164A0">
            <w:rPr>
              <w:rFonts w:ascii="Times New Roman" w:hAnsi="Times New Roman" w:cs="Times New Roman"/>
              <w:color w:val="000000" w:themeColor="text1"/>
              <w:sz w:val="22"/>
              <w:szCs w:val="22"/>
              <w:lang w:val="es-ES"/>
            </w:rPr>
            <w:t>uentes de información</w:t>
          </w:r>
          <w:r w:rsidR="00123A2C">
            <w:rPr>
              <w:rFonts w:ascii="Times New Roman" w:hAnsi="Times New Roman" w:cs="Times New Roman"/>
              <w:color w:val="000000" w:themeColor="text1"/>
              <w:sz w:val="22"/>
              <w:szCs w:val="22"/>
              <w:lang w:val="es-ES"/>
            </w:rPr>
            <w:t xml:space="preserve"> </w:t>
          </w:r>
        </w:p>
        <w:p w14:paraId="04276730" w14:textId="77777777" w:rsidR="00E1112C" w:rsidRPr="001164A0" w:rsidRDefault="00E1112C" w:rsidP="00123A2C">
          <w:pPr>
            <w:spacing w:line="276" w:lineRule="auto"/>
            <w:jc w:val="both"/>
            <w:rPr>
              <w:rFonts w:ascii="Times New Roman" w:hAnsi="Times New Roman" w:cs="Times New Roman"/>
              <w:sz w:val="22"/>
              <w:szCs w:val="22"/>
              <w:lang w:eastAsia="es-ES_tradnl"/>
            </w:rPr>
          </w:pPr>
        </w:p>
        <w:sdt>
          <w:sdtPr>
            <w:rPr>
              <w:rFonts w:ascii="Times New Roman" w:hAnsi="Times New Roman" w:cs="Times New Roman"/>
              <w:sz w:val="22"/>
              <w:szCs w:val="22"/>
            </w:rPr>
            <w:id w:val="111145805"/>
            <w:bibliography/>
          </w:sdtPr>
          <w:sdtEndPr/>
          <w:sdtContent>
            <w:p w14:paraId="7E1ADB2C" w14:textId="77777777" w:rsidR="009B03DC" w:rsidRPr="001164A0" w:rsidRDefault="00E1112C" w:rsidP="00123A2C">
              <w:pPr>
                <w:pStyle w:val="Bibliografa"/>
                <w:spacing w:line="276" w:lineRule="auto"/>
                <w:ind w:left="720" w:hanging="720"/>
                <w:jc w:val="both"/>
                <w:rPr>
                  <w:rFonts w:ascii="Times New Roman" w:hAnsi="Times New Roman" w:cs="Times New Roman"/>
                  <w:noProof/>
                  <w:sz w:val="22"/>
                  <w:szCs w:val="22"/>
                </w:rPr>
              </w:pPr>
              <w:r w:rsidRPr="001164A0">
                <w:rPr>
                  <w:rFonts w:ascii="Times New Roman" w:hAnsi="Times New Roman" w:cs="Times New Roman"/>
                  <w:sz w:val="22"/>
                  <w:szCs w:val="22"/>
                </w:rPr>
                <w:fldChar w:fldCharType="begin"/>
              </w:r>
              <w:r w:rsidRPr="001164A0">
                <w:rPr>
                  <w:rFonts w:ascii="Times New Roman" w:hAnsi="Times New Roman" w:cs="Times New Roman"/>
                  <w:sz w:val="22"/>
                  <w:szCs w:val="22"/>
                </w:rPr>
                <w:instrText>BIBLIOGRAPHY</w:instrText>
              </w:r>
              <w:r w:rsidRPr="001164A0">
                <w:rPr>
                  <w:rFonts w:ascii="Times New Roman" w:hAnsi="Times New Roman" w:cs="Times New Roman"/>
                  <w:sz w:val="22"/>
                  <w:szCs w:val="22"/>
                </w:rPr>
                <w:fldChar w:fldCharType="separate"/>
              </w:r>
              <w:r w:rsidR="009B03DC" w:rsidRPr="001164A0">
                <w:rPr>
                  <w:rFonts w:ascii="Times New Roman" w:hAnsi="Times New Roman" w:cs="Times New Roman"/>
                  <w:noProof/>
                  <w:sz w:val="22"/>
                  <w:szCs w:val="22"/>
                </w:rPr>
                <w:t xml:space="preserve">CCMSM. (1995). </w:t>
              </w:r>
              <w:r w:rsidR="009B03DC" w:rsidRPr="001164A0">
                <w:rPr>
                  <w:rFonts w:ascii="Times New Roman" w:hAnsi="Times New Roman" w:cs="Times New Roman"/>
                  <w:i/>
                  <w:iCs/>
                  <w:noProof/>
                  <w:sz w:val="22"/>
                  <w:szCs w:val="22"/>
                </w:rPr>
                <w:t>www.acnur.org/fileadmin/Documentos/BDL/2006/4654.pdf.</w:t>
              </w:r>
              <w:r w:rsidR="009B03DC" w:rsidRPr="001164A0">
                <w:rPr>
                  <w:rFonts w:ascii="Times New Roman" w:hAnsi="Times New Roman" w:cs="Times New Roman"/>
                  <w:noProof/>
                  <w:sz w:val="22"/>
                  <w:szCs w:val="22"/>
                </w:rPr>
                <w:t xml:space="preserve"> Obtenido de Cuarta Conferencia Mundial Sobre la Mujer: https://www.acnur.org/fileadmin/Documentos/BDL/2006/4654.pdf</w:t>
              </w:r>
            </w:p>
            <w:p w14:paraId="6757102E" w14:textId="77777777" w:rsidR="009B03DC" w:rsidRPr="001164A0" w:rsidRDefault="009B03DC" w:rsidP="00123A2C">
              <w:pPr>
                <w:pStyle w:val="Bibliografa"/>
                <w:spacing w:line="276" w:lineRule="auto"/>
                <w:ind w:left="720" w:hanging="720"/>
                <w:jc w:val="both"/>
                <w:rPr>
                  <w:rFonts w:ascii="Times New Roman" w:hAnsi="Times New Roman" w:cs="Times New Roman"/>
                  <w:noProof/>
                  <w:sz w:val="22"/>
                  <w:szCs w:val="22"/>
                </w:rPr>
              </w:pPr>
              <w:r w:rsidRPr="001164A0">
                <w:rPr>
                  <w:rFonts w:ascii="Times New Roman" w:hAnsi="Times New Roman" w:cs="Times New Roman"/>
                  <w:noProof/>
                  <w:sz w:val="22"/>
                  <w:szCs w:val="22"/>
                </w:rPr>
                <w:t xml:space="preserve">CEDAW. (1979). </w:t>
              </w:r>
              <w:r w:rsidRPr="001164A0">
                <w:rPr>
                  <w:rFonts w:ascii="Times New Roman" w:hAnsi="Times New Roman" w:cs="Times New Roman"/>
                  <w:i/>
                  <w:iCs/>
                  <w:noProof/>
                  <w:sz w:val="22"/>
                  <w:szCs w:val="22"/>
                </w:rPr>
                <w:t>Convención sobre la eliminación de todas las formas de discriminación contra la mujer</w:t>
              </w:r>
              <w:r w:rsidRPr="001164A0">
                <w:rPr>
                  <w:rFonts w:ascii="Times New Roman" w:hAnsi="Times New Roman" w:cs="Times New Roman"/>
                  <w:noProof/>
                  <w:sz w:val="22"/>
                  <w:szCs w:val="22"/>
                </w:rPr>
                <w:t>. Obtenido de https://www.ohchr.org/sp/professionalinterest/pages/cedaw.aspx</w:t>
              </w:r>
            </w:p>
            <w:p w14:paraId="1214B5D1" w14:textId="77777777" w:rsidR="009B03DC" w:rsidRPr="001164A0" w:rsidRDefault="009B03DC" w:rsidP="00123A2C">
              <w:pPr>
                <w:pStyle w:val="Bibliografa"/>
                <w:spacing w:line="276" w:lineRule="auto"/>
                <w:ind w:left="720" w:hanging="720"/>
                <w:jc w:val="both"/>
                <w:rPr>
                  <w:rFonts w:ascii="Times New Roman" w:hAnsi="Times New Roman" w:cs="Times New Roman"/>
                  <w:noProof/>
                  <w:sz w:val="22"/>
                  <w:szCs w:val="22"/>
                </w:rPr>
              </w:pPr>
              <w:r w:rsidRPr="001164A0">
                <w:rPr>
                  <w:rFonts w:ascii="Times New Roman" w:hAnsi="Times New Roman" w:cs="Times New Roman"/>
                  <w:noProof/>
                  <w:sz w:val="22"/>
                  <w:szCs w:val="22"/>
                </w:rPr>
                <w:t>Leyes de Núrember. (1935). Ley de ciudadanía del Reich y Ley para la protección de la sangre y el honor alemanes. Alemania.</w:t>
              </w:r>
            </w:p>
            <w:p w14:paraId="3F8FC521" w14:textId="77777777" w:rsidR="009B03DC" w:rsidRPr="001164A0" w:rsidRDefault="009B03DC" w:rsidP="00123A2C">
              <w:pPr>
                <w:pStyle w:val="Bibliografa"/>
                <w:spacing w:line="276" w:lineRule="auto"/>
                <w:ind w:left="720" w:hanging="720"/>
                <w:jc w:val="both"/>
                <w:rPr>
                  <w:rFonts w:ascii="Times New Roman" w:hAnsi="Times New Roman" w:cs="Times New Roman"/>
                  <w:noProof/>
                  <w:sz w:val="22"/>
                  <w:szCs w:val="22"/>
                </w:rPr>
              </w:pPr>
              <w:r w:rsidRPr="001164A0">
                <w:rPr>
                  <w:rFonts w:ascii="Times New Roman" w:hAnsi="Times New Roman" w:cs="Times New Roman"/>
                  <w:noProof/>
                  <w:sz w:val="22"/>
                  <w:szCs w:val="22"/>
                </w:rPr>
                <w:t xml:space="preserve">Convención de Belém Do Para. (1994). </w:t>
              </w:r>
              <w:r w:rsidRPr="001164A0">
                <w:rPr>
                  <w:rFonts w:ascii="Times New Roman" w:hAnsi="Times New Roman" w:cs="Times New Roman"/>
                  <w:i/>
                  <w:iCs/>
                  <w:noProof/>
                  <w:sz w:val="22"/>
                  <w:szCs w:val="22"/>
                </w:rPr>
                <w:t>Convención interamericana para prevenir, sancionar y erradicar la violencia contra la mujer</w:t>
              </w:r>
              <w:r w:rsidRPr="001164A0">
                <w:rPr>
                  <w:rFonts w:ascii="Times New Roman" w:hAnsi="Times New Roman" w:cs="Times New Roman"/>
                  <w:noProof/>
                  <w:sz w:val="22"/>
                  <w:szCs w:val="22"/>
                </w:rPr>
                <w:t>. Obtenido de https://www.oas.org/juridico/spanish/tratados/a-61.html</w:t>
              </w:r>
            </w:p>
            <w:p w14:paraId="098A514B" w14:textId="77777777" w:rsidR="009B03DC" w:rsidRPr="001164A0" w:rsidRDefault="009B03DC" w:rsidP="00123A2C">
              <w:pPr>
                <w:pStyle w:val="Bibliografa"/>
                <w:spacing w:line="276" w:lineRule="auto"/>
                <w:ind w:left="720" w:hanging="720"/>
                <w:jc w:val="both"/>
                <w:rPr>
                  <w:rFonts w:ascii="Times New Roman" w:hAnsi="Times New Roman" w:cs="Times New Roman"/>
                  <w:noProof/>
                  <w:sz w:val="22"/>
                  <w:szCs w:val="22"/>
                </w:rPr>
              </w:pPr>
              <w:r w:rsidRPr="001164A0">
                <w:rPr>
                  <w:rFonts w:ascii="Times New Roman" w:hAnsi="Times New Roman" w:cs="Times New Roman"/>
                  <w:noProof/>
                  <w:sz w:val="22"/>
                  <w:szCs w:val="22"/>
                </w:rPr>
                <w:t xml:space="preserve">Lugones, M. (2005). Multiculturalismo radical y feminismos de mujeres de color. </w:t>
              </w:r>
              <w:r w:rsidRPr="001164A0">
                <w:rPr>
                  <w:rFonts w:ascii="Times New Roman" w:hAnsi="Times New Roman" w:cs="Times New Roman"/>
                  <w:i/>
                  <w:iCs/>
                  <w:noProof/>
                  <w:sz w:val="22"/>
                  <w:szCs w:val="22"/>
                </w:rPr>
                <w:t xml:space="preserve">Revista Internacional de Filosofía Política </w:t>
              </w:r>
              <w:r w:rsidRPr="001164A0">
                <w:rPr>
                  <w:rFonts w:ascii="Times New Roman" w:hAnsi="Times New Roman" w:cs="Times New Roman"/>
                  <w:noProof/>
                  <w:sz w:val="22"/>
                  <w:szCs w:val="22"/>
                </w:rPr>
                <w:t>, 61-76.</w:t>
              </w:r>
            </w:p>
            <w:p w14:paraId="1A5D569B" w14:textId="77777777" w:rsidR="009B03DC" w:rsidRPr="001164A0" w:rsidRDefault="009B03DC" w:rsidP="00123A2C">
              <w:pPr>
                <w:pStyle w:val="Bibliografa"/>
                <w:spacing w:line="276" w:lineRule="auto"/>
                <w:ind w:left="720" w:hanging="720"/>
                <w:jc w:val="both"/>
                <w:rPr>
                  <w:rFonts w:ascii="Times New Roman" w:hAnsi="Times New Roman" w:cs="Times New Roman"/>
                  <w:noProof/>
                  <w:sz w:val="22"/>
                  <w:szCs w:val="22"/>
                </w:rPr>
              </w:pPr>
              <w:r w:rsidRPr="001164A0">
                <w:rPr>
                  <w:rFonts w:ascii="Times New Roman" w:hAnsi="Times New Roman" w:cs="Times New Roman"/>
                  <w:noProof/>
                  <w:sz w:val="22"/>
                  <w:szCs w:val="22"/>
                </w:rPr>
                <w:t>DOSIGNU. (2008). Declaración sobre orientación sexual e identidad de género de las Naciones Unidas.</w:t>
              </w:r>
            </w:p>
            <w:p w14:paraId="09D0402B" w14:textId="77777777" w:rsidR="009B03DC" w:rsidRPr="001164A0" w:rsidRDefault="009B03DC" w:rsidP="00123A2C">
              <w:pPr>
                <w:pStyle w:val="Bibliografa"/>
                <w:spacing w:line="276" w:lineRule="auto"/>
                <w:ind w:left="720" w:hanging="720"/>
                <w:jc w:val="both"/>
                <w:rPr>
                  <w:rFonts w:ascii="Times New Roman" w:hAnsi="Times New Roman" w:cs="Times New Roman"/>
                  <w:noProof/>
                  <w:sz w:val="22"/>
                  <w:szCs w:val="22"/>
                </w:rPr>
              </w:pPr>
              <w:r w:rsidRPr="001164A0">
                <w:rPr>
                  <w:rFonts w:ascii="Times New Roman" w:hAnsi="Times New Roman" w:cs="Times New Roman"/>
                  <w:noProof/>
                  <w:sz w:val="22"/>
                  <w:szCs w:val="22"/>
                </w:rPr>
                <w:t xml:space="preserve">DUDH. (1948). </w:t>
              </w:r>
              <w:r w:rsidRPr="001164A0">
                <w:rPr>
                  <w:rFonts w:ascii="Times New Roman" w:hAnsi="Times New Roman" w:cs="Times New Roman"/>
                  <w:i/>
                  <w:iCs/>
                  <w:noProof/>
                  <w:sz w:val="22"/>
                  <w:szCs w:val="22"/>
                </w:rPr>
                <w:t>Declaración Universal de los Derechos Humanos.</w:t>
              </w:r>
              <w:r w:rsidRPr="001164A0">
                <w:rPr>
                  <w:rFonts w:ascii="Times New Roman" w:hAnsi="Times New Roman" w:cs="Times New Roman"/>
                  <w:noProof/>
                  <w:sz w:val="22"/>
                  <w:szCs w:val="22"/>
                </w:rPr>
                <w:t xml:space="preserve"> Obtenido de Naciones Unidas : https://www.un.org/es/about-us/universal-declaration-of-human-rights</w:t>
              </w:r>
            </w:p>
            <w:p w14:paraId="153A6C85" w14:textId="77777777" w:rsidR="009B03DC" w:rsidRPr="001164A0" w:rsidRDefault="009B03DC" w:rsidP="00123A2C">
              <w:pPr>
                <w:pStyle w:val="Bibliografa"/>
                <w:spacing w:line="276" w:lineRule="auto"/>
                <w:ind w:left="720" w:hanging="720"/>
                <w:jc w:val="both"/>
                <w:rPr>
                  <w:rFonts w:ascii="Times New Roman" w:hAnsi="Times New Roman" w:cs="Times New Roman"/>
                  <w:noProof/>
                  <w:sz w:val="22"/>
                  <w:szCs w:val="22"/>
                </w:rPr>
              </w:pPr>
              <w:r w:rsidRPr="001164A0">
                <w:rPr>
                  <w:rFonts w:ascii="Times New Roman" w:hAnsi="Times New Roman" w:cs="Times New Roman"/>
                  <w:noProof/>
                  <w:sz w:val="22"/>
                  <w:szCs w:val="22"/>
                </w:rPr>
                <w:t xml:space="preserve">FNF. (2021). </w:t>
              </w:r>
              <w:r w:rsidRPr="001164A0">
                <w:rPr>
                  <w:rFonts w:ascii="Times New Roman" w:hAnsi="Times New Roman" w:cs="Times New Roman"/>
                  <w:i/>
                  <w:iCs/>
                  <w:noProof/>
                  <w:sz w:val="22"/>
                  <w:szCs w:val="22"/>
                </w:rPr>
                <w:t>Ser LGBT+ en Latinoamerica. Radiografia de los derechos en la región.</w:t>
              </w:r>
              <w:r w:rsidRPr="001164A0">
                <w:rPr>
                  <w:rFonts w:ascii="Times New Roman" w:hAnsi="Times New Roman" w:cs="Times New Roman"/>
                  <w:noProof/>
                  <w:sz w:val="22"/>
                  <w:szCs w:val="22"/>
                </w:rPr>
                <w:t xml:space="preserve"> Obtenido de Sitio Web Friedrich Naumann Foundation: https://www.freiheit.org/es/latin-america/ser-lgbt-en-latinoamerica</w:t>
              </w:r>
            </w:p>
            <w:p w14:paraId="7D61D4F2" w14:textId="77777777" w:rsidR="009B03DC" w:rsidRPr="001164A0" w:rsidRDefault="009B03DC" w:rsidP="00123A2C">
              <w:pPr>
                <w:pStyle w:val="Bibliografa"/>
                <w:spacing w:line="276" w:lineRule="auto"/>
                <w:ind w:left="720" w:hanging="720"/>
                <w:jc w:val="both"/>
                <w:rPr>
                  <w:rFonts w:ascii="Times New Roman" w:hAnsi="Times New Roman" w:cs="Times New Roman"/>
                  <w:noProof/>
                  <w:sz w:val="22"/>
                  <w:szCs w:val="22"/>
                </w:rPr>
              </w:pPr>
              <w:r w:rsidRPr="001164A0">
                <w:rPr>
                  <w:rFonts w:ascii="Times New Roman" w:hAnsi="Times New Roman" w:cs="Times New Roman"/>
                  <w:noProof/>
                  <w:sz w:val="22"/>
                  <w:szCs w:val="22"/>
                </w:rPr>
                <w:t xml:space="preserve">GAEG. (2018). </w:t>
              </w:r>
              <w:r w:rsidRPr="001164A0">
                <w:rPr>
                  <w:rFonts w:ascii="Times New Roman" w:hAnsi="Times New Roman" w:cs="Times New Roman"/>
                  <w:i/>
                  <w:iCs/>
                  <w:noProof/>
                  <w:sz w:val="22"/>
                  <w:szCs w:val="22"/>
                </w:rPr>
                <w:t>www.unicef.org/argentina/media/3831/file/Linea%20102-%20Gu%C3%ADa%20G%C3%A9nero.pdf.</w:t>
              </w:r>
              <w:r w:rsidRPr="001164A0">
                <w:rPr>
                  <w:rFonts w:ascii="Times New Roman" w:hAnsi="Times New Roman" w:cs="Times New Roman"/>
                  <w:noProof/>
                  <w:sz w:val="22"/>
                  <w:szCs w:val="22"/>
                </w:rPr>
                <w:t xml:space="preserve"> Obtenido de Guía de Atención con enfoque de Género: https://www.unicef.org/argentina/media/3831/file/Linea%20102-%20Gu%C3%ADa%20G%C3%A9nero.pdf</w:t>
              </w:r>
            </w:p>
            <w:p w14:paraId="2D3355AE" w14:textId="77777777" w:rsidR="009B03DC" w:rsidRPr="001164A0" w:rsidRDefault="009B03DC" w:rsidP="00123A2C">
              <w:pPr>
                <w:pStyle w:val="Bibliografa"/>
                <w:spacing w:line="276" w:lineRule="auto"/>
                <w:ind w:left="720" w:hanging="720"/>
                <w:jc w:val="both"/>
                <w:rPr>
                  <w:rFonts w:ascii="Times New Roman" w:hAnsi="Times New Roman" w:cs="Times New Roman"/>
                  <w:noProof/>
                  <w:sz w:val="22"/>
                  <w:szCs w:val="22"/>
                </w:rPr>
              </w:pPr>
              <w:r w:rsidRPr="001164A0">
                <w:rPr>
                  <w:rFonts w:ascii="Times New Roman" w:hAnsi="Times New Roman" w:cs="Times New Roman"/>
                  <w:noProof/>
                  <w:sz w:val="22"/>
                  <w:szCs w:val="22"/>
                </w:rPr>
                <w:t xml:space="preserve">Grosfoguel, R. (2012). El concepto de «racismo» en Michel Foucault y Frantz Fanon: ¿teorizar desde la zona del ser o desde la zona del no-ser? </w:t>
              </w:r>
              <w:r w:rsidRPr="001164A0">
                <w:rPr>
                  <w:rFonts w:ascii="Times New Roman" w:hAnsi="Times New Roman" w:cs="Times New Roman"/>
                  <w:i/>
                  <w:iCs/>
                  <w:noProof/>
                  <w:sz w:val="22"/>
                  <w:szCs w:val="22"/>
                </w:rPr>
                <w:t>Tabula Raza. Revista de Humanidades</w:t>
              </w:r>
              <w:r w:rsidRPr="001164A0">
                <w:rPr>
                  <w:rFonts w:ascii="Times New Roman" w:hAnsi="Times New Roman" w:cs="Times New Roman"/>
                  <w:noProof/>
                  <w:sz w:val="22"/>
                  <w:szCs w:val="22"/>
                </w:rPr>
                <w:t>, 79-102.</w:t>
              </w:r>
            </w:p>
            <w:p w14:paraId="256AC12A" w14:textId="77777777" w:rsidR="009B03DC" w:rsidRPr="001164A0" w:rsidRDefault="009B03DC" w:rsidP="00123A2C">
              <w:pPr>
                <w:pStyle w:val="Bibliografa"/>
                <w:spacing w:line="276" w:lineRule="auto"/>
                <w:ind w:left="720" w:hanging="720"/>
                <w:jc w:val="both"/>
                <w:rPr>
                  <w:rFonts w:ascii="Times New Roman" w:hAnsi="Times New Roman" w:cs="Times New Roman"/>
                  <w:noProof/>
                  <w:sz w:val="22"/>
                  <w:szCs w:val="22"/>
                </w:rPr>
              </w:pPr>
              <w:r w:rsidRPr="001164A0">
                <w:rPr>
                  <w:rFonts w:ascii="Times New Roman" w:hAnsi="Times New Roman" w:cs="Times New Roman"/>
                  <w:noProof/>
                  <w:sz w:val="22"/>
                  <w:szCs w:val="22"/>
                </w:rPr>
                <w:t xml:space="preserve">Guevara, E. (2008). La masculinidad desde una perspectiva sociológica. Una dimensión del orden de género . </w:t>
              </w:r>
              <w:r w:rsidRPr="001164A0">
                <w:rPr>
                  <w:rFonts w:ascii="Times New Roman" w:hAnsi="Times New Roman" w:cs="Times New Roman"/>
                  <w:i/>
                  <w:iCs/>
                  <w:noProof/>
                  <w:sz w:val="22"/>
                  <w:szCs w:val="22"/>
                </w:rPr>
                <w:t xml:space="preserve">Sociológica </w:t>
              </w:r>
              <w:r w:rsidRPr="001164A0">
                <w:rPr>
                  <w:rFonts w:ascii="Times New Roman" w:hAnsi="Times New Roman" w:cs="Times New Roman"/>
                  <w:noProof/>
                  <w:sz w:val="22"/>
                  <w:szCs w:val="22"/>
                </w:rPr>
                <w:t>, 71-92.</w:t>
              </w:r>
            </w:p>
            <w:p w14:paraId="0B8130A4" w14:textId="77777777" w:rsidR="009B03DC" w:rsidRPr="001164A0" w:rsidRDefault="009B03DC" w:rsidP="00123A2C">
              <w:pPr>
                <w:pStyle w:val="Bibliografa"/>
                <w:spacing w:line="276" w:lineRule="auto"/>
                <w:ind w:left="720" w:hanging="720"/>
                <w:jc w:val="both"/>
                <w:rPr>
                  <w:rFonts w:ascii="Times New Roman" w:hAnsi="Times New Roman" w:cs="Times New Roman"/>
                  <w:noProof/>
                  <w:sz w:val="22"/>
                  <w:szCs w:val="22"/>
                </w:rPr>
              </w:pPr>
              <w:r w:rsidRPr="001164A0">
                <w:rPr>
                  <w:rFonts w:ascii="Times New Roman" w:hAnsi="Times New Roman" w:cs="Times New Roman"/>
                  <w:noProof/>
                  <w:sz w:val="22"/>
                  <w:szCs w:val="22"/>
                </w:rPr>
                <w:t xml:space="preserve">Gómez, G. (1996). Relfeciones sobre la revolución burguesa en España. Una aproximación a los orígenes, ideario y práctica del pensamiento liberal. </w:t>
              </w:r>
              <w:r w:rsidRPr="001164A0">
                <w:rPr>
                  <w:rFonts w:ascii="Times New Roman" w:hAnsi="Times New Roman" w:cs="Times New Roman"/>
                  <w:i/>
                  <w:iCs/>
                  <w:noProof/>
                  <w:sz w:val="22"/>
                  <w:szCs w:val="22"/>
                </w:rPr>
                <w:t xml:space="preserve">Brocar </w:t>
              </w:r>
              <w:r w:rsidRPr="001164A0">
                <w:rPr>
                  <w:rFonts w:ascii="Times New Roman" w:hAnsi="Times New Roman" w:cs="Times New Roman"/>
                  <w:noProof/>
                  <w:sz w:val="22"/>
                  <w:szCs w:val="22"/>
                </w:rPr>
                <w:t>, 327-345.</w:t>
              </w:r>
            </w:p>
            <w:p w14:paraId="7633C8E2" w14:textId="77777777" w:rsidR="009B03DC" w:rsidRPr="001164A0" w:rsidRDefault="009B03DC" w:rsidP="00123A2C">
              <w:pPr>
                <w:pStyle w:val="Bibliografa"/>
                <w:spacing w:line="276" w:lineRule="auto"/>
                <w:ind w:left="720" w:hanging="720"/>
                <w:jc w:val="both"/>
                <w:rPr>
                  <w:rFonts w:ascii="Times New Roman" w:hAnsi="Times New Roman" w:cs="Times New Roman"/>
                  <w:noProof/>
                  <w:sz w:val="22"/>
                  <w:szCs w:val="22"/>
                </w:rPr>
              </w:pPr>
              <w:r w:rsidRPr="001164A0">
                <w:rPr>
                  <w:rFonts w:ascii="Times New Roman" w:hAnsi="Times New Roman" w:cs="Times New Roman"/>
                  <w:noProof/>
                  <w:sz w:val="22"/>
                  <w:szCs w:val="22"/>
                </w:rPr>
                <w:t xml:space="preserve">Haraway, D. (2012). El Ecofeminismo. </w:t>
              </w:r>
              <w:r w:rsidRPr="001164A0">
                <w:rPr>
                  <w:rFonts w:ascii="Times New Roman" w:hAnsi="Times New Roman" w:cs="Times New Roman"/>
                  <w:i/>
                  <w:iCs/>
                  <w:noProof/>
                  <w:sz w:val="22"/>
                  <w:szCs w:val="22"/>
                </w:rPr>
                <w:t>Gestión y Ambiente</w:t>
              </w:r>
              <w:r w:rsidRPr="001164A0">
                <w:rPr>
                  <w:rFonts w:ascii="Times New Roman" w:hAnsi="Times New Roman" w:cs="Times New Roman"/>
                  <w:noProof/>
                  <w:sz w:val="22"/>
                  <w:szCs w:val="22"/>
                </w:rPr>
                <w:t>.</w:t>
              </w:r>
            </w:p>
            <w:p w14:paraId="3BAE86FB" w14:textId="77777777" w:rsidR="009B03DC" w:rsidRPr="001164A0" w:rsidRDefault="009B03DC" w:rsidP="00123A2C">
              <w:pPr>
                <w:pStyle w:val="Bibliografa"/>
                <w:spacing w:line="276" w:lineRule="auto"/>
                <w:ind w:left="720" w:hanging="720"/>
                <w:jc w:val="both"/>
                <w:rPr>
                  <w:rFonts w:ascii="Times New Roman" w:hAnsi="Times New Roman" w:cs="Times New Roman"/>
                  <w:noProof/>
                  <w:sz w:val="22"/>
                  <w:szCs w:val="22"/>
                  <w:lang w:val="en-US"/>
                </w:rPr>
              </w:pPr>
              <w:r w:rsidRPr="001164A0">
                <w:rPr>
                  <w:rFonts w:ascii="Times New Roman" w:hAnsi="Times New Roman" w:cs="Times New Roman"/>
                  <w:noProof/>
                  <w:sz w:val="22"/>
                  <w:szCs w:val="22"/>
                </w:rPr>
                <w:t xml:space="preserve">HRW. (2021). </w:t>
              </w:r>
              <w:r w:rsidRPr="001164A0">
                <w:rPr>
                  <w:rFonts w:ascii="Times New Roman" w:hAnsi="Times New Roman" w:cs="Times New Roman"/>
                  <w:i/>
                  <w:iCs/>
                  <w:noProof/>
                  <w:sz w:val="22"/>
                  <w:szCs w:val="22"/>
                </w:rPr>
                <w:t>Informe mundial 2021 de Human Rights Watch</w:t>
              </w:r>
              <w:r w:rsidRPr="001164A0">
                <w:rPr>
                  <w:rFonts w:ascii="Times New Roman" w:hAnsi="Times New Roman" w:cs="Times New Roman"/>
                  <w:noProof/>
                  <w:sz w:val="22"/>
                  <w:szCs w:val="22"/>
                </w:rPr>
                <w:t xml:space="preserve">. </w:t>
              </w:r>
              <w:r w:rsidRPr="001164A0">
                <w:rPr>
                  <w:rFonts w:ascii="Times New Roman" w:hAnsi="Times New Roman" w:cs="Times New Roman"/>
                  <w:noProof/>
                  <w:sz w:val="22"/>
                  <w:szCs w:val="22"/>
                  <w:lang w:val="en-US"/>
                </w:rPr>
                <w:t>Obtenido de Sitio Web Human Rights Watch: https://www.hrw.org/video-photos/interactive/2021/04/23/country-profiles-sexual-orientation-and-gender-identity</w:t>
              </w:r>
            </w:p>
            <w:p w14:paraId="317D0ED8" w14:textId="77777777" w:rsidR="009B03DC" w:rsidRPr="001164A0" w:rsidRDefault="009B03DC" w:rsidP="00123A2C">
              <w:pPr>
                <w:pStyle w:val="Bibliografa"/>
                <w:spacing w:line="276" w:lineRule="auto"/>
                <w:ind w:left="720" w:hanging="720"/>
                <w:jc w:val="both"/>
                <w:rPr>
                  <w:rFonts w:ascii="Times New Roman" w:hAnsi="Times New Roman" w:cs="Times New Roman"/>
                  <w:noProof/>
                  <w:sz w:val="22"/>
                  <w:szCs w:val="22"/>
                </w:rPr>
              </w:pPr>
              <w:r w:rsidRPr="001164A0">
                <w:rPr>
                  <w:rFonts w:ascii="Times New Roman" w:hAnsi="Times New Roman" w:cs="Times New Roman"/>
                  <w:noProof/>
                  <w:sz w:val="22"/>
                  <w:szCs w:val="22"/>
                </w:rPr>
                <w:t xml:space="preserve">IIDH, WL, &amp; DIHRWRP. (2000). </w:t>
              </w:r>
              <w:r w:rsidRPr="001164A0">
                <w:rPr>
                  <w:rFonts w:ascii="Times New Roman" w:hAnsi="Times New Roman" w:cs="Times New Roman"/>
                  <w:i/>
                  <w:iCs/>
                  <w:noProof/>
                  <w:sz w:val="22"/>
                  <w:szCs w:val="22"/>
                </w:rPr>
                <w:t>Derechos humanos de las mujeres: paso a paso. Guía para el uso del derecho internacional de los derechos humanos y de los mecanismos para defender los derechos humanos de las mujeres.</w:t>
              </w:r>
              <w:r w:rsidRPr="001164A0">
                <w:rPr>
                  <w:rFonts w:ascii="Times New Roman" w:hAnsi="Times New Roman" w:cs="Times New Roman"/>
                  <w:noProof/>
                  <w:sz w:val="22"/>
                  <w:szCs w:val="22"/>
                </w:rPr>
                <w:t xml:space="preserve"> Costa Rica: Instituto Interamericano de Derechos Humanos.</w:t>
              </w:r>
            </w:p>
            <w:p w14:paraId="25AF4F22" w14:textId="77777777" w:rsidR="009B03DC" w:rsidRPr="001164A0" w:rsidRDefault="009B03DC" w:rsidP="00123A2C">
              <w:pPr>
                <w:pStyle w:val="Bibliografa"/>
                <w:spacing w:line="276" w:lineRule="auto"/>
                <w:ind w:left="720" w:hanging="720"/>
                <w:jc w:val="both"/>
                <w:rPr>
                  <w:rFonts w:ascii="Times New Roman" w:hAnsi="Times New Roman" w:cs="Times New Roman"/>
                  <w:noProof/>
                  <w:sz w:val="22"/>
                  <w:szCs w:val="22"/>
                </w:rPr>
              </w:pPr>
              <w:r w:rsidRPr="001164A0">
                <w:rPr>
                  <w:rFonts w:ascii="Times New Roman" w:hAnsi="Times New Roman" w:cs="Times New Roman"/>
                  <w:noProof/>
                  <w:sz w:val="22"/>
                  <w:szCs w:val="22"/>
                </w:rPr>
                <w:t xml:space="preserve">Morgan, K. (1996). Describiendo el empoderamiento de las nuevas cosas. En A. Diller, B. Huston, K. Morgan, &amp; M. Ayim, </w:t>
              </w:r>
              <w:r w:rsidRPr="001164A0">
                <w:rPr>
                  <w:rFonts w:ascii="Times New Roman" w:hAnsi="Times New Roman" w:cs="Times New Roman"/>
                  <w:i/>
                  <w:iCs/>
                  <w:noProof/>
                  <w:sz w:val="22"/>
                  <w:szCs w:val="22"/>
                </w:rPr>
                <w:t>La cuestion del género en la educación .</w:t>
              </w:r>
              <w:r w:rsidRPr="001164A0">
                <w:rPr>
                  <w:rFonts w:ascii="Times New Roman" w:hAnsi="Times New Roman" w:cs="Times New Roman"/>
                  <w:noProof/>
                  <w:sz w:val="22"/>
                  <w:szCs w:val="22"/>
                </w:rPr>
                <w:t xml:space="preserve"> Routledge.</w:t>
              </w:r>
            </w:p>
            <w:p w14:paraId="517B9CF3" w14:textId="77777777" w:rsidR="009B03DC" w:rsidRPr="001164A0" w:rsidRDefault="009B03DC" w:rsidP="00123A2C">
              <w:pPr>
                <w:pStyle w:val="Bibliografa"/>
                <w:spacing w:line="276" w:lineRule="auto"/>
                <w:ind w:left="720" w:hanging="720"/>
                <w:jc w:val="both"/>
                <w:rPr>
                  <w:rFonts w:ascii="Times New Roman" w:hAnsi="Times New Roman" w:cs="Times New Roman"/>
                  <w:noProof/>
                  <w:sz w:val="22"/>
                  <w:szCs w:val="22"/>
                </w:rPr>
              </w:pPr>
              <w:r w:rsidRPr="001164A0">
                <w:rPr>
                  <w:rFonts w:ascii="Times New Roman" w:hAnsi="Times New Roman" w:cs="Times New Roman"/>
                  <w:noProof/>
                  <w:sz w:val="22"/>
                  <w:szCs w:val="22"/>
                </w:rPr>
                <w:t xml:space="preserve">ODM. (2000-2015). </w:t>
              </w:r>
              <w:r w:rsidRPr="001164A0">
                <w:rPr>
                  <w:rFonts w:ascii="Times New Roman" w:hAnsi="Times New Roman" w:cs="Times New Roman"/>
                  <w:i/>
                  <w:iCs/>
                  <w:noProof/>
                  <w:sz w:val="22"/>
                  <w:szCs w:val="22"/>
                </w:rPr>
                <w:t xml:space="preserve">Objetivos de Desarrollo del Milenio </w:t>
              </w:r>
              <w:r w:rsidRPr="001164A0">
                <w:rPr>
                  <w:rFonts w:ascii="Times New Roman" w:hAnsi="Times New Roman" w:cs="Times New Roman"/>
                  <w:noProof/>
                  <w:sz w:val="22"/>
                  <w:szCs w:val="22"/>
                </w:rPr>
                <w:t>. Obtenido de https://research.un.org/es/docs/dev/2000-2015</w:t>
              </w:r>
            </w:p>
            <w:p w14:paraId="0E40E8B4" w14:textId="77777777" w:rsidR="009B03DC" w:rsidRPr="001164A0" w:rsidRDefault="009B03DC" w:rsidP="00123A2C">
              <w:pPr>
                <w:pStyle w:val="Bibliografa"/>
                <w:spacing w:line="276" w:lineRule="auto"/>
                <w:ind w:left="720" w:hanging="720"/>
                <w:jc w:val="both"/>
                <w:rPr>
                  <w:rFonts w:ascii="Times New Roman" w:hAnsi="Times New Roman" w:cs="Times New Roman"/>
                  <w:noProof/>
                  <w:sz w:val="22"/>
                  <w:szCs w:val="22"/>
                </w:rPr>
              </w:pPr>
              <w:r w:rsidRPr="001164A0">
                <w:rPr>
                  <w:rFonts w:ascii="Times New Roman" w:hAnsi="Times New Roman" w:cs="Times New Roman"/>
                  <w:noProof/>
                  <w:sz w:val="22"/>
                  <w:szCs w:val="22"/>
                </w:rPr>
                <w:t xml:space="preserve">ODS. (2015). </w:t>
              </w:r>
              <w:r w:rsidRPr="001164A0">
                <w:rPr>
                  <w:rFonts w:ascii="Times New Roman" w:hAnsi="Times New Roman" w:cs="Times New Roman"/>
                  <w:i/>
                  <w:iCs/>
                  <w:noProof/>
                  <w:sz w:val="22"/>
                  <w:szCs w:val="22"/>
                </w:rPr>
                <w:t>Objetivos del Desarrollo Sostenible;</w:t>
              </w:r>
              <w:r w:rsidRPr="001164A0">
                <w:rPr>
                  <w:rFonts w:ascii="Times New Roman" w:hAnsi="Times New Roman" w:cs="Times New Roman"/>
                  <w:noProof/>
                  <w:sz w:val="22"/>
                  <w:szCs w:val="22"/>
                </w:rPr>
                <w:t>. Obtenido de https://www.un.org/sustainabledevelopment/es/objetivos-de-desarrollo-sostenible/</w:t>
              </w:r>
            </w:p>
            <w:p w14:paraId="6B2BED5F" w14:textId="77777777" w:rsidR="009B03DC" w:rsidRPr="001164A0" w:rsidRDefault="009B03DC" w:rsidP="00123A2C">
              <w:pPr>
                <w:pStyle w:val="Bibliografa"/>
                <w:spacing w:line="276" w:lineRule="auto"/>
                <w:ind w:left="720" w:hanging="720"/>
                <w:jc w:val="both"/>
                <w:rPr>
                  <w:rFonts w:ascii="Times New Roman" w:hAnsi="Times New Roman" w:cs="Times New Roman"/>
                  <w:noProof/>
                  <w:sz w:val="22"/>
                  <w:szCs w:val="22"/>
                </w:rPr>
              </w:pPr>
              <w:r w:rsidRPr="001164A0">
                <w:rPr>
                  <w:rFonts w:ascii="Times New Roman" w:hAnsi="Times New Roman" w:cs="Times New Roman"/>
                  <w:noProof/>
                  <w:sz w:val="22"/>
                  <w:szCs w:val="22"/>
                </w:rPr>
                <w:t xml:space="preserve">OEA, C. y. (2019). </w:t>
              </w:r>
              <w:r w:rsidRPr="001164A0">
                <w:rPr>
                  <w:rFonts w:ascii="Times New Roman" w:hAnsi="Times New Roman" w:cs="Times New Roman"/>
                  <w:i/>
                  <w:iCs/>
                  <w:noProof/>
                  <w:sz w:val="22"/>
                  <w:szCs w:val="22"/>
                </w:rPr>
                <w:t>Violencia y Discriminación contra mujeres, niñas y adolescentes .</w:t>
              </w:r>
              <w:r w:rsidRPr="001164A0">
                <w:rPr>
                  <w:rFonts w:ascii="Times New Roman" w:hAnsi="Times New Roman" w:cs="Times New Roman"/>
                  <w:noProof/>
                  <w:sz w:val="22"/>
                  <w:szCs w:val="22"/>
                </w:rPr>
                <w:t xml:space="preserve"> COIDH y OEA.</w:t>
              </w:r>
            </w:p>
            <w:p w14:paraId="0F3E4742" w14:textId="77777777" w:rsidR="009B03DC" w:rsidRPr="001164A0" w:rsidRDefault="009B03DC" w:rsidP="00123A2C">
              <w:pPr>
                <w:pStyle w:val="Bibliografa"/>
                <w:spacing w:line="276" w:lineRule="auto"/>
                <w:ind w:left="720" w:hanging="720"/>
                <w:jc w:val="both"/>
                <w:rPr>
                  <w:rFonts w:ascii="Times New Roman" w:hAnsi="Times New Roman" w:cs="Times New Roman"/>
                  <w:noProof/>
                  <w:sz w:val="22"/>
                  <w:szCs w:val="22"/>
                </w:rPr>
              </w:pPr>
              <w:r w:rsidRPr="001164A0">
                <w:rPr>
                  <w:rFonts w:ascii="Times New Roman" w:hAnsi="Times New Roman" w:cs="Times New Roman"/>
                  <w:noProof/>
                  <w:sz w:val="22"/>
                  <w:szCs w:val="22"/>
                </w:rPr>
                <w:t xml:space="preserve">ONU. (1945). </w:t>
              </w:r>
              <w:r w:rsidRPr="001164A0">
                <w:rPr>
                  <w:rFonts w:ascii="Times New Roman" w:hAnsi="Times New Roman" w:cs="Times New Roman"/>
                  <w:i/>
                  <w:iCs/>
                  <w:noProof/>
                  <w:sz w:val="22"/>
                  <w:szCs w:val="22"/>
                </w:rPr>
                <w:t>Historia de las Naciones Unidas</w:t>
              </w:r>
              <w:r w:rsidRPr="001164A0">
                <w:rPr>
                  <w:rFonts w:ascii="Times New Roman" w:hAnsi="Times New Roman" w:cs="Times New Roman"/>
                  <w:noProof/>
                  <w:sz w:val="22"/>
                  <w:szCs w:val="22"/>
                </w:rPr>
                <w:t>. Obtenido de https://www.un.org/un70/es/content/history/index.html</w:t>
              </w:r>
            </w:p>
            <w:p w14:paraId="63405843" w14:textId="77777777" w:rsidR="009B03DC" w:rsidRPr="001164A0" w:rsidRDefault="009B03DC" w:rsidP="00123A2C">
              <w:pPr>
                <w:pStyle w:val="Bibliografa"/>
                <w:spacing w:line="276" w:lineRule="auto"/>
                <w:ind w:left="720" w:hanging="720"/>
                <w:jc w:val="both"/>
                <w:rPr>
                  <w:rFonts w:ascii="Times New Roman" w:hAnsi="Times New Roman" w:cs="Times New Roman"/>
                  <w:noProof/>
                  <w:sz w:val="22"/>
                  <w:szCs w:val="22"/>
                </w:rPr>
              </w:pPr>
              <w:r w:rsidRPr="001164A0">
                <w:rPr>
                  <w:rFonts w:ascii="Times New Roman" w:hAnsi="Times New Roman" w:cs="Times New Roman"/>
                  <w:noProof/>
                  <w:sz w:val="22"/>
                  <w:szCs w:val="22"/>
                </w:rPr>
                <w:t xml:space="preserve">PAB. (1995). </w:t>
              </w:r>
              <w:r w:rsidRPr="001164A0">
                <w:rPr>
                  <w:rFonts w:ascii="Times New Roman" w:hAnsi="Times New Roman" w:cs="Times New Roman"/>
                  <w:i/>
                  <w:iCs/>
                  <w:noProof/>
                  <w:sz w:val="22"/>
                  <w:szCs w:val="22"/>
                </w:rPr>
                <w:t xml:space="preserve">Declaración y Plataforma de Acción de Beijing </w:t>
              </w:r>
              <w:r w:rsidRPr="001164A0">
                <w:rPr>
                  <w:rFonts w:ascii="Times New Roman" w:hAnsi="Times New Roman" w:cs="Times New Roman"/>
                  <w:noProof/>
                  <w:sz w:val="22"/>
                  <w:szCs w:val="22"/>
                </w:rPr>
                <w:t>. Obtenido de https://www.un.org/womenwatch/daw/beijing/pdf/BDPfA%20S.pdf</w:t>
              </w:r>
            </w:p>
            <w:p w14:paraId="3686DF67" w14:textId="77777777" w:rsidR="009B03DC" w:rsidRPr="001164A0" w:rsidRDefault="009B03DC" w:rsidP="00123A2C">
              <w:pPr>
                <w:pStyle w:val="Bibliografa"/>
                <w:spacing w:line="276" w:lineRule="auto"/>
                <w:ind w:left="720" w:hanging="720"/>
                <w:jc w:val="both"/>
                <w:rPr>
                  <w:rFonts w:ascii="Times New Roman" w:hAnsi="Times New Roman" w:cs="Times New Roman"/>
                  <w:noProof/>
                  <w:sz w:val="22"/>
                  <w:szCs w:val="22"/>
                </w:rPr>
              </w:pPr>
              <w:r w:rsidRPr="001164A0">
                <w:rPr>
                  <w:rFonts w:ascii="Times New Roman" w:hAnsi="Times New Roman" w:cs="Times New Roman"/>
                  <w:noProof/>
                  <w:sz w:val="22"/>
                  <w:szCs w:val="22"/>
                </w:rPr>
                <w:t xml:space="preserve">PARMALC. (1995-2001). </w:t>
              </w:r>
              <w:r w:rsidRPr="001164A0">
                <w:rPr>
                  <w:rFonts w:ascii="Times New Roman" w:hAnsi="Times New Roman" w:cs="Times New Roman"/>
                  <w:i/>
                  <w:iCs/>
                  <w:noProof/>
                  <w:sz w:val="22"/>
                  <w:szCs w:val="22"/>
                </w:rPr>
                <w:t>Programa de Acción Regional para las Mujeres de América Latina y el Caribe</w:t>
              </w:r>
              <w:r w:rsidRPr="001164A0">
                <w:rPr>
                  <w:rFonts w:ascii="Times New Roman" w:hAnsi="Times New Roman" w:cs="Times New Roman"/>
                  <w:noProof/>
                  <w:sz w:val="22"/>
                  <w:szCs w:val="22"/>
                </w:rPr>
                <w:t>. Obtenido de https://repositorio.cepal.org/bitstream/handle/11362/16775/S2004051_es.pdf?sequence=1&amp;isAllowed=y</w:t>
              </w:r>
            </w:p>
            <w:p w14:paraId="6F353CD2" w14:textId="77777777" w:rsidR="009B03DC" w:rsidRPr="001164A0" w:rsidRDefault="009B03DC" w:rsidP="00123A2C">
              <w:pPr>
                <w:pStyle w:val="Bibliografa"/>
                <w:spacing w:line="276" w:lineRule="auto"/>
                <w:ind w:left="720" w:hanging="720"/>
                <w:jc w:val="both"/>
                <w:rPr>
                  <w:rFonts w:ascii="Times New Roman" w:hAnsi="Times New Roman" w:cs="Times New Roman"/>
                  <w:noProof/>
                  <w:sz w:val="22"/>
                  <w:szCs w:val="22"/>
                </w:rPr>
              </w:pPr>
              <w:r w:rsidRPr="001164A0">
                <w:rPr>
                  <w:rFonts w:ascii="Times New Roman" w:hAnsi="Times New Roman" w:cs="Times New Roman"/>
                  <w:noProof/>
                  <w:sz w:val="22"/>
                  <w:szCs w:val="22"/>
                </w:rPr>
                <w:lastRenderedPageBreak/>
                <w:t xml:space="preserve">PISPDHMEIG. (2001). </w:t>
              </w:r>
              <w:r w:rsidRPr="001164A0">
                <w:rPr>
                  <w:rFonts w:ascii="Times New Roman" w:hAnsi="Times New Roman" w:cs="Times New Roman"/>
                  <w:i/>
                  <w:iCs/>
                  <w:noProof/>
                  <w:sz w:val="22"/>
                  <w:szCs w:val="22"/>
                </w:rPr>
                <w:t>Programa Interamericano Sobre la Promoción de los Derechos Humanos de la Mujer y la Equidad e Igualdad de Género</w:t>
              </w:r>
              <w:r w:rsidRPr="001164A0">
                <w:rPr>
                  <w:rFonts w:ascii="Times New Roman" w:hAnsi="Times New Roman" w:cs="Times New Roman"/>
                  <w:noProof/>
                  <w:sz w:val="22"/>
                  <w:szCs w:val="22"/>
                </w:rPr>
                <w:t>. Obtenido de http://www.summit-americas.org/vp/cim/programa_interamcim_cuatro_idiomas.pdf</w:t>
              </w:r>
            </w:p>
            <w:p w14:paraId="686B2C4A" w14:textId="77777777" w:rsidR="009B03DC" w:rsidRPr="001164A0" w:rsidRDefault="009B03DC" w:rsidP="00123A2C">
              <w:pPr>
                <w:pStyle w:val="Bibliografa"/>
                <w:spacing w:line="276" w:lineRule="auto"/>
                <w:ind w:left="720" w:hanging="720"/>
                <w:jc w:val="both"/>
                <w:rPr>
                  <w:rFonts w:ascii="Times New Roman" w:hAnsi="Times New Roman" w:cs="Times New Roman"/>
                  <w:noProof/>
                  <w:sz w:val="22"/>
                  <w:szCs w:val="22"/>
                </w:rPr>
              </w:pPr>
              <w:r w:rsidRPr="001164A0">
                <w:rPr>
                  <w:rFonts w:ascii="Times New Roman" w:hAnsi="Times New Roman" w:cs="Times New Roman"/>
                  <w:noProof/>
                  <w:sz w:val="22"/>
                  <w:szCs w:val="22"/>
                </w:rPr>
                <w:t xml:space="preserve">PNUD. (2014). </w:t>
              </w:r>
              <w:r w:rsidRPr="001164A0">
                <w:rPr>
                  <w:rFonts w:ascii="Times New Roman" w:hAnsi="Times New Roman" w:cs="Times New Roman"/>
                  <w:i/>
                  <w:iCs/>
                  <w:noProof/>
                  <w:sz w:val="22"/>
                  <w:szCs w:val="22"/>
                </w:rPr>
                <w:t>Informe sobre Desarrollo Humano 2014. Sostener el Progreso Humano: Reducir vulnerabilidades y construir resiliencia.</w:t>
              </w:r>
              <w:r w:rsidRPr="001164A0">
                <w:rPr>
                  <w:rFonts w:ascii="Times New Roman" w:hAnsi="Times New Roman" w:cs="Times New Roman"/>
                  <w:noProof/>
                  <w:sz w:val="22"/>
                  <w:szCs w:val="22"/>
                </w:rPr>
                <w:t xml:space="preserve"> PNUD, ONU.</w:t>
              </w:r>
            </w:p>
            <w:p w14:paraId="728EF137" w14:textId="77777777" w:rsidR="009B03DC" w:rsidRPr="001164A0" w:rsidRDefault="009B03DC" w:rsidP="00123A2C">
              <w:pPr>
                <w:pStyle w:val="Bibliografa"/>
                <w:spacing w:line="276" w:lineRule="auto"/>
                <w:ind w:left="720" w:hanging="720"/>
                <w:jc w:val="both"/>
                <w:rPr>
                  <w:rFonts w:ascii="Times New Roman" w:hAnsi="Times New Roman" w:cs="Times New Roman"/>
                  <w:noProof/>
                  <w:sz w:val="22"/>
                  <w:szCs w:val="22"/>
                </w:rPr>
              </w:pPr>
              <w:r w:rsidRPr="001164A0">
                <w:rPr>
                  <w:rFonts w:ascii="Times New Roman" w:hAnsi="Times New Roman" w:cs="Times New Roman"/>
                  <w:noProof/>
                  <w:sz w:val="22"/>
                  <w:szCs w:val="22"/>
                </w:rPr>
                <w:t>PNUD. (2018-2021). Estrategia de igualdad de género del PNUD. Costa Rica.</w:t>
              </w:r>
            </w:p>
            <w:p w14:paraId="70C8BF1E" w14:textId="77777777" w:rsidR="009B03DC" w:rsidRPr="001164A0" w:rsidRDefault="009B03DC" w:rsidP="00123A2C">
              <w:pPr>
                <w:pStyle w:val="Bibliografa"/>
                <w:spacing w:line="276" w:lineRule="auto"/>
                <w:ind w:left="720" w:hanging="720"/>
                <w:jc w:val="both"/>
                <w:rPr>
                  <w:rFonts w:ascii="Times New Roman" w:hAnsi="Times New Roman" w:cs="Times New Roman"/>
                  <w:noProof/>
                  <w:sz w:val="22"/>
                  <w:szCs w:val="22"/>
                </w:rPr>
              </w:pPr>
              <w:r w:rsidRPr="001164A0">
                <w:rPr>
                  <w:rFonts w:ascii="Times New Roman" w:hAnsi="Times New Roman" w:cs="Times New Roman"/>
                  <w:noProof/>
                  <w:sz w:val="22"/>
                  <w:szCs w:val="22"/>
                </w:rPr>
                <w:t xml:space="preserve">PNUD. (2019). </w:t>
              </w:r>
              <w:r w:rsidRPr="001164A0">
                <w:rPr>
                  <w:rFonts w:ascii="Times New Roman" w:hAnsi="Times New Roman" w:cs="Times New Roman"/>
                  <w:i/>
                  <w:iCs/>
                  <w:noProof/>
                  <w:sz w:val="22"/>
                  <w:szCs w:val="22"/>
                </w:rPr>
                <w:t>Género, Derechos y Desarrollo Social.</w:t>
              </w:r>
              <w:r w:rsidRPr="001164A0">
                <w:rPr>
                  <w:rFonts w:ascii="Times New Roman" w:hAnsi="Times New Roman" w:cs="Times New Roman"/>
                  <w:noProof/>
                  <w:sz w:val="22"/>
                  <w:szCs w:val="22"/>
                </w:rPr>
                <w:t xml:space="preserve"> San Salvador.</w:t>
              </w:r>
            </w:p>
            <w:p w14:paraId="6058D0B7" w14:textId="77777777" w:rsidR="009B03DC" w:rsidRPr="001164A0" w:rsidRDefault="009B03DC" w:rsidP="00123A2C">
              <w:pPr>
                <w:pStyle w:val="Bibliografa"/>
                <w:spacing w:line="276" w:lineRule="auto"/>
                <w:ind w:left="720" w:hanging="720"/>
                <w:jc w:val="both"/>
                <w:rPr>
                  <w:rFonts w:ascii="Times New Roman" w:hAnsi="Times New Roman" w:cs="Times New Roman"/>
                  <w:noProof/>
                  <w:sz w:val="22"/>
                  <w:szCs w:val="22"/>
                </w:rPr>
              </w:pPr>
              <w:r w:rsidRPr="001164A0">
                <w:rPr>
                  <w:rFonts w:ascii="Times New Roman" w:hAnsi="Times New Roman" w:cs="Times New Roman"/>
                  <w:noProof/>
                  <w:sz w:val="22"/>
                  <w:szCs w:val="22"/>
                </w:rPr>
                <w:t xml:space="preserve">PNUD. (2019). </w:t>
              </w:r>
              <w:r w:rsidRPr="001164A0">
                <w:rPr>
                  <w:rFonts w:ascii="Times New Roman" w:hAnsi="Times New Roman" w:cs="Times New Roman"/>
                  <w:i/>
                  <w:iCs/>
                  <w:noProof/>
                  <w:sz w:val="22"/>
                  <w:szCs w:val="22"/>
                </w:rPr>
                <w:t>Informe sobre Desarrollo Humano 2019. Más allá del ingreso, más allá de los promedios, más allá del presente: Desigualdades del desarrollo humano en el siglo XXI. .</w:t>
              </w:r>
              <w:r w:rsidRPr="001164A0">
                <w:rPr>
                  <w:rFonts w:ascii="Times New Roman" w:hAnsi="Times New Roman" w:cs="Times New Roman"/>
                  <w:noProof/>
                  <w:sz w:val="22"/>
                  <w:szCs w:val="22"/>
                </w:rPr>
                <w:t xml:space="preserve"> Nueva York: Programa de las Naciones Unidas para el Desarrollo.</w:t>
              </w:r>
            </w:p>
            <w:p w14:paraId="4A4BEF32" w14:textId="77777777" w:rsidR="009B03DC" w:rsidRPr="001164A0" w:rsidRDefault="009B03DC" w:rsidP="00123A2C">
              <w:pPr>
                <w:pStyle w:val="Bibliografa"/>
                <w:spacing w:line="276" w:lineRule="auto"/>
                <w:ind w:left="720" w:hanging="720"/>
                <w:jc w:val="both"/>
                <w:rPr>
                  <w:rFonts w:ascii="Times New Roman" w:hAnsi="Times New Roman" w:cs="Times New Roman"/>
                  <w:noProof/>
                  <w:sz w:val="22"/>
                  <w:szCs w:val="22"/>
                </w:rPr>
              </w:pPr>
              <w:r w:rsidRPr="001164A0">
                <w:rPr>
                  <w:rFonts w:ascii="Times New Roman" w:hAnsi="Times New Roman" w:cs="Times New Roman"/>
                  <w:noProof/>
                  <w:sz w:val="22"/>
                  <w:szCs w:val="22"/>
                </w:rPr>
                <w:t xml:space="preserve">PNUD. (2020). </w:t>
              </w:r>
              <w:r w:rsidRPr="001164A0">
                <w:rPr>
                  <w:rFonts w:ascii="Times New Roman" w:hAnsi="Times New Roman" w:cs="Times New Roman"/>
                  <w:i/>
                  <w:iCs/>
                  <w:noProof/>
                  <w:sz w:val="22"/>
                  <w:szCs w:val="22"/>
                </w:rPr>
                <w:t xml:space="preserve">Índice de Desigualdad de Género 2019 </w:t>
              </w:r>
              <w:r w:rsidRPr="001164A0">
                <w:rPr>
                  <w:rFonts w:ascii="Times New Roman" w:hAnsi="Times New Roman" w:cs="Times New Roman"/>
                  <w:noProof/>
                  <w:sz w:val="22"/>
                  <w:szCs w:val="22"/>
                </w:rPr>
                <w:t>. Obtenido de https://-el-indice-de-desigualdad-de-genero-2019/</w:t>
              </w:r>
            </w:p>
            <w:p w14:paraId="5E242E86" w14:textId="77777777" w:rsidR="009B03DC" w:rsidRPr="001164A0" w:rsidRDefault="009B03DC" w:rsidP="00123A2C">
              <w:pPr>
                <w:pStyle w:val="Bibliografa"/>
                <w:spacing w:line="276" w:lineRule="auto"/>
                <w:ind w:left="720" w:hanging="720"/>
                <w:jc w:val="both"/>
                <w:rPr>
                  <w:rFonts w:ascii="Times New Roman" w:hAnsi="Times New Roman" w:cs="Times New Roman"/>
                  <w:noProof/>
                  <w:sz w:val="22"/>
                  <w:szCs w:val="22"/>
                </w:rPr>
              </w:pPr>
              <w:r w:rsidRPr="001164A0">
                <w:rPr>
                  <w:rFonts w:ascii="Times New Roman" w:hAnsi="Times New Roman" w:cs="Times New Roman"/>
                  <w:noProof/>
                  <w:sz w:val="22"/>
                  <w:szCs w:val="22"/>
                </w:rPr>
                <w:t xml:space="preserve">PNUD. (2021). </w:t>
              </w:r>
              <w:r w:rsidRPr="001164A0">
                <w:rPr>
                  <w:rFonts w:ascii="Times New Roman" w:hAnsi="Times New Roman" w:cs="Times New Roman"/>
                  <w:i/>
                  <w:iCs/>
                  <w:noProof/>
                  <w:sz w:val="22"/>
                  <w:szCs w:val="22"/>
                </w:rPr>
                <w:t>Enfoque Igualdad de género</w:t>
              </w:r>
              <w:r w:rsidRPr="001164A0">
                <w:rPr>
                  <w:rFonts w:ascii="Times New Roman" w:hAnsi="Times New Roman" w:cs="Times New Roman"/>
                  <w:noProof/>
                  <w:sz w:val="22"/>
                  <w:szCs w:val="22"/>
                </w:rPr>
                <w:t>. Obtenido de Sitio Web Programa de las Naciones Unidas para el Desarrollo: https://www1.undp.org/content/undp/es/home/gender-equality.html</w:t>
              </w:r>
            </w:p>
            <w:p w14:paraId="2D19B0F5" w14:textId="77777777" w:rsidR="009B03DC" w:rsidRPr="001164A0" w:rsidRDefault="009B03DC" w:rsidP="00123A2C">
              <w:pPr>
                <w:pStyle w:val="Bibliografa"/>
                <w:spacing w:line="276" w:lineRule="auto"/>
                <w:ind w:left="720" w:hanging="720"/>
                <w:jc w:val="both"/>
                <w:rPr>
                  <w:rFonts w:ascii="Times New Roman" w:hAnsi="Times New Roman" w:cs="Times New Roman"/>
                  <w:noProof/>
                  <w:sz w:val="22"/>
                  <w:szCs w:val="22"/>
                </w:rPr>
              </w:pPr>
              <w:r w:rsidRPr="001164A0">
                <w:rPr>
                  <w:rFonts w:ascii="Times New Roman" w:hAnsi="Times New Roman" w:cs="Times New Roman"/>
                  <w:noProof/>
                  <w:sz w:val="22"/>
                  <w:szCs w:val="22"/>
                </w:rPr>
                <w:t xml:space="preserve">PNUD. (2021). </w:t>
              </w:r>
              <w:r w:rsidRPr="001164A0">
                <w:rPr>
                  <w:rFonts w:ascii="Times New Roman" w:hAnsi="Times New Roman" w:cs="Times New Roman"/>
                  <w:i/>
                  <w:iCs/>
                  <w:noProof/>
                  <w:sz w:val="22"/>
                  <w:szCs w:val="22"/>
                </w:rPr>
                <w:t>Ser LGBT en el Caribe: Reducir la desigualdad y la exclusión experimentadas por las personas LGBT</w:t>
              </w:r>
              <w:r w:rsidRPr="001164A0">
                <w:rPr>
                  <w:rFonts w:ascii="Times New Roman" w:hAnsi="Times New Roman" w:cs="Times New Roman"/>
                  <w:noProof/>
                  <w:sz w:val="22"/>
                  <w:szCs w:val="22"/>
                </w:rPr>
                <w:t>. Obtenido de Sitio Web PNUD Barbados y el Caribe Oriental: bb.undp.org/content/barbados/en/home/projects/BLIC.html</w:t>
              </w:r>
            </w:p>
            <w:p w14:paraId="4DA67E85" w14:textId="77777777" w:rsidR="009B03DC" w:rsidRPr="001164A0" w:rsidRDefault="009B03DC" w:rsidP="00123A2C">
              <w:pPr>
                <w:pStyle w:val="Bibliografa"/>
                <w:spacing w:line="276" w:lineRule="auto"/>
                <w:ind w:left="720" w:hanging="720"/>
                <w:jc w:val="both"/>
                <w:rPr>
                  <w:rFonts w:ascii="Times New Roman" w:hAnsi="Times New Roman" w:cs="Times New Roman"/>
                  <w:noProof/>
                  <w:sz w:val="22"/>
                  <w:szCs w:val="22"/>
                </w:rPr>
              </w:pPr>
              <w:r w:rsidRPr="001164A0">
                <w:rPr>
                  <w:rFonts w:ascii="Times New Roman" w:hAnsi="Times New Roman" w:cs="Times New Roman"/>
                  <w:noProof/>
                  <w:sz w:val="22"/>
                  <w:szCs w:val="22"/>
                </w:rPr>
                <w:t xml:space="preserve">RAE. (2019). </w:t>
              </w:r>
              <w:r w:rsidRPr="001164A0">
                <w:rPr>
                  <w:rFonts w:ascii="Times New Roman" w:hAnsi="Times New Roman" w:cs="Times New Roman"/>
                  <w:i/>
                  <w:iCs/>
                  <w:noProof/>
                  <w:sz w:val="22"/>
                  <w:szCs w:val="22"/>
                </w:rPr>
                <w:t xml:space="preserve">Diccionario de la Real Academia Española </w:t>
              </w:r>
              <w:r w:rsidRPr="001164A0">
                <w:rPr>
                  <w:rFonts w:ascii="Times New Roman" w:hAnsi="Times New Roman" w:cs="Times New Roman"/>
                  <w:noProof/>
                  <w:sz w:val="22"/>
                  <w:szCs w:val="22"/>
                </w:rPr>
                <w:t>. Obtenido de Sitio Web RAE: https://www.rae.es/desen/religi%C3%B3n</w:t>
              </w:r>
            </w:p>
            <w:p w14:paraId="07509427" w14:textId="77777777" w:rsidR="009B03DC" w:rsidRPr="001164A0" w:rsidRDefault="009B03DC" w:rsidP="00123A2C">
              <w:pPr>
                <w:pStyle w:val="Bibliografa"/>
                <w:spacing w:line="276" w:lineRule="auto"/>
                <w:ind w:left="720" w:hanging="720"/>
                <w:jc w:val="both"/>
                <w:rPr>
                  <w:rFonts w:ascii="Times New Roman" w:hAnsi="Times New Roman" w:cs="Times New Roman"/>
                  <w:noProof/>
                  <w:sz w:val="22"/>
                  <w:szCs w:val="22"/>
                </w:rPr>
              </w:pPr>
              <w:r w:rsidRPr="001164A0">
                <w:rPr>
                  <w:rFonts w:ascii="Times New Roman" w:hAnsi="Times New Roman" w:cs="Times New Roman"/>
                  <w:noProof/>
                  <w:sz w:val="22"/>
                  <w:szCs w:val="22"/>
                </w:rPr>
                <w:t>Resolución 1325. (2000). Obtenido de https://www.un.org/womenwatch/ods/S-RES-1325(2000)-S.pdf</w:t>
              </w:r>
            </w:p>
            <w:p w14:paraId="39505BDC" w14:textId="77777777" w:rsidR="009B03DC" w:rsidRPr="001164A0" w:rsidRDefault="009B03DC" w:rsidP="00123A2C">
              <w:pPr>
                <w:pStyle w:val="Bibliografa"/>
                <w:spacing w:line="276" w:lineRule="auto"/>
                <w:ind w:left="720" w:hanging="720"/>
                <w:jc w:val="both"/>
                <w:rPr>
                  <w:rFonts w:ascii="Times New Roman" w:hAnsi="Times New Roman" w:cs="Times New Roman"/>
                  <w:noProof/>
                  <w:sz w:val="22"/>
                  <w:szCs w:val="22"/>
                </w:rPr>
              </w:pPr>
              <w:r w:rsidRPr="001164A0">
                <w:rPr>
                  <w:rFonts w:ascii="Times New Roman" w:hAnsi="Times New Roman" w:cs="Times New Roman"/>
                  <w:noProof/>
                  <w:sz w:val="22"/>
                  <w:szCs w:val="22"/>
                </w:rPr>
                <w:t xml:space="preserve">Ros, J. (2018). La familia como relación social. </w:t>
              </w:r>
              <w:r w:rsidRPr="001164A0">
                <w:rPr>
                  <w:rFonts w:ascii="Times New Roman" w:hAnsi="Times New Roman" w:cs="Times New Roman"/>
                  <w:i/>
                  <w:iCs/>
                  <w:noProof/>
                  <w:sz w:val="22"/>
                  <w:szCs w:val="22"/>
                </w:rPr>
                <w:t>Correlatos</w:t>
              </w:r>
              <w:r w:rsidRPr="001164A0">
                <w:rPr>
                  <w:rFonts w:ascii="Times New Roman" w:hAnsi="Times New Roman" w:cs="Times New Roman"/>
                  <w:noProof/>
                  <w:sz w:val="22"/>
                  <w:szCs w:val="22"/>
                </w:rPr>
                <w:t>, 11-41.</w:t>
              </w:r>
            </w:p>
            <w:p w14:paraId="5AE0C988" w14:textId="77777777" w:rsidR="009B03DC" w:rsidRPr="001164A0" w:rsidRDefault="009B03DC" w:rsidP="00123A2C">
              <w:pPr>
                <w:pStyle w:val="Bibliografa"/>
                <w:spacing w:line="276" w:lineRule="auto"/>
                <w:ind w:left="720" w:hanging="720"/>
                <w:jc w:val="both"/>
                <w:rPr>
                  <w:rFonts w:ascii="Times New Roman" w:hAnsi="Times New Roman" w:cs="Times New Roman"/>
                  <w:noProof/>
                  <w:sz w:val="22"/>
                  <w:szCs w:val="22"/>
                </w:rPr>
              </w:pPr>
              <w:r w:rsidRPr="001164A0">
                <w:rPr>
                  <w:rFonts w:ascii="Times New Roman" w:hAnsi="Times New Roman" w:cs="Times New Roman"/>
                  <w:noProof/>
                  <w:sz w:val="22"/>
                  <w:szCs w:val="22"/>
                </w:rPr>
                <w:t xml:space="preserve">Salazar, P. (2018). </w:t>
              </w:r>
              <w:r w:rsidRPr="001164A0">
                <w:rPr>
                  <w:rFonts w:ascii="Times New Roman" w:hAnsi="Times New Roman" w:cs="Times New Roman"/>
                  <w:i/>
                  <w:iCs/>
                  <w:noProof/>
                  <w:sz w:val="22"/>
                  <w:szCs w:val="22"/>
                </w:rPr>
                <w:t>La reforma constitucional sobre derechos humanos. Una guía conceptual.</w:t>
              </w:r>
              <w:r w:rsidRPr="001164A0">
                <w:rPr>
                  <w:rFonts w:ascii="Times New Roman" w:hAnsi="Times New Roman" w:cs="Times New Roman"/>
                  <w:noProof/>
                  <w:sz w:val="22"/>
                  <w:szCs w:val="22"/>
                </w:rPr>
                <w:t xml:space="preserve"> México: Instituto Belisario dominguez .</w:t>
              </w:r>
            </w:p>
            <w:p w14:paraId="7CA05299" w14:textId="77777777" w:rsidR="009B03DC" w:rsidRPr="001164A0" w:rsidRDefault="009B03DC" w:rsidP="00123A2C">
              <w:pPr>
                <w:pStyle w:val="Bibliografa"/>
                <w:spacing w:line="276" w:lineRule="auto"/>
                <w:ind w:left="720" w:hanging="720"/>
                <w:jc w:val="both"/>
                <w:rPr>
                  <w:rFonts w:ascii="Times New Roman" w:hAnsi="Times New Roman" w:cs="Times New Roman"/>
                  <w:noProof/>
                  <w:sz w:val="22"/>
                  <w:szCs w:val="22"/>
                </w:rPr>
              </w:pPr>
              <w:r w:rsidRPr="001164A0">
                <w:rPr>
                  <w:rFonts w:ascii="Times New Roman" w:hAnsi="Times New Roman" w:cs="Times New Roman"/>
                  <w:noProof/>
                  <w:sz w:val="22"/>
                  <w:szCs w:val="22"/>
                </w:rPr>
                <w:t xml:space="preserve">TWBG, &amp; PNUD. (2019). </w:t>
              </w:r>
              <w:r w:rsidRPr="001164A0">
                <w:rPr>
                  <w:rFonts w:ascii="Times New Roman" w:hAnsi="Times New Roman" w:cs="Times New Roman"/>
                  <w:i/>
                  <w:iCs/>
                  <w:noProof/>
                  <w:sz w:val="22"/>
                  <w:szCs w:val="22"/>
                </w:rPr>
                <w:t>Conjunto de indicadores propuestos para el índice de inclusión LGBT.</w:t>
              </w:r>
              <w:r w:rsidRPr="001164A0">
                <w:rPr>
                  <w:rFonts w:ascii="Times New Roman" w:hAnsi="Times New Roman" w:cs="Times New Roman"/>
                  <w:noProof/>
                  <w:sz w:val="22"/>
                  <w:szCs w:val="22"/>
                </w:rPr>
                <w:t xml:space="preserve"> New York: ONU.</w:t>
              </w:r>
            </w:p>
            <w:p w14:paraId="2D8DC2E0" w14:textId="77777777" w:rsidR="009B03DC" w:rsidRPr="001164A0" w:rsidRDefault="009B03DC" w:rsidP="00123A2C">
              <w:pPr>
                <w:pStyle w:val="Bibliografa"/>
                <w:spacing w:line="276" w:lineRule="auto"/>
                <w:ind w:left="720" w:hanging="720"/>
                <w:jc w:val="both"/>
                <w:rPr>
                  <w:rFonts w:ascii="Times New Roman" w:hAnsi="Times New Roman" w:cs="Times New Roman"/>
                  <w:noProof/>
                  <w:sz w:val="22"/>
                  <w:szCs w:val="22"/>
                </w:rPr>
              </w:pPr>
              <w:r w:rsidRPr="001164A0">
                <w:rPr>
                  <w:rFonts w:ascii="Times New Roman" w:hAnsi="Times New Roman" w:cs="Times New Roman"/>
                  <w:noProof/>
                  <w:sz w:val="22"/>
                  <w:szCs w:val="22"/>
                </w:rPr>
                <w:t xml:space="preserve">UN-GLOBE. (2021). </w:t>
              </w:r>
              <w:r w:rsidRPr="001164A0">
                <w:rPr>
                  <w:rFonts w:ascii="Times New Roman" w:hAnsi="Times New Roman" w:cs="Times New Roman"/>
                  <w:i/>
                  <w:iCs/>
                  <w:noProof/>
                  <w:sz w:val="22"/>
                  <w:szCs w:val="22"/>
                </w:rPr>
                <w:t xml:space="preserve">Abogar por la igualdad y la no discriminación del personal LGBTI en el sistema de la ONU y sus operaciones de mantenimiento de la paz </w:t>
              </w:r>
              <w:r w:rsidRPr="001164A0">
                <w:rPr>
                  <w:rFonts w:ascii="Times New Roman" w:hAnsi="Times New Roman" w:cs="Times New Roman"/>
                  <w:noProof/>
                  <w:sz w:val="22"/>
                  <w:szCs w:val="22"/>
                </w:rPr>
                <w:t>. Obtenido de www.unglobe.org/: http://www.unglobe.org/</w:t>
              </w:r>
            </w:p>
            <w:p w14:paraId="3279D8A1" w14:textId="77777777" w:rsidR="009B03DC" w:rsidRPr="001164A0" w:rsidRDefault="009B03DC" w:rsidP="00123A2C">
              <w:pPr>
                <w:pStyle w:val="Bibliografa"/>
                <w:spacing w:line="276" w:lineRule="auto"/>
                <w:ind w:left="720" w:hanging="720"/>
                <w:jc w:val="both"/>
                <w:rPr>
                  <w:rFonts w:ascii="Times New Roman" w:hAnsi="Times New Roman" w:cs="Times New Roman"/>
                  <w:noProof/>
                  <w:sz w:val="22"/>
                  <w:szCs w:val="22"/>
                </w:rPr>
              </w:pPr>
              <w:r w:rsidRPr="001164A0">
                <w:rPr>
                  <w:rFonts w:ascii="Times New Roman" w:hAnsi="Times New Roman" w:cs="Times New Roman"/>
                  <w:noProof/>
                  <w:sz w:val="22"/>
                  <w:szCs w:val="22"/>
                </w:rPr>
                <w:t xml:space="preserve">UP, &amp; ONU. (2016). </w:t>
              </w:r>
              <w:r w:rsidRPr="001164A0">
                <w:rPr>
                  <w:rFonts w:ascii="Times New Roman" w:hAnsi="Times New Roman" w:cs="Times New Roman"/>
                  <w:i/>
                  <w:iCs/>
                  <w:noProof/>
                  <w:sz w:val="22"/>
                  <w:szCs w:val="22"/>
                </w:rPr>
                <w:t>Derechos Humanos.</w:t>
              </w:r>
              <w:r w:rsidRPr="001164A0">
                <w:rPr>
                  <w:rFonts w:ascii="Times New Roman" w:hAnsi="Times New Roman" w:cs="Times New Roman"/>
                  <w:noProof/>
                  <w:sz w:val="22"/>
                  <w:szCs w:val="22"/>
                </w:rPr>
                <w:t xml:space="preserve"> ONU .</w:t>
              </w:r>
            </w:p>
            <w:p w14:paraId="07785662" w14:textId="77777777" w:rsidR="009B03DC" w:rsidRPr="001164A0" w:rsidRDefault="009B03DC" w:rsidP="00123A2C">
              <w:pPr>
                <w:pStyle w:val="Bibliografa"/>
                <w:spacing w:line="276" w:lineRule="auto"/>
                <w:ind w:left="720" w:hanging="720"/>
                <w:jc w:val="both"/>
                <w:rPr>
                  <w:rFonts w:ascii="Times New Roman" w:hAnsi="Times New Roman" w:cs="Times New Roman"/>
                  <w:noProof/>
                  <w:sz w:val="22"/>
                  <w:szCs w:val="22"/>
                </w:rPr>
              </w:pPr>
              <w:r w:rsidRPr="001164A0">
                <w:rPr>
                  <w:rFonts w:ascii="Times New Roman" w:hAnsi="Times New Roman" w:cs="Times New Roman"/>
                  <w:noProof/>
                  <w:sz w:val="22"/>
                  <w:szCs w:val="22"/>
                </w:rPr>
                <w:t xml:space="preserve">USAID, P. P. (2018). </w:t>
              </w:r>
              <w:r w:rsidRPr="001164A0">
                <w:rPr>
                  <w:rFonts w:ascii="Times New Roman" w:hAnsi="Times New Roman" w:cs="Times New Roman"/>
                  <w:i/>
                  <w:iCs/>
                  <w:noProof/>
                  <w:sz w:val="22"/>
                  <w:szCs w:val="22"/>
                </w:rPr>
                <w:t>Violencia basada en género, VIH y Poblaciones Clave en Latinoamérica y el Caribe.</w:t>
              </w:r>
              <w:r w:rsidRPr="001164A0">
                <w:rPr>
                  <w:rFonts w:ascii="Times New Roman" w:hAnsi="Times New Roman" w:cs="Times New Roman"/>
                  <w:noProof/>
                  <w:sz w:val="22"/>
                  <w:szCs w:val="22"/>
                </w:rPr>
                <w:t xml:space="preserve"> </w:t>
              </w:r>
            </w:p>
            <w:p w14:paraId="2E96A26D" w14:textId="77777777" w:rsidR="009B03DC" w:rsidRPr="001164A0" w:rsidRDefault="009B03DC" w:rsidP="00123A2C">
              <w:pPr>
                <w:pStyle w:val="Bibliografa"/>
                <w:spacing w:line="276" w:lineRule="auto"/>
                <w:ind w:left="720" w:hanging="720"/>
                <w:jc w:val="both"/>
                <w:rPr>
                  <w:rFonts w:ascii="Times New Roman" w:hAnsi="Times New Roman" w:cs="Times New Roman"/>
                  <w:noProof/>
                  <w:sz w:val="22"/>
                  <w:szCs w:val="22"/>
                </w:rPr>
              </w:pPr>
              <w:r w:rsidRPr="001164A0">
                <w:rPr>
                  <w:rFonts w:ascii="Times New Roman" w:hAnsi="Times New Roman" w:cs="Times New Roman"/>
                  <w:noProof/>
                  <w:sz w:val="22"/>
                  <w:szCs w:val="22"/>
                </w:rPr>
                <w:t xml:space="preserve">Williams, K. (2012). Cartografiando los márgenes. Interseccionalidad, políticas identitarias, y violencia contra las mujeres de color. En P. y. Saenz, </w:t>
              </w:r>
              <w:r w:rsidRPr="001164A0">
                <w:rPr>
                  <w:rFonts w:ascii="Times New Roman" w:hAnsi="Times New Roman" w:cs="Times New Roman"/>
                  <w:i/>
                  <w:iCs/>
                  <w:noProof/>
                  <w:sz w:val="22"/>
                  <w:szCs w:val="22"/>
                </w:rPr>
                <w:t>Intersecciones: cuerpos y sexualidades en la encrucijada.</w:t>
              </w:r>
              <w:r w:rsidRPr="001164A0">
                <w:rPr>
                  <w:rFonts w:ascii="Times New Roman" w:hAnsi="Times New Roman" w:cs="Times New Roman"/>
                  <w:noProof/>
                  <w:sz w:val="22"/>
                  <w:szCs w:val="22"/>
                </w:rPr>
                <w:t xml:space="preserve"> </w:t>
              </w:r>
            </w:p>
            <w:p w14:paraId="55C249D5" w14:textId="7279CC55" w:rsidR="00E1112C" w:rsidRPr="001164A0" w:rsidRDefault="00E1112C" w:rsidP="00123A2C">
              <w:pPr>
                <w:spacing w:line="276" w:lineRule="auto"/>
                <w:jc w:val="both"/>
                <w:rPr>
                  <w:rFonts w:ascii="Times New Roman" w:hAnsi="Times New Roman" w:cs="Times New Roman"/>
                  <w:sz w:val="22"/>
                  <w:szCs w:val="22"/>
                </w:rPr>
              </w:pPr>
              <w:r w:rsidRPr="001164A0">
                <w:rPr>
                  <w:rFonts w:ascii="Times New Roman" w:hAnsi="Times New Roman" w:cs="Times New Roman"/>
                  <w:b/>
                  <w:bCs/>
                  <w:noProof/>
                  <w:sz w:val="22"/>
                  <w:szCs w:val="22"/>
                </w:rPr>
                <w:fldChar w:fldCharType="end"/>
              </w:r>
            </w:p>
          </w:sdtContent>
        </w:sdt>
      </w:sdtContent>
    </w:sdt>
    <w:p w14:paraId="2BA38745" w14:textId="77777777" w:rsidR="00C946B5" w:rsidRPr="001164A0" w:rsidRDefault="00C946B5" w:rsidP="001164A0">
      <w:pPr>
        <w:spacing w:line="360" w:lineRule="auto"/>
        <w:jc w:val="both"/>
        <w:rPr>
          <w:rFonts w:ascii="Times New Roman" w:hAnsi="Times New Roman" w:cs="Times New Roman"/>
          <w:sz w:val="22"/>
          <w:szCs w:val="22"/>
        </w:rPr>
      </w:pPr>
    </w:p>
    <w:sectPr w:rsidR="00C946B5" w:rsidRPr="001164A0" w:rsidSect="004615F8">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9B5FE2" w14:textId="77777777" w:rsidR="00092E84" w:rsidRDefault="00092E84" w:rsidP="00AB5E9B">
      <w:r>
        <w:separator/>
      </w:r>
    </w:p>
  </w:endnote>
  <w:endnote w:type="continuationSeparator" w:id="0">
    <w:p w14:paraId="733D0CA8" w14:textId="77777777" w:rsidR="00092E84" w:rsidRDefault="00092E84" w:rsidP="00AB5E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45638C" w14:textId="77777777" w:rsidR="00092E84" w:rsidRDefault="00092E84" w:rsidP="00AB5E9B">
      <w:r>
        <w:separator/>
      </w:r>
    </w:p>
  </w:footnote>
  <w:footnote w:type="continuationSeparator" w:id="0">
    <w:p w14:paraId="2FCF16F8" w14:textId="77777777" w:rsidR="00092E84" w:rsidRDefault="00092E84" w:rsidP="00AB5E9B">
      <w:r>
        <w:continuationSeparator/>
      </w:r>
    </w:p>
  </w:footnote>
  <w:footnote w:id="1">
    <w:p w14:paraId="20096E72" w14:textId="2BC9EEC9" w:rsidR="008D019C" w:rsidRPr="007C4CDB" w:rsidRDefault="008D019C" w:rsidP="00756798">
      <w:pPr>
        <w:spacing w:line="276" w:lineRule="auto"/>
        <w:jc w:val="both"/>
        <w:rPr>
          <w:rFonts w:ascii="Times New Roman" w:eastAsia="Times New Roman" w:hAnsi="Times New Roman" w:cs="Times New Roman"/>
          <w:lang w:eastAsia="es-MX"/>
        </w:rPr>
      </w:pPr>
      <w:r>
        <w:rPr>
          <w:rStyle w:val="Refdenotaalpie"/>
        </w:rPr>
        <w:footnoteRef/>
      </w:r>
      <w:r>
        <w:t xml:space="preserve"> </w:t>
      </w:r>
      <w:r w:rsidRPr="007C4CDB">
        <w:rPr>
          <w:rFonts w:ascii="Times New Roman" w:hAnsi="Times New Roman" w:cs="Times New Roman"/>
          <w:sz w:val="22"/>
          <w:szCs w:val="22"/>
        </w:rPr>
        <w:t>“</w:t>
      </w:r>
      <w:r w:rsidRPr="007C4CDB">
        <w:rPr>
          <w:rFonts w:ascii="Times New Roman" w:eastAsia="Times New Roman" w:hAnsi="Times New Roman" w:cs="Times New Roman"/>
          <w:sz w:val="22"/>
          <w:szCs w:val="22"/>
          <w:lang w:eastAsia="es-MX"/>
        </w:rPr>
        <w:t>Utilizamos el término colectivo personas de la comunidad LGBTI</w:t>
      </w:r>
      <w:r w:rsidR="00EF7E6D">
        <w:rPr>
          <w:rFonts w:ascii="Times New Roman" w:eastAsia="Times New Roman" w:hAnsi="Times New Roman" w:cs="Times New Roman"/>
          <w:sz w:val="22"/>
          <w:szCs w:val="22"/>
          <w:lang w:eastAsia="es-MX"/>
        </w:rPr>
        <w:t>,</w:t>
      </w:r>
      <w:r w:rsidRPr="007C4CDB">
        <w:rPr>
          <w:rFonts w:ascii="Times New Roman" w:eastAsia="Times New Roman" w:hAnsi="Times New Roman" w:cs="Times New Roman"/>
          <w:sz w:val="22"/>
          <w:szCs w:val="22"/>
          <w:lang w:eastAsia="es-MX"/>
        </w:rPr>
        <w:t xml:space="preserve"> porque son un grupo diverso que, a pesar de eso, tienen algunos desafíos en común: la estigmatización, la discriminación y la violencia debido a su orientación sexual, identidad o expresión de género y características sexuales. Esta definición no es exclusiva ni definitiva; es posible que en contextos diferentes sean importantes otros conceptos, términos o identidades, y que con el tiempo estas denominaciones evolucionen</w:t>
      </w:r>
      <w:r>
        <w:rPr>
          <w:rFonts w:ascii="Times New Roman" w:eastAsia="Times New Roman" w:hAnsi="Times New Roman" w:cs="Times New Roman"/>
          <w:sz w:val="22"/>
          <w:szCs w:val="22"/>
          <w:lang w:eastAsia="es-MX"/>
        </w:rPr>
        <w:t>”</w:t>
      </w:r>
      <w:r w:rsidRPr="007C4CDB">
        <w:rPr>
          <w:rFonts w:ascii="Times New Roman" w:eastAsia="Times New Roman" w:hAnsi="Times New Roman" w:cs="Times New Roman"/>
          <w:sz w:val="22"/>
          <w:szCs w:val="22"/>
          <w:lang w:eastAsia="es-MX"/>
        </w:rPr>
        <w:t>.</w:t>
      </w:r>
      <w:r>
        <w:rPr>
          <w:rFonts w:ascii="Times New Roman" w:eastAsia="Times New Roman" w:hAnsi="Times New Roman" w:cs="Times New Roman"/>
          <w:sz w:val="22"/>
          <w:szCs w:val="22"/>
          <w:lang w:eastAsia="es-MX"/>
        </w:rPr>
        <w:t xml:space="preserve"> (BM y PNUD, 2018)</w:t>
      </w:r>
    </w:p>
    <w:p w14:paraId="24DED48C" w14:textId="77777777" w:rsidR="008D019C" w:rsidRPr="007C4CDB" w:rsidRDefault="008D019C" w:rsidP="008D019C">
      <w:pPr>
        <w:pStyle w:val="Textonotapie"/>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hybridMultilevel"/>
    <w:tmpl w:val="526A17A0"/>
    <w:lvl w:ilvl="0" w:tplc="0000006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000003"/>
    <w:multiLevelType w:val="hybridMultilevel"/>
    <w:tmpl w:val="00000003"/>
    <w:lvl w:ilvl="0" w:tplc="000000C9">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0000004"/>
    <w:multiLevelType w:val="hybridMultilevel"/>
    <w:tmpl w:val="00000004"/>
    <w:lvl w:ilvl="0" w:tplc="0000012D">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1FAB0F30"/>
    <w:multiLevelType w:val="hybridMultilevel"/>
    <w:tmpl w:val="CADC00D0"/>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4" w15:restartNumberingAfterBreak="0">
    <w:nsid w:val="20A46500"/>
    <w:multiLevelType w:val="hybridMultilevel"/>
    <w:tmpl w:val="8AF081CE"/>
    <w:lvl w:ilvl="0" w:tplc="2A52D992">
      <w:start w:val="1"/>
      <w:numFmt w:val="upperRoman"/>
      <w:lvlText w:val="%1."/>
      <w:lvlJc w:val="right"/>
      <w:pPr>
        <w:ind w:left="720" w:hanging="360"/>
      </w:pPr>
      <w:rPr>
        <w:b w:val="0"/>
        <w:bCs w:val="0"/>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5" w15:restartNumberingAfterBreak="0">
    <w:nsid w:val="29DB7A7A"/>
    <w:multiLevelType w:val="hybridMultilevel"/>
    <w:tmpl w:val="ED626346"/>
    <w:lvl w:ilvl="0" w:tplc="00000065">
      <w:start w:val="1"/>
      <w:numFmt w:val="bullet"/>
      <w:lvlText w:val="•"/>
      <w:lvlJc w:val="left"/>
      <w:pPr>
        <w:ind w:left="720" w:hanging="360"/>
      </w:p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6" w15:restartNumberingAfterBreak="0">
    <w:nsid w:val="2FE92F00"/>
    <w:multiLevelType w:val="hybridMultilevel"/>
    <w:tmpl w:val="36D62A6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15:restartNumberingAfterBreak="0">
    <w:nsid w:val="3C206160"/>
    <w:multiLevelType w:val="hybridMultilevel"/>
    <w:tmpl w:val="E1400634"/>
    <w:lvl w:ilvl="0" w:tplc="080A000F">
      <w:start w:val="3"/>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554A4193"/>
    <w:multiLevelType w:val="hybridMultilevel"/>
    <w:tmpl w:val="AA1EC43A"/>
    <w:lvl w:ilvl="0" w:tplc="00000065">
      <w:start w:val="1"/>
      <w:numFmt w:val="bullet"/>
      <w:lvlText w:val="•"/>
      <w:lvlJc w:val="left"/>
      <w:pPr>
        <w:ind w:left="720" w:hanging="360"/>
      </w:p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9" w15:restartNumberingAfterBreak="0">
    <w:nsid w:val="62EC3385"/>
    <w:multiLevelType w:val="hybridMultilevel"/>
    <w:tmpl w:val="678E0998"/>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6"/>
  </w:num>
  <w:num w:numId="5">
    <w:abstractNumId w:val="7"/>
  </w:num>
  <w:num w:numId="6">
    <w:abstractNumId w:val="3"/>
  </w:num>
  <w:num w:numId="7">
    <w:abstractNumId w:val="9"/>
  </w:num>
  <w:num w:numId="8">
    <w:abstractNumId w:val="5"/>
  </w:num>
  <w:num w:numId="9">
    <w:abstractNumId w:val="8"/>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4"/>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B5E9B"/>
    <w:rsid w:val="00092E84"/>
    <w:rsid w:val="000D1846"/>
    <w:rsid w:val="000E16F6"/>
    <w:rsid w:val="000F0109"/>
    <w:rsid w:val="00106B4F"/>
    <w:rsid w:val="001164A0"/>
    <w:rsid w:val="00123A2C"/>
    <w:rsid w:val="0014235F"/>
    <w:rsid w:val="001B3B94"/>
    <w:rsid w:val="00293165"/>
    <w:rsid w:val="002C3D17"/>
    <w:rsid w:val="00311259"/>
    <w:rsid w:val="00362936"/>
    <w:rsid w:val="00365D83"/>
    <w:rsid w:val="00367282"/>
    <w:rsid w:val="004615F8"/>
    <w:rsid w:val="0046251B"/>
    <w:rsid w:val="00472C33"/>
    <w:rsid w:val="00480936"/>
    <w:rsid w:val="00487EE1"/>
    <w:rsid w:val="004E7359"/>
    <w:rsid w:val="00515F86"/>
    <w:rsid w:val="00522FE3"/>
    <w:rsid w:val="005420B3"/>
    <w:rsid w:val="00566884"/>
    <w:rsid w:val="005E4C7B"/>
    <w:rsid w:val="00612818"/>
    <w:rsid w:val="00630275"/>
    <w:rsid w:val="00661BF2"/>
    <w:rsid w:val="00756798"/>
    <w:rsid w:val="00865C9E"/>
    <w:rsid w:val="008B7C5B"/>
    <w:rsid w:val="008D019C"/>
    <w:rsid w:val="008D0699"/>
    <w:rsid w:val="008F4106"/>
    <w:rsid w:val="009A010C"/>
    <w:rsid w:val="009A4551"/>
    <w:rsid w:val="009B03DC"/>
    <w:rsid w:val="00A365CE"/>
    <w:rsid w:val="00A50A53"/>
    <w:rsid w:val="00AB5E9B"/>
    <w:rsid w:val="00AF60C0"/>
    <w:rsid w:val="00B842E1"/>
    <w:rsid w:val="00BA0380"/>
    <w:rsid w:val="00BB12E5"/>
    <w:rsid w:val="00BC3D3B"/>
    <w:rsid w:val="00BF36B3"/>
    <w:rsid w:val="00BF3921"/>
    <w:rsid w:val="00C330F7"/>
    <w:rsid w:val="00C50B56"/>
    <w:rsid w:val="00C845FC"/>
    <w:rsid w:val="00C946B5"/>
    <w:rsid w:val="00CA031F"/>
    <w:rsid w:val="00CE0AF2"/>
    <w:rsid w:val="00D252DC"/>
    <w:rsid w:val="00D33676"/>
    <w:rsid w:val="00D61AEA"/>
    <w:rsid w:val="00D7395F"/>
    <w:rsid w:val="00DB5B12"/>
    <w:rsid w:val="00E1112C"/>
    <w:rsid w:val="00EE7258"/>
    <w:rsid w:val="00EE7366"/>
    <w:rsid w:val="00EF7E6D"/>
    <w:rsid w:val="00F65AEE"/>
    <w:rsid w:val="00F71AC0"/>
    <w:rsid w:val="00FA411D"/>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ecimalSymbol w:val="."/>
  <w:listSeparator w:val=","/>
  <w14:docId w14:val="6489A5C4"/>
  <w15:chartTrackingRefBased/>
  <w15:docId w15:val="{C03DF8C5-8E27-364E-93E2-251C1BEA7D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s-MX"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7E6D"/>
    <w:rPr>
      <w:lang w:val="es-ES"/>
    </w:rPr>
  </w:style>
  <w:style w:type="paragraph" w:styleId="Ttulo1">
    <w:name w:val="heading 1"/>
    <w:basedOn w:val="Normal"/>
    <w:next w:val="Normal"/>
    <w:link w:val="Ttulo1Car"/>
    <w:uiPriority w:val="9"/>
    <w:qFormat/>
    <w:rsid w:val="00E1112C"/>
    <w:pPr>
      <w:keepNext/>
      <w:keepLines/>
      <w:spacing w:before="480" w:line="276" w:lineRule="auto"/>
      <w:outlineLvl w:val="0"/>
    </w:pPr>
    <w:rPr>
      <w:rFonts w:asciiTheme="majorHAnsi" w:eastAsiaTheme="majorEastAsia" w:hAnsiTheme="majorHAnsi" w:cstheme="majorBidi"/>
      <w:b/>
      <w:bCs/>
      <w:color w:val="2F5496" w:themeColor="accent1" w:themeShade="BF"/>
      <w:sz w:val="28"/>
      <w:szCs w:val="28"/>
      <w:lang w:val="es-MX" w:eastAsia="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AB5E9B"/>
    <w:pPr>
      <w:tabs>
        <w:tab w:val="center" w:pos="4252"/>
        <w:tab w:val="right" w:pos="8504"/>
      </w:tabs>
    </w:pPr>
  </w:style>
  <w:style w:type="character" w:customStyle="1" w:styleId="EncabezadoCar">
    <w:name w:val="Encabezado Car"/>
    <w:basedOn w:val="Fuentedeprrafopredeter"/>
    <w:link w:val="Encabezado"/>
    <w:uiPriority w:val="99"/>
    <w:rsid w:val="00AB5E9B"/>
    <w:rPr>
      <w:lang w:val="es-ES"/>
    </w:rPr>
  </w:style>
  <w:style w:type="paragraph" w:styleId="Piedepgina">
    <w:name w:val="footer"/>
    <w:basedOn w:val="Normal"/>
    <w:link w:val="PiedepginaCar"/>
    <w:uiPriority w:val="99"/>
    <w:unhideWhenUsed/>
    <w:rsid w:val="00AB5E9B"/>
    <w:pPr>
      <w:tabs>
        <w:tab w:val="center" w:pos="4252"/>
        <w:tab w:val="right" w:pos="8504"/>
      </w:tabs>
    </w:pPr>
  </w:style>
  <w:style w:type="character" w:customStyle="1" w:styleId="PiedepginaCar">
    <w:name w:val="Pie de página Car"/>
    <w:basedOn w:val="Fuentedeprrafopredeter"/>
    <w:link w:val="Piedepgina"/>
    <w:uiPriority w:val="99"/>
    <w:rsid w:val="00AB5E9B"/>
    <w:rPr>
      <w:lang w:val="es-ES"/>
    </w:rPr>
  </w:style>
  <w:style w:type="character" w:customStyle="1" w:styleId="Ttulo1Car">
    <w:name w:val="Título 1 Car"/>
    <w:basedOn w:val="Fuentedeprrafopredeter"/>
    <w:link w:val="Ttulo1"/>
    <w:uiPriority w:val="9"/>
    <w:rsid w:val="00E1112C"/>
    <w:rPr>
      <w:rFonts w:asciiTheme="majorHAnsi" w:eastAsiaTheme="majorEastAsia" w:hAnsiTheme="majorHAnsi" w:cstheme="majorBidi"/>
      <w:b/>
      <w:bCs/>
      <w:color w:val="2F5496" w:themeColor="accent1" w:themeShade="BF"/>
      <w:sz w:val="28"/>
      <w:szCs w:val="28"/>
      <w:lang w:eastAsia="es-ES_tradnl"/>
    </w:rPr>
  </w:style>
  <w:style w:type="paragraph" w:styleId="Bibliografa">
    <w:name w:val="Bibliography"/>
    <w:basedOn w:val="Normal"/>
    <w:next w:val="Normal"/>
    <w:uiPriority w:val="37"/>
    <w:unhideWhenUsed/>
    <w:rsid w:val="00E1112C"/>
  </w:style>
  <w:style w:type="paragraph" w:styleId="Textonotapie">
    <w:name w:val="footnote text"/>
    <w:basedOn w:val="Normal"/>
    <w:link w:val="TextonotapieCar"/>
    <w:uiPriority w:val="99"/>
    <w:semiHidden/>
    <w:unhideWhenUsed/>
    <w:rsid w:val="008D019C"/>
    <w:rPr>
      <w:sz w:val="20"/>
      <w:szCs w:val="20"/>
      <w:lang w:val="es-MX"/>
    </w:rPr>
  </w:style>
  <w:style w:type="character" w:customStyle="1" w:styleId="TextonotapieCar">
    <w:name w:val="Texto nota pie Car"/>
    <w:basedOn w:val="Fuentedeprrafopredeter"/>
    <w:link w:val="Textonotapie"/>
    <w:uiPriority w:val="99"/>
    <w:semiHidden/>
    <w:rsid w:val="008D019C"/>
    <w:rPr>
      <w:sz w:val="20"/>
      <w:szCs w:val="20"/>
    </w:rPr>
  </w:style>
  <w:style w:type="character" w:styleId="Refdenotaalpie">
    <w:name w:val="footnote reference"/>
    <w:basedOn w:val="Fuentedeprrafopredeter"/>
    <w:uiPriority w:val="99"/>
    <w:semiHidden/>
    <w:unhideWhenUsed/>
    <w:rsid w:val="008D019C"/>
    <w:rPr>
      <w:vertAlign w:val="superscript"/>
    </w:rPr>
  </w:style>
  <w:style w:type="paragraph" w:styleId="Prrafodelista">
    <w:name w:val="List Paragraph"/>
    <w:basedOn w:val="Normal"/>
    <w:uiPriority w:val="34"/>
    <w:qFormat/>
    <w:rsid w:val="008F410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66525">
      <w:bodyDiv w:val="1"/>
      <w:marLeft w:val="0"/>
      <w:marRight w:val="0"/>
      <w:marTop w:val="0"/>
      <w:marBottom w:val="0"/>
      <w:divBdr>
        <w:top w:val="none" w:sz="0" w:space="0" w:color="auto"/>
        <w:left w:val="none" w:sz="0" w:space="0" w:color="auto"/>
        <w:bottom w:val="none" w:sz="0" w:space="0" w:color="auto"/>
        <w:right w:val="none" w:sz="0" w:space="0" w:color="auto"/>
      </w:divBdr>
    </w:div>
    <w:div w:id="27068460">
      <w:bodyDiv w:val="1"/>
      <w:marLeft w:val="0"/>
      <w:marRight w:val="0"/>
      <w:marTop w:val="0"/>
      <w:marBottom w:val="0"/>
      <w:divBdr>
        <w:top w:val="none" w:sz="0" w:space="0" w:color="auto"/>
        <w:left w:val="none" w:sz="0" w:space="0" w:color="auto"/>
        <w:bottom w:val="none" w:sz="0" w:space="0" w:color="auto"/>
        <w:right w:val="none" w:sz="0" w:space="0" w:color="auto"/>
      </w:divBdr>
    </w:div>
    <w:div w:id="44185103">
      <w:bodyDiv w:val="1"/>
      <w:marLeft w:val="0"/>
      <w:marRight w:val="0"/>
      <w:marTop w:val="0"/>
      <w:marBottom w:val="0"/>
      <w:divBdr>
        <w:top w:val="none" w:sz="0" w:space="0" w:color="auto"/>
        <w:left w:val="none" w:sz="0" w:space="0" w:color="auto"/>
        <w:bottom w:val="none" w:sz="0" w:space="0" w:color="auto"/>
        <w:right w:val="none" w:sz="0" w:space="0" w:color="auto"/>
      </w:divBdr>
    </w:div>
    <w:div w:id="48920433">
      <w:bodyDiv w:val="1"/>
      <w:marLeft w:val="0"/>
      <w:marRight w:val="0"/>
      <w:marTop w:val="0"/>
      <w:marBottom w:val="0"/>
      <w:divBdr>
        <w:top w:val="none" w:sz="0" w:space="0" w:color="auto"/>
        <w:left w:val="none" w:sz="0" w:space="0" w:color="auto"/>
        <w:bottom w:val="none" w:sz="0" w:space="0" w:color="auto"/>
        <w:right w:val="none" w:sz="0" w:space="0" w:color="auto"/>
      </w:divBdr>
    </w:div>
    <w:div w:id="50083365">
      <w:bodyDiv w:val="1"/>
      <w:marLeft w:val="0"/>
      <w:marRight w:val="0"/>
      <w:marTop w:val="0"/>
      <w:marBottom w:val="0"/>
      <w:divBdr>
        <w:top w:val="none" w:sz="0" w:space="0" w:color="auto"/>
        <w:left w:val="none" w:sz="0" w:space="0" w:color="auto"/>
        <w:bottom w:val="none" w:sz="0" w:space="0" w:color="auto"/>
        <w:right w:val="none" w:sz="0" w:space="0" w:color="auto"/>
      </w:divBdr>
    </w:div>
    <w:div w:id="68769156">
      <w:bodyDiv w:val="1"/>
      <w:marLeft w:val="0"/>
      <w:marRight w:val="0"/>
      <w:marTop w:val="0"/>
      <w:marBottom w:val="0"/>
      <w:divBdr>
        <w:top w:val="none" w:sz="0" w:space="0" w:color="auto"/>
        <w:left w:val="none" w:sz="0" w:space="0" w:color="auto"/>
        <w:bottom w:val="none" w:sz="0" w:space="0" w:color="auto"/>
        <w:right w:val="none" w:sz="0" w:space="0" w:color="auto"/>
      </w:divBdr>
    </w:div>
    <w:div w:id="71510634">
      <w:bodyDiv w:val="1"/>
      <w:marLeft w:val="0"/>
      <w:marRight w:val="0"/>
      <w:marTop w:val="0"/>
      <w:marBottom w:val="0"/>
      <w:divBdr>
        <w:top w:val="none" w:sz="0" w:space="0" w:color="auto"/>
        <w:left w:val="none" w:sz="0" w:space="0" w:color="auto"/>
        <w:bottom w:val="none" w:sz="0" w:space="0" w:color="auto"/>
        <w:right w:val="none" w:sz="0" w:space="0" w:color="auto"/>
      </w:divBdr>
    </w:div>
    <w:div w:id="75632956">
      <w:bodyDiv w:val="1"/>
      <w:marLeft w:val="0"/>
      <w:marRight w:val="0"/>
      <w:marTop w:val="0"/>
      <w:marBottom w:val="0"/>
      <w:divBdr>
        <w:top w:val="none" w:sz="0" w:space="0" w:color="auto"/>
        <w:left w:val="none" w:sz="0" w:space="0" w:color="auto"/>
        <w:bottom w:val="none" w:sz="0" w:space="0" w:color="auto"/>
        <w:right w:val="none" w:sz="0" w:space="0" w:color="auto"/>
      </w:divBdr>
    </w:div>
    <w:div w:id="85393632">
      <w:bodyDiv w:val="1"/>
      <w:marLeft w:val="0"/>
      <w:marRight w:val="0"/>
      <w:marTop w:val="0"/>
      <w:marBottom w:val="0"/>
      <w:divBdr>
        <w:top w:val="none" w:sz="0" w:space="0" w:color="auto"/>
        <w:left w:val="none" w:sz="0" w:space="0" w:color="auto"/>
        <w:bottom w:val="none" w:sz="0" w:space="0" w:color="auto"/>
        <w:right w:val="none" w:sz="0" w:space="0" w:color="auto"/>
      </w:divBdr>
    </w:div>
    <w:div w:id="86731975">
      <w:bodyDiv w:val="1"/>
      <w:marLeft w:val="0"/>
      <w:marRight w:val="0"/>
      <w:marTop w:val="0"/>
      <w:marBottom w:val="0"/>
      <w:divBdr>
        <w:top w:val="none" w:sz="0" w:space="0" w:color="auto"/>
        <w:left w:val="none" w:sz="0" w:space="0" w:color="auto"/>
        <w:bottom w:val="none" w:sz="0" w:space="0" w:color="auto"/>
        <w:right w:val="none" w:sz="0" w:space="0" w:color="auto"/>
      </w:divBdr>
    </w:div>
    <w:div w:id="112529587">
      <w:bodyDiv w:val="1"/>
      <w:marLeft w:val="0"/>
      <w:marRight w:val="0"/>
      <w:marTop w:val="0"/>
      <w:marBottom w:val="0"/>
      <w:divBdr>
        <w:top w:val="none" w:sz="0" w:space="0" w:color="auto"/>
        <w:left w:val="none" w:sz="0" w:space="0" w:color="auto"/>
        <w:bottom w:val="none" w:sz="0" w:space="0" w:color="auto"/>
        <w:right w:val="none" w:sz="0" w:space="0" w:color="auto"/>
      </w:divBdr>
    </w:div>
    <w:div w:id="135145347">
      <w:bodyDiv w:val="1"/>
      <w:marLeft w:val="0"/>
      <w:marRight w:val="0"/>
      <w:marTop w:val="0"/>
      <w:marBottom w:val="0"/>
      <w:divBdr>
        <w:top w:val="none" w:sz="0" w:space="0" w:color="auto"/>
        <w:left w:val="none" w:sz="0" w:space="0" w:color="auto"/>
        <w:bottom w:val="none" w:sz="0" w:space="0" w:color="auto"/>
        <w:right w:val="none" w:sz="0" w:space="0" w:color="auto"/>
      </w:divBdr>
    </w:div>
    <w:div w:id="172889172">
      <w:bodyDiv w:val="1"/>
      <w:marLeft w:val="0"/>
      <w:marRight w:val="0"/>
      <w:marTop w:val="0"/>
      <w:marBottom w:val="0"/>
      <w:divBdr>
        <w:top w:val="none" w:sz="0" w:space="0" w:color="auto"/>
        <w:left w:val="none" w:sz="0" w:space="0" w:color="auto"/>
        <w:bottom w:val="none" w:sz="0" w:space="0" w:color="auto"/>
        <w:right w:val="none" w:sz="0" w:space="0" w:color="auto"/>
      </w:divBdr>
    </w:div>
    <w:div w:id="176894002">
      <w:bodyDiv w:val="1"/>
      <w:marLeft w:val="0"/>
      <w:marRight w:val="0"/>
      <w:marTop w:val="0"/>
      <w:marBottom w:val="0"/>
      <w:divBdr>
        <w:top w:val="none" w:sz="0" w:space="0" w:color="auto"/>
        <w:left w:val="none" w:sz="0" w:space="0" w:color="auto"/>
        <w:bottom w:val="none" w:sz="0" w:space="0" w:color="auto"/>
        <w:right w:val="none" w:sz="0" w:space="0" w:color="auto"/>
      </w:divBdr>
    </w:div>
    <w:div w:id="199511277">
      <w:bodyDiv w:val="1"/>
      <w:marLeft w:val="0"/>
      <w:marRight w:val="0"/>
      <w:marTop w:val="0"/>
      <w:marBottom w:val="0"/>
      <w:divBdr>
        <w:top w:val="none" w:sz="0" w:space="0" w:color="auto"/>
        <w:left w:val="none" w:sz="0" w:space="0" w:color="auto"/>
        <w:bottom w:val="none" w:sz="0" w:space="0" w:color="auto"/>
        <w:right w:val="none" w:sz="0" w:space="0" w:color="auto"/>
      </w:divBdr>
    </w:div>
    <w:div w:id="238289081">
      <w:bodyDiv w:val="1"/>
      <w:marLeft w:val="0"/>
      <w:marRight w:val="0"/>
      <w:marTop w:val="0"/>
      <w:marBottom w:val="0"/>
      <w:divBdr>
        <w:top w:val="none" w:sz="0" w:space="0" w:color="auto"/>
        <w:left w:val="none" w:sz="0" w:space="0" w:color="auto"/>
        <w:bottom w:val="none" w:sz="0" w:space="0" w:color="auto"/>
        <w:right w:val="none" w:sz="0" w:space="0" w:color="auto"/>
      </w:divBdr>
    </w:div>
    <w:div w:id="243343415">
      <w:bodyDiv w:val="1"/>
      <w:marLeft w:val="0"/>
      <w:marRight w:val="0"/>
      <w:marTop w:val="0"/>
      <w:marBottom w:val="0"/>
      <w:divBdr>
        <w:top w:val="none" w:sz="0" w:space="0" w:color="auto"/>
        <w:left w:val="none" w:sz="0" w:space="0" w:color="auto"/>
        <w:bottom w:val="none" w:sz="0" w:space="0" w:color="auto"/>
        <w:right w:val="none" w:sz="0" w:space="0" w:color="auto"/>
      </w:divBdr>
    </w:div>
    <w:div w:id="260648127">
      <w:bodyDiv w:val="1"/>
      <w:marLeft w:val="0"/>
      <w:marRight w:val="0"/>
      <w:marTop w:val="0"/>
      <w:marBottom w:val="0"/>
      <w:divBdr>
        <w:top w:val="none" w:sz="0" w:space="0" w:color="auto"/>
        <w:left w:val="none" w:sz="0" w:space="0" w:color="auto"/>
        <w:bottom w:val="none" w:sz="0" w:space="0" w:color="auto"/>
        <w:right w:val="none" w:sz="0" w:space="0" w:color="auto"/>
      </w:divBdr>
    </w:div>
    <w:div w:id="325011612">
      <w:bodyDiv w:val="1"/>
      <w:marLeft w:val="0"/>
      <w:marRight w:val="0"/>
      <w:marTop w:val="0"/>
      <w:marBottom w:val="0"/>
      <w:divBdr>
        <w:top w:val="none" w:sz="0" w:space="0" w:color="auto"/>
        <w:left w:val="none" w:sz="0" w:space="0" w:color="auto"/>
        <w:bottom w:val="none" w:sz="0" w:space="0" w:color="auto"/>
        <w:right w:val="none" w:sz="0" w:space="0" w:color="auto"/>
      </w:divBdr>
    </w:div>
    <w:div w:id="332883558">
      <w:bodyDiv w:val="1"/>
      <w:marLeft w:val="0"/>
      <w:marRight w:val="0"/>
      <w:marTop w:val="0"/>
      <w:marBottom w:val="0"/>
      <w:divBdr>
        <w:top w:val="none" w:sz="0" w:space="0" w:color="auto"/>
        <w:left w:val="none" w:sz="0" w:space="0" w:color="auto"/>
        <w:bottom w:val="none" w:sz="0" w:space="0" w:color="auto"/>
        <w:right w:val="none" w:sz="0" w:space="0" w:color="auto"/>
      </w:divBdr>
    </w:div>
    <w:div w:id="334381436">
      <w:bodyDiv w:val="1"/>
      <w:marLeft w:val="0"/>
      <w:marRight w:val="0"/>
      <w:marTop w:val="0"/>
      <w:marBottom w:val="0"/>
      <w:divBdr>
        <w:top w:val="none" w:sz="0" w:space="0" w:color="auto"/>
        <w:left w:val="none" w:sz="0" w:space="0" w:color="auto"/>
        <w:bottom w:val="none" w:sz="0" w:space="0" w:color="auto"/>
        <w:right w:val="none" w:sz="0" w:space="0" w:color="auto"/>
      </w:divBdr>
    </w:div>
    <w:div w:id="394016214">
      <w:bodyDiv w:val="1"/>
      <w:marLeft w:val="0"/>
      <w:marRight w:val="0"/>
      <w:marTop w:val="0"/>
      <w:marBottom w:val="0"/>
      <w:divBdr>
        <w:top w:val="none" w:sz="0" w:space="0" w:color="auto"/>
        <w:left w:val="none" w:sz="0" w:space="0" w:color="auto"/>
        <w:bottom w:val="none" w:sz="0" w:space="0" w:color="auto"/>
        <w:right w:val="none" w:sz="0" w:space="0" w:color="auto"/>
      </w:divBdr>
    </w:div>
    <w:div w:id="401952438">
      <w:bodyDiv w:val="1"/>
      <w:marLeft w:val="0"/>
      <w:marRight w:val="0"/>
      <w:marTop w:val="0"/>
      <w:marBottom w:val="0"/>
      <w:divBdr>
        <w:top w:val="none" w:sz="0" w:space="0" w:color="auto"/>
        <w:left w:val="none" w:sz="0" w:space="0" w:color="auto"/>
        <w:bottom w:val="none" w:sz="0" w:space="0" w:color="auto"/>
        <w:right w:val="none" w:sz="0" w:space="0" w:color="auto"/>
      </w:divBdr>
    </w:div>
    <w:div w:id="429349780">
      <w:bodyDiv w:val="1"/>
      <w:marLeft w:val="0"/>
      <w:marRight w:val="0"/>
      <w:marTop w:val="0"/>
      <w:marBottom w:val="0"/>
      <w:divBdr>
        <w:top w:val="none" w:sz="0" w:space="0" w:color="auto"/>
        <w:left w:val="none" w:sz="0" w:space="0" w:color="auto"/>
        <w:bottom w:val="none" w:sz="0" w:space="0" w:color="auto"/>
        <w:right w:val="none" w:sz="0" w:space="0" w:color="auto"/>
      </w:divBdr>
    </w:div>
    <w:div w:id="438108627">
      <w:bodyDiv w:val="1"/>
      <w:marLeft w:val="0"/>
      <w:marRight w:val="0"/>
      <w:marTop w:val="0"/>
      <w:marBottom w:val="0"/>
      <w:divBdr>
        <w:top w:val="none" w:sz="0" w:space="0" w:color="auto"/>
        <w:left w:val="none" w:sz="0" w:space="0" w:color="auto"/>
        <w:bottom w:val="none" w:sz="0" w:space="0" w:color="auto"/>
        <w:right w:val="none" w:sz="0" w:space="0" w:color="auto"/>
      </w:divBdr>
    </w:div>
    <w:div w:id="475142709">
      <w:bodyDiv w:val="1"/>
      <w:marLeft w:val="0"/>
      <w:marRight w:val="0"/>
      <w:marTop w:val="0"/>
      <w:marBottom w:val="0"/>
      <w:divBdr>
        <w:top w:val="none" w:sz="0" w:space="0" w:color="auto"/>
        <w:left w:val="none" w:sz="0" w:space="0" w:color="auto"/>
        <w:bottom w:val="none" w:sz="0" w:space="0" w:color="auto"/>
        <w:right w:val="none" w:sz="0" w:space="0" w:color="auto"/>
      </w:divBdr>
    </w:div>
    <w:div w:id="493880581">
      <w:bodyDiv w:val="1"/>
      <w:marLeft w:val="0"/>
      <w:marRight w:val="0"/>
      <w:marTop w:val="0"/>
      <w:marBottom w:val="0"/>
      <w:divBdr>
        <w:top w:val="none" w:sz="0" w:space="0" w:color="auto"/>
        <w:left w:val="none" w:sz="0" w:space="0" w:color="auto"/>
        <w:bottom w:val="none" w:sz="0" w:space="0" w:color="auto"/>
        <w:right w:val="none" w:sz="0" w:space="0" w:color="auto"/>
      </w:divBdr>
    </w:div>
    <w:div w:id="503400291">
      <w:bodyDiv w:val="1"/>
      <w:marLeft w:val="0"/>
      <w:marRight w:val="0"/>
      <w:marTop w:val="0"/>
      <w:marBottom w:val="0"/>
      <w:divBdr>
        <w:top w:val="none" w:sz="0" w:space="0" w:color="auto"/>
        <w:left w:val="none" w:sz="0" w:space="0" w:color="auto"/>
        <w:bottom w:val="none" w:sz="0" w:space="0" w:color="auto"/>
        <w:right w:val="none" w:sz="0" w:space="0" w:color="auto"/>
      </w:divBdr>
    </w:div>
    <w:div w:id="517349265">
      <w:bodyDiv w:val="1"/>
      <w:marLeft w:val="0"/>
      <w:marRight w:val="0"/>
      <w:marTop w:val="0"/>
      <w:marBottom w:val="0"/>
      <w:divBdr>
        <w:top w:val="none" w:sz="0" w:space="0" w:color="auto"/>
        <w:left w:val="none" w:sz="0" w:space="0" w:color="auto"/>
        <w:bottom w:val="none" w:sz="0" w:space="0" w:color="auto"/>
        <w:right w:val="none" w:sz="0" w:space="0" w:color="auto"/>
      </w:divBdr>
    </w:div>
    <w:div w:id="532886554">
      <w:bodyDiv w:val="1"/>
      <w:marLeft w:val="0"/>
      <w:marRight w:val="0"/>
      <w:marTop w:val="0"/>
      <w:marBottom w:val="0"/>
      <w:divBdr>
        <w:top w:val="none" w:sz="0" w:space="0" w:color="auto"/>
        <w:left w:val="none" w:sz="0" w:space="0" w:color="auto"/>
        <w:bottom w:val="none" w:sz="0" w:space="0" w:color="auto"/>
        <w:right w:val="none" w:sz="0" w:space="0" w:color="auto"/>
      </w:divBdr>
    </w:div>
    <w:div w:id="542134243">
      <w:bodyDiv w:val="1"/>
      <w:marLeft w:val="0"/>
      <w:marRight w:val="0"/>
      <w:marTop w:val="0"/>
      <w:marBottom w:val="0"/>
      <w:divBdr>
        <w:top w:val="none" w:sz="0" w:space="0" w:color="auto"/>
        <w:left w:val="none" w:sz="0" w:space="0" w:color="auto"/>
        <w:bottom w:val="none" w:sz="0" w:space="0" w:color="auto"/>
        <w:right w:val="none" w:sz="0" w:space="0" w:color="auto"/>
      </w:divBdr>
    </w:div>
    <w:div w:id="547302455">
      <w:bodyDiv w:val="1"/>
      <w:marLeft w:val="0"/>
      <w:marRight w:val="0"/>
      <w:marTop w:val="0"/>
      <w:marBottom w:val="0"/>
      <w:divBdr>
        <w:top w:val="none" w:sz="0" w:space="0" w:color="auto"/>
        <w:left w:val="none" w:sz="0" w:space="0" w:color="auto"/>
        <w:bottom w:val="none" w:sz="0" w:space="0" w:color="auto"/>
        <w:right w:val="none" w:sz="0" w:space="0" w:color="auto"/>
      </w:divBdr>
    </w:div>
    <w:div w:id="556471552">
      <w:bodyDiv w:val="1"/>
      <w:marLeft w:val="0"/>
      <w:marRight w:val="0"/>
      <w:marTop w:val="0"/>
      <w:marBottom w:val="0"/>
      <w:divBdr>
        <w:top w:val="none" w:sz="0" w:space="0" w:color="auto"/>
        <w:left w:val="none" w:sz="0" w:space="0" w:color="auto"/>
        <w:bottom w:val="none" w:sz="0" w:space="0" w:color="auto"/>
        <w:right w:val="none" w:sz="0" w:space="0" w:color="auto"/>
      </w:divBdr>
    </w:div>
    <w:div w:id="560362794">
      <w:bodyDiv w:val="1"/>
      <w:marLeft w:val="0"/>
      <w:marRight w:val="0"/>
      <w:marTop w:val="0"/>
      <w:marBottom w:val="0"/>
      <w:divBdr>
        <w:top w:val="none" w:sz="0" w:space="0" w:color="auto"/>
        <w:left w:val="none" w:sz="0" w:space="0" w:color="auto"/>
        <w:bottom w:val="none" w:sz="0" w:space="0" w:color="auto"/>
        <w:right w:val="none" w:sz="0" w:space="0" w:color="auto"/>
      </w:divBdr>
    </w:div>
    <w:div w:id="604772222">
      <w:bodyDiv w:val="1"/>
      <w:marLeft w:val="0"/>
      <w:marRight w:val="0"/>
      <w:marTop w:val="0"/>
      <w:marBottom w:val="0"/>
      <w:divBdr>
        <w:top w:val="none" w:sz="0" w:space="0" w:color="auto"/>
        <w:left w:val="none" w:sz="0" w:space="0" w:color="auto"/>
        <w:bottom w:val="none" w:sz="0" w:space="0" w:color="auto"/>
        <w:right w:val="none" w:sz="0" w:space="0" w:color="auto"/>
      </w:divBdr>
    </w:div>
    <w:div w:id="608972094">
      <w:bodyDiv w:val="1"/>
      <w:marLeft w:val="0"/>
      <w:marRight w:val="0"/>
      <w:marTop w:val="0"/>
      <w:marBottom w:val="0"/>
      <w:divBdr>
        <w:top w:val="none" w:sz="0" w:space="0" w:color="auto"/>
        <w:left w:val="none" w:sz="0" w:space="0" w:color="auto"/>
        <w:bottom w:val="none" w:sz="0" w:space="0" w:color="auto"/>
        <w:right w:val="none" w:sz="0" w:space="0" w:color="auto"/>
      </w:divBdr>
    </w:div>
    <w:div w:id="639185958">
      <w:bodyDiv w:val="1"/>
      <w:marLeft w:val="0"/>
      <w:marRight w:val="0"/>
      <w:marTop w:val="0"/>
      <w:marBottom w:val="0"/>
      <w:divBdr>
        <w:top w:val="none" w:sz="0" w:space="0" w:color="auto"/>
        <w:left w:val="none" w:sz="0" w:space="0" w:color="auto"/>
        <w:bottom w:val="none" w:sz="0" w:space="0" w:color="auto"/>
        <w:right w:val="none" w:sz="0" w:space="0" w:color="auto"/>
      </w:divBdr>
    </w:div>
    <w:div w:id="648439354">
      <w:bodyDiv w:val="1"/>
      <w:marLeft w:val="0"/>
      <w:marRight w:val="0"/>
      <w:marTop w:val="0"/>
      <w:marBottom w:val="0"/>
      <w:divBdr>
        <w:top w:val="none" w:sz="0" w:space="0" w:color="auto"/>
        <w:left w:val="none" w:sz="0" w:space="0" w:color="auto"/>
        <w:bottom w:val="none" w:sz="0" w:space="0" w:color="auto"/>
        <w:right w:val="none" w:sz="0" w:space="0" w:color="auto"/>
      </w:divBdr>
    </w:div>
    <w:div w:id="648704940">
      <w:bodyDiv w:val="1"/>
      <w:marLeft w:val="0"/>
      <w:marRight w:val="0"/>
      <w:marTop w:val="0"/>
      <w:marBottom w:val="0"/>
      <w:divBdr>
        <w:top w:val="none" w:sz="0" w:space="0" w:color="auto"/>
        <w:left w:val="none" w:sz="0" w:space="0" w:color="auto"/>
        <w:bottom w:val="none" w:sz="0" w:space="0" w:color="auto"/>
        <w:right w:val="none" w:sz="0" w:space="0" w:color="auto"/>
      </w:divBdr>
    </w:div>
    <w:div w:id="668290806">
      <w:bodyDiv w:val="1"/>
      <w:marLeft w:val="0"/>
      <w:marRight w:val="0"/>
      <w:marTop w:val="0"/>
      <w:marBottom w:val="0"/>
      <w:divBdr>
        <w:top w:val="none" w:sz="0" w:space="0" w:color="auto"/>
        <w:left w:val="none" w:sz="0" w:space="0" w:color="auto"/>
        <w:bottom w:val="none" w:sz="0" w:space="0" w:color="auto"/>
        <w:right w:val="none" w:sz="0" w:space="0" w:color="auto"/>
      </w:divBdr>
    </w:div>
    <w:div w:id="687874412">
      <w:bodyDiv w:val="1"/>
      <w:marLeft w:val="0"/>
      <w:marRight w:val="0"/>
      <w:marTop w:val="0"/>
      <w:marBottom w:val="0"/>
      <w:divBdr>
        <w:top w:val="none" w:sz="0" w:space="0" w:color="auto"/>
        <w:left w:val="none" w:sz="0" w:space="0" w:color="auto"/>
        <w:bottom w:val="none" w:sz="0" w:space="0" w:color="auto"/>
        <w:right w:val="none" w:sz="0" w:space="0" w:color="auto"/>
      </w:divBdr>
    </w:div>
    <w:div w:id="692076184">
      <w:bodyDiv w:val="1"/>
      <w:marLeft w:val="0"/>
      <w:marRight w:val="0"/>
      <w:marTop w:val="0"/>
      <w:marBottom w:val="0"/>
      <w:divBdr>
        <w:top w:val="none" w:sz="0" w:space="0" w:color="auto"/>
        <w:left w:val="none" w:sz="0" w:space="0" w:color="auto"/>
        <w:bottom w:val="none" w:sz="0" w:space="0" w:color="auto"/>
        <w:right w:val="none" w:sz="0" w:space="0" w:color="auto"/>
      </w:divBdr>
    </w:div>
    <w:div w:id="742408600">
      <w:bodyDiv w:val="1"/>
      <w:marLeft w:val="0"/>
      <w:marRight w:val="0"/>
      <w:marTop w:val="0"/>
      <w:marBottom w:val="0"/>
      <w:divBdr>
        <w:top w:val="none" w:sz="0" w:space="0" w:color="auto"/>
        <w:left w:val="none" w:sz="0" w:space="0" w:color="auto"/>
        <w:bottom w:val="none" w:sz="0" w:space="0" w:color="auto"/>
        <w:right w:val="none" w:sz="0" w:space="0" w:color="auto"/>
      </w:divBdr>
    </w:div>
    <w:div w:id="757022644">
      <w:bodyDiv w:val="1"/>
      <w:marLeft w:val="0"/>
      <w:marRight w:val="0"/>
      <w:marTop w:val="0"/>
      <w:marBottom w:val="0"/>
      <w:divBdr>
        <w:top w:val="none" w:sz="0" w:space="0" w:color="auto"/>
        <w:left w:val="none" w:sz="0" w:space="0" w:color="auto"/>
        <w:bottom w:val="none" w:sz="0" w:space="0" w:color="auto"/>
        <w:right w:val="none" w:sz="0" w:space="0" w:color="auto"/>
      </w:divBdr>
    </w:div>
    <w:div w:id="776874583">
      <w:bodyDiv w:val="1"/>
      <w:marLeft w:val="0"/>
      <w:marRight w:val="0"/>
      <w:marTop w:val="0"/>
      <w:marBottom w:val="0"/>
      <w:divBdr>
        <w:top w:val="none" w:sz="0" w:space="0" w:color="auto"/>
        <w:left w:val="none" w:sz="0" w:space="0" w:color="auto"/>
        <w:bottom w:val="none" w:sz="0" w:space="0" w:color="auto"/>
        <w:right w:val="none" w:sz="0" w:space="0" w:color="auto"/>
      </w:divBdr>
    </w:div>
    <w:div w:id="785344875">
      <w:bodyDiv w:val="1"/>
      <w:marLeft w:val="0"/>
      <w:marRight w:val="0"/>
      <w:marTop w:val="0"/>
      <w:marBottom w:val="0"/>
      <w:divBdr>
        <w:top w:val="none" w:sz="0" w:space="0" w:color="auto"/>
        <w:left w:val="none" w:sz="0" w:space="0" w:color="auto"/>
        <w:bottom w:val="none" w:sz="0" w:space="0" w:color="auto"/>
        <w:right w:val="none" w:sz="0" w:space="0" w:color="auto"/>
      </w:divBdr>
    </w:div>
    <w:div w:id="793406654">
      <w:bodyDiv w:val="1"/>
      <w:marLeft w:val="0"/>
      <w:marRight w:val="0"/>
      <w:marTop w:val="0"/>
      <w:marBottom w:val="0"/>
      <w:divBdr>
        <w:top w:val="none" w:sz="0" w:space="0" w:color="auto"/>
        <w:left w:val="none" w:sz="0" w:space="0" w:color="auto"/>
        <w:bottom w:val="none" w:sz="0" w:space="0" w:color="auto"/>
        <w:right w:val="none" w:sz="0" w:space="0" w:color="auto"/>
      </w:divBdr>
    </w:div>
    <w:div w:id="799106498">
      <w:bodyDiv w:val="1"/>
      <w:marLeft w:val="0"/>
      <w:marRight w:val="0"/>
      <w:marTop w:val="0"/>
      <w:marBottom w:val="0"/>
      <w:divBdr>
        <w:top w:val="none" w:sz="0" w:space="0" w:color="auto"/>
        <w:left w:val="none" w:sz="0" w:space="0" w:color="auto"/>
        <w:bottom w:val="none" w:sz="0" w:space="0" w:color="auto"/>
        <w:right w:val="none" w:sz="0" w:space="0" w:color="auto"/>
      </w:divBdr>
    </w:div>
    <w:div w:id="800391747">
      <w:bodyDiv w:val="1"/>
      <w:marLeft w:val="0"/>
      <w:marRight w:val="0"/>
      <w:marTop w:val="0"/>
      <w:marBottom w:val="0"/>
      <w:divBdr>
        <w:top w:val="none" w:sz="0" w:space="0" w:color="auto"/>
        <w:left w:val="none" w:sz="0" w:space="0" w:color="auto"/>
        <w:bottom w:val="none" w:sz="0" w:space="0" w:color="auto"/>
        <w:right w:val="none" w:sz="0" w:space="0" w:color="auto"/>
      </w:divBdr>
    </w:div>
    <w:div w:id="841165269">
      <w:bodyDiv w:val="1"/>
      <w:marLeft w:val="0"/>
      <w:marRight w:val="0"/>
      <w:marTop w:val="0"/>
      <w:marBottom w:val="0"/>
      <w:divBdr>
        <w:top w:val="none" w:sz="0" w:space="0" w:color="auto"/>
        <w:left w:val="none" w:sz="0" w:space="0" w:color="auto"/>
        <w:bottom w:val="none" w:sz="0" w:space="0" w:color="auto"/>
        <w:right w:val="none" w:sz="0" w:space="0" w:color="auto"/>
      </w:divBdr>
      <w:divsChild>
        <w:div w:id="3898688">
          <w:marLeft w:val="0"/>
          <w:marRight w:val="0"/>
          <w:marTop w:val="0"/>
          <w:marBottom w:val="0"/>
          <w:divBdr>
            <w:top w:val="none" w:sz="0" w:space="0" w:color="auto"/>
            <w:left w:val="none" w:sz="0" w:space="0" w:color="auto"/>
            <w:bottom w:val="none" w:sz="0" w:space="0" w:color="auto"/>
            <w:right w:val="none" w:sz="0" w:space="0" w:color="auto"/>
          </w:divBdr>
          <w:divsChild>
            <w:div w:id="1581137194">
              <w:marLeft w:val="0"/>
              <w:marRight w:val="0"/>
              <w:marTop w:val="0"/>
              <w:marBottom w:val="0"/>
              <w:divBdr>
                <w:top w:val="none" w:sz="0" w:space="0" w:color="auto"/>
                <w:left w:val="none" w:sz="0" w:space="0" w:color="auto"/>
                <w:bottom w:val="none" w:sz="0" w:space="0" w:color="auto"/>
                <w:right w:val="none" w:sz="0" w:space="0" w:color="auto"/>
              </w:divBdr>
              <w:divsChild>
                <w:div w:id="662663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5002719">
      <w:bodyDiv w:val="1"/>
      <w:marLeft w:val="0"/>
      <w:marRight w:val="0"/>
      <w:marTop w:val="0"/>
      <w:marBottom w:val="0"/>
      <w:divBdr>
        <w:top w:val="none" w:sz="0" w:space="0" w:color="auto"/>
        <w:left w:val="none" w:sz="0" w:space="0" w:color="auto"/>
        <w:bottom w:val="none" w:sz="0" w:space="0" w:color="auto"/>
        <w:right w:val="none" w:sz="0" w:space="0" w:color="auto"/>
      </w:divBdr>
    </w:div>
    <w:div w:id="859707072">
      <w:bodyDiv w:val="1"/>
      <w:marLeft w:val="0"/>
      <w:marRight w:val="0"/>
      <w:marTop w:val="0"/>
      <w:marBottom w:val="0"/>
      <w:divBdr>
        <w:top w:val="none" w:sz="0" w:space="0" w:color="auto"/>
        <w:left w:val="none" w:sz="0" w:space="0" w:color="auto"/>
        <w:bottom w:val="none" w:sz="0" w:space="0" w:color="auto"/>
        <w:right w:val="none" w:sz="0" w:space="0" w:color="auto"/>
      </w:divBdr>
    </w:div>
    <w:div w:id="861433345">
      <w:bodyDiv w:val="1"/>
      <w:marLeft w:val="0"/>
      <w:marRight w:val="0"/>
      <w:marTop w:val="0"/>
      <w:marBottom w:val="0"/>
      <w:divBdr>
        <w:top w:val="none" w:sz="0" w:space="0" w:color="auto"/>
        <w:left w:val="none" w:sz="0" w:space="0" w:color="auto"/>
        <w:bottom w:val="none" w:sz="0" w:space="0" w:color="auto"/>
        <w:right w:val="none" w:sz="0" w:space="0" w:color="auto"/>
      </w:divBdr>
    </w:div>
    <w:div w:id="877401286">
      <w:bodyDiv w:val="1"/>
      <w:marLeft w:val="0"/>
      <w:marRight w:val="0"/>
      <w:marTop w:val="0"/>
      <w:marBottom w:val="0"/>
      <w:divBdr>
        <w:top w:val="none" w:sz="0" w:space="0" w:color="auto"/>
        <w:left w:val="none" w:sz="0" w:space="0" w:color="auto"/>
        <w:bottom w:val="none" w:sz="0" w:space="0" w:color="auto"/>
        <w:right w:val="none" w:sz="0" w:space="0" w:color="auto"/>
      </w:divBdr>
    </w:div>
    <w:div w:id="878317756">
      <w:bodyDiv w:val="1"/>
      <w:marLeft w:val="0"/>
      <w:marRight w:val="0"/>
      <w:marTop w:val="0"/>
      <w:marBottom w:val="0"/>
      <w:divBdr>
        <w:top w:val="none" w:sz="0" w:space="0" w:color="auto"/>
        <w:left w:val="none" w:sz="0" w:space="0" w:color="auto"/>
        <w:bottom w:val="none" w:sz="0" w:space="0" w:color="auto"/>
        <w:right w:val="none" w:sz="0" w:space="0" w:color="auto"/>
      </w:divBdr>
    </w:div>
    <w:div w:id="896404205">
      <w:bodyDiv w:val="1"/>
      <w:marLeft w:val="0"/>
      <w:marRight w:val="0"/>
      <w:marTop w:val="0"/>
      <w:marBottom w:val="0"/>
      <w:divBdr>
        <w:top w:val="none" w:sz="0" w:space="0" w:color="auto"/>
        <w:left w:val="none" w:sz="0" w:space="0" w:color="auto"/>
        <w:bottom w:val="none" w:sz="0" w:space="0" w:color="auto"/>
        <w:right w:val="none" w:sz="0" w:space="0" w:color="auto"/>
      </w:divBdr>
    </w:div>
    <w:div w:id="929587180">
      <w:bodyDiv w:val="1"/>
      <w:marLeft w:val="0"/>
      <w:marRight w:val="0"/>
      <w:marTop w:val="0"/>
      <w:marBottom w:val="0"/>
      <w:divBdr>
        <w:top w:val="none" w:sz="0" w:space="0" w:color="auto"/>
        <w:left w:val="none" w:sz="0" w:space="0" w:color="auto"/>
        <w:bottom w:val="none" w:sz="0" w:space="0" w:color="auto"/>
        <w:right w:val="none" w:sz="0" w:space="0" w:color="auto"/>
      </w:divBdr>
    </w:div>
    <w:div w:id="929704727">
      <w:bodyDiv w:val="1"/>
      <w:marLeft w:val="0"/>
      <w:marRight w:val="0"/>
      <w:marTop w:val="0"/>
      <w:marBottom w:val="0"/>
      <w:divBdr>
        <w:top w:val="none" w:sz="0" w:space="0" w:color="auto"/>
        <w:left w:val="none" w:sz="0" w:space="0" w:color="auto"/>
        <w:bottom w:val="none" w:sz="0" w:space="0" w:color="auto"/>
        <w:right w:val="none" w:sz="0" w:space="0" w:color="auto"/>
      </w:divBdr>
    </w:div>
    <w:div w:id="957687250">
      <w:bodyDiv w:val="1"/>
      <w:marLeft w:val="0"/>
      <w:marRight w:val="0"/>
      <w:marTop w:val="0"/>
      <w:marBottom w:val="0"/>
      <w:divBdr>
        <w:top w:val="none" w:sz="0" w:space="0" w:color="auto"/>
        <w:left w:val="none" w:sz="0" w:space="0" w:color="auto"/>
        <w:bottom w:val="none" w:sz="0" w:space="0" w:color="auto"/>
        <w:right w:val="none" w:sz="0" w:space="0" w:color="auto"/>
      </w:divBdr>
    </w:div>
    <w:div w:id="959072436">
      <w:bodyDiv w:val="1"/>
      <w:marLeft w:val="0"/>
      <w:marRight w:val="0"/>
      <w:marTop w:val="0"/>
      <w:marBottom w:val="0"/>
      <w:divBdr>
        <w:top w:val="none" w:sz="0" w:space="0" w:color="auto"/>
        <w:left w:val="none" w:sz="0" w:space="0" w:color="auto"/>
        <w:bottom w:val="none" w:sz="0" w:space="0" w:color="auto"/>
        <w:right w:val="none" w:sz="0" w:space="0" w:color="auto"/>
      </w:divBdr>
    </w:div>
    <w:div w:id="959262966">
      <w:bodyDiv w:val="1"/>
      <w:marLeft w:val="0"/>
      <w:marRight w:val="0"/>
      <w:marTop w:val="0"/>
      <w:marBottom w:val="0"/>
      <w:divBdr>
        <w:top w:val="none" w:sz="0" w:space="0" w:color="auto"/>
        <w:left w:val="none" w:sz="0" w:space="0" w:color="auto"/>
        <w:bottom w:val="none" w:sz="0" w:space="0" w:color="auto"/>
        <w:right w:val="none" w:sz="0" w:space="0" w:color="auto"/>
      </w:divBdr>
    </w:div>
    <w:div w:id="963920969">
      <w:bodyDiv w:val="1"/>
      <w:marLeft w:val="0"/>
      <w:marRight w:val="0"/>
      <w:marTop w:val="0"/>
      <w:marBottom w:val="0"/>
      <w:divBdr>
        <w:top w:val="none" w:sz="0" w:space="0" w:color="auto"/>
        <w:left w:val="none" w:sz="0" w:space="0" w:color="auto"/>
        <w:bottom w:val="none" w:sz="0" w:space="0" w:color="auto"/>
        <w:right w:val="none" w:sz="0" w:space="0" w:color="auto"/>
      </w:divBdr>
    </w:div>
    <w:div w:id="981151220">
      <w:bodyDiv w:val="1"/>
      <w:marLeft w:val="0"/>
      <w:marRight w:val="0"/>
      <w:marTop w:val="0"/>
      <w:marBottom w:val="0"/>
      <w:divBdr>
        <w:top w:val="none" w:sz="0" w:space="0" w:color="auto"/>
        <w:left w:val="none" w:sz="0" w:space="0" w:color="auto"/>
        <w:bottom w:val="none" w:sz="0" w:space="0" w:color="auto"/>
        <w:right w:val="none" w:sz="0" w:space="0" w:color="auto"/>
      </w:divBdr>
    </w:div>
    <w:div w:id="990062349">
      <w:bodyDiv w:val="1"/>
      <w:marLeft w:val="0"/>
      <w:marRight w:val="0"/>
      <w:marTop w:val="0"/>
      <w:marBottom w:val="0"/>
      <w:divBdr>
        <w:top w:val="none" w:sz="0" w:space="0" w:color="auto"/>
        <w:left w:val="none" w:sz="0" w:space="0" w:color="auto"/>
        <w:bottom w:val="none" w:sz="0" w:space="0" w:color="auto"/>
        <w:right w:val="none" w:sz="0" w:space="0" w:color="auto"/>
      </w:divBdr>
    </w:div>
    <w:div w:id="990865973">
      <w:bodyDiv w:val="1"/>
      <w:marLeft w:val="0"/>
      <w:marRight w:val="0"/>
      <w:marTop w:val="0"/>
      <w:marBottom w:val="0"/>
      <w:divBdr>
        <w:top w:val="none" w:sz="0" w:space="0" w:color="auto"/>
        <w:left w:val="none" w:sz="0" w:space="0" w:color="auto"/>
        <w:bottom w:val="none" w:sz="0" w:space="0" w:color="auto"/>
        <w:right w:val="none" w:sz="0" w:space="0" w:color="auto"/>
      </w:divBdr>
    </w:div>
    <w:div w:id="992878563">
      <w:bodyDiv w:val="1"/>
      <w:marLeft w:val="0"/>
      <w:marRight w:val="0"/>
      <w:marTop w:val="0"/>
      <w:marBottom w:val="0"/>
      <w:divBdr>
        <w:top w:val="none" w:sz="0" w:space="0" w:color="auto"/>
        <w:left w:val="none" w:sz="0" w:space="0" w:color="auto"/>
        <w:bottom w:val="none" w:sz="0" w:space="0" w:color="auto"/>
        <w:right w:val="none" w:sz="0" w:space="0" w:color="auto"/>
      </w:divBdr>
    </w:div>
    <w:div w:id="1004475078">
      <w:bodyDiv w:val="1"/>
      <w:marLeft w:val="0"/>
      <w:marRight w:val="0"/>
      <w:marTop w:val="0"/>
      <w:marBottom w:val="0"/>
      <w:divBdr>
        <w:top w:val="none" w:sz="0" w:space="0" w:color="auto"/>
        <w:left w:val="none" w:sz="0" w:space="0" w:color="auto"/>
        <w:bottom w:val="none" w:sz="0" w:space="0" w:color="auto"/>
        <w:right w:val="none" w:sz="0" w:space="0" w:color="auto"/>
      </w:divBdr>
    </w:div>
    <w:div w:id="1019313180">
      <w:bodyDiv w:val="1"/>
      <w:marLeft w:val="0"/>
      <w:marRight w:val="0"/>
      <w:marTop w:val="0"/>
      <w:marBottom w:val="0"/>
      <w:divBdr>
        <w:top w:val="none" w:sz="0" w:space="0" w:color="auto"/>
        <w:left w:val="none" w:sz="0" w:space="0" w:color="auto"/>
        <w:bottom w:val="none" w:sz="0" w:space="0" w:color="auto"/>
        <w:right w:val="none" w:sz="0" w:space="0" w:color="auto"/>
      </w:divBdr>
    </w:div>
    <w:div w:id="1031296527">
      <w:bodyDiv w:val="1"/>
      <w:marLeft w:val="0"/>
      <w:marRight w:val="0"/>
      <w:marTop w:val="0"/>
      <w:marBottom w:val="0"/>
      <w:divBdr>
        <w:top w:val="none" w:sz="0" w:space="0" w:color="auto"/>
        <w:left w:val="none" w:sz="0" w:space="0" w:color="auto"/>
        <w:bottom w:val="none" w:sz="0" w:space="0" w:color="auto"/>
        <w:right w:val="none" w:sz="0" w:space="0" w:color="auto"/>
      </w:divBdr>
    </w:div>
    <w:div w:id="1035272423">
      <w:bodyDiv w:val="1"/>
      <w:marLeft w:val="0"/>
      <w:marRight w:val="0"/>
      <w:marTop w:val="0"/>
      <w:marBottom w:val="0"/>
      <w:divBdr>
        <w:top w:val="none" w:sz="0" w:space="0" w:color="auto"/>
        <w:left w:val="none" w:sz="0" w:space="0" w:color="auto"/>
        <w:bottom w:val="none" w:sz="0" w:space="0" w:color="auto"/>
        <w:right w:val="none" w:sz="0" w:space="0" w:color="auto"/>
      </w:divBdr>
    </w:div>
    <w:div w:id="1053231690">
      <w:bodyDiv w:val="1"/>
      <w:marLeft w:val="0"/>
      <w:marRight w:val="0"/>
      <w:marTop w:val="0"/>
      <w:marBottom w:val="0"/>
      <w:divBdr>
        <w:top w:val="none" w:sz="0" w:space="0" w:color="auto"/>
        <w:left w:val="none" w:sz="0" w:space="0" w:color="auto"/>
        <w:bottom w:val="none" w:sz="0" w:space="0" w:color="auto"/>
        <w:right w:val="none" w:sz="0" w:space="0" w:color="auto"/>
      </w:divBdr>
    </w:div>
    <w:div w:id="1101536367">
      <w:bodyDiv w:val="1"/>
      <w:marLeft w:val="0"/>
      <w:marRight w:val="0"/>
      <w:marTop w:val="0"/>
      <w:marBottom w:val="0"/>
      <w:divBdr>
        <w:top w:val="none" w:sz="0" w:space="0" w:color="auto"/>
        <w:left w:val="none" w:sz="0" w:space="0" w:color="auto"/>
        <w:bottom w:val="none" w:sz="0" w:space="0" w:color="auto"/>
        <w:right w:val="none" w:sz="0" w:space="0" w:color="auto"/>
      </w:divBdr>
    </w:div>
    <w:div w:id="1106923932">
      <w:bodyDiv w:val="1"/>
      <w:marLeft w:val="0"/>
      <w:marRight w:val="0"/>
      <w:marTop w:val="0"/>
      <w:marBottom w:val="0"/>
      <w:divBdr>
        <w:top w:val="none" w:sz="0" w:space="0" w:color="auto"/>
        <w:left w:val="none" w:sz="0" w:space="0" w:color="auto"/>
        <w:bottom w:val="none" w:sz="0" w:space="0" w:color="auto"/>
        <w:right w:val="none" w:sz="0" w:space="0" w:color="auto"/>
      </w:divBdr>
    </w:div>
    <w:div w:id="1114983967">
      <w:bodyDiv w:val="1"/>
      <w:marLeft w:val="0"/>
      <w:marRight w:val="0"/>
      <w:marTop w:val="0"/>
      <w:marBottom w:val="0"/>
      <w:divBdr>
        <w:top w:val="none" w:sz="0" w:space="0" w:color="auto"/>
        <w:left w:val="none" w:sz="0" w:space="0" w:color="auto"/>
        <w:bottom w:val="none" w:sz="0" w:space="0" w:color="auto"/>
        <w:right w:val="none" w:sz="0" w:space="0" w:color="auto"/>
      </w:divBdr>
    </w:div>
    <w:div w:id="1125851734">
      <w:bodyDiv w:val="1"/>
      <w:marLeft w:val="0"/>
      <w:marRight w:val="0"/>
      <w:marTop w:val="0"/>
      <w:marBottom w:val="0"/>
      <w:divBdr>
        <w:top w:val="none" w:sz="0" w:space="0" w:color="auto"/>
        <w:left w:val="none" w:sz="0" w:space="0" w:color="auto"/>
        <w:bottom w:val="none" w:sz="0" w:space="0" w:color="auto"/>
        <w:right w:val="none" w:sz="0" w:space="0" w:color="auto"/>
      </w:divBdr>
    </w:div>
    <w:div w:id="1130589368">
      <w:bodyDiv w:val="1"/>
      <w:marLeft w:val="0"/>
      <w:marRight w:val="0"/>
      <w:marTop w:val="0"/>
      <w:marBottom w:val="0"/>
      <w:divBdr>
        <w:top w:val="none" w:sz="0" w:space="0" w:color="auto"/>
        <w:left w:val="none" w:sz="0" w:space="0" w:color="auto"/>
        <w:bottom w:val="none" w:sz="0" w:space="0" w:color="auto"/>
        <w:right w:val="none" w:sz="0" w:space="0" w:color="auto"/>
      </w:divBdr>
    </w:div>
    <w:div w:id="1134832244">
      <w:bodyDiv w:val="1"/>
      <w:marLeft w:val="0"/>
      <w:marRight w:val="0"/>
      <w:marTop w:val="0"/>
      <w:marBottom w:val="0"/>
      <w:divBdr>
        <w:top w:val="none" w:sz="0" w:space="0" w:color="auto"/>
        <w:left w:val="none" w:sz="0" w:space="0" w:color="auto"/>
        <w:bottom w:val="none" w:sz="0" w:space="0" w:color="auto"/>
        <w:right w:val="none" w:sz="0" w:space="0" w:color="auto"/>
      </w:divBdr>
    </w:div>
    <w:div w:id="1141844262">
      <w:bodyDiv w:val="1"/>
      <w:marLeft w:val="0"/>
      <w:marRight w:val="0"/>
      <w:marTop w:val="0"/>
      <w:marBottom w:val="0"/>
      <w:divBdr>
        <w:top w:val="none" w:sz="0" w:space="0" w:color="auto"/>
        <w:left w:val="none" w:sz="0" w:space="0" w:color="auto"/>
        <w:bottom w:val="none" w:sz="0" w:space="0" w:color="auto"/>
        <w:right w:val="none" w:sz="0" w:space="0" w:color="auto"/>
      </w:divBdr>
    </w:div>
    <w:div w:id="1143430289">
      <w:bodyDiv w:val="1"/>
      <w:marLeft w:val="0"/>
      <w:marRight w:val="0"/>
      <w:marTop w:val="0"/>
      <w:marBottom w:val="0"/>
      <w:divBdr>
        <w:top w:val="none" w:sz="0" w:space="0" w:color="auto"/>
        <w:left w:val="none" w:sz="0" w:space="0" w:color="auto"/>
        <w:bottom w:val="none" w:sz="0" w:space="0" w:color="auto"/>
        <w:right w:val="none" w:sz="0" w:space="0" w:color="auto"/>
      </w:divBdr>
    </w:div>
    <w:div w:id="1152453330">
      <w:bodyDiv w:val="1"/>
      <w:marLeft w:val="0"/>
      <w:marRight w:val="0"/>
      <w:marTop w:val="0"/>
      <w:marBottom w:val="0"/>
      <w:divBdr>
        <w:top w:val="none" w:sz="0" w:space="0" w:color="auto"/>
        <w:left w:val="none" w:sz="0" w:space="0" w:color="auto"/>
        <w:bottom w:val="none" w:sz="0" w:space="0" w:color="auto"/>
        <w:right w:val="none" w:sz="0" w:space="0" w:color="auto"/>
      </w:divBdr>
    </w:div>
    <w:div w:id="1158763358">
      <w:bodyDiv w:val="1"/>
      <w:marLeft w:val="0"/>
      <w:marRight w:val="0"/>
      <w:marTop w:val="0"/>
      <w:marBottom w:val="0"/>
      <w:divBdr>
        <w:top w:val="none" w:sz="0" w:space="0" w:color="auto"/>
        <w:left w:val="none" w:sz="0" w:space="0" w:color="auto"/>
        <w:bottom w:val="none" w:sz="0" w:space="0" w:color="auto"/>
        <w:right w:val="none" w:sz="0" w:space="0" w:color="auto"/>
      </w:divBdr>
    </w:div>
    <w:div w:id="1159267292">
      <w:bodyDiv w:val="1"/>
      <w:marLeft w:val="0"/>
      <w:marRight w:val="0"/>
      <w:marTop w:val="0"/>
      <w:marBottom w:val="0"/>
      <w:divBdr>
        <w:top w:val="none" w:sz="0" w:space="0" w:color="auto"/>
        <w:left w:val="none" w:sz="0" w:space="0" w:color="auto"/>
        <w:bottom w:val="none" w:sz="0" w:space="0" w:color="auto"/>
        <w:right w:val="none" w:sz="0" w:space="0" w:color="auto"/>
      </w:divBdr>
    </w:div>
    <w:div w:id="1168133247">
      <w:bodyDiv w:val="1"/>
      <w:marLeft w:val="0"/>
      <w:marRight w:val="0"/>
      <w:marTop w:val="0"/>
      <w:marBottom w:val="0"/>
      <w:divBdr>
        <w:top w:val="none" w:sz="0" w:space="0" w:color="auto"/>
        <w:left w:val="none" w:sz="0" w:space="0" w:color="auto"/>
        <w:bottom w:val="none" w:sz="0" w:space="0" w:color="auto"/>
        <w:right w:val="none" w:sz="0" w:space="0" w:color="auto"/>
      </w:divBdr>
    </w:div>
    <w:div w:id="1284380069">
      <w:bodyDiv w:val="1"/>
      <w:marLeft w:val="0"/>
      <w:marRight w:val="0"/>
      <w:marTop w:val="0"/>
      <w:marBottom w:val="0"/>
      <w:divBdr>
        <w:top w:val="none" w:sz="0" w:space="0" w:color="auto"/>
        <w:left w:val="none" w:sz="0" w:space="0" w:color="auto"/>
        <w:bottom w:val="none" w:sz="0" w:space="0" w:color="auto"/>
        <w:right w:val="none" w:sz="0" w:space="0" w:color="auto"/>
      </w:divBdr>
    </w:div>
    <w:div w:id="1295331521">
      <w:bodyDiv w:val="1"/>
      <w:marLeft w:val="0"/>
      <w:marRight w:val="0"/>
      <w:marTop w:val="0"/>
      <w:marBottom w:val="0"/>
      <w:divBdr>
        <w:top w:val="none" w:sz="0" w:space="0" w:color="auto"/>
        <w:left w:val="none" w:sz="0" w:space="0" w:color="auto"/>
        <w:bottom w:val="none" w:sz="0" w:space="0" w:color="auto"/>
        <w:right w:val="none" w:sz="0" w:space="0" w:color="auto"/>
      </w:divBdr>
    </w:div>
    <w:div w:id="1313290564">
      <w:bodyDiv w:val="1"/>
      <w:marLeft w:val="0"/>
      <w:marRight w:val="0"/>
      <w:marTop w:val="0"/>
      <w:marBottom w:val="0"/>
      <w:divBdr>
        <w:top w:val="none" w:sz="0" w:space="0" w:color="auto"/>
        <w:left w:val="none" w:sz="0" w:space="0" w:color="auto"/>
        <w:bottom w:val="none" w:sz="0" w:space="0" w:color="auto"/>
        <w:right w:val="none" w:sz="0" w:space="0" w:color="auto"/>
      </w:divBdr>
    </w:div>
    <w:div w:id="1316912500">
      <w:bodyDiv w:val="1"/>
      <w:marLeft w:val="0"/>
      <w:marRight w:val="0"/>
      <w:marTop w:val="0"/>
      <w:marBottom w:val="0"/>
      <w:divBdr>
        <w:top w:val="none" w:sz="0" w:space="0" w:color="auto"/>
        <w:left w:val="none" w:sz="0" w:space="0" w:color="auto"/>
        <w:bottom w:val="none" w:sz="0" w:space="0" w:color="auto"/>
        <w:right w:val="none" w:sz="0" w:space="0" w:color="auto"/>
      </w:divBdr>
    </w:div>
    <w:div w:id="1361511035">
      <w:bodyDiv w:val="1"/>
      <w:marLeft w:val="0"/>
      <w:marRight w:val="0"/>
      <w:marTop w:val="0"/>
      <w:marBottom w:val="0"/>
      <w:divBdr>
        <w:top w:val="none" w:sz="0" w:space="0" w:color="auto"/>
        <w:left w:val="none" w:sz="0" w:space="0" w:color="auto"/>
        <w:bottom w:val="none" w:sz="0" w:space="0" w:color="auto"/>
        <w:right w:val="none" w:sz="0" w:space="0" w:color="auto"/>
      </w:divBdr>
    </w:div>
    <w:div w:id="1367828558">
      <w:bodyDiv w:val="1"/>
      <w:marLeft w:val="0"/>
      <w:marRight w:val="0"/>
      <w:marTop w:val="0"/>
      <w:marBottom w:val="0"/>
      <w:divBdr>
        <w:top w:val="none" w:sz="0" w:space="0" w:color="auto"/>
        <w:left w:val="none" w:sz="0" w:space="0" w:color="auto"/>
        <w:bottom w:val="none" w:sz="0" w:space="0" w:color="auto"/>
        <w:right w:val="none" w:sz="0" w:space="0" w:color="auto"/>
      </w:divBdr>
    </w:div>
    <w:div w:id="1401753615">
      <w:bodyDiv w:val="1"/>
      <w:marLeft w:val="0"/>
      <w:marRight w:val="0"/>
      <w:marTop w:val="0"/>
      <w:marBottom w:val="0"/>
      <w:divBdr>
        <w:top w:val="none" w:sz="0" w:space="0" w:color="auto"/>
        <w:left w:val="none" w:sz="0" w:space="0" w:color="auto"/>
        <w:bottom w:val="none" w:sz="0" w:space="0" w:color="auto"/>
        <w:right w:val="none" w:sz="0" w:space="0" w:color="auto"/>
      </w:divBdr>
    </w:div>
    <w:div w:id="1411388010">
      <w:bodyDiv w:val="1"/>
      <w:marLeft w:val="0"/>
      <w:marRight w:val="0"/>
      <w:marTop w:val="0"/>
      <w:marBottom w:val="0"/>
      <w:divBdr>
        <w:top w:val="none" w:sz="0" w:space="0" w:color="auto"/>
        <w:left w:val="none" w:sz="0" w:space="0" w:color="auto"/>
        <w:bottom w:val="none" w:sz="0" w:space="0" w:color="auto"/>
        <w:right w:val="none" w:sz="0" w:space="0" w:color="auto"/>
      </w:divBdr>
    </w:div>
    <w:div w:id="1426346912">
      <w:bodyDiv w:val="1"/>
      <w:marLeft w:val="0"/>
      <w:marRight w:val="0"/>
      <w:marTop w:val="0"/>
      <w:marBottom w:val="0"/>
      <w:divBdr>
        <w:top w:val="none" w:sz="0" w:space="0" w:color="auto"/>
        <w:left w:val="none" w:sz="0" w:space="0" w:color="auto"/>
        <w:bottom w:val="none" w:sz="0" w:space="0" w:color="auto"/>
        <w:right w:val="none" w:sz="0" w:space="0" w:color="auto"/>
      </w:divBdr>
    </w:div>
    <w:div w:id="1446004105">
      <w:bodyDiv w:val="1"/>
      <w:marLeft w:val="0"/>
      <w:marRight w:val="0"/>
      <w:marTop w:val="0"/>
      <w:marBottom w:val="0"/>
      <w:divBdr>
        <w:top w:val="none" w:sz="0" w:space="0" w:color="auto"/>
        <w:left w:val="none" w:sz="0" w:space="0" w:color="auto"/>
        <w:bottom w:val="none" w:sz="0" w:space="0" w:color="auto"/>
        <w:right w:val="none" w:sz="0" w:space="0" w:color="auto"/>
      </w:divBdr>
    </w:div>
    <w:div w:id="1449276829">
      <w:bodyDiv w:val="1"/>
      <w:marLeft w:val="0"/>
      <w:marRight w:val="0"/>
      <w:marTop w:val="0"/>
      <w:marBottom w:val="0"/>
      <w:divBdr>
        <w:top w:val="none" w:sz="0" w:space="0" w:color="auto"/>
        <w:left w:val="none" w:sz="0" w:space="0" w:color="auto"/>
        <w:bottom w:val="none" w:sz="0" w:space="0" w:color="auto"/>
        <w:right w:val="none" w:sz="0" w:space="0" w:color="auto"/>
      </w:divBdr>
    </w:div>
    <w:div w:id="1467090150">
      <w:bodyDiv w:val="1"/>
      <w:marLeft w:val="0"/>
      <w:marRight w:val="0"/>
      <w:marTop w:val="0"/>
      <w:marBottom w:val="0"/>
      <w:divBdr>
        <w:top w:val="none" w:sz="0" w:space="0" w:color="auto"/>
        <w:left w:val="none" w:sz="0" w:space="0" w:color="auto"/>
        <w:bottom w:val="none" w:sz="0" w:space="0" w:color="auto"/>
        <w:right w:val="none" w:sz="0" w:space="0" w:color="auto"/>
      </w:divBdr>
    </w:div>
    <w:div w:id="1473403317">
      <w:bodyDiv w:val="1"/>
      <w:marLeft w:val="0"/>
      <w:marRight w:val="0"/>
      <w:marTop w:val="0"/>
      <w:marBottom w:val="0"/>
      <w:divBdr>
        <w:top w:val="none" w:sz="0" w:space="0" w:color="auto"/>
        <w:left w:val="none" w:sz="0" w:space="0" w:color="auto"/>
        <w:bottom w:val="none" w:sz="0" w:space="0" w:color="auto"/>
        <w:right w:val="none" w:sz="0" w:space="0" w:color="auto"/>
      </w:divBdr>
    </w:div>
    <w:div w:id="1488475618">
      <w:bodyDiv w:val="1"/>
      <w:marLeft w:val="0"/>
      <w:marRight w:val="0"/>
      <w:marTop w:val="0"/>
      <w:marBottom w:val="0"/>
      <w:divBdr>
        <w:top w:val="none" w:sz="0" w:space="0" w:color="auto"/>
        <w:left w:val="none" w:sz="0" w:space="0" w:color="auto"/>
        <w:bottom w:val="none" w:sz="0" w:space="0" w:color="auto"/>
        <w:right w:val="none" w:sz="0" w:space="0" w:color="auto"/>
      </w:divBdr>
    </w:div>
    <w:div w:id="1496259035">
      <w:bodyDiv w:val="1"/>
      <w:marLeft w:val="0"/>
      <w:marRight w:val="0"/>
      <w:marTop w:val="0"/>
      <w:marBottom w:val="0"/>
      <w:divBdr>
        <w:top w:val="none" w:sz="0" w:space="0" w:color="auto"/>
        <w:left w:val="none" w:sz="0" w:space="0" w:color="auto"/>
        <w:bottom w:val="none" w:sz="0" w:space="0" w:color="auto"/>
        <w:right w:val="none" w:sz="0" w:space="0" w:color="auto"/>
      </w:divBdr>
    </w:div>
    <w:div w:id="1505238872">
      <w:bodyDiv w:val="1"/>
      <w:marLeft w:val="0"/>
      <w:marRight w:val="0"/>
      <w:marTop w:val="0"/>
      <w:marBottom w:val="0"/>
      <w:divBdr>
        <w:top w:val="none" w:sz="0" w:space="0" w:color="auto"/>
        <w:left w:val="none" w:sz="0" w:space="0" w:color="auto"/>
        <w:bottom w:val="none" w:sz="0" w:space="0" w:color="auto"/>
        <w:right w:val="none" w:sz="0" w:space="0" w:color="auto"/>
      </w:divBdr>
    </w:div>
    <w:div w:id="1508322417">
      <w:bodyDiv w:val="1"/>
      <w:marLeft w:val="0"/>
      <w:marRight w:val="0"/>
      <w:marTop w:val="0"/>
      <w:marBottom w:val="0"/>
      <w:divBdr>
        <w:top w:val="none" w:sz="0" w:space="0" w:color="auto"/>
        <w:left w:val="none" w:sz="0" w:space="0" w:color="auto"/>
        <w:bottom w:val="none" w:sz="0" w:space="0" w:color="auto"/>
        <w:right w:val="none" w:sz="0" w:space="0" w:color="auto"/>
      </w:divBdr>
    </w:div>
    <w:div w:id="1513454337">
      <w:bodyDiv w:val="1"/>
      <w:marLeft w:val="0"/>
      <w:marRight w:val="0"/>
      <w:marTop w:val="0"/>
      <w:marBottom w:val="0"/>
      <w:divBdr>
        <w:top w:val="none" w:sz="0" w:space="0" w:color="auto"/>
        <w:left w:val="none" w:sz="0" w:space="0" w:color="auto"/>
        <w:bottom w:val="none" w:sz="0" w:space="0" w:color="auto"/>
        <w:right w:val="none" w:sz="0" w:space="0" w:color="auto"/>
      </w:divBdr>
    </w:div>
    <w:div w:id="1518809662">
      <w:bodyDiv w:val="1"/>
      <w:marLeft w:val="0"/>
      <w:marRight w:val="0"/>
      <w:marTop w:val="0"/>
      <w:marBottom w:val="0"/>
      <w:divBdr>
        <w:top w:val="none" w:sz="0" w:space="0" w:color="auto"/>
        <w:left w:val="none" w:sz="0" w:space="0" w:color="auto"/>
        <w:bottom w:val="none" w:sz="0" w:space="0" w:color="auto"/>
        <w:right w:val="none" w:sz="0" w:space="0" w:color="auto"/>
      </w:divBdr>
    </w:div>
    <w:div w:id="1527522361">
      <w:bodyDiv w:val="1"/>
      <w:marLeft w:val="0"/>
      <w:marRight w:val="0"/>
      <w:marTop w:val="0"/>
      <w:marBottom w:val="0"/>
      <w:divBdr>
        <w:top w:val="none" w:sz="0" w:space="0" w:color="auto"/>
        <w:left w:val="none" w:sz="0" w:space="0" w:color="auto"/>
        <w:bottom w:val="none" w:sz="0" w:space="0" w:color="auto"/>
        <w:right w:val="none" w:sz="0" w:space="0" w:color="auto"/>
      </w:divBdr>
    </w:div>
    <w:div w:id="1536189988">
      <w:bodyDiv w:val="1"/>
      <w:marLeft w:val="0"/>
      <w:marRight w:val="0"/>
      <w:marTop w:val="0"/>
      <w:marBottom w:val="0"/>
      <w:divBdr>
        <w:top w:val="none" w:sz="0" w:space="0" w:color="auto"/>
        <w:left w:val="none" w:sz="0" w:space="0" w:color="auto"/>
        <w:bottom w:val="none" w:sz="0" w:space="0" w:color="auto"/>
        <w:right w:val="none" w:sz="0" w:space="0" w:color="auto"/>
      </w:divBdr>
    </w:div>
    <w:div w:id="1551839097">
      <w:bodyDiv w:val="1"/>
      <w:marLeft w:val="0"/>
      <w:marRight w:val="0"/>
      <w:marTop w:val="0"/>
      <w:marBottom w:val="0"/>
      <w:divBdr>
        <w:top w:val="none" w:sz="0" w:space="0" w:color="auto"/>
        <w:left w:val="none" w:sz="0" w:space="0" w:color="auto"/>
        <w:bottom w:val="none" w:sz="0" w:space="0" w:color="auto"/>
        <w:right w:val="none" w:sz="0" w:space="0" w:color="auto"/>
      </w:divBdr>
    </w:div>
    <w:div w:id="1562666780">
      <w:bodyDiv w:val="1"/>
      <w:marLeft w:val="0"/>
      <w:marRight w:val="0"/>
      <w:marTop w:val="0"/>
      <w:marBottom w:val="0"/>
      <w:divBdr>
        <w:top w:val="none" w:sz="0" w:space="0" w:color="auto"/>
        <w:left w:val="none" w:sz="0" w:space="0" w:color="auto"/>
        <w:bottom w:val="none" w:sz="0" w:space="0" w:color="auto"/>
        <w:right w:val="none" w:sz="0" w:space="0" w:color="auto"/>
      </w:divBdr>
    </w:div>
    <w:div w:id="1574775694">
      <w:bodyDiv w:val="1"/>
      <w:marLeft w:val="0"/>
      <w:marRight w:val="0"/>
      <w:marTop w:val="0"/>
      <w:marBottom w:val="0"/>
      <w:divBdr>
        <w:top w:val="none" w:sz="0" w:space="0" w:color="auto"/>
        <w:left w:val="none" w:sz="0" w:space="0" w:color="auto"/>
        <w:bottom w:val="none" w:sz="0" w:space="0" w:color="auto"/>
        <w:right w:val="none" w:sz="0" w:space="0" w:color="auto"/>
      </w:divBdr>
    </w:div>
    <w:div w:id="1586955275">
      <w:bodyDiv w:val="1"/>
      <w:marLeft w:val="0"/>
      <w:marRight w:val="0"/>
      <w:marTop w:val="0"/>
      <w:marBottom w:val="0"/>
      <w:divBdr>
        <w:top w:val="none" w:sz="0" w:space="0" w:color="auto"/>
        <w:left w:val="none" w:sz="0" w:space="0" w:color="auto"/>
        <w:bottom w:val="none" w:sz="0" w:space="0" w:color="auto"/>
        <w:right w:val="none" w:sz="0" w:space="0" w:color="auto"/>
      </w:divBdr>
    </w:div>
    <w:div w:id="1595091285">
      <w:bodyDiv w:val="1"/>
      <w:marLeft w:val="0"/>
      <w:marRight w:val="0"/>
      <w:marTop w:val="0"/>
      <w:marBottom w:val="0"/>
      <w:divBdr>
        <w:top w:val="none" w:sz="0" w:space="0" w:color="auto"/>
        <w:left w:val="none" w:sz="0" w:space="0" w:color="auto"/>
        <w:bottom w:val="none" w:sz="0" w:space="0" w:color="auto"/>
        <w:right w:val="none" w:sz="0" w:space="0" w:color="auto"/>
      </w:divBdr>
    </w:div>
    <w:div w:id="1636328020">
      <w:bodyDiv w:val="1"/>
      <w:marLeft w:val="0"/>
      <w:marRight w:val="0"/>
      <w:marTop w:val="0"/>
      <w:marBottom w:val="0"/>
      <w:divBdr>
        <w:top w:val="none" w:sz="0" w:space="0" w:color="auto"/>
        <w:left w:val="none" w:sz="0" w:space="0" w:color="auto"/>
        <w:bottom w:val="none" w:sz="0" w:space="0" w:color="auto"/>
        <w:right w:val="none" w:sz="0" w:space="0" w:color="auto"/>
      </w:divBdr>
    </w:div>
    <w:div w:id="1648588480">
      <w:bodyDiv w:val="1"/>
      <w:marLeft w:val="0"/>
      <w:marRight w:val="0"/>
      <w:marTop w:val="0"/>
      <w:marBottom w:val="0"/>
      <w:divBdr>
        <w:top w:val="none" w:sz="0" w:space="0" w:color="auto"/>
        <w:left w:val="none" w:sz="0" w:space="0" w:color="auto"/>
        <w:bottom w:val="none" w:sz="0" w:space="0" w:color="auto"/>
        <w:right w:val="none" w:sz="0" w:space="0" w:color="auto"/>
      </w:divBdr>
    </w:div>
    <w:div w:id="1681851658">
      <w:bodyDiv w:val="1"/>
      <w:marLeft w:val="0"/>
      <w:marRight w:val="0"/>
      <w:marTop w:val="0"/>
      <w:marBottom w:val="0"/>
      <w:divBdr>
        <w:top w:val="none" w:sz="0" w:space="0" w:color="auto"/>
        <w:left w:val="none" w:sz="0" w:space="0" w:color="auto"/>
        <w:bottom w:val="none" w:sz="0" w:space="0" w:color="auto"/>
        <w:right w:val="none" w:sz="0" w:space="0" w:color="auto"/>
      </w:divBdr>
    </w:div>
    <w:div w:id="1720783556">
      <w:bodyDiv w:val="1"/>
      <w:marLeft w:val="0"/>
      <w:marRight w:val="0"/>
      <w:marTop w:val="0"/>
      <w:marBottom w:val="0"/>
      <w:divBdr>
        <w:top w:val="none" w:sz="0" w:space="0" w:color="auto"/>
        <w:left w:val="none" w:sz="0" w:space="0" w:color="auto"/>
        <w:bottom w:val="none" w:sz="0" w:space="0" w:color="auto"/>
        <w:right w:val="none" w:sz="0" w:space="0" w:color="auto"/>
      </w:divBdr>
    </w:div>
    <w:div w:id="1722746506">
      <w:bodyDiv w:val="1"/>
      <w:marLeft w:val="0"/>
      <w:marRight w:val="0"/>
      <w:marTop w:val="0"/>
      <w:marBottom w:val="0"/>
      <w:divBdr>
        <w:top w:val="none" w:sz="0" w:space="0" w:color="auto"/>
        <w:left w:val="none" w:sz="0" w:space="0" w:color="auto"/>
        <w:bottom w:val="none" w:sz="0" w:space="0" w:color="auto"/>
        <w:right w:val="none" w:sz="0" w:space="0" w:color="auto"/>
      </w:divBdr>
    </w:div>
    <w:div w:id="1724871346">
      <w:bodyDiv w:val="1"/>
      <w:marLeft w:val="0"/>
      <w:marRight w:val="0"/>
      <w:marTop w:val="0"/>
      <w:marBottom w:val="0"/>
      <w:divBdr>
        <w:top w:val="none" w:sz="0" w:space="0" w:color="auto"/>
        <w:left w:val="none" w:sz="0" w:space="0" w:color="auto"/>
        <w:bottom w:val="none" w:sz="0" w:space="0" w:color="auto"/>
        <w:right w:val="none" w:sz="0" w:space="0" w:color="auto"/>
      </w:divBdr>
    </w:div>
    <w:div w:id="1736968161">
      <w:bodyDiv w:val="1"/>
      <w:marLeft w:val="0"/>
      <w:marRight w:val="0"/>
      <w:marTop w:val="0"/>
      <w:marBottom w:val="0"/>
      <w:divBdr>
        <w:top w:val="none" w:sz="0" w:space="0" w:color="auto"/>
        <w:left w:val="none" w:sz="0" w:space="0" w:color="auto"/>
        <w:bottom w:val="none" w:sz="0" w:space="0" w:color="auto"/>
        <w:right w:val="none" w:sz="0" w:space="0" w:color="auto"/>
      </w:divBdr>
    </w:div>
    <w:div w:id="1743211590">
      <w:bodyDiv w:val="1"/>
      <w:marLeft w:val="0"/>
      <w:marRight w:val="0"/>
      <w:marTop w:val="0"/>
      <w:marBottom w:val="0"/>
      <w:divBdr>
        <w:top w:val="none" w:sz="0" w:space="0" w:color="auto"/>
        <w:left w:val="none" w:sz="0" w:space="0" w:color="auto"/>
        <w:bottom w:val="none" w:sz="0" w:space="0" w:color="auto"/>
        <w:right w:val="none" w:sz="0" w:space="0" w:color="auto"/>
      </w:divBdr>
    </w:div>
    <w:div w:id="1757704946">
      <w:bodyDiv w:val="1"/>
      <w:marLeft w:val="0"/>
      <w:marRight w:val="0"/>
      <w:marTop w:val="0"/>
      <w:marBottom w:val="0"/>
      <w:divBdr>
        <w:top w:val="none" w:sz="0" w:space="0" w:color="auto"/>
        <w:left w:val="none" w:sz="0" w:space="0" w:color="auto"/>
        <w:bottom w:val="none" w:sz="0" w:space="0" w:color="auto"/>
        <w:right w:val="none" w:sz="0" w:space="0" w:color="auto"/>
      </w:divBdr>
    </w:div>
    <w:div w:id="1772504219">
      <w:bodyDiv w:val="1"/>
      <w:marLeft w:val="0"/>
      <w:marRight w:val="0"/>
      <w:marTop w:val="0"/>
      <w:marBottom w:val="0"/>
      <w:divBdr>
        <w:top w:val="none" w:sz="0" w:space="0" w:color="auto"/>
        <w:left w:val="none" w:sz="0" w:space="0" w:color="auto"/>
        <w:bottom w:val="none" w:sz="0" w:space="0" w:color="auto"/>
        <w:right w:val="none" w:sz="0" w:space="0" w:color="auto"/>
      </w:divBdr>
    </w:div>
    <w:div w:id="1778981817">
      <w:bodyDiv w:val="1"/>
      <w:marLeft w:val="0"/>
      <w:marRight w:val="0"/>
      <w:marTop w:val="0"/>
      <w:marBottom w:val="0"/>
      <w:divBdr>
        <w:top w:val="none" w:sz="0" w:space="0" w:color="auto"/>
        <w:left w:val="none" w:sz="0" w:space="0" w:color="auto"/>
        <w:bottom w:val="none" w:sz="0" w:space="0" w:color="auto"/>
        <w:right w:val="none" w:sz="0" w:space="0" w:color="auto"/>
      </w:divBdr>
    </w:div>
    <w:div w:id="1786265728">
      <w:bodyDiv w:val="1"/>
      <w:marLeft w:val="0"/>
      <w:marRight w:val="0"/>
      <w:marTop w:val="0"/>
      <w:marBottom w:val="0"/>
      <w:divBdr>
        <w:top w:val="none" w:sz="0" w:space="0" w:color="auto"/>
        <w:left w:val="none" w:sz="0" w:space="0" w:color="auto"/>
        <w:bottom w:val="none" w:sz="0" w:space="0" w:color="auto"/>
        <w:right w:val="none" w:sz="0" w:space="0" w:color="auto"/>
      </w:divBdr>
    </w:div>
    <w:div w:id="1786533739">
      <w:bodyDiv w:val="1"/>
      <w:marLeft w:val="0"/>
      <w:marRight w:val="0"/>
      <w:marTop w:val="0"/>
      <w:marBottom w:val="0"/>
      <w:divBdr>
        <w:top w:val="none" w:sz="0" w:space="0" w:color="auto"/>
        <w:left w:val="none" w:sz="0" w:space="0" w:color="auto"/>
        <w:bottom w:val="none" w:sz="0" w:space="0" w:color="auto"/>
        <w:right w:val="none" w:sz="0" w:space="0" w:color="auto"/>
      </w:divBdr>
    </w:div>
    <w:div w:id="1787891311">
      <w:bodyDiv w:val="1"/>
      <w:marLeft w:val="0"/>
      <w:marRight w:val="0"/>
      <w:marTop w:val="0"/>
      <w:marBottom w:val="0"/>
      <w:divBdr>
        <w:top w:val="none" w:sz="0" w:space="0" w:color="auto"/>
        <w:left w:val="none" w:sz="0" w:space="0" w:color="auto"/>
        <w:bottom w:val="none" w:sz="0" w:space="0" w:color="auto"/>
        <w:right w:val="none" w:sz="0" w:space="0" w:color="auto"/>
      </w:divBdr>
    </w:div>
    <w:div w:id="1796633748">
      <w:bodyDiv w:val="1"/>
      <w:marLeft w:val="0"/>
      <w:marRight w:val="0"/>
      <w:marTop w:val="0"/>
      <w:marBottom w:val="0"/>
      <w:divBdr>
        <w:top w:val="none" w:sz="0" w:space="0" w:color="auto"/>
        <w:left w:val="none" w:sz="0" w:space="0" w:color="auto"/>
        <w:bottom w:val="none" w:sz="0" w:space="0" w:color="auto"/>
        <w:right w:val="none" w:sz="0" w:space="0" w:color="auto"/>
      </w:divBdr>
    </w:div>
    <w:div w:id="1810126027">
      <w:bodyDiv w:val="1"/>
      <w:marLeft w:val="0"/>
      <w:marRight w:val="0"/>
      <w:marTop w:val="0"/>
      <w:marBottom w:val="0"/>
      <w:divBdr>
        <w:top w:val="none" w:sz="0" w:space="0" w:color="auto"/>
        <w:left w:val="none" w:sz="0" w:space="0" w:color="auto"/>
        <w:bottom w:val="none" w:sz="0" w:space="0" w:color="auto"/>
        <w:right w:val="none" w:sz="0" w:space="0" w:color="auto"/>
      </w:divBdr>
    </w:div>
    <w:div w:id="1814133074">
      <w:bodyDiv w:val="1"/>
      <w:marLeft w:val="0"/>
      <w:marRight w:val="0"/>
      <w:marTop w:val="0"/>
      <w:marBottom w:val="0"/>
      <w:divBdr>
        <w:top w:val="none" w:sz="0" w:space="0" w:color="auto"/>
        <w:left w:val="none" w:sz="0" w:space="0" w:color="auto"/>
        <w:bottom w:val="none" w:sz="0" w:space="0" w:color="auto"/>
        <w:right w:val="none" w:sz="0" w:space="0" w:color="auto"/>
      </w:divBdr>
    </w:div>
    <w:div w:id="1817720726">
      <w:bodyDiv w:val="1"/>
      <w:marLeft w:val="0"/>
      <w:marRight w:val="0"/>
      <w:marTop w:val="0"/>
      <w:marBottom w:val="0"/>
      <w:divBdr>
        <w:top w:val="none" w:sz="0" w:space="0" w:color="auto"/>
        <w:left w:val="none" w:sz="0" w:space="0" w:color="auto"/>
        <w:bottom w:val="none" w:sz="0" w:space="0" w:color="auto"/>
        <w:right w:val="none" w:sz="0" w:space="0" w:color="auto"/>
      </w:divBdr>
    </w:div>
    <w:div w:id="1829596358">
      <w:bodyDiv w:val="1"/>
      <w:marLeft w:val="0"/>
      <w:marRight w:val="0"/>
      <w:marTop w:val="0"/>
      <w:marBottom w:val="0"/>
      <w:divBdr>
        <w:top w:val="none" w:sz="0" w:space="0" w:color="auto"/>
        <w:left w:val="none" w:sz="0" w:space="0" w:color="auto"/>
        <w:bottom w:val="none" w:sz="0" w:space="0" w:color="auto"/>
        <w:right w:val="none" w:sz="0" w:space="0" w:color="auto"/>
      </w:divBdr>
    </w:div>
    <w:div w:id="1849783762">
      <w:bodyDiv w:val="1"/>
      <w:marLeft w:val="0"/>
      <w:marRight w:val="0"/>
      <w:marTop w:val="0"/>
      <w:marBottom w:val="0"/>
      <w:divBdr>
        <w:top w:val="none" w:sz="0" w:space="0" w:color="auto"/>
        <w:left w:val="none" w:sz="0" w:space="0" w:color="auto"/>
        <w:bottom w:val="none" w:sz="0" w:space="0" w:color="auto"/>
        <w:right w:val="none" w:sz="0" w:space="0" w:color="auto"/>
      </w:divBdr>
    </w:div>
    <w:div w:id="1852839434">
      <w:bodyDiv w:val="1"/>
      <w:marLeft w:val="0"/>
      <w:marRight w:val="0"/>
      <w:marTop w:val="0"/>
      <w:marBottom w:val="0"/>
      <w:divBdr>
        <w:top w:val="none" w:sz="0" w:space="0" w:color="auto"/>
        <w:left w:val="none" w:sz="0" w:space="0" w:color="auto"/>
        <w:bottom w:val="none" w:sz="0" w:space="0" w:color="auto"/>
        <w:right w:val="none" w:sz="0" w:space="0" w:color="auto"/>
      </w:divBdr>
    </w:div>
    <w:div w:id="1861040220">
      <w:bodyDiv w:val="1"/>
      <w:marLeft w:val="0"/>
      <w:marRight w:val="0"/>
      <w:marTop w:val="0"/>
      <w:marBottom w:val="0"/>
      <w:divBdr>
        <w:top w:val="none" w:sz="0" w:space="0" w:color="auto"/>
        <w:left w:val="none" w:sz="0" w:space="0" w:color="auto"/>
        <w:bottom w:val="none" w:sz="0" w:space="0" w:color="auto"/>
        <w:right w:val="none" w:sz="0" w:space="0" w:color="auto"/>
      </w:divBdr>
    </w:div>
    <w:div w:id="1879005024">
      <w:bodyDiv w:val="1"/>
      <w:marLeft w:val="0"/>
      <w:marRight w:val="0"/>
      <w:marTop w:val="0"/>
      <w:marBottom w:val="0"/>
      <w:divBdr>
        <w:top w:val="none" w:sz="0" w:space="0" w:color="auto"/>
        <w:left w:val="none" w:sz="0" w:space="0" w:color="auto"/>
        <w:bottom w:val="none" w:sz="0" w:space="0" w:color="auto"/>
        <w:right w:val="none" w:sz="0" w:space="0" w:color="auto"/>
      </w:divBdr>
    </w:div>
    <w:div w:id="1882404614">
      <w:bodyDiv w:val="1"/>
      <w:marLeft w:val="0"/>
      <w:marRight w:val="0"/>
      <w:marTop w:val="0"/>
      <w:marBottom w:val="0"/>
      <w:divBdr>
        <w:top w:val="none" w:sz="0" w:space="0" w:color="auto"/>
        <w:left w:val="none" w:sz="0" w:space="0" w:color="auto"/>
        <w:bottom w:val="none" w:sz="0" w:space="0" w:color="auto"/>
        <w:right w:val="none" w:sz="0" w:space="0" w:color="auto"/>
      </w:divBdr>
    </w:div>
    <w:div w:id="1892158215">
      <w:bodyDiv w:val="1"/>
      <w:marLeft w:val="0"/>
      <w:marRight w:val="0"/>
      <w:marTop w:val="0"/>
      <w:marBottom w:val="0"/>
      <w:divBdr>
        <w:top w:val="none" w:sz="0" w:space="0" w:color="auto"/>
        <w:left w:val="none" w:sz="0" w:space="0" w:color="auto"/>
        <w:bottom w:val="none" w:sz="0" w:space="0" w:color="auto"/>
        <w:right w:val="none" w:sz="0" w:space="0" w:color="auto"/>
      </w:divBdr>
    </w:div>
    <w:div w:id="1919047760">
      <w:bodyDiv w:val="1"/>
      <w:marLeft w:val="0"/>
      <w:marRight w:val="0"/>
      <w:marTop w:val="0"/>
      <w:marBottom w:val="0"/>
      <w:divBdr>
        <w:top w:val="none" w:sz="0" w:space="0" w:color="auto"/>
        <w:left w:val="none" w:sz="0" w:space="0" w:color="auto"/>
        <w:bottom w:val="none" w:sz="0" w:space="0" w:color="auto"/>
        <w:right w:val="none" w:sz="0" w:space="0" w:color="auto"/>
      </w:divBdr>
    </w:div>
    <w:div w:id="1930775743">
      <w:bodyDiv w:val="1"/>
      <w:marLeft w:val="0"/>
      <w:marRight w:val="0"/>
      <w:marTop w:val="0"/>
      <w:marBottom w:val="0"/>
      <w:divBdr>
        <w:top w:val="none" w:sz="0" w:space="0" w:color="auto"/>
        <w:left w:val="none" w:sz="0" w:space="0" w:color="auto"/>
        <w:bottom w:val="none" w:sz="0" w:space="0" w:color="auto"/>
        <w:right w:val="none" w:sz="0" w:space="0" w:color="auto"/>
      </w:divBdr>
    </w:div>
    <w:div w:id="1947761345">
      <w:bodyDiv w:val="1"/>
      <w:marLeft w:val="0"/>
      <w:marRight w:val="0"/>
      <w:marTop w:val="0"/>
      <w:marBottom w:val="0"/>
      <w:divBdr>
        <w:top w:val="none" w:sz="0" w:space="0" w:color="auto"/>
        <w:left w:val="none" w:sz="0" w:space="0" w:color="auto"/>
        <w:bottom w:val="none" w:sz="0" w:space="0" w:color="auto"/>
        <w:right w:val="none" w:sz="0" w:space="0" w:color="auto"/>
      </w:divBdr>
    </w:div>
    <w:div w:id="1951620000">
      <w:bodyDiv w:val="1"/>
      <w:marLeft w:val="0"/>
      <w:marRight w:val="0"/>
      <w:marTop w:val="0"/>
      <w:marBottom w:val="0"/>
      <w:divBdr>
        <w:top w:val="none" w:sz="0" w:space="0" w:color="auto"/>
        <w:left w:val="none" w:sz="0" w:space="0" w:color="auto"/>
        <w:bottom w:val="none" w:sz="0" w:space="0" w:color="auto"/>
        <w:right w:val="none" w:sz="0" w:space="0" w:color="auto"/>
      </w:divBdr>
    </w:div>
    <w:div w:id="1961641848">
      <w:bodyDiv w:val="1"/>
      <w:marLeft w:val="0"/>
      <w:marRight w:val="0"/>
      <w:marTop w:val="0"/>
      <w:marBottom w:val="0"/>
      <w:divBdr>
        <w:top w:val="none" w:sz="0" w:space="0" w:color="auto"/>
        <w:left w:val="none" w:sz="0" w:space="0" w:color="auto"/>
        <w:bottom w:val="none" w:sz="0" w:space="0" w:color="auto"/>
        <w:right w:val="none" w:sz="0" w:space="0" w:color="auto"/>
      </w:divBdr>
    </w:div>
    <w:div w:id="1996107822">
      <w:bodyDiv w:val="1"/>
      <w:marLeft w:val="0"/>
      <w:marRight w:val="0"/>
      <w:marTop w:val="0"/>
      <w:marBottom w:val="0"/>
      <w:divBdr>
        <w:top w:val="none" w:sz="0" w:space="0" w:color="auto"/>
        <w:left w:val="none" w:sz="0" w:space="0" w:color="auto"/>
        <w:bottom w:val="none" w:sz="0" w:space="0" w:color="auto"/>
        <w:right w:val="none" w:sz="0" w:space="0" w:color="auto"/>
      </w:divBdr>
    </w:div>
    <w:div w:id="2025474324">
      <w:bodyDiv w:val="1"/>
      <w:marLeft w:val="0"/>
      <w:marRight w:val="0"/>
      <w:marTop w:val="0"/>
      <w:marBottom w:val="0"/>
      <w:divBdr>
        <w:top w:val="none" w:sz="0" w:space="0" w:color="auto"/>
        <w:left w:val="none" w:sz="0" w:space="0" w:color="auto"/>
        <w:bottom w:val="none" w:sz="0" w:space="0" w:color="auto"/>
        <w:right w:val="none" w:sz="0" w:space="0" w:color="auto"/>
      </w:divBdr>
    </w:div>
    <w:div w:id="2059472018">
      <w:bodyDiv w:val="1"/>
      <w:marLeft w:val="0"/>
      <w:marRight w:val="0"/>
      <w:marTop w:val="0"/>
      <w:marBottom w:val="0"/>
      <w:divBdr>
        <w:top w:val="none" w:sz="0" w:space="0" w:color="auto"/>
        <w:left w:val="none" w:sz="0" w:space="0" w:color="auto"/>
        <w:bottom w:val="none" w:sz="0" w:space="0" w:color="auto"/>
        <w:right w:val="none" w:sz="0" w:space="0" w:color="auto"/>
      </w:divBdr>
    </w:div>
    <w:div w:id="2063164697">
      <w:bodyDiv w:val="1"/>
      <w:marLeft w:val="0"/>
      <w:marRight w:val="0"/>
      <w:marTop w:val="0"/>
      <w:marBottom w:val="0"/>
      <w:divBdr>
        <w:top w:val="none" w:sz="0" w:space="0" w:color="auto"/>
        <w:left w:val="none" w:sz="0" w:space="0" w:color="auto"/>
        <w:bottom w:val="none" w:sz="0" w:space="0" w:color="auto"/>
        <w:right w:val="none" w:sz="0" w:space="0" w:color="auto"/>
      </w:divBdr>
    </w:div>
    <w:div w:id="2089572885">
      <w:bodyDiv w:val="1"/>
      <w:marLeft w:val="0"/>
      <w:marRight w:val="0"/>
      <w:marTop w:val="0"/>
      <w:marBottom w:val="0"/>
      <w:divBdr>
        <w:top w:val="none" w:sz="0" w:space="0" w:color="auto"/>
        <w:left w:val="none" w:sz="0" w:space="0" w:color="auto"/>
        <w:bottom w:val="none" w:sz="0" w:space="0" w:color="auto"/>
        <w:right w:val="none" w:sz="0" w:space="0" w:color="auto"/>
      </w:divBdr>
    </w:div>
    <w:div w:id="2095281478">
      <w:bodyDiv w:val="1"/>
      <w:marLeft w:val="0"/>
      <w:marRight w:val="0"/>
      <w:marTop w:val="0"/>
      <w:marBottom w:val="0"/>
      <w:divBdr>
        <w:top w:val="none" w:sz="0" w:space="0" w:color="auto"/>
        <w:left w:val="none" w:sz="0" w:space="0" w:color="auto"/>
        <w:bottom w:val="none" w:sz="0" w:space="0" w:color="auto"/>
        <w:right w:val="none" w:sz="0" w:space="0" w:color="auto"/>
      </w:divBdr>
    </w:div>
    <w:div w:id="2096978150">
      <w:bodyDiv w:val="1"/>
      <w:marLeft w:val="0"/>
      <w:marRight w:val="0"/>
      <w:marTop w:val="0"/>
      <w:marBottom w:val="0"/>
      <w:divBdr>
        <w:top w:val="none" w:sz="0" w:space="0" w:color="auto"/>
        <w:left w:val="none" w:sz="0" w:space="0" w:color="auto"/>
        <w:bottom w:val="none" w:sz="0" w:space="0" w:color="auto"/>
        <w:right w:val="none" w:sz="0" w:space="0" w:color="auto"/>
      </w:divBdr>
    </w:div>
    <w:div w:id="2106265271">
      <w:bodyDiv w:val="1"/>
      <w:marLeft w:val="0"/>
      <w:marRight w:val="0"/>
      <w:marTop w:val="0"/>
      <w:marBottom w:val="0"/>
      <w:divBdr>
        <w:top w:val="none" w:sz="0" w:space="0" w:color="auto"/>
        <w:left w:val="none" w:sz="0" w:space="0" w:color="auto"/>
        <w:bottom w:val="none" w:sz="0" w:space="0" w:color="auto"/>
        <w:right w:val="none" w:sz="0" w:space="0" w:color="auto"/>
      </w:divBdr>
    </w:div>
    <w:div w:id="2115200424">
      <w:bodyDiv w:val="1"/>
      <w:marLeft w:val="0"/>
      <w:marRight w:val="0"/>
      <w:marTop w:val="0"/>
      <w:marBottom w:val="0"/>
      <w:divBdr>
        <w:top w:val="none" w:sz="0" w:space="0" w:color="auto"/>
        <w:left w:val="none" w:sz="0" w:space="0" w:color="auto"/>
        <w:bottom w:val="none" w:sz="0" w:space="0" w:color="auto"/>
        <w:right w:val="none" w:sz="0" w:space="0" w:color="auto"/>
      </w:divBdr>
    </w:div>
    <w:div w:id="2119446103">
      <w:bodyDiv w:val="1"/>
      <w:marLeft w:val="0"/>
      <w:marRight w:val="0"/>
      <w:marTop w:val="0"/>
      <w:marBottom w:val="0"/>
      <w:divBdr>
        <w:top w:val="none" w:sz="0" w:space="0" w:color="auto"/>
        <w:left w:val="none" w:sz="0" w:space="0" w:color="auto"/>
        <w:bottom w:val="none" w:sz="0" w:space="0" w:color="auto"/>
        <w:right w:val="none" w:sz="0" w:space="0" w:color="auto"/>
      </w:divBdr>
    </w:div>
    <w:div w:id="2122799928">
      <w:bodyDiv w:val="1"/>
      <w:marLeft w:val="0"/>
      <w:marRight w:val="0"/>
      <w:marTop w:val="0"/>
      <w:marBottom w:val="0"/>
      <w:divBdr>
        <w:top w:val="none" w:sz="0" w:space="0" w:color="auto"/>
        <w:left w:val="none" w:sz="0" w:space="0" w:color="auto"/>
        <w:bottom w:val="none" w:sz="0" w:space="0" w:color="auto"/>
        <w:right w:val="none" w:sz="0" w:space="0" w:color="auto"/>
      </w:divBdr>
    </w:div>
    <w:div w:id="2132742485">
      <w:bodyDiv w:val="1"/>
      <w:marLeft w:val="0"/>
      <w:marRight w:val="0"/>
      <w:marTop w:val="0"/>
      <w:marBottom w:val="0"/>
      <w:divBdr>
        <w:top w:val="none" w:sz="0" w:space="0" w:color="auto"/>
        <w:left w:val="none" w:sz="0" w:space="0" w:color="auto"/>
        <w:bottom w:val="none" w:sz="0" w:space="0" w:color="auto"/>
        <w:right w:val="none" w:sz="0" w:space="0" w:color="auto"/>
      </w:divBdr>
    </w:div>
    <w:div w:id="2144422631">
      <w:bodyDiv w:val="1"/>
      <w:marLeft w:val="0"/>
      <w:marRight w:val="0"/>
      <w:marTop w:val="0"/>
      <w:marBottom w:val="0"/>
      <w:divBdr>
        <w:top w:val="none" w:sz="0" w:space="0" w:color="auto"/>
        <w:left w:val="none" w:sz="0" w:space="0" w:color="auto"/>
        <w:bottom w:val="none" w:sz="0" w:space="0" w:color="auto"/>
        <w:right w:val="none" w:sz="0" w:space="0" w:color="auto"/>
      </w:divBdr>
    </w:div>
    <w:div w:id="2146578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tif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PNU144</b:Tag>
    <b:SourceType>Report</b:SourceType>
    <b:Guid>{09536FEA-0240-4946-B25A-0B740F67848D}</b:Guid>
    <b:Author>
      <b:Author>
        <b:NameList>
          <b:Person>
            <b:Last>PNUD</b:Last>
          </b:Person>
        </b:NameList>
      </b:Author>
    </b:Author>
    <b:Title>Informe sobre Desarrollo Humano 2014. Sostener el Progreso Humano: Reducir vulnerabilidades y construir resiliencia</b:Title>
    <b:Publisher>PNUD, ONU</b:Publisher>
    <b:Year>2014</b:Year>
    <b:RefOrder>20</b:RefOrder>
  </b:Source>
  <b:Source>
    <b:Tag>PNU21</b:Tag>
    <b:SourceType>InternetSite</b:SourceType>
    <b:Guid>{1FC0B162-98AF-E74C-8ADE-13ECD98F9347}</b:Guid>
    <b:Author>
      <b:Author>
        <b:NameList>
          <b:Person>
            <b:Last>PNUD</b:Last>
          </b:Person>
        </b:NameList>
      </b:Author>
    </b:Author>
    <b:Title>Ser LGBT en el Caribe: Reducir la desigualdad y la exclusión experimentadas por las personas LGBT</b:Title>
    <b:InternetSiteTitle>Sitio Web PNUD Barbados y el Caribe Oriental</b:InternetSiteTitle>
    <b:URL>bb.undp.org/content/barbados/en/home/projects/BLIC.html</b:URL>
    <b:Year>2021</b:Year>
    <b:RefOrder>21</b:RefOrder>
  </b:Source>
  <b:Source>
    <b:Tag>UPO16</b:Tag>
    <b:SourceType>Report</b:SourceType>
    <b:Guid>{B5B5C344-1217-454D-9800-6BE24C9A1975}</b:Guid>
    <b:Title>Derechos Humanos</b:Title>
    <b:Year>2016</b:Year>
    <b:Author>
      <b:Author>
        <b:NameList>
          <b:Person>
            <b:Last>UP</b:Last>
          </b:Person>
          <b:Person>
            <b:Last>ONU</b:Last>
          </b:Person>
        </b:NameList>
      </b:Author>
    </b:Author>
    <b:Publisher>ONU </b:Publisher>
    <b:RefOrder>22</b:RefOrder>
  </b:Source>
  <b:Source>
    <b:Tag>DUD481</b:Tag>
    <b:SourceType>DocumentFromInternetSite</b:SourceType>
    <b:Guid>{4AB5D01D-8A1F-1B40-8492-C9C65DFE1B12}</b:Guid>
    <b:Title>Declaración Universal de los Derechos Humanos</b:Title>
    <b:Year>1948</b:Year>
    <b:Author>
      <b:Author>
        <b:NameList>
          <b:Person>
            <b:Last>DUDH</b:Last>
          </b:Person>
        </b:NameList>
      </b:Author>
    </b:Author>
    <b:InternetSiteTitle>Naciones Unidas </b:InternetSiteTitle>
    <b:URL>https://www.un.org/es/about-us/universal-declaration-of-human-rights</b:URL>
    <b:RefOrder>23</b:RefOrder>
  </b:Source>
  <b:Source>
    <b:Tag>LÑN</b:Tag>
    <b:SourceType>ElectronicSource</b:SourceType>
    <b:Guid>{6055D0DD-9159-AF44-B981-4B8BD262D23C}</b:Guid>
    <b:Author>
      <b:Author>
        <b:NameList>
          <b:Person>
            <b:Last>Leyes de Núrember</b:Last>
          </b:Person>
        </b:NameList>
      </b:Author>
    </b:Author>
    <b:Title>Ley de ciudadanía del Reich y Ley para la protección de la sangre y el honor alemanes</b:Title>
    <b:Year>1935</b:Year>
    <b:CountryRegion>Alemania</b:CountryRegion>
    <b:RefOrder>1</b:RefOrder>
  </b:Source>
  <b:Source>
    <b:Tag>Sal18</b:Tag>
    <b:SourceType>Book</b:SourceType>
    <b:Guid>{8FC902BF-1A54-3E4C-B82B-E219C9CB9316}</b:Guid>
    <b:Title>La reforma constitucional sobre derechos humanos. Una guía conceptual</b:Title>
    <b:City>México</b:City>
    <b:Year>2018</b:Year>
    <b:Author>
      <b:Author>
        <b:NameList>
          <b:Person>
            <b:Last>Salazar</b:Last>
            <b:First>Pedro</b:First>
          </b:Person>
        </b:NameList>
      </b:Author>
    </b:Author>
    <b:Publisher>Instituto Belisario dominguez </b:Publisher>
    <b:RefOrder>2</b:RefOrder>
  </b:Source>
  <b:Source>
    <b:Tag>HRW21</b:Tag>
    <b:SourceType>InternetSite</b:SourceType>
    <b:Guid>{DE93A12C-12DB-C24C-9C28-AA7D7E7ECD1C}</b:Guid>
    <b:Title>Informe mundial 2021 de Human Rights Watch</b:Title>
    <b:Year>2021</b:Year>
    <b:Author>
      <b:Author>
        <b:NameList>
          <b:Person>
            <b:Last>HRW</b:Last>
          </b:Person>
        </b:NameList>
      </b:Author>
    </b:Author>
    <b:InternetSiteTitle>Sitio Web Human Rights Watch</b:InternetSiteTitle>
    <b:URL>https://www.hrw.org/video-photos/interactive/2021/04/23/country-profiles-sexual-orientation-and-gender-identity</b:URL>
    <b:RefOrder>24</b:RefOrder>
  </b:Source>
  <b:Source>
    <b:Tag>DOS08</b:Tag>
    <b:SourceType>ElectronicSource</b:SourceType>
    <b:Guid>{120370EE-677A-FD41-88B6-C6D6DD6FDFCA}</b:Guid>
    <b:Title>Declaración sobre orientación sexual e identidad de género de las Naciones Unidas</b:Title>
    <b:Year>2008</b:Year>
    <b:Author>
      <b:Author>
        <b:NameList>
          <b:Person>
            <b:Last>DOSIGNU</b:Last>
          </b:Person>
        </b:NameList>
      </b:Author>
    </b:Author>
    <b:RefOrder>25</b:RefOrder>
  </b:Source>
  <b:Source>
    <b:Tag>PNU211</b:Tag>
    <b:SourceType>ElectronicSource</b:SourceType>
    <b:Guid>{677238D6-8C4E-274D-B06E-A887008979C2}</b:Guid>
    <b:Title>Estrategia de igualdad de género del PNUD</b:Title>
    <b:CountryRegion>Costa Rica</b:CountryRegion>
    <b:Year>2018-2021</b:Year>
    <b:Author>
      <b:Author>
        <b:NameList>
          <b:Person>
            <b:Last>PNUD</b:Last>
          </b:Person>
        </b:NameList>
      </b:Author>
    </b:Author>
    <b:RefOrder>8</b:RefOrder>
  </b:Source>
  <b:Source>
    <b:Tag>Gue081</b:Tag>
    <b:SourceType>JournalArticle</b:SourceType>
    <b:Guid>{F5C5C9A5-D646-E448-9DE9-CB062FDB522F}</b:Guid>
    <b:Title>La masculinidad desde una perspectiva sociológica. Una dimensión del orden de género </b:Title>
    <b:Year>2008</b:Year>
    <b:Author>
      <b:Author>
        <b:NameList>
          <b:Person>
            <b:Last>Guevara</b:Last>
            <b:First>Elsa</b:First>
          </b:Person>
        </b:NameList>
      </b:Author>
    </b:Author>
    <b:JournalName>Sociológica </b:JournalName>
    <b:Pages>71-92</b:Pages>
    <b:RefOrder>26</b:RefOrder>
  </b:Source>
  <b:Source>
    <b:Tag>Góm961</b:Tag>
    <b:SourceType>JournalArticle</b:SourceType>
    <b:Guid>{67D0D473-3AF1-CB44-89D9-14FCFC62C272}</b:Guid>
    <b:Author>
      <b:Author>
        <b:NameList>
          <b:Person>
            <b:Last>Gómez</b:Last>
            <b:First>Gracia</b:First>
          </b:Person>
        </b:NameList>
      </b:Author>
    </b:Author>
    <b:Title>Relfeciones sobre la revolución burguesa en España. Una aproximación a los orígenes, ideario y práctica del pensamiento liberal</b:Title>
    <b:JournalName>Brocar </b:JournalName>
    <b:Year>1996</b:Year>
    <b:Pages>327-345</b:Pages>
    <b:RefOrder>27</b:RefOrder>
  </b:Source>
  <b:Source>
    <b:Tag>RAE19</b:Tag>
    <b:SourceType>InternetSite</b:SourceType>
    <b:Guid>{90C1826C-2CB3-8D44-A077-FDD98D4BD22E}</b:Guid>
    <b:Title>Diccionario de la Real Academia Española </b:Title>
    <b:Year>2019</b:Year>
    <b:Author>
      <b:Author>
        <b:NameList>
          <b:Person>
            <b:Last>RAE</b:Last>
          </b:Person>
        </b:NameList>
      </b:Author>
    </b:Author>
    <b:InternetSiteTitle>Sitio Web RAE</b:InternetSiteTitle>
    <b:URL>https://www.rae.es/desen/religi%C3%B3n</b:URL>
    <b:RefOrder>28</b:RefOrder>
  </b:Source>
  <b:Source>
    <b:Tag>Ros181</b:Tag>
    <b:SourceType>JournalArticle</b:SourceType>
    <b:Guid>{08B61FFF-EA73-9440-AAB2-1DEA025D56F8}</b:Guid>
    <b:Title>La familia como relación social</b:Title>
    <b:Year>2018</b:Year>
    <b:Author>
      <b:Author>
        <b:NameList>
          <b:Person>
            <b:Last>Ros</b:Last>
            <b:First>Javier</b:First>
          </b:Person>
        </b:NameList>
      </b:Author>
    </b:Author>
    <b:JournalName>Correlatos</b:JournalName>
    <b:Pages>11-41</b:Pages>
    <b:RefOrder>29</b:RefOrder>
  </b:Source>
  <b:Source>
    <b:Tag>Gro121</b:Tag>
    <b:SourceType>JournalArticle</b:SourceType>
    <b:Guid>{1E871E89-B8B0-DF43-831F-8F420972E2CB}</b:Guid>
    <b:Author>
      <b:Author>
        <b:NameList>
          <b:Person>
            <b:Last>Grosfoguel</b:Last>
            <b:First>Ramón</b:First>
          </b:Person>
        </b:NameList>
      </b:Author>
    </b:Author>
    <b:Title>El concepto de «racismo» en Michel Foucault y Frantz Fanon: ¿teorizar desde la zona del ser o desde la zona del no-ser?</b:Title>
    <b:JournalName>Tabula Raza. Revista de Humanidades</b:JournalName>
    <b:Year>2012</b:Year>
    <b:Pages>79-102</b:Pages>
    <b:RefOrder>30</b:RefOrder>
  </b:Source>
  <b:Source>
    <b:Tag>PNU212</b:Tag>
    <b:SourceType>Book</b:SourceType>
    <b:Guid>{E0BBE657-6B80-4043-9804-C32174D08332}</b:Guid>
    <b:Author>
      <b:Author>
        <b:NameList>
          <b:Person>
            <b:Last>PNUD</b:Last>
          </b:Person>
        </b:NameList>
      </b:Author>
    </b:Author>
    <b:Title>Género, Derechos y Desarrollo Social</b:Title>
    <b:Year>2019</b:Year>
    <b:City>San Salvador</b:City>
    <b:RefOrder>9</b:RefOrder>
  </b:Source>
  <b:Source>
    <b:Tag>Lug05</b:Tag>
    <b:SourceType>JournalArticle</b:SourceType>
    <b:Guid>{66F8506E-263A-B245-BB14-5D23069CEBBB}</b:Guid>
    <b:Title>Multiculturalismo radical y feminismos de mujeres de color</b:Title>
    <b:Year>2005</b:Year>
    <b:Author>
      <b:Author>
        <b:NameList>
          <b:Person>
            <b:Last>Lugones</b:Last>
            <b:First>María</b:First>
          </b:Person>
        </b:NameList>
      </b:Author>
    </b:Author>
    <b:JournalName>Revista Internacional de Filosofía Política </b:JournalName>
    <b:Pages>61-76</b:Pages>
    <b:RefOrder>13</b:RefOrder>
  </b:Source>
  <b:Source>
    <b:Tag>FNF21</b:Tag>
    <b:SourceType>InternetSite</b:SourceType>
    <b:Guid>{876D9358-0C08-2C43-968F-D5B897F067CB}</b:Guid>
    <b:Title>Ser LGBT+ en Latinoamerica. Radiografia de los derechos en la región.</b:Title>
    <b:Year>2021</b:Year>
    <b:Author>
      <b:Author>
        <b:NameList>
          <b:Person>
            <b:Last>FNF</b:Last>
          </b:Person>
        </b:NameList>
      </b:Author>
    </b:Author>
    <b:InternetSiteTitle>Sitio Web Friedrich Naumann Foundation</b:InternetSiteTitle>
    <b:URL>https://www.freiheit.org/es/latin-america/ser-lgbt-en-latinoamerica</b:URL>
    <b:RefOrder>5</b:RefOrder>
  </b:Source>
  <b:Source>
    <b:Tag>TWB20</b:Tag>
    <b:SourceType>Report</b:SourceType>
    <b:Guid>{C314900A-04C0-3B42-BDCF-81895A0CD485}</b:Guid>
    <b:Title>Conjunto de indicadores propuestos para el índice de inclusión LGBT</b:Title>
    <b:Year>2019</b:Year>
    <b:Author>
      <b:Author>
        <b:NameList>
          <b:Person>
            <b:Last>TWBG</b:Last>
          </b:Person>
          <b:Person>
            <b:Last>PNUD</b:Last>
          </b:Person>
        </b:NameList>
      </b:Author>
    </b:Author>
    <b:Publisher>ONU</b:Publisher>
    <b:City>New York</b:City>
    <b:RefOrder>4</b:RefOrder>
  </b:Source>
  <b:Source>
    <b:Tag>PNU19</b:Tag>
    <b:SourceType>Report</b:SourceType>
    <b:Guid>{D532B088-38A0-4649-9BD9-EB088D787022}</b:Guid>
    <b:Title>Informe sobre Desarrollo Humano 2019. Más allá del ingreso, más allá de los promedios, más allá del presente: Desigualdades del desarrollo humano en el siglo XXI. </b:Title>
    <b:Year>2019</b:Year>
    <b:Author>
      <b:Author>
        <b:NameList>
          <b:Person>
            <b:Last>PNUD</b:Last>
          </b:Person>
        </b:NameList>
      </b:Author>
    </b:Author>
    <b:Publisher>Programa de las Naciones Unidas para el Desarrollo</b:Publisher>
    <b:City> Nueva York</b:City>
    <b:RefOrder>31</b:RefOrder>
  </b:Source>
  <b:Source>
    <b:Tag>CED79</b:Tag>
    <b:SourceType>InternetSite</b:SourceType>
    <b:Guid>{D4097C9A-1EB2-DA4C-B229-1F45857F0B1D}</b:Guid>
    <b:Title>Convención sobre la eliminación de todas las formas de discriminación contra la mujer</b:Title>
    <b:Year>1979</b:Year>
    <b:Author>
      <b:Author>
        <b:NameList>
          <b:Person>
            <b:Last>CEDAW</b:Last>
          </b:Person>
        </b:NameList>
      </b:Author>
    </b:Author>
    <b:URL>https://www.ohchr.org/sp/professionalinterest/pages/cedaw.aspx</b:URL>
    <b:RefOrder>16</b:RefOrder>
  </b:Source>
  <b:Source>
    <b:Tag>PAB95</b:Tag>
    <b:SourceType>InternetSite</b:SourceType>
    <b:Guid>{E72F2766-8CCC-554D-8086-22FCB3DD0C3C}</b:Guid>
    <b:Author>
      <b:Author>
        <b:NameList>
          <b:Person>
            <b:Last>PAB</b:Last>
          </b:Person>
        </b:NameList>
      </b:Author>
    </b:Author>
    <b:Title>Declaración y Plataforma de Acción de Beijing </b:Title>
    <b:URL>https://www.un.org/womenwatch/daw/beijing/pdf/BDPfA%20S.pdf</b:URL>
    <b:Year>1995</b:Year>
    <b:RefOrder>17</b:RefOrder>
  </b:Source>
  <b:Source>
    <b:Tag>ODM15</b:Tag>
    <b:SourceType>InternetSite</b:SourceType>
    <b:Guid>{A96F2F58-8EE7-6D40-B04C-D43BC577DC37}</b:Guid>
    <b:Author>
      <b:Author>
        <b:NameList>
          <b:Person>
            <b:Last>ODM</b:Last>
          </b:Person>
        </b:NameList>
      </b:Author>
    </b:Author>
    <b:Title>Objetivos de Desarrollo del Milenio </b:Title>
    <b:URL>https://research.un.org/es/docs/dev/2000-2015</b:URL>
    <b:Year>2000-2015</b:Year>
    <b:RefOrder>18</b:RefOrder>
  </b:Source>
  <b:Source>
    <b:Tag>Res00</b:Tag>
    <b:SourceType>InternetSite</b:SourceType>
    <b:Guid>{0A283136-BD81-BB4D-A67E-661CB4CDE799}</b:Guid>
    <b:Author>
      <b:Author>
        <b:NameList>
          <b:Person>
            <b:Last>Resolución 1325</b:Last>
          </b:Person>
        </b:NameList>
      </b:Author>
    </b:Author>
    <b:URL>https://www.un.org/womenwatch/ods/S-RES-1325(2000)-S.pdf</b:URL>
    <b:Year>2000</b:Year>
    <b:RefOrder>32</b:RefOrder>
  </b:Source>
  <b:Source>
    <b:Tag>ODS15</b:Tag>
    <b:SourceType>InternetSite</b:SourceType>
    <b:Guid>{7534F50F-CEE0-DC4C-8B2A-D410F3C2CD67}</b:Guid>
    <b:Author>
      <b:Author>
        <b:NameList>
          <b:Person>
            <b:Last>ODS</b:Last>
          </b:Person>
        </b:NameList>
      </b:Author>
    </b:Author>
    <b:Title>Objetivos del Desarrollo Sostenible;</b:Title>
    <b:URL>https://www.un.org/sustainabledevelopment/es/objetivos-de-desarrollo-sostenible/</b:URL>
    <b:Year>2015</b:Year>
    <b:RefOrder>33</b:RefOrder>
  </b:Source>
  <b:Source>
    <b:Tag>Ins00</b:Tag>
    <b:SourceType>Book</b:SourceType>
    <b:Guid>{8F765644-3D83-C44A-BC8F-B40722F9DEAB}</b:Guid>
    <b:Title>Derechos humanos de las mujeres: paso a paso. Guía para el uso del derecho internacional de los derechos humanos y de los mecanismos para defender los derechos humanos de las mujeres</b:Title>
    <b:Year>2000</b:Year>
    <b:City>Costa Rica</b:City>
    <b:Author>
      <b:Author>
        <b:NameList>
          <b:Person>
            <b:Last>IIDH</b:Last>
          </b:Person>
          <b:Person>
            <b:Last>WL</b:Last>
          </b:Person>
          <b:Person>
            <b:Last>DIHRWRP</b:Last>
          </b:Person>
        </b:NameList>
      </b:Author>
    </b:Author>
    <b:Publisher>Instituto Interamericano de Derechos Humanos</b:Publisher>
    <b:RefOrder>34</b:RefOrder>
  </b:Source>
  <b:Source>
    <b:Tag>Con94</b:Tag>
    <b:SourceType>InternetSite</b:SourceType>
    <b:Guid>{6D576682-DE7F-6340-B10E-42828040D5D2}</b:Guid>
    <b:Title>Convención interamericana para prevenir,  sancionar y erradicar la violencia contra la mujer</b:Title>
    <b:Year>1994</b:Year>
    <b:Author>
      <b:Author>
        <b:NameList>
          <b:Person>
            <b:Last>Convención de Belém Do Para</b:Last>
          </b:Person>
        </b:NameList>
      </b:Author>
    </b:Author>
    <b:URL>https://www.oas.org/juridico/spanish/tratados/a-61.html</b:URL>
    <b:RefOrder>19</b:RefOrder>
  </b:Source>
  <b:Source>
    <b:Tag>PIS</b:Tag>
    <b:SourceType>InternetSite</b:SourceType>
    <b:Guid>{68A41B91-4666-FB4C-B766-7102BD686D5E}</b:Guid>
    <b:Author>
      <b:Author>
        <b:NameList>
          <b:Person>
            <b:Last>PISPDHMEIG</b:Last>
          </b:Person>
        </b:NameList>
      </b:Author>
    </b:Author>
    <b:Title>Programa Interamericano Sobre la Promoción de los Derechos Humanos de la Mujer y la Equidad e Igualdad de Género</b:Title>
    <b:URL>http://www.summit-americas.org/vp/cim/programa_interamcim_cuatro_idiomas.pdf</b:URL>
    <b:Year>2001</b:Year>
    <b:RefOrder>35</b:RefOrder>
  </b:Source>
  <b:Source>
    <b:Tag>PAR01</b:Tag>
    <b:SourceType>InternetSite</b:SourceType>
    <b:Guid>{522EA549-D93A-5246-BD2E-FD9DDAB05EA5}</b:Guid>
    <b:Author>
      <b:Author>
        <b:NameList>
          <b:Person>
            <b:Last>PARMALC</b:Last>
          </b:Person>
        </b:NameList>
      </b:Author>
    </b:Author>
    <b:Title>Programa de Acción Regional para las Mujeres de América Latina y el Caribe</b:Title>
    <b:URL>https://repositorio.cepal.org/bitstream/handle/11362/16775/S2004051_es.pdf?sequence=1&amp;isAllowed=y</b:URL>
    <b:Year>1995-2001</b:Year>
    <b:RefOrder>36</b:RefOrder>
  </b:Source>
  <b:Source>
    <b:Tag>ONU452</b:Tag>
    <b:SourceType>InternetSite</b:SourceType>
    <b:Guid>{03F5D372-7636-1C45-9C00-12381BBE27DD}</b:Guid>
    <b:Author>
      <b:Author>
        <b:NameList>
          <b:Person>
            <b:Last>ONU</b:Last>
          </b:Person>
        </b:NameList>
      </b:Author>
    </b:Author>
    <b:Title>Historia de las Naciones Unidas</b:Title>
    <b:URL>https://www.un.org/un70/es/content/history/index.html</b:URL>
    <b:Year>1945</b:Year>
    <b:RefOrder>37</b:RefOrder>
  </b:Source>
  <b:Source>
    <b:Tag>RAC20</b:Tag>
    <b:SourceType>InternetSite</b:SourceType>
    <b:Guid>{5EA353DF-A9C4-E046-88B1-70EEDFED9C92}</b:Guid>
    <b:Title>Índice de Desigualdad de Género 2019 </b:Title>
    <b:Year>2020</b:Year>
    <b:Author>
      <b:Author>
        <b:NameList>
          <b:Person>
            <b:Last>PNUD</b:Last>
          </b:Person>
        </b:NameList>
      </b:Author>
    </b:Author>
    <b:URL>https://-el-indice-de-desigualdad-de-genero-2019/</b:URL>
    <b:RefOrder>7</b:RefOrder>
  </b:Source>
  <b:Source>
    <b:Tag>PNU213</b:Tag>
    <b:SourceType>InternetSite</b:SourceType>
    <b:Guid>{4B409C55-837E-AA4C-8C6D-827F3BA9AB09}</b:Guid>
    <b:Author>
      <b:Author>
        <b:NameList>
          <b:Person>
            <b:Last>PNUD</b:Last>
          </b:Person>
        </b:NameList>
      </b:Author>
    </b:Author>
    <b:Title>Enfoque Igualdad de género</b:Title>
    <b:InternetSiteTitle>Sitio Web Programa de las Naciones Unidas para el Desarrollo</b:InternetSiteTitle>
    <b:URL>https://www1.undp.org/content/undp/es/home/gender-equality.html</b:URL>
    <b:Year>2021</b:Year>
    <b:RefOrder>10</b:RefOrder>
  </b:Source>
  <b:Source>
    <b:Tag>UNG21</b:Tag>
    <b:SourceType>InternetSite</b:SourceType>
    <b:Guid>{EC4520E5-2FE3-EE4A-A89A-5B81604788FB}</b:Guid>
    <b:Title>Abogar por la igualdad y la no discriminación del personal LGBTI en el sistema de la ONU y sus operaciones de mantenimiento de la paz </b:Title>
    <b:Year>2021</b:Year>
    <b:Author>
      <b:Author>
        <b:NameList>
          <b:Person>
            <b:Last>UN-GLOBE</b:Last>
          </b:Person>
        </b:NameList>
      </b:Author>
    </b:Author>
    <b:URL>http://www.unglobe.org/</b:URL>
    <b:InternetSiteTitle>www.unglobe.org/</b:InternetSiteTitle>
    <b:RefOrder>6</b:RefOrder>
  </b:Source>
  <b:Source>
    <b:Tag>USA18</b:Tag>
    <b:SourceType>Report</b:SourceType>
    <b:Guid>{47AE35A7-B1B3-9344-A6E0-3BB718F5F008}</b:Guid>
    <b:Title>Violencia basada en género, VIH y Poblaciones Clave en Latinoamérica y el Caribe</b:Title>
    <b:Year>2018</b:Year>
    <b:Author>
      <b:Author>
        <b:NameList>
          <b:Person>
            <b:Last>USAID</b:Last>
            <b:First>PEPFAR,</b:First>
            <b:Middle>PNUD</b:Middle>
          </b:Person>
        </b:NameList>
      </b:Author>
    </b:Author>
    <b:RefOrder>3</b:RefOrder>
  </b:Source>
  <b:Source>
    <b:Tag>CCM95</b:Tag>
    <b:SourceType>DocumentFromInternetSite</b:SourceType>
    <b:Guid>{C78E08CF-E639-7047-AA83-74C539817991}</b:Guid>
    <b:Title>www.acnur.org/fileadmin/Documentos/BDL/2006/4654.pdf</b:Title>
    <b:Year>1995</b:Year>
    <b:Author>
      <b:Author>
        <b:NameList>
          <b:Person>
            <b:Last>CCMSM</b:Last>
          </b:Person>
        </b:NameList>
      </b:Author>
    </b:Author>
    <b:InternetSiteTitle>Cuarta Conferencia Mundial Sobre la Mujer</b:InternetSiteTitle>
    <b:URL>https://www.acnur.org/fileadmin/Documentos/BDL/2006/4654.pdf</b:URL>
    <b:RefOrder>38</b:RefOrder>
  </b:Source>
  <b:Source>
    <b:Tag>GAE18</b:Tag>
    <b:SourceType>DocumentFromInternetSite</b:SourceType>
    <b:Guid>{D2E1E5D6-ABAD-D246-A49F-D4AC50EAFBB5}</b:Guid>
    <b:Author>
      <b:Author>
        <b:NameList>
          <b:Person>
            <b:Last>GAEG</b:Last>
          </b:Person>
        </b:NameList>
      </b:Author>
    </b:Author>
    <b:Title>www.unicef.org/argentina/media/3831/file/Linea%20102-%20Gu%C3%ADa%20G%C3%A9nero.pdf</b:Title>
    <b:InternetSiteTitle>Guía de Atención con enfoque de Género</b:InternetSiteTitle>
    <b:URL>https://www.unicef.org/argentina/media/3831/file/Linea%20102-%20Gu%C3%ADa%20G%C3%A9nero.pdf</b:URL>
    <b:Year>2018</b:Year>
    <b:RefOrder>39</b:RefOrder>
  </b:Source>
  <b:Source>
    <b:Tag>COI19</b:Tag>
    <b:SourceType>Report</b:SourceType>
    <b:Guid>{AFB32CDE-2721-3448-8D4A-DBC0CF880AB9}</b:Guid>
    <b:Author>
      <b:Author>
        <b:NameList>
          <b:Person>
            <b:Last>OEA</b:Last>
            <b:First>COIDH</b:First>
            <b:Middle>y</b:Middle>
          </b:Person>
        </b:NameList>
      </b:Author>
    </b:Author>
    <b:Title>Violencia y Discriminación contra mujeres, niñas y adolescentes </b:Title>
    <b:Year>2019</b:Year>
    <b:Publisher>COIDH y OEA</b:Publisher>
    <b:RefOrder>11</b:RefOrder>
  </b:Source>
  <b:Source>
    <b:Tag>Har12</b:Tag>
    <b:SourceType>JournalArticle</b:SourceType>
    <b:Guid>{67D9C406-C1FA-274D-9122-8605EF999B28}</b:Guid>
    <b:Author>
      <b:Author>
        <b:NameList>
          <b:Person>
            <b:Last>Haraway</b:Last>
            <b:First>D</b:First>
          </b:Person>
        </b:NameList>
      </b:Author>
    </b:Author>
    <b:Title>El Ecofeminismo</b:Title>
    <b:Year>2012</b:Year>
    <b:JournalName>Gestión y Ambiente</b:JournalName>
    <b:RefOrder>12</b:RefOrder>
  </b:Source>
  <b:Source>
    <b:Tag>Wil12</b:Tag>
    <b:SourceType>BookSection</b:SourceType>
    <b:Guid>{8F8F7515-E339-D741-9285-54166BF30C52}</b:Guid>
    <b:Author>
      <b:Author>
        <b:NameList>
          <b:Person>
            <b:Last>Williams</b:Last>
            <b:First>K</b:First>
          </b:Person>
        </b:NameList>
      </b:Author>
      <b:BookAuthor>
        <b:NameList>
          <b:Person>
            <b:Last>Saenz</b:Last>
            <b:First>Platero</b:First>
            <b:Middle>y</b:Middle>
          </b:Person>
        </b:NameList>
      </b:BookAuthor>
    </b:Author>
    <b:Title>Cartografiando los márgenes. Interseccionalidad, políticas identitarias, y violencia contra las mujeres de color</b:Title>
    <b:Year>2012</b:Year>
    <b:BookTitle>Intersecciones: cuerpos y sexualidades en la encrucijada</b:BookTitle>
    <b:RefOrder>14</b:RefOrder>
  </b:Source>
  <b:Source>
    <b:Tag>Mor96</b:Tag>
    <b:SourceType>BookSection</b:SourceType>
    <b:Guid>{87869C0C-6233-BB43-93B4-D06885886A2F}</b:Guid>
    <b:Title>Describiendo el empoderamiento de las nuevas cosas</b:Title>
    <b:Year>1996</b:Year>
    <b:Author>
      <b:Author>
        <b:NameList>
          <b:Person>
            <b:Last>Morgan</b:Last>
            <b:First>K</b:First>
          </b:Person>
        </b:NameList>
      </b:Author>
      <b:BookAuthor>
        <b:NameList>
          <b:Person>
            <b:Last>Diller</b:Last>
            <b:First>A</b:First>
          </b:Person>
          <b:Person>
            <b:Last>Huston</b:Last>
            <b:First>B</b:First>
          </b:Person>
          <b:Person>
            <b:Last>Morgan</b:Last>
            <b:First>K</b:First>
          </b:Person>
          <b:Person>
            <b:Last>Ayim</b:Last>
            <b:First>M</b:First>
          </b:Person>
        </b:NameList>
      </b:BookAuthor>
    </b:Author>
    <b:Publisher>Routledge</b:Publisher>
    <b:BookTitle>La cuestion del género en la educación </b:BookTitle>
    <b:RefOrder>15</b:RefOrder>
  </b:Source>
</b:Sources>
</file>

<file path=customXml/itemProps1.xml><?xml version="1.0" encoding="utf-8"?>
<ds:datastoreItem xmlns:ds="http://schemas.openxmlformats.org/officeDocument/2006/customXml" ds:itemID="{5DFC47AB-5DFF-5944-B565-5E5676EDA8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13</Pages>
  <Words>5846</Words>
  <Characters>32158</Characters>
  <Application>Microsoft Office Word</Application>
  <DocSecurity>0</DocSecurity>
  <Lines>267</Lines>
  <Paragraphs>75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37929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2</cp:revision>
  <dcterms:created xsi:type="dcterms:W3CDTF">2021-09-21T09:15:00Z</dcterms:created>
  <dcterms:modified xsi:type="dcterms:W3CDTF">2021-09-21T09:15:00Z</dcterms:modified>
</cp:coreProperties>
</file>