
<file path=[Content_Types].xml><?xml version="1.0" encoding="utf-8"?>
<Types xmlns="http://schemas.openxmlformats.org/package/2006/content-types">
  <Default Extension="jfif" ContentType="image/jpeg"/>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9A5B6A" w14:textId="77777777" w:rsidR="002B2E5C" w:rsidRDefault="002B2E5C" w:rsidP="002B2E5C">
      <w:pPr>
        <w:rPr>
          <w:sz w:val="36"/>
          <w:szCs w:val="36"/>
        </w:rPr>
      </w:pPr>
      <w:bookmarkStart w:id="0" w:name="_Hlk88567210"/>
      <w:r w:rsidRPr="00CB721B">
        <w:rPr>
          <w:noProof/>
          <w:sz w:val="36"/>
          <w:szCs w:val="36"/>
        </w:rPr>
        <w:drawing>
          <wp:anchor distT="0" distB="0" distL="114300" distR="114300" simplePos="0" relativeHeight="251683840" behindDoc="0" locked="0" layoutInCell="1" allowOverlap="1" wp14:anchorId="0CD9B82C" wp14:editId="177B30A6">
            <wp:simplePos x="3212327" y="1288111"/>
            <wp:positionH relativeFrom="margin">
              <wp:align>left</wp:align>
            </wp:positionH>
            <wp:positionV relativeFrom="margin">
              <wp:align>top</wp:align>
            </wp:positionV>
            <wp:extent cx="1260000" cy="1260000"/>
            <wp:effectExtent l="0" t="0" r="0" b="0"/>
            <wp:wrapSquare wrapText="bothSides"/>
            <wp:docPr id="349" name="Picture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 descr="Imagen relacionad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60000" cy="1260000"/>
                    </a:xfrm>
                    <a:prstGeom prst="rect">
                      <a:avLst/>
                    </a:prstGeom>
                    <a:noFill/>
                  </pic:spPr>
                </pic:pic>
              </a:graphicData>
            </a:graphic>
            <wp14:sizeRelH relativeFrom="margin">
              <wp14:pctWidth>0</wp14:pctWidth>
            </wp14:sizeRelH>
            <wp14:sizeRelV relativeFrom="margin">
              <wp14:pctHeight>0</wp14:pctHeight>
            </wp14:sizeRelV>
          </wp:anchor>
        </w:drawing>
      </w:r>
    </w:p>
    <w:p w14:paraId="1DB1D7A3" w14:textId="77777777" w:rsidR="002B2E5C" w:rsidRPr="00CE1A43" w:rsidRDefault="002B2E5C" w:rsidP="002B2E5C">
      <w:pPr>
        <w:jc w:val="center"/>
        <w:rPr>
          <w:sz w:val="40"/>
          <w:szCs w:val="40"/>
        </w:rPr>
      </w:pPr>
      <w:r w:rsidRPr="00CE1A43">
        <w:rPr>
          <w:sz w:val="40"/>
          <w:szCs w:val="40"/>
        </w:rPr>
        <w:t>UNIVERSIDAD AUTÓNOMA DEL ESTADO DE MÉXICO</w:t>
      </w:r>
    </w:p>
    <w:p w14:paraId="4AAA51CB" w14:textId="77777777" w:rsidR="002B2E5C" w:rsidRPr="00717CDB" w:rsidRDefault="002B2E5C" w:rsidP="002B2E5C">
      <w:pPr>
        <w:jc w:val="center"/>
        <w:rPr>
          <w:sz w:val="32"/>
          <w:szCs w:val="32"/>
        </w:rPr>
      </w:pPr>
      <w:r w:rsidRPr="00717CDB">
        <w:rPr>
          <w:sz w:val="32"/>
          <w:szCs w:val="32"/>
        </w:rPr>
        <w:t>FACULTAD DE GEOGRAFÍA</w:t>
      </w:r>
    </w:p>
    <w:p w14:paraId="0310C0D3" w14:textId="77777777" w:rsidR="002B2E5C" w:rsidRPr="00532B0D" w:rsidRDefault="002B2E5C" w:rsidP="002B2E5C">
      <w:pPr>
        <w:ind w:firstLine="720"/>
        <w:jc w:val="center"/>
        <w:rPr>
          <w:sz w:val="12"/>
          <w:szCs w:val="12"/>
        </w:rPr>
      </w:pPr>
      <w:r w:rsidRPr="00532B0D">
        <w:rPr>
          <w:noProof/>
          <w:sz w:val="12"/>
          <w:szCs w:val="12"/>
        </w:rPr>
        <mc:AlternateContent>
          <mc:Choice Requires="wps">
            <w:drawing>
              <wp:anchor distT="0" distB="0" distL="114300" distR="114300" simplePos="0" relativeHeight="251685888" behindDoc="0" locked="0" layoutInCell="1" allowOverlap="1" wp14:anchorId="6C0620C6" wp14:editId="42244F47">
                <wp:simplePos x="0" y="0"/>
                <wp:positionH relativeFrom="column">
                  <wp:posOffset>1252855</wp:posOffset>
                </wp:positionH>
                <wp:positionV relativeFrom="paragraph">
                  <wp:posOffset>113030</wp:posOffset>
                </wp:positionV>
                <wp:extent cx="4679950" cy="0"/>
                <wp:effectExtent l="0" t="19050" r="25400" b="19050"/>
                <wp:wrapNone/>
                <wp:docPr id="351" name="Conector recto 351"/>
                <wp:cNvGraphicFramePr/>
                <a:graphic xmlns:a="http://schemas.openxmlformats.org/drawingml/2006/main">
                  <a:graphicData uri="http://schemas.microsoft.com/office/word/2010/wordprocessingShape">
                    <wps:wsp>
                      <wps:cNvCnPr/>
                      <wps:spPr>
                        <a:xfrm>
                          <a:off x="0" y="0"/>
                          <a:ext cx="4679950" cy="0"/>
                        </a:xfrm>
                        <a:prstGeom prst="line">
                          <a:avLst/>
                        </a:prstGeom>
                        <a:ln w="31750">
                          <a:solidFill>
                            <a:schemeClr val="accent6">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8DDA5C" id="Conector recto 35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65pt,8.9pt" to="467.1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" strokecolor="#375623 [1609]" strokeweight="2.5pt">
                <v:stroke joinstyle="miter"/>
              </v:line>
            </w:pict>
          </mc:Fallback>
        </mc:AlternateContent>
      </w:r>
      <w:r w:rsidRPr="00532B0D">
        <w:rPr>
          <w:noProof/>
          <w:sz w:val="12"/>
          <w:szCs w:val="12"/>
        </w:rPr>
        <mc:AlternateContent>
          <mc:Choice Requires="wps">
            <w:drawing>
              <wp:anchor distT="0" distB="0" distL="114300" distR="114300" simplePos="0" relativeHeight="251691008" behindDoc="0" locked="0" layoutInCell="1" allowOverlap="1" wp14:anchorId="060240AC" wp14:editId="1F77ACDA">
                <wp:simplePos x="0" y="0"/>
                <wp:positionH relativeFrom="leftMargin">
                  <wp:posOffset>1432882</wp:posOffset>
                </wp:positionH>
                <wp:positionV relativeFrom="paragraph">
                  <wp:posOffset>173990</wp:posOffset>
                </wp:positionV>
                <wp:extent cx="0" cy="5399405"/>
                <wp:effectExtent l="19050" t="0" r="19050" b="29845"/>
                <wp:wrapSquare wrapText="bothSides"/>
                <wp:docPr id="106" name="Conector recto 106"/>
                <wp:cNvGraphicFramePr/>
                <a:graphic xmlns:a="http://schemas.openxmlformats.org/drawingml/2006/main">
                  <a:graphicData uri="http://schemas.microsoft.com/office/word/2010/wordprocessingShape">
                    <wps:wsp>
                      <wps:cNvCnPr/>
                      <wps:spPr>
                        <a:xfrm flipH="1">
                          <a:off x="0" y="0"/>
                          <a:ext cx="0" cy="5399405"/>
                        </a:xfrm>
                        <a:prstGeom prst="line">
                          <a:avLst/>
                        </a:prstGeom>
                        <a:ln w="31750">
                          <a:solidFill>
                            <a:schemeClr val="accent6">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17CCA1" id="Conector recto 106" o:spid="_x0000_s1026" style="position:absolute;flip:x;z-index:25169100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112.85pt,13.7pt" to="112.85pt,4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" strokecolor="#375623 [1609]" strokeweight="2.5pt">
                <v:stroke joinstyle="miter"/>
                <w10:wrap type="square" anchorx="margin"/>
              </v:line>
            </w:pict>
          </mc:Fallback>
        </mc:AlternateContent>
      </w:r>
      <w:r w:rsidRPr="00532B0D">
        <w:rPr>
          <w:noProof/>
          <w:sz w:val="12"/>
          <w:szCs w:val="12"/>
        </w:rPr>
        <mc:AlternateContent>
          <mc:Choice Requires="wps">
            <w:drawing>
              <wp:anchor distT="0" distB="0" distL="114300" distR="114300" simplePos="0" relativeHeight="251688960" behindDoc="0" locked="0" layoutInCell="1" allowOverlap="1" wp14:anchorId="4D2EDAAC" wp14:editId="1987CA29">
                <wp:simplePos x="0" y="0"/>
                <wp:positionH relativeFrom="leftMargin">
                  <wp:posOffset>1895996</wp:posOffset>
                </wp:positionH>
                <wp:positionV relativeFrom="paragraph">
                  <wp:posOffset>319670</wp:posOffset>
                </wp:positionV>
                <wp:extent cx="0" cy="6119495"/>
                <wp:effectExtent l="19050" t="0" r="19050" b="33655"/>
                <wp:wrapSquare wrapText="bothSides"/>
                <wp:docPr id="357" name="Conector recto 357"/>
                <wp:cNvGraphicFramePr/>
                <a:graphic xmlns:a="http://schemas.openxmlformats.org/drawingml/2006/main">
                  <a:graphicData uri="http://schemas.microsoft.com/office/word/2010/wordprocessingShape">
                    <wps:wsp>
                      <wps:cNvCnPr/>
                      <wps:spPr>
                        <a:xfrm flipH="1">
                          <a:off x="0" y="0"/>
                          <a:ext cx="0" cy="6119495"/>
                        </a:xfrm>
                        <a:prstGeom prst="line">
                          <a:avLst/>
                        </a:prstGeom>
                        <a:ln w="317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C30824" id="Conector recto 357" o:spid="_x0000_s1026" style="position:absolute;flip:x;z-index:25168896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149.3pt,25.15pt" to="149.3pt,5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" strokecolor="white [3212]" strokeweight="2.5pt">
                <v:stroke joinstyle="miter"/>
                <w10:wrap type="square" anchorx="margin"/>
              </v:line>
            </w:pict>
          </mc:Fallback>
        </mc:AlternateContent>
      </w:r>
      <w:r w:rsidRPr="00532B0D">
        <w:rPr>
          <w:noProof/>
          <w:sz w:val="12"/>
          <w:szCs w:val="12"/>
        </w:rPr>
        <mc:AlternateContent>
          <mc:Choice Requires="wps">
            <w:drawing>
              <wp:anchor distT="0" distB="0" distL="114300" distR="114300" simplePos="0" relativeHeight="251684864" behindDoc="0" locked="0" layoutInCell="1" allowOverlap="1" wp14:anchorId="096339ED" wp14:editId="3EB1E0F6">
                <wp:simplePos x="0" y="0"/>
                <wp:positionH relativeFrom="column">
                  <wp:posOffset>1082040</wp:posOffset>
                </wp:positionH>
                <wp:positionV relativeFrom="paragraph">
                  <wp:posOffset>24765</wp:posOffset>
                </wp:positionV>
                <wp:extent cx="5039995" cy="0"/>
                <wp:effectExtent l="0" t="19050" r="27305" b="19050"/>
                <wp:wrapNone/>
                <wp:docPr id="350" name="Conector recto 350"/>
                <wp:cNvGraphicFramePr/>
                <a:graphic xmlns:a="http://schemas.openxmlformats.org/drawingml/2006/main">
                  <a:graphicData uri="http://schemas.microsoft.com/office/word/2010/wordprocessingShape">
                    <wps:wsp>
                      <wps:cNvCnPr/>
                      <wps:spPr>
                        <a:xfrm flipV="1">
                          <a:off x="0" y="0"/>
                          <a:ext cx="5039995" cy="0"/>
                        </a:xfrm>
                        <a:prstGeom prst="line">
                          <a:avLst/>
                        </a:prstGeom>
                        <a:ln w="31750">
                          <a:solidFill>
                            <a:schemeClr val="accent6">
                              <a:lumMod val="75000"/>
                            </a:schemeClr>
                          </a:solidFill>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FCF905" id="Conector recto 350"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2pt,1.95pt" to="482.0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" strokecolor="#538135 [2409]" strokeweight="2.5pt">
                <v:stroke joinstyle="miter"/>
              </v:line>
            </w:pict>
          </mc:Fallback>
        </mc:AlternateContent>
      </w:r>
    </w:p>
    <w:p w14:paraId="34C21D98" w14:textId="77777777" w:rsidR="002B2E5C" w:rsidRPr="00914BD2" w:rsidRDefault="002B2E5C" w:rsidP="002B2E5C">
      <w:pPr>
        <w:ind w:firstLine="720"/>
        <w:jc w:val="center"/>
        <w:rPr>
          <w:sz w:val="16"/>
          <w:szCs w:val="16"/>
        </w:rPr>
      </w:pPr>
      <w:r w:rsidRPr="00532B0D">
        <w:rPr>
          <w:noProof/>
          <w:sz w:val="12"/>
          <w:szCs w:val="12"/>
        </w:rPr>
        <mc:AlternateContent>
          <mc:Choice Requires="wps">
            <w:drawing>
              <wp:anchor distT="0" distB="0" distL="114300" distR="114300" simplePos="0" relativeHeight="251687936" behindDoc="0" locked="0" layoutInCell="1" allowOverlap="1" wp14:anchorId="4910091F" wp14:editId="073AB63E">
                <wp:simplePos x="0" y="0"/>
                <wp:positionH relativeFrom="leftMargin">
                  <wp:posOffset>1666875</wp:posOffset>
                </wp:positionH>
                <wp:positionV relativeFrom="paragraph">
                  <wp:posOffset>177800</wp:posOffset>
                </wp:positionV>
                <wp:extent cx="0" cy="5039995"/>
                <wp:effectExtent l="19050" t="0" r="19050" b="27305"/>
                <wp:wrapSquare wrapText="bothSides"/>
                <wp:docPr id="355" name="Conector recto 355"/>
                <wp:cNvGraphicFramePr/>
                <a:graphic xmlns:a="http://schemas.openxmlformats.org/drawingml/2006/main">
                  <a:graphicData uri="http://schemas.microsoft.com/office/word/2010/wordprocessingShape">
                    <wps:wsp>
                      <wps:cNvCnPr/>
                      <wps:spPr>
                        <a:xfrm flipH="1">
                          <a:off x="0" y="0"/>
                          <a:ext cx="0" cy="5039995"/>
                        </a:xfrm>
                        <a:prstGeom prst="line">
                          <a:avLst/>
                        </a:prstGeom>
                        <a:ln w="31750">
                          <a:solidFill>
                            <a:schemeClr val="accent6">
                              <a:lumMod val="60000"/>
                              <a:lumOff val="4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041232" id="Conector recto 355" o:spid="_x0000_s1026" style="position:absolute;flip:x;z-index:25168793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131.25pt,14pt" to="131.25pt,4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" strokecolor="#a8d08d [1945]" strokeweight="2.5pt">
                <v:stroke joinstyle="miter"/>
                <w10:wrap type="square" anchorx="margin"/>
              </v:line>
            </w:pict>
          </mc:Fallback>
        </mc:AlternateContent>
      </w:r>
      <w:r w:rsidRPr="00532B0D">
        <w:rPr>
          <w:noProof/>
          <w:sz w:val="12"/>
          <w:szCs w:val="12"/>
        </w:rPr>
        <mc:AlternateContent>
          <mc:Choice Requires="wps">
            <w:drawing>
              <wp:anchor distT="0" distB="0" distL="114300" distR="114300" simplePos="0" relativeHeight="251686912" behindDoc="0" locked="0" layoutInCell="1" allowOverlap="1" wp14:anchorId="726E230A" wp14:editId="06433185">
                <wp:simplePos x="0" y="0"/>
                <wp:positionH relativeFrom="leftMargin">
                  <wp:posOffset>1544007</wp:posOffset>
                </wp:positionH>
                <wp:positionV relativeFrom="paragraph">
                  <wp:posOffset>63500</wp:posOffset>
                </wp:positionV>
                <wp:extent cx="0" cy="5219700"/>
                <wp:effectExtent l="19050" t="0" r="19050" b="19050"/>
                <wp:wrapSquare wrapText="bothSides"/>
                <wp:docPr id="352" name="Conector recto 352"/>
                <wp:cNvGraphicFramePr/>
                <a:graphic xmlns:a="http://schemas.openxmlformats.org/drawingml/2006/main">
                  <a:graphicData uri="http://schemas.microsoft.com/office/word/2010/wordprocessingShape">
                    <wps:wsp>
                      <wps:cNvCnPr/>
                      <wps:spPr>
                        <a:xfrm flipH="1">
                          <a:off x="0" y="0"/>
                          <a:ext cx="0" cy="5219700"/>
                        </a:xfrm>
                        <a:prstGeom prst="line">
                          <a:avLst/>
                        </a:prstGeom>
                        <a:ln w="31750">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C51A9A" id="Conector recto 352" o:spid="_x0000_s1026" style="position:absolute;flip:x;z-index:2516869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121.6pt,5pt" to="121.6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" strokecolor="#538135 [2409]" strokeweight="2.5pt">
                <v:stroke joinstyle="miter"/>
                <w10:wrap type="square" anchorx="margin"/>
              </v:line>
            </w:pict>
          </mc:Fallback>
        </mc:AlternateContent>
      </w:r>
    </w:p>
    <w:p w14:paraId="15F619E1" w14:textId="77777777" w:rsidR="002B2E5C" w:rsidRPr="00717CDB" w:rsidRDefault="002B2E5C" w:rsidP="002B2E5C">
      <w:pPr>
        <w:ind w:firstLine="720"/>
        <w:jc w:val="center"/>
        <w:rPr>
          <w:sz w:val="30"/>
          <w:szCs w:val="30"/>
        </w:rPr>
      </w:pPr>
      <w:r w:rsidRPr="00717CDB">
        <w:rPr>
          <w:sz w:val="30"/>
          <w:szCs w:val="30"/>
        </w:rPr>
        <w:t>MAESTRÍA EN ANÁLISIS ESPACIAL Y GEOINFORMÁTICA</w:t>
      </w:r>
    </w:p>
    <w:p w14:paraId="1D4B8610" w14:textId="77777777" w:rsidR="002B2E5C" w:rsidRPr="003F4C93" w:rsidRDefault="002B2E5C" w:rsidP="002B2E5C">
      <w:pPr>
        <w:jc w:val="center"/>
        <w:rPr>
          <w:sz w:val="10"/>
          <w:szCs w:val="10"/>
        </w:rPr>
      </w:pPr>
    </w:p>
    <w:p w14:paraId="7562C590" w14:textId="5FCE34E9" w:rsidR="002B2E5C" w:rsidRPr="00FF1D7C" w:rsidRDefault="002B2E5C" w:rsidP="002B2E5C">
      <w:pPr>
        <w:spacing w:line="240" w:lineRule="auto"/>
        <w:jc w:val="center"/>
        <w:rPr>
          <w:rFonts w:ascii="Arial" w:eastAsia="Arial" w:hAnsi="Arial" w:cs="Arial"/>
          <w:b/>
          <w:bCs/>
          <w:sz w:val="29"/>
          <w:szCs w:val="29"/>
        </w:rPr>
      </w:pPr>
      <w:r w:rsidRPr="00FF1D7C">
        <w:rPr>
          <w:rFonts w:ascii="Arial" w:eastAsia="Arial" w:hAnsi="Arial" w:cs="Arial"/>
          <w:b/>
          <w:bCs/>
          <w:sz w:val="29"/>
          <w:szCs w:val="29"/>
        </w:rPr>
        <w:t>“Diseño y construcción de una herramienta de modelación, para la generación de escenarios de ocupación</w:t>
      </w:r>
      <w:r w:rsidR="0011791B">
        <w:rPr>
          <w:rFonts w:ascii="Arial" w:eastAsia="Arial" w:hAnsi="Arial" w:cs="Arial"/>
          <w:b/>
          <w:bCs/>
          <w:sz w:val="29"/>
          <w:szCs w:val="29"/>
        </w:rPr>
        <w:t>,</w:t>
      </w:r>
      <w:r w:rsidRPr="00FF1D7C">
        <w:rPr>
          <w:rFonts w:ascii="Arial" w:eastAsia="Arial" w:hAnsi="Arial" w:cs="Arial"/>
          <w:b/>
          <w:bCs/>
          <w:sz w:val="29"/>
          <w:szCs w:val="29"/>
        </w:rPr>
        <w:t xml:space="preserve"> del servicio público de panteones.</w:t>
      </w:r>
    </w:p>
    <w:p w14:paraId="69421687" w14:textId="77777777" w:rsidR="002B2E5C" w:rsidRPr="00810ABE" w:rsidRDefault="002B2E5C" w:rsidP="002B2E5C">
      <w:pPr>
        <w:spacing w:line="240" w:lineRule="auto"/>
        <w:jc w:val="center"/>
        <w:rPr>
          <w:rFonts w:ascii="Arial" w:eastAsia="Arial" w:hAnsi="Arial" w:cs="Arial"/>
          <w:sz w:val="2"/>
          <w:szCs w:val="2"/>
        </w:rPr>
      </w:pPr>
    </w:p>
    <w:p w14:paraId="27672491" w14:textId="77777777" w:rsidR="002B2E5C" w:rsidRPr="00914BD2" w:rsidRDefault="002B2E5C" w:rsidP="002B2E5C">
      <w:pPr>
        <w:spacing w:line="240" w:lineRule="auto"/>
        <w:jc w:val="center"/>
        <w:rPr>
          <w:rFonts w:ascii="Arial" w:eastAsia="Arial" w:hAnsi="Arial" w:cs="Arial"/>
          <w:i/>
          <w:sz w:val="22"/>
          <w:szCs w:val="22"/>
        </w:rPr>
      </w:pPr>
      <w:r w:rsidRPr="00FF1D7C">
        <w:rPr>
          <w:rFonts w:ascii="Arial" w:eastAsia="Arial" w:hAnsi="Arial" w:cs="Arial"/>
          <w:i/>
          <w:sz w:val="23"/>
          <w:szCs w:val="23"/>
        </w:rPr>
        <w:t>El Caso de la Alcaldía Iztapalapa, Ciudad de México</w:t>
      </w:r>
      <w:r w:rsidRPr="00914BD2">
        <w:rPr>
          <w:rFonts w:ascii="Arial" w:eastAsia="Arial" w:hAnsi="Arial" w:cs="Arial"/>
          <w:i/>
          <w:sz w:val="22"/>
          <w:szCs w:val="22"/>
        </w:rPr>
        <w:t>.</w:t>
      </w:r>
      <w:r w:rsidRPr="00FF1D7C">
        <w:rPr>
          <w:rFonts w:ascii="Arial" w:eastAsia="Arial" w:hAnsi="Arial" w:cs="Arial"/>
          <w:i/>
          <w:sz w:val="25"/>
          <w:szCs w:val="25"/>
        </w:rPr>
        <w:t>”</w:t>
      </w:r>
    </w:p>
    <w:p w14:paraId="3AF29B41" w14:textId="77777777" w:rsidR="002B2E5C" w:rsidRDefault="002B2E5C" w:rsidP="002B2E5C">
      <w:pPr>
        <w:jc w:val="center"/>
        <w:rPr>
          <w:rFonts w:ascii="Arial" w:eastAsia="Arial" w:hAnsi="Arial" w:cs="Arial"/>
        </w:rPr>
      </w:pPr>
    </w:p>
    <w:p w14:paraId="083AD885" w14:textId="77777777" w:rsidR="002B2E5C" w:rsidRPr="006F21F3" w:rsidRDefault="002B2E5C" w:rsidP="002B2E5C">
      <w:pPr>
        <w:spacing w:after="0"/>
        <w:jc w:val="center"/>
        <w:rPr>
          <w:rFonts w:ascii="Arial" w:eastAsia="Arial" w:hAnsi="Arial" w:cs="Arial"/>
          <w:sz w:val="22"/>
          <w:szCs w:val="22"/>
        </w:rPr>
      </w:pPr>
      <w:r w:rsidRPr="006F21F3">
        <w:rPr>
          <w:rFonts w:ascii="Arial" w:eastAsia="Arial" w:hAnsi="Arial" w:cs="Arial"/>
          <w:sz w:val="22"/>
          <w:szCs w:val="22"/>
        </w:rPr>
        <w:t xml:space="preserve">TESIS </w:t>
      </w:r>
    </w:p>
    <w:p w14:paraId="549119DE" w14:textId="77777777" w:rsidR="002B2E5C" w:rsidRPr="00FF1D7C" w:rsidRDefault="002B2E5C" w:rsidP="002B2E5C">
      <w:pPr>
        <w:spacing w:after="0"/>
        <w:jc w:val="center"/>
        <w:rPr>
          <w:rFonts w:ascii="Arial" w:eastAsia="Arial" w:hAnsi="Arial" w:cs="Arial"/>
          <w:sz w:val="22"/>
          <w:szCs w:val="22"/>
        </w:rPr>
      </w:pPr>
      <w:r w:rsidRPr="00FF1D7C">
        <w:rPr>
          <w:rFonts w:ascii="Arial" w:eastAsia="Arial" w:hAnsi="Arial" w:cs="Arial"/>
          <w:sz w:val="22"/>
          <w:szCs w:val="22"/>
        </w:rPr>
        <w:t xml:space="preserve">Para obtener el grado de: </w:t>
      </w:r>
    </w:p>
    <w:p w14:paraId="5D9A324A" w14:textId="77777777" w:rsidR="002B2E5C" w:rsidRPr="00FF1D7C" w:rsidRDefault="002B2E5C" w:rsidP="002B2E5C">
      <w:pPr>
        <w:spacing w:after="0"/>
        <w:jc w:val="center"/>
        <w:rPr>
          <w:rFonts w:ascii="Arial" w:eastAsia="Arial" w:hAnsi="Arial" w:cs="Arial"/>
          <w:sz w:val="20"/>
          <w:szCs w:val="20"/>
        </w:rPr>
      </w:pPr>
      <w:r w:rsidRPr="00FF1D7C">
        <w:rPr>
          <w:rFonts w:ascii="Arial" w:eastAsia="Arial" w:hAnsi="Arial" w:cs="Arial"/>
          <w:sz w:val="22"/>
          <w:szCs w:val="22"/>
        </w:rPr>
        <w:t>Maestro en Análisis Espacial y Geoinformática</w:t>
      </w:r>
    </w:p>
    <w:p w14:paraId="7F881626" w14:textId="77777777" w:rsidR="002B2E5C" w:rsidRDefault="002B2E5C" w:rsidP="002B2E5C">
      <w:pPr>
        <w:jc w:val="center"/>
        <w:rPr>
          <w:rFonts w:ascii="Arial" w:eastAsia="Arial" w:hAnsi="Arial" w:cs="Arial"/>
        </w:rPr>
      </w:pPr>
    </w:p>
    <w:p w14:paraId="22C6A4C5" w14:textId="77777777" w:rsidR="002B2E5C" w:rsidRPr="006F21F3" w:rsidRDefault="002B2E5C" w:rsidP="002B2E5C">
      <w:pPr>
        <w:spacing w:after="0" w:line="240" w:lineRule="auto"/>
        <w:jc w:val="center"/>
        <w:rPr>
          <w:rFonts w:ascii="Arial" w:eastAsia="Arial" w:hAnsi="Arial" w:cs="Arial"/>
          <w:sz w:val="22"/>
          <w:szCs w:val="22"/>
        </w:rPr>
      </w:pPr>
      <w:r w:rsidRPr="006F21F3">
        <w:rPr>
          <w:rFonts w:ascii="Arial" w:eastAsia="Arial" w:hAnsi="Arial" w:cs="Arial"/>
          <w:sz w:val="22"/>
          <w:szCs w:val="22"/>
        </w:rPr>
        <w:t>PRESENTA:</w:t>
      </w:r>
    </w:p>
    <w:p w14:paraId="39ABE1DF" w14:textId="77777777" w:rsidR="002B2E5C" w:rsidRPr="006F21F3" w:rsidRDefault="002B2E5C" w:rsidP="002B2E5C">
      <w:pPr>
        <w:spacing w:after="0" w:line="240" w:lineRule="auto"/>
        <w:jc w:val="center"/>
        <w:rPr>
          <w:rFonts w:ascii="Arial" w:eastAsia="Arial" w:hAnsi="Arial" w:cs="Arial"/>
          <w:bCs/>
          <w:sz w:val="22"/>
          <w:szCs w:val="22"/>
        </w:rPr>
      </w:pPr>
      <w:r w:rsidRPr="006F21F3">
        <w:rPr>
          <w:rFonts w:ascii="Arial" w:eastAsia="Arial" w:hAnsi="Arial" w:cs="Arial"/>
          <w:bCs/>
          <w:sz w:val="22"/>
          <w:szCs w:val="22"/>
        </w:rPr>
        <w:t>I</w:t>
      </w:r>
      <w:r>
        <w:rPr>
          <w:rFonts w:ascii="Arial" w:eastAsia="Arial" w:hAnsi="Arial" w:cs="Arial"/>
          <w:bCs/>
          <w:sz w:val="22"/>
          <w:szCs w:val="22"/>
        </w:rPr>
        <w:t>ng</w:t>
      </w:r>
      <w:r w:rsidRPr="006F21F3">
        <w:rPr>
          <w:rFonts w:ascii="Arial" w:eastAsia="Arial" w:hAnsi="Arial" w:cs="Arial"/>
          <w:bCs/>
          <w:sz w:val="22"/>
          <w:szCs w:val="22"/>
        </w:rPr>
        <w:t xml:space="preserve">. </w:t>
      </w:r>
      <w:r>
        <w:rPr>
          <w:rFonts w:ascii="Arial" w:eastAsia="Arial" w:hAnsi="Arial" w:cs="Arial"/>
          <w:bCs/>
          <w:sz w:val="22"/>
          <w:szCs w:val="22"/>
        </w:rPr>
        <w:t>L</w:t>
      </w:r>
      <w:r w:rsidRPr="006F21F3">
        <w:rPr>
          <w:rFonts w:ascii="Arial" w:eastAsia="Arial" w:hAnsi="Arial" w:cs="Arial"/>
          <w:bCs/>
          <w:sz w:val="22"/>
          <w:szCs w:val="22"/>
        </w:rPr>
        <w:t xml:space="preserve">eonardo </w:t>
      </w:r>
      <w:r>
        <w:rPr>
          <w:rFonts w:ascii="Arial" w:eastAsia="Arial" w:hAnsi="Arial" w:cs="Arial"/>
          <w:bCs/>
          <w:sz w:val="22"/>
          <w:szCs w:val="22"/>
        </w:rPr>
        <w:t>R</w:t>
      </w:r>
      <w:r w:rsidRPr="006F21F3">
        <w:rPr>
          <w:rFonts w:ascii="Arial" w:eastAsia="Arial" w:hAnsi="Arial" w:cs="Arial"/>
          <w:bCs/>
          <w:sz w:val="22"/>
          <w:szCs w:val="22"/>
        </w:rPr>
        <w:t xml:space="preserve">uiz </w:t>
      </w:r>
      <w:r>
        <w:rPr>
          <w:rFonts w:ascii="Arial" w:eastAsia="Arial" w:hAnsi="Arial" w:cs="Arial"/>
          <w:bCs/>
          <w:sz w:val="22"/>
          <w:szCs w:val="22"/>
        </w:rPr>
        <w:t>D</w:t>
      </w:r>
      <w:r w:rsidRPr="006F21F3">
        <w:rPr>
          <w:rFonts w:ascii="Arial" w:eastAsia="Arial" w:hAnsi="Arial" w:cs="Arial"/>
          <w:bCs/>
          <w:sz w:val="22"/>
          <w:szCs w:val="22"/>
        </w:rPr>
        <w:t>elgado</w:t>
      </w:r>
    </w:p>
    <w:p w14:paraId="12050CB8" w14:textId="77777777" w:rsidR="002B2E5C" w:rsidRPr="006F21F3" w:rsidRDefault="002B2E5C" w:rsidP="002B2E5C">
      <w:pPr>
        <w:jc w:val="center"/>
        <w:rPr>
          <w:rFonts w:ascii="Arial" w:eastAsia="Arial" w:hAnsi="Arial" w:cs="Arial"/>
          <w:sz w:val="22"/>
          <w:szCs w:val="22"/>
        </w:rPr>
      </w:pPr>
    </w:p>
    <w:p w14:paraId="66C5A71D" w14:textId="77777777" w:rsidR="002B2E5C" w:rsidRPr="006F21F3" w:rsidRDefault="002B2E5C" w:rsidP="002B2E5C">
      <w:pPr>
        <w:spacing w:after="0" w:line="240" w:lineRule="auto"/>
        <w:jc w:val="center"/>
        <w:rPr>
          <w:rFonts w:ascii="Arial" w:eastAsia="Arial" w:hAnsi="Arial" w:cs="Arial"/>
          <w:sz w:val="22"/>
          <w:szCs w:val="22"/>
        </w:rPr>
      </w:pPr>
      <w:r w:rsidRPr="006F21F3">
        <w:rPr>
          <w:rFonts w:ascii="Arial" w:eastAsia="Arial" w:hAnsi="Arial" w:cs="Arial"/>
          <w:sz w:val="22"/>
          <w:szCs w:val="22"/>
        </w:rPr>
        <w:t>TUTORA ACADÉMICA:</w:t>
      </w:r>
    </w:p>
    <w:p w14:paraId="47A8ED2F" w14:textId="77777777" w:rsidR="002B2E5C" w:rsidRPr="006F21F3" w:rsidRDefault="002B2E5C" w:rsidP="002B2E5C">
      <w:pPr>
        <w:spacing w:after="0" w:line="240" w:lineRule="auto"/>
        <w:jc w:val="center"/>
        <w:rPr>
          <w:rFonts w:ascii="Arial" w:eastAsia="Arial" w:hAnsi="Arial" w:cs="Arial"/>
          <w:sz w:val="22"/>
          <w:szCs w:val="22"/>
        </w:rPr>
      </w:pPr>
      <w:r w:rsidRPr="006F21F3">
        <w:rPr>
          <w:rFonts w:ascii="Arial" w:eastAsia="Arial" w:hAnsi="Arial" w:cs="Arial"/>
          <w:sz w:val="22"/>
          <w:szCs w:val="22"/>
        </w:rPr>
        <w:t>Dra. Giovanna Santana Castañeda</w:t>
      </w:r>
    </w:p>
    <w:p w14:paraId="36A00243" w14:textId="77777777" w:rsidR="002B2E5C" w:rsidRPr="006F21F3" w:rsidRDefault="002B2E5C" w:rsidP="002B2E5C">
      <w:pPr>
        <w:jc w:val="center"/>
        <w:rPr>
          <w:rFonts w:ascii="Arial" w:eastAsia="Arial" w:hAnsi="Arial" w:cs="Arial"/>
          <w:sz w:val="22"/>
          <w:szCs w:val="22"/>
        </w:rPr>
      </w:pPr>
    </w:p>
    <w:p w14:paraId="3383842E" w14:textId="77777777" w:rsidR="002B2E5C" w:rsidRPr="006F21F3" w:rsidRDefault="002B2E5C" w:rsidP="002B2E5C">
      <w:pPr>
        <w:spacing w:after="0" w:line="240" w:lineRule="auto"/>
        <w:jc w:val="center"/>
        <w:rPr>
          <w:rFonts w:ascii="Arial" w:eastAsia="Arial" w:hAnsi="Arial" w:cs="Arial"/>
          <w:sz w:val="22"/>
          <w:szCs w:val="22"/>
        </w:rPr>
      </w:pPr>
      <w:r w:rsidRPr="006F21F3">
        <w:rPr>
          <w:rFonts w:ascii="Arial" w:eastAsia="Arial" w:hAnsi="Arial" w:cs="Arial"/>
          <w:sz w:val="22"/>
          <w:szCs w:val="22"/>
        </w:rPr>
        <w:t>TUTORES ADJUNTOS:</w:t>
      </w:r>
    </w:p>
    <w:p w14:paraId="5772A942" w14:textId="77777777" w:rsidR="002B2E5C" w:rsidRPr="006F21F3" w:rsidRDefault="002B2E5C" w:rsidP="002B2E5C">
      <w:pPr>
        <w:spacing w:after="0" w:line="240" w:lineRule="auto"/>
        <w:jc w:val="center"/>
        <w:rPr>
          <w:rFonts w:ascii="Arial" w:eastAsia="Arial" w:hAnsi="Arial" w:cs="Arial"/>
          <w:sz w:val="22"/>
          <w:szCs w:val="22"/>
        </w:rPr>
      </w:pPr>
      <w:r w:rsidRPr="006F21F3">
        <w:rPr>
          <w:rFonts w:ascii="Arial" w:eastAsia="Arial" w:hAnsi="Arial" w:cs="Arial"/>
          <w:sz w:val="22"/>
          <w:szCs w:val="22"/>
        </w:rPr>
        <w:t>M. C.A. Leonardo Alfonso Ramos Corona</w:t>
      </w:r>
    </w:p>
    <w:p w14:paraId="64D42CEE" w14:textId="77777777" w:rsidR="002B2E5C" w:rsidRDefault="002B2E5C" w:rsidP="002B2E5C">
      <w:pPr>
        <w:spacing w:after="0" w:line="240" w:lineRule="auto"/>
        <w:jc w:val="center"/>
        <w:rPr>
          <w:rFonts w:ascii="Arial" w:eastAsia="Arial" w:hAnsi="Arial" w:cs="Arial"/>
        </w:rPr>
      </w:pPr>
      <w:r w:rsidRPr="006F21F3">
        <w:rPr>
          <w:rFonts w:ascii="Arial" w:eastAsia="Arial" w:hAnsi="Arial" w:cs="Arial"/>
          <w:sz w:val="22"/>
          <w:szCs w:val="22"/>
        </w:rPr>
        <w:t>Dr. Juan Campos Alanís</w:t>
      </w:r>
    </w:p>
    <w:p w14:paraId="3ACC8C24" w14:textId="6702C118" w:rsidR="002B2E5C" w:rsidRDefault="002B2E5C" w:rsidP="002B2E5C">
      <w:pPr>
        <w:spacing w:line="240" w:lineRule="auto"/>
        <w:jc w:val="center"/>
        <w:rPr>
          <w:rFonts w:ascii="Arial" w:eastAsia="Arial" w:hAnsi="Arial" w:cs="Arial"/>
        </w:rPr>
      </w:pPr>
    </w:p>
    <w:p w14:paraId="54290736" w14:textId="77777777" w:rsidR="002B2E5C" w:rsidRDefault="002B2E5C" w:rsidP="002B2E5C">
      <w:pPr>
        <w:spacing w:line="240" w:lineRule="auto"/>
        <w:rPr>
          <w:rFonts w:ascii="Arial" w:eastAsia="Arial" w:hAnsi="Arial" w:cs="Arial"/>
        </w:rPr>
      </w:pPr>
    </w:p>
    <w:p w14:paraId="45067D0E" w14:textId="6FB69C11" w:rsidR="002B2E5C" w:rsidRDefault="006C4640" w:rsidP="002B2E5C">
      <w:pPr>
        <w:jc w:val="right"/>
        <w:rPr>
          <w:rFonts w:ascii="Arial" w:eastAsia="Arial" w:hAnsi="Arial" w:cs="Arial"/>
          <w:sz w:val="22"/>
          <w:szCs w:val="22"/>
        </w:rPr>
      </w:pPr>
      <w:r>
        <w:rPr>
          <w:rFonts w:ascii="Arial" w:eastAsia="Arial" w:hAnsi="Arial" w:cs="Arial"/>
          <w:noProof/>
          <w:sz w:val="22"/>
          <w:szCs w:val="22"/>
        </w:rPr>
        <w:drawing>
          <wp:anchor distT="0" distB="0" distL="114300" distR="114300" simplePos="0" relativeHeight="251689984" behindDoc="0" locked="0" layoutInCell="1" allowOverlap="1" wp14:anchorId="5ACF6A98" wp14:editId="3013AE2F">
            <wp:simplePos x="0" y="0"/>
            <wp:positionH relativeFrom="margin">
              <wp:posOffset>0</wp:posOffset>
            </wp:positionH>
            <wp:positionV relativeFrom="margin">
              <wp:posOffset>7244715</wp:posOffset>
            </wp:positionV>
            <wp:extent cx="1259840" cy="1109345"/>
            <wp:effectExtent l="0" t="0" r="0" b="0"/>
            <wp:wrapSquare wrapText="bothSides"/>
            <wp:docPr id="104" name="Imagen 104"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n 104" descr="Un dibujo de un perro&#10;&#10;Descripción generada automáticamente con confianza media"/>
                    <pic:cNvPicPr/>
                  </pic:nvPicPr>
                  <pic:blipFill rotWithShape="1">
                    <a:blip r:embed="rId10">
                      <a:extLst>
                        <a:ext uri="{28A0092B-C50C-407E-A947-70E740481C1C}">
                          <a14:useLocalDpi xmlns:a14="http://schemas.microsoft.com/office/drawing/2010/main" val="0"/>
                        </a:ext>
                      </a:extLst>
                    </a:blip>
                    <a:srcRect l="23408" r="23582"/>
                    <a:stretch/>
                  </pic:blipFill>
                  <pic:spPr bwMode="auto">
                    <a:xfrm>
                      <a:off x="0" y="0"/>
                      <a:ext cx="1259840" cy="11093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B2E5C" w:rsidRPr="006F21F3">
        <w:rPr>
          <w:rFonts w:ascii="Arial" w:eastAsia="Arial" w:hAnsi="Arial" w:cs="Arial"/>
          <w:sz w:val="22"/>
          <w:szCs w:val="22"/>
        </w:rPr>
        <w:t xml:space="preserve">Toluca, Estado de México, diciembre </w:t>
      </w:r>
      <w:r w:rsidR="002B2E5C">
        <w:rPr>
          <w:rFonts w:ascii="Arial" w:eastAsia="Arial" w:hAnsi="Arial" w:cs="Arial"/>
          <w:sz w:val="22"/>
          <w:szCs w:val="22"/>
        </w:rPr>
        <w:t xml:space="preserve">de </w:t>
      </w:r>
      <w:r w:rsidR="002B2E5C" w:rsidRPr="006F21F3">
        <w:rPr>
          <w:rFonts w:ascii="Arial" w:eastAsia="Arial" w:hAnsi="Arial" w:cs="Arial"/>
          <w:sz w:val="22"/>
          <w:szCs w:val="22"/>
        </w:rPr>
        <w:t>2021.</w:t>
      </w:r>
    </w:p>
    <w:p w14:paraId="24F86525" w14:textId="77777777" w:rsidR="002B2E5C" w:rsidRDefault="002B2E5C" w:rsidP="002B2E5C">
      <w:pPr>
        <w:jc w:val="right"/>
        <w:rPr>
          <w:rFonts w:ascii="Arial" w:eastAsia="Arial" w:hAnsi="Arial" w:cs="Arial"/>
          <w:noProof/>
          <w:sz w:val="22"/>
          <w:szCs w:val="22"/>
        </w:rPr>
      </w:pPr>
    </w:p>
    <w:p w14:paraId="684CF4DC" w14:textId="77777777" w:rsidR="002B2E5C" w:rsidRDefault="002B2E5C" w:rsidP="002B2E5C">
      <w:pPr>
        <w:jc w:val="right"/>
        <w:rPr>
          <w:rFonts w:ascii="Arial" w:eastAsia="Arial" w:hAnsi="Arial" w:cs="Arial"/>
          <w:sz w:val="22"/>
          <w:szCs w:val="22"/>
        </w:rPr>
      </w:pPr>
      <w:r>
        <w:rPr>
          <w:rFonts w:ascii="Arial" w:eastAsia="Arial" w:hAnsi="Arial" w:cs="Arial"/>
          <w:noProof/>
          <w:sz w:val="22"/>
          <w:szCs w:val="22"/>
        </w:rPr>
        <w:drawing>
          <wp:anchor distT="0" distB="0" distL="114300" distR="114300" simplePos="0" relativeHeight="251692032" behindDoc="0" locked="0" layoutInCell="1" allowOverlap="1" wp14:anchorId="488C3F62" wp14:editId="47687236">
            <wp:simplePos x="0" y="0"/>
            <wp:positionH relativeFrom="margin">
              <wp:align>right</wp:align>
            </wp:positionH>
            <wp:positionV relativeFrom="margin">
              <wp:align>bottom</wp:align>
            </wp:positionV>
            <wp:extent cx="1463675" cy="491490"/>
            <wp:effectExtent l="0" t="0" r="3175" b="3810"/>
            <wp:wrapThrough wrapText="bothSides">
              <wp:wrapPolygon edited="0">
                <wp:start x="0" y="0"/>
                <wp:lineTo x="0" y="20930"/>
                <wp:lineTo x="21366" y="20930"/>
                <wp:lineTo x="21366" y="0"/>
                <wp:lineTo x="0" y="0"/>
              </wp:wrapPolygon>
            </wp:wrapThrough>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n 105"/>
                    <pic:cNvPicPr/>
                  </pic:nvPicPr>
                  <pic:blipFill rotWithShape="1">
                    <a:blip r:embed="rId11" cstate="print">
                      <a:extLst>
                        <a:ext uri="{28A0092B-C50C-407E-A947-70E740481C1C}">
                          <a14:useLocalDpi xmlns:a14="http://schemas.microsoft.com/office/drawing/2010/main" val="0"/>
                        </a:ext>
                      </a:extLst>
                    </a:blip>
                    <a:srcRect t="30550" b="29124"/>
                    <a:stretch/>
                  </pic:blipFill>
                  <pic:spPr bwMode="auto">
                    <a:xfrm>
                      <a:off x="0" y="0"/>
                      <a:ext cx="1463675" cy="4914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bookmarkEnd w:id="0"/>
    <w:p w14:paraId="6B5A9381" w14:textId="77777777" w:rsidR="002B2E5C" w:rsidRDefault="002B2E5C" w:rsidP="002B2E5C"/>
    <w:p w14:paraId="0F38824A" w14:textId="05EB0496" w:rsidR="00644A75" w:rsidRDefault="00644A75" w:rsidP="00644A75">
      <w:pPr>
        <w:jc w:val="left"/>
        <w:rPr>
          <w:rFonts w:ascii="Arial" w:eastAsia="Arial" w:hAnsi="Arial" w:cs="Arial"/>
          <w:sz w:val="22"/>
          <w:szCs w:val="22"/>
        </w:rPr>
      </w:pPr>
    </w:p>
    <w:p w14:paraId="05921CB1" w14:textId="77777777" w:rsidR="00644151" w:rsidRDefault="00425878">
      <w:pPr>
        <w:keepNext/>
        <w:keepLines/>
        <w:pBdr>
          <w:top w:val="nil"/>
          <w:left w:val="nil"/>
          <w:bottom w:val="nil"/>
          <w:right w:val="nil"/>
          <w:between w:val="nil"/>
        </w:pBdr>
        <w:spacing w:before="240" w:after="0"/>
        <w:rPr>
          <w:rFonts w:ascii="Calibri" w:eastAsia="Calibri" w:hAnsi="Calibri" w:cs="Calibri"/>
          <w:color w:val="2F5496"/>
          <w:sz w:val="32"/>
          <w:szCs w:val="32"/>
        </w:rPr>
      </w:pPr>
      <w:r>
        <w:rPr>
          <w:rFonts w:ascii="Calibri" w:eastAsia="Calibri" w:hAnsi="Calibri" w:cs="Calibri"/>
          <w:color w:val="2F5496"/>
          <w:sz w:val="32"/>
          <w:szCs w:val="32"/>
        </w:rPr>
        <w:t>Contenido</w:t>
      </w:r>
    </w:p>
    <w:sdt>
      <w:sdtPr>
        <w:id w:val="-851872155"/>
        <w:docPartObj>
          <w:docPartGallery w:val="Table of Contents"/>
          <w:docPartUnique/>
        </w:docPartObj>
      </w:sdtPr>
      <w:sdtEndPr/>
      <w:sdtContent>
        <w:p w14:paraId="138E239A" w14:textId="28B15A0B" w:rsidR="00CF2DBC" w:rsidRDefault="00425878">
          <w:pPr>
            <w:pStyle w:val="TDC1"/>
            <w:tabs>
              <w:tab w:val="right" w:pos="8828"/>
            </w:tabs>
            <w:rPr>
              <w:rFonts w:asciiTheme="minorHAnsi" w:eastAsiaTheme="minorEastAsia" w:hAnsiTheme="minorHAnsi" w:cstheme="minorBidi"/>
              <w:noProof/>
              <w:sz w:val="22"/>
              <w:szCs w:val="22"/>
            </w:rPr>
          </w:pPr>
          <w:r>
            <w:fldChar w:fldCharType="begin"/>
          </w:r>
          <w:r>
            <w:instrText xml:space="preserve"> TOC \h \u \z </w:instrText>
          </w:r>
          <w:r>
            <w:fldChar w:fldCharType="separate"/>
          </w:r>
          <w:hyperlink w:anchor="_Toc89075356" w:history="1">
            <w:r w:rsidR="00CF2DBC" w:rsidRPr="00BA76A6">
              <w:rPr>
                <w:rStyle w:val="Hipervnculo"/>
                <w:rFonts w:eastAsiaTheme="majorEastAsia"/>
                <w:noProof/>
              </w:rPr>
              <w:t>Resumen</w:t>
            </w:r>
            <w:r w:rsidR="00CF2DBC">
              <w:rPr>
                <w:noProof/>
                <w:webHidden/>
              </w:rPr>
              <w:tab/>
            </w:r>
            <w:r w:rsidR="00CF2DBC">
              <w:rPr>
                <w:noProof/>
                <w:webHidden/>
              </w:rPr>
              <w:fldChar w:fldCharType="begin"/>
            </w:r>
            <w:r w:rsidR="00CF2DBC">
              <w:rPr>
                <w:noProof/>
                <w:webHidden/>
              </w:rPr>
              <w:instrText xml:space="preserve"> PAGEREF _Toc89075356 \h </w:instrText>
            </w:r>
            <w:r w:rsidR="00CF2DBC">
              <w:rPr>
                <w:noProof/>
                <w:webHidden/>
              </w:rPr>
            </w:r>
            <w:r w:rsidR="00CF2DBC">
              <w:rPr>
                <w:noProof/>
                <w:webHidden/>
              </w:rPr>
              <w:fldChar w:fldCharType="separate"/>
            </w:r>
            <w:r w:rsidR="007C3378">
              <w:rPr>
                <w:noProof/>
                <w:webHidden/>
              </w:rPr>
              <w:t>1</w:t>
            </w:r>
            <w:r w:rsidR="00CF2DBC">
              <w:rPr>
                <w:noProof/>
                <w:webHidden/>
              </w:rPr>
              <w:fldChar w:fldCharType="end"/>
            </w:r>
          </w:hyperlink>
        </w:p>
        <w:p w14:paraId="4EF89041" w14:textId="104888FE" w:rsidR="00CF2DBC" w:rsidRDefault="00F4132C">
          <w:pPr>
            <w:pStyle w:val="TDC1"/>
            <w:tabs>
              <w:tab w:val="right" w:pos="8828"/>
            </w:tabs>
            <w:rPr>
              <w:rFonts w:asciiTheme="minorHAnsi" w:eastAsiaTheme="minorEastAsia" w:hAnsiTheme="minorHAnsi" w:cstheme="minorBidi"/>
              <w:noProof/>
              <w:sz w:val="22"/>
              <w:szCs w:val="22"/>
            </w:rPr>
          </w:pPr>
          <w:hyperlink w:anchor="_Toc89075357" w:history="1">
            <w:r w:rsidR="00CF2DBC" w:rsidRPr="00BA76A6">
              <w:rPr>
                <w:rStyle w:val="Hipervnculo"/>
                <w:rFonts w:eastAsiaTheme="majorEastAsia"/>
                <w:noProof/>
              </w:rPr>
              <w:t>Introducción</w:t>
            </w:r>
            <w:r w:rsidR="00CF2DBC">
              <w:rPr>
                <w:noProof/>
                <w:webHidden/>
              </w:rPr>
              <w:tab/>
            </w:r>
            <w:r w:rsidR="00CF2DBC">
              <w:rPr>
                <w:noProof/>
                <w:webHidden/>
              </w:rPr>
              <w:fldChar w:fldCharType="begin"/>
            </w:r>
            <w:r w:rsidR="00CF2DBC">
              <w:rPr>
                <w:noProof/>
                <w:webHidden/>
              </w:rPr>
              <w:instrText xml:space="preserve"> PAGEREF _Toc89075357 \h </w:instrText>
            </w:r>
            <w:r w:rsidR="00CF2DBC">
              <w:rPr>
                <w:noProof/>
                <w:webHidden/>
              </w:rPr>
            </w:r>
            <w:r w:rsidR="00CF2DBC">
              <w:rPr>
                <w:noProof/>
                <w:webHidden/>
              </w:rPr>
              <w:fldChar w:fldCharType="separate"/>
            </w:r>
            <w:r w:rsidR="007C3378">
              <w:rPr>
                <w:noProof/>
                <w:webHidden/>
              </w:rPr>
              <w:t>3</w:t>
            </w:r>
            <w:r w:rsidR="00CF2DBC">
              <w:rPr>
                <w:noProof/>
                <w:webHidden/>
              </w:rPr>
              <w:fldChar w:fldCharType="end"/>
            </w:r>
          </w:hyperlink>
        </w:p>
        <w:p w14:paraId="30C2E821" w14:textId="4990A30F" w:rsidR="00CF2DBC" w:rsidRDefault="00F4132C">
          <w:pPr>
            <w:pStyle w:val="TDC1"/>
            <w:tabs>
              <w:tab w:val="right" w:pos="8828"/>
            </w:tabs>
            <w:rPr>
              <w:rFonts w:asciiTheme="minorHAnsi" w:eastAsiaTheme="minorEastAsia" w:hAnsiTheme="minorHAnsi" w:cstheme="minorBidi"/>
              <w:noProof/>
              <w:sz w:val="22"/>
              <w:szCs w:val="22"/>
            </w:rPr>
          </w:pPr>
          <w:hyperlink w:anchor="_Toc89075358" w:history="1">
            <w:r w:rsidR="00CF2DBC" w:rsidRPr="00BA76A6">
              <w:rPr>
                <w:rStyle w:val="Hipervnculo"/>
                <w:rFonts w:eastAsiaTheme="majorEastAsia"/>
                <w:noProof/>
              </w:rPr>
              <w:t>Planteamiento del problema</w:t>
            </w:r>
            <w:r w:rsidR="00CF2DBC">
              <w:rPr>
                <w:noProof/>
                <w:webHidden/>
              </w:rPr>
              <w:tab/>
            </w:r>
            <w:r w:rsidR="00CF2DBC">
              <w:rPr>
                <w:noProof/>
                <w:webHidden/>
              </w:rPr>
              <w:fldChar w:fldCharType="begin"/>
            </w:r>
            <w:r w:rsidR="00CF2DBC">
              <w:rPr>
                <w:noProof/>
                <w:webHidden/>
              </w:rPr>
              <w:instrText xml:space="preserve"> PAGEREF _Toc89075358 \h </w:instrText>
            </w:r>
            <w:r w:rsidR="00CF2DBC">
              <w:rPr>
                <w:noProof/>
                <w:webHidden/>
              </w:rPr>
            </w:r>
            <w:r w:rsidR="00CF2DBC">
              <w:rPr>
                <w:noProof/>
                <w:webHidden/>
              </w:rPr>
              <w:fldChar w:fldCharType="separate"/>
            </w:r>
            <w:r w:rsidR="007C3378">
              <w:rPr>
                <w:noProof/>
                <w:webHidden/>
              </w:rPr>
              <w:t>5</w:t>
            </w:r>
            <w:r w:rsidR="00CF2DBC">
              <w:rPr>
                <w:noProof/>
                <w:webHidden/>
              </w:rPr>
              <w:fldChar w:fldCharType="end"/>
            </w:r>
          </w:hyperlink>
        </w:p>
        <w:p w14:paraId="404FFDA6" w14:textId="1FD3B209" w:rsidR="00CF2DBC" w:rsidRDefault="00F4132C">
          <w:pPr>
            <w:pStyle w:val="TDC1"/>
            <w:tabs>
              <w:tab w:val="right" w:pos="8828"/>
            </w:tabs>
            <w:rPr>
              <w:rFonts w:asciiTheme="minorHAnsi" w:eastAsiaTheme="minorEastAsia" w:hAnsiTheme="minorHAnsi" w:cstheme="minorBidi"/>
              <w:noProof/>
              <w:sz w:val="22"/>
              <w:szCs w:val="22"/>
            </w:rPr>
          </w:pPr>
          <w:hyperlink w:anchor="_Toc89075359" w:history="1">
            <w:r w:rsidR="00CF2DBC" w:rsidRPr="00BA76A6">
              <w:rPr>
                <w:rStyle w:val="Hipervnculo"/>
                <w:rFonts w:eastAsiaTheme="majorEastAsia"/>
                <w:noProof/>
              </w:rPr>
              <w:t>Objetivos de investigación</w:t>
            </w:r>
            <w:r w:rsidR="00CF2DBC">
              <w:rPr>
                <w:noProof/>
                <w:webHidden/>
              </w:rPr>
              <w:tab/>
            </w:r>
            <w:r w:rsidR="00CF2DBC">
              <w:rPr>
                <w:noProof/>
                <w:webHidden/>
              </w:rPr>
              <w:fldChar w:fldCharType="begin"/>
            </w:r>
            <w:r w:rsidR="00CF2DBC">
              <w:rPr>
                <w:noProof/>
                <w:webHidden/>
              </w:rPr>
              <w:instrText xml:space="preserve"> PAGEREF _Toc89075359 \h </w:instrText>
            </w:r>
            <w:r w:rsidR="00CF2DBC">
              <w:rPr>
                <w:noProof/>
                <w:webHidden/>
              </w:rPr>
            </w:r>
            <w:r w:rsidR="00CF2DBC">
              <w:rPr>
                <w:noProof/>
                <w:webHidden/>
              </w:rPr>
              <w:fldChar w:fldCharType="separate"/>
            </w:r>
            <w:r w:rsidR="007C3378">
              <w:rPr>
                <w:noProof/>
                <w:webHidden/>
              </w:rPr>
              <w:t>7</w:t>
            </w:r>
            <w:r w:rsidR="00CF2DBC">
              <w:rPr>
                <w:noProof/>
                <w:webHidden/>
              </w:rPr>
              <w:fldChar w:fldCharType="end"/>
            </w:r>
          </w:hyperlink>
        </w:p>
        <w:p w14:paraId="57C2A3F7" w14:textId="3F73DC1C" w:rsidR="00CF2DBC" w:rsidRDefault="00F4132C">
          <w:pPr>
            <w:pStyle w:val="TDC2"/>
            <w:tabs>
              <w:tab w:val="right" w:pos="8828"/>
            </w:tabs>
            <w:rPr>
              <w:rFonts w:asciiTheme="minorHAnsi" w:eastAsiaTheme="minorEastAsia" w:hAnsiTheme="minorHAnsi" w:cstheme="minorBidi"/>
              <w:noProof/>
              <w:sz w:val="22"/>
              <w:szCs w:val="22"/>
            </w:rPr>
          </w:pPr>
          <w:hyperlink w:anchor="_Toc89075360" w:history="1">
            <w:r w:rsidR="00CF2DBC" w:rsidRPr="00BA76A6">
              <w:rPr>
                <w:rStyle w:val="Hipervnculo"/>
                <w:rFonts w:eastAsiaTheme="majorEastAsia"/>
                <w:noProof/>
              </w:rPr>
              <w:t>General</w:t>
            </w:r>
            <w:r w:rsidR="00CF2DBC">
              <w:rPr>
                <w:noProof/>
                <w:webHidden/>
              </w:rPr>
              <w:tab/>
            </w:r>
            <w:r w:rsidR="00CF2DBC">
              <w:rPr>
                <w:noProof/>
                <w:webHidden/>
              </w:rPr>
              <w:fldChar w:fldCharType="begin"/>
            </w:r>
            <w:r w:rsidR="00CF2DBC">
              <w:rPr>
                <w:noProof/>
                <w:webHidden/>
              </w:rPr>
              <w:instrText xml:space="preserve"> PAGEREF _Toc89075360 \h </w:instrText>
            </w:r>
            <w:r w:rsidR="00CF2DBC">
              <w:rPr>
                <w:noProof/>
                <w:webHidden/>
              </w:rPr>
            </w:r>
            <w:r w:rsidR="00CF2DBC">
              <w:rPr>
                <w:noProof/>
                <w:webHidden/>
              </w:rPr>
              <w:fldChar w:fldCharType="separate"/>
            </w:r>
            <w:r w:rsidR="007C3378">
              <w:rPr>
                <w:noProof/>
                <w:webHidden/>
              </w:rPr>
              <w:t>7</w:t>
            </w:r>
            <w:r w:rsidR="00CF2DBC">
              <w:rPr>
                <w:noProof/>
                <w:webHidden/>
              </w:rPr>
              <w:fldChar w:fldCharType="end"/>
            </w:r>
          </w:hyperlink>
        </w:p>
        <w:p w14:paraId="611932B0" w14:textId="2565AA81" w:rsidR="00CF2DBC" w:rsidRDefault="00F4132C">
          <w:pPr>
            <w:pStyle w:val="TDC2"/>
            <w:tabs>
              <w:tab w:val="right" w:pos="8828"/>
            </w:tabs>
            <w:rPr>
              <w:rFonts w:asciiTheme="minorHAnsi" w:eastAsiaTheme="minorEastAsia" w:hAnsiTheme="minorHAnsi" w:cstheme="minorBidi"/>
              <w:noProof/>
              <w:sz w:val="22"/>
              <w:szCs w:val="22"/>
            </w:rPr>
          </w:pPr>
          <w:hyperlink w:anchor="_Toc89075361" w:history="1">
            <w:r w:rsidR="00CF2DBC" w:rsidRPr="00BA76A6">
              <w:rPr>
                <w:rStyle w:val="Hipervnculo"/>
                <w:rFonts w:eastAsiaTheme="majorEastAsia"/>
                <w:noProof/>
              </w:rPr>
              <w:t>Específicos</w:t>
            </w:r>
            <w:r w:rsidR="00CF2DBC">
              <w:rPr>
                <w:noProof/>
                <w:webHidden/>
              </w:rPr>
              <w:tab/>
            </w:r>
            <w:r w:rsidR="00CF2DBC">
              <w:rPr>
                <w:noProof/>
                <w:webHidden/>
              </w:rPr>
              <w:fldChar w:fldCharType="begin"/>
            </w:r>
            <w:r w:rsidR="00CF2DBC">
              <w:rPr>
                <w:noProof/>
                <w:webHidden/>
              </w:rPr>
              <w:instrText xml:space="preserve"> PAGEREF _Toc89075361 \h </w:instrText>
            </w:r>
            <w:r w:rsidR="00CF2DBC">
              <w:rPr>
                <w:noProof/>
                <w:webHidden/>
              </w:rPr>
            </w:r>
            <w:r w:rsidR="00CF2DBC">
              <w:rPr>
                <w:noProof/>
                <w:webHidden/>
              </w:rPr>
              <w:fldChar w:fldCharType="separate"/>
            </w:r>
            <w:r w:rsidR="007C3378">
              <w:rPr>
                <w:noProof/>
                <w:webHidden/>
              </w:rPr>
              <w:t>7</w:t>
            </w:r>
            <w:r w:rsidR="00CF2DBC">
              <w:rPr>
                <w:noProof/>
                <w:webHidden/>
              </w:rPr>
              <w:fldChar w:fldCharType="end"/>
            </w:r>
          </w:hyperlink>
        </w:p>
        <w:p w14:paraId="1EBA82B9" w14:textId="24A92872" w:rsidR="00CF2DBC" w:rsidRDefault="00F4132C">
          <w:pPr>
            <w:pStyle w:val="TDC1"/>
            <w:tabs>
              <w:tab w:val="right" w:pos="8828"/>
            </w:tabs>
            <w:rPr>
              <w:rFonts w:asciiTheme="minorHAnsi" w:eastAsiaTheme="minorEastAsia" w:hAnsiTheme="minorHAnsi" w:cstheme="minorBidi"/>
              <w:noProof/>
              <w:sz w:val="22"/>
              <w:szCs w:val="22"/>
            </w:rPr>
          </w:pPr>
          <w:hyperlink w:anchor="_Toc89075362" w:history="1">
            <w:r w:rsidR="00CF2DBC" w:rsidRPr="00BA76A6">
              <w:rPr>
                <w:rStyle w:val="Hipervnculo"/>
                <w:rFonts w:eastAsiaTheme="majorEastAsia"/>
                <w:noProof/>
              </w:rPr>
              <w:t>Justificación</w:t>
            </w:r>
            <w:r w:rsidR="00CF2DBC">
              <w:rPr>
                <w:noProof/>
                <w:webHidden/>
              </w:rPr>
              <w:tab/>
            </w:r>
            <w:r w:rsidR="00CF2DBC">
              <w:rPr>
                <w:noProof/>
                <w:webHidden/>
              </w:rPr>
              <w:fldChar w:fldCharType="begin"/>
            </w:r>
            <w:r w:rsidR="00CF2DBC">
              <w:rPr>
                <w:noProof/>
                <w:webHidden/>
              </w:rPr>
              <w:instrText xml:space="preserve"> PAGEREF _Toc89075362 \h </w:instrText>
            </w:r>
            <w:r w:rsidR="00CF2DBC">
              <w:rPr>
                <w:noProof/>
                <w:webHidden/>
              </w:rPr>
            </w:r>
            <w:r w:rsidR="00CF2DBC">
              <w:rPr>
                <w:noProof/>
                <w:webHidden/>
              </w:rPr>
              <w:fldChar w:fldCharType="separate"/>
            </w:r>
            <w:r w:rsidR="007C3378">
              <w:rPr>
                <w:noProof/>
                <w:webHidden/>
              </w:rPr>
              <w:t>8</w:t>
            </w:r>
            <w:r w:rsidR="00CF2DBC">
              <w:rPr>
                <w:noProof/>
                <w:webHidden/>
              </w:rPr>
              <w:fldChar w:fldCharType="end"/>
            </w:r>
          </w:hyperlink>
        </w:p>
        <w:p w14:paraId="7435C58D" w14:textId="3040ABFE" w:rsidR="00CF2DBC" w:rsidRDefault="00F4132C">
          <w:pPr>
            <w:pStyle w:val="TDC1"/>
            <w:tabs>
              <w:tab w:val="right" w:pos="8828"/>
            </w:tabs>
            <w:rPr>
              <w:rFonts w:asciiTheme="minorHAnsi" w:eastAsiaTheme="minorEastAsia" w:hAnsiTheme="minorHAnsi" w:cstheme="minorBidi"/>
              <w:noProof/>
              <w:sz w:val="22"/>
              <w:szCs w:val="22"/>
            </w:rPr>
          </w:pPr>
          <w:hyperlink w:anchor="_Toc89075363" w:history="1">
            <w:r w:rsidR="00CF2DBC" w:rsidRPr="00BA76A6">
              <w:rPr>
                <w:rStyle w:val="Hipervnculo"/>
                <w:rFonts w:eastAsiaTheme="majorEastAsia"/>
                <w:noProof/>
              </w:rPr>
              <w:t>Antecedentes</w:t>
            </w:r>
            <w:r w:rsidR="00CF2DBC">
              <w:rPr>
                <w:noProof/>
                <w:webHidden/>
              </w:rPr>
              <w:tab/>
            </w:r>
            <w:r w:rsidR="00CF2DBC">
              <w:rPr>
                <w:noProof/>
                <w:webHidden/>
              </w:rPr>
              <w:fldChar w:fldCharType="begin"/>
            </w:r>
            <w:r w:rsidR="00CF2DBC">
              <w:rPr>
                <w:noProof/>
                <w:webHidden/>
              </w:rPr>
              <w:instrText xml:space="preserve"> PAGEREF _Toc89075363 \h </w:instrText>
            </w:r>
            <w:r w:rsidR="00CF2DBC">
              <w:rPr>
                <w:noProof/>
                <w:webHidden/>
              </w:rPr>
            </w:r>
            <w:r w:rsidR="00CF2DBC">
              <w:rPr>
                <w:noProof/>
                <w:webHidden/>
              </w:rPr>
              <w:fldChar w:fldCharType="separate"/>
            </w:r>
            <w:r w:rsidR="007C3378">
              <w:rPr>
                <w:noProof/>
                <w:webHidden/>
              </w:rPr>
              <w:t>11</w:t>
            </w:r>
            <w:r w:rsidR="00CF2DBC">
              <w:rPr>
                <w:noProof/>
                <w:webHidden/>
              </w:rPr>
              <w:fldChar w:fldCharType="end"/>
            </w:r>
          </w:hyperlink>
        </w:p>
        <w:p w14:paraId="4DE8A3F7" w14:textId="0C26D90F" w:rsidR="00CF2DBC" w:rsidRDefault="00F4132C">
          <w:pPr>
            <w:pStyle w:val="TDC2"/>
            <w:tabs>
              <w:tab w:val="right" w:pos="8828"/>
            </w:tabs>
            <w:rPr>
              <w:rFonts w:asciiTheme="minorHAnsi" w:eastAsiaTheme="minorEastAsia" w:hAnsiTheme="minorHAnsi" w:cstheme="minorBidi"/>
              <w:noProof/>
              <w:sz w:val="22"/>
              <w:szCs w:val="22"/>
            </w:rPr>
          </w:pPr>
          <w:hyperlink w:anchor="_Toc89075364" w:history="1">
            <w:r w:rsidR="00CF2DBC" w:rsidRPr="00BA76A6">
              <w:rPr>
                <w:rStyle w:val="Hipervnculo"/>
                <w:rFonts w:eastAsiaTheme="majorEastAsia"/>
                <w:noProof/>
              </w:rPr>
              <w:t>Panteones</w:t>
            </w:r>
            <w:r w:rsidR="00CF2DBC">
              <w:rPr>
                <w:noProof/>
                <w:webHidden/>
              </w:rPr>
              <w:tab/>
            </w:r>
            <w:r w:rsidR="00CF2DBC">
              <w:rPr>
                <w:noProof/>
                <w:webHidden/>
              </w:rPr>
              <w:fldChar w:fldCharType="begin"/>
            </w:r>
            <w:r w:rsidR="00CF2DBC">
              <w:rPr>
                <w:noProof/>
                <w:webHidden/>
              </w:rPr>
              <w:instrText xml:space="preserve"> PAGEREF _Toc89075364 \h </w:instrText>
            </w:r>
            <w:r w:rsidR="00CF2DBC">
              <w:rPr>
                <w:noProof/>
                <w:webHidden/>
              </w:rPr>
            </w:r>
            <w:r w:rsidR="00CF2DBC">
              <w:rPr>
                <w:noProof/>
                <w:webHidden/>
              </w:rPr>
              <w:fldChar w:fldCharType="separate"/>
            </w:r>
            <w:r w:rsidR="007C3378">
              <w:rPr>
                <w:noProof/>
                <w:webHidden/>
              </w:rPr>
              <w:t>11</w:t>
            </w:r>
            <w:r w:rsidR="00CF2DBC">
              <w:rPr>
                <w:noProof/>
                <w:webHidden/>
              </w:rPr>
              <w:fldChar w:fldCharType="end"/>
            </w:r>
          </w:hyperlink>
        </w:p>
        <w:p w14:paraId="70E70A60" w14:textId="70EE6304" w:rsidR="00CF2DBC" w:rsidRDefault="00F4132C">
          <w:pPr>
            <w:pStyle w:val="TDC2"/>
            <w:tabs>
              <w:tab w:val="right" w:pos="8828"/>
            </w:tabs>
            <w:rPr>
              <w:rFonts w:asciiTheme="minorHAnsi" w:eastAsiaTheme="minorEastAsia" w:hAnsiTheme="minorHAnsi" w:cstheme="minorBidi"/>
              <w:noProof/>
              <w:sz w:val="22"/>
              <w:szCs w:val="22"/>
            </w:rPr>
          </w:pPr>
          <w:hyperlink w:anchor="_Toc89075365" w:history="1">
            <w:r w:rsidR="00CF2DBC" w:rsidRPr="00BA76A6">
              <w:rPr>
                <w:rStyle w:val="Hipervnculo"/>
                <w:rFonts w:eastAsiaTheme="majorEastAsia"/>
                <w:noProof/>
              </w:rPr>
              <w:t>Mortalidad</w:t>
            </w:r>
            <w:r w:rsidR="00CF2DBC">
              <w:rPr>
                <w:noProof/>
                <w:webHidden/>
              </w:rPr>
              <w:tab/>
            </w:r>
            <w:r w:rsidR="00CF2DBC">
              <w:rPr>
                <w:noProof/>
                <w:webHidden/>
              </w:rPr>
              <w:fldChar w:fldCharType="begin"/>
            </w:r>
            <w:r w:rsidR="00CF2DBC">
              <w:rPr>
                <w:noProof/>
                <w:webHidden/>
              </w:rPr>
              <w:instrText xml:space="preserve"> PAGEREF _Toc89075365 \h </w:instrText>
            </w:r>
            <w:r w:rsidR="00CF2DBC">
              <w:rPr>
                <w:noProof/>
                <w:webHidden/>
              </w:rPr>
            </w:r>
            <w:r w:rsidR="00CF2DBC">
              <w:rPr>
                <w:noProof/>
                <w:webHidden/>
              </w:rPr>
              <w:fldChar w:fldCharType="separate"/>
            </w:r>
            <w:r w:rsidR="007C3378">
              <w:rPr>
                <w:noProof/>
                <w:webHidden/>
              </w:rPr>
              <w:t>14</w:t>
            </w:r>
            <w:r w:rsidR="00CF2DBC">
              <w:rPr>
                <w:noProof/>
                <w:webHidden/>
              </w:rPr>
              <w:fldChar w:fldCharType="end"/>
            </w:r>
          </w:hyperlink>
        </w:p>
        <w:p w14:paraId="6A86084C" w14:textId="5A2B800C" w:rsidR="00CF2DBC" w:rsidRDefault="00F4132C">
          <w:pPr>
            <w:pStyle w:val="TDC2"/>
            <w:tabs>
              <w:tab w:val="right" w:pos="8828"/>
            </w:tabs>
            <w:rPr>
              <w:rFonts w:asciiTheme="minorHAnsi" w:eastAsiaTheme="minorEastAsia" w:hAnsiTheme="minorHAnsi" w:cstheme="minorBidi"/>
              <w:noProof/>
              <w:sz w:val="22"/>
              <w:szCs w:val="22"/>
            </w:rPr>
          </w:pPr>
          <w:hyperlink w:anchor="_Toc89075366" w:history="1">
            <w:r w:rsidR="00CF2DBC" w:rsidRPr="00BA76A6">
              <w:rPr>
                <w:rStyle w:val="Hipervnculo"/>
                <w:rFonts w:eastAsiaTheme="majorEastAsia"/>
                <w:noProof/>
              </w:rPr>
              <w:t>Aplicaciones web</w:t>
            </w:r>
            <w:r w:rsidR="00CF2DBC">
              <w:rPr>
                <w:noProof/>
                <w:webHidden/>
              </w:rPr>
              <w:tab/>
            </w:r>
            <w:r w:rsidR="00CF2DBC">
              <w:rPr>
                <w:noProof/>
                <w:webHidden/>
              </w:rPr>
              <w:fldChar w:fldCharType="begin"/>
            </w:r>
            <w:r w:rsidR="00CF2DBC">
              <w:rPr>
                <w:noProof/>
                <w:webHidden/>
              </w:rPr>
              <w:instrText xml:space="preserve"> PAGEREF _Toc89075366 \h </w:instrText>
            </w:r>
            <w:r w:rsidR="00CF2DBC">
              <w:rPr>
                <w:noProof/>
                <w:webHidden/>
              </w:rPr>
            </w:r>
            <w:r w:rsidR="00CF2DBC">
              <w:rPr>
                <w:noProof/>
                <w:webHidden/>
              </w:rPr>
              <w:fldChar w:fldCharType="separate"/>
            </w:r>
            <w:r w:rsidR="007C3378">
              <w:rPr>
                <w:noProof/>
                <w:webHidden/>
              </w:rPr>
              <w:t>15</w:t>
            </w:r>
            <w:r w:rsidR="00CF2DBC">
              <w:rPr>
                <w:noProof/>
                <w:webHidden/>
              </w:rPr>
              <w:fldChar w:fldCharType="end"/>
            </w:r>
          </w:hyperlink>
        </w:p>
        <w:p w14:paraId="32F93C87" w14:textId="133B9CFB" w:rsidR="00CF2DBC" w:rsidRDefault="00F4132C">
          <w:pPr>
            <w:pStyle w:val="TDC1"/>
            <w:tabs>
              <w:tab w:val="right" w:pos="8828"/>
            </w:tabs>
            <w:rPr>
              <w:rFonts w:asciiTheme="minorHAnsi" w:eastAsiaTheme="minorEastAsia" w:hAnsiTheme="minorHAnsi" w:cstheme="minorBidi"/>
              <w:noProof/>
              <w:sz w:val="22"/>
              <w:szCs w:val="22"/>
            </w:rPr>
          </w:pPr>
          <w:hyperlink w:anchor="_Toc89075367" w:history="1">
            <w:r w:rsidR="00CF2DBC" w:rsidRPr="00BA76A6">
              <w:rPr>
                <w:rStyle w:val="Hipervnculo"/>
                <w:rFonts w:eastAsiaTheme="majorEastAsia"/>
                <w:noProof/>
              </w:rPr>
              <w:t>Capítulo 1. Marco teórico</w:t>
            </w:r>
            <w:r w:rsidR="00CF2DBC">
              <w:rPr>
                <w:noProof/>
                <w:webHidden/>
              </w:rPr>
              <w:tab/>
            </w:r>
            <w:r w:rsidR="00CF2DBC">
              <w:rPr>
                <w:noProof/>
                <w:webHidden/>
              </w:rPr>
              <w:fldChar w:fldCharType="begin"/>
            </w:r>
            <w:r w:rsidR="00CF2DBC">
              <w:rPr>
                <w:noProof/>
                <w:webHidden/>
              </w:rPr>
              <w:instrText xml:space="preserve"> PAGEREF _Toc89075367 \h </w:instrText>
            </w:r>
            <w:r w:rsidR="00CF2DBC">
              <w:rPr>
                <w:noProof/>
                <w:webHidden/>
              </w:rPr>
            </w:r>
            <w:r w:rsidR="00CF2DBC">
              <w:rPr>
                <w:noProof/>
                <w:webHidden/>
              </w:rPr>
              <w:fldChar w:fldCharType="separate"/>
            </w:r>
            <w:r w:rsidR="007C3378">
              <w:rPr>
                <w:noProof/>
                <w:webHidden/>
              </w:rPr>
              <w:t>18</w:t>
            </w:r>
            <w:r w:rsidR="00CF2DBC">
              <w:rPr>
                <w:noProof/>
                <w:webHidden/>
              </w:rPr>
              <w:fldChar w:fldCharType="end"/>
            </w:r>
          </w:hyperlink>
        </w:p>
        <w:p w14:paraId="1E93D69F" w14:textId="50B374EA" w:rsidR="00CF2DBC" w:rsidRDefault="00F4132C">
          <w:pPr>
            <w:pStyle w:val="TDC2"/>
            <w:tabs>
              <w:tab w:val="right" w:pos="8828"/>
            </w:tabs>
            <w:rPr>
              <w:rFonts w:asciiTheme="minorHAnsi" w:eastAsiaTheme="minorEastAsia" w:hAnsiTheme="minorHAnsi" w:cstheme="minorBidi"/>
              <w:noProof/>
              <w:sz w:val="22"/>
              <w:szCs w:val="22"/>
            </w:rPr>
          </w:pPr>
          <w:hyperlink w:anchor="_Toc89075368" w:history="1">
            <w:r w:rsidR="00CF2DBC" w:rsidRPr="00BA76A6">
              <w:rPr>
                <w:rStyle w:val="Hipervnculo"/>
                <w:rFonts w:eastAsiaTheme="majorEastAsia"/>
                <w:noProof/>
              </w:rPr>
              <w:t>Teoría de la transición demográfica</w:t>
            </w:r>
            <w:r w:rsidR="00CF2DBC">
              <w:rPr>
                <w:noProof/>
                <w:webHidden/>
              </w:rPr>
              <w:tab/>
            </w:r>
            <w:r w:rsidR="00CF2DBC">
              <w:rPr>
                <w:noProof/>
                <w:webHidden/>
              </w:rPr>
              <w:fldChar w:fldCharType="begin"/>
            </w:r>
            <w:r w:rsidR="00CF2DBC">
              <w:rPr>
                <w:noProof/>
                <w:webHidden/>
              </w:rPr>
              <w:instrText xml:space="preserve"> PAGEREF _Toc89075368 \h </w:instrText>
            </w:r>
            <w:r w:rsidR="00CF2DBC">
              <w:rPr>
                <w:noProof/>
                <w:webHidden/>
              </w:rPr>
            </w:r>
            <w:r w:rsidR="00CF2DBC">
              <w:rPr>
                <w:noProof/>
                <w:webHidden/>
              </w:rPr>
              <w:fldChar w:fldCharType="separate"/>
            </w:r>
            <w:r w:rsidR="007C3378">
              <w:rPr>
                <w:noProof/>
                <w:webHidden/>
              </w:rPr>
              <w:t>18</w:t>
            </w:r>
            <w:r w:rsidR="00CF2DBC">
              <w:rPr>
                <w:noProof/>
                <w:webHidden/>
              </w:rPr>
              <w:fldChar w:fldCharType="end"/>
            </w:r>
          </w:hyperlink>
        </w:p>
        <w:p w14:paraId="289D417E" w14:textId="65DE6A40" w:rsidR="00CF2DBC" w:rsidRDefault="00F4132C">
          <w:pPr>
            <w:pStyle w:val="TDC2"/>
            <w:tabs>
              <w:tab w:val="right" w:pos="8828"/>
            </w:tabs>
            <w:rPr>
              <w:rFonts w:asciiTheme="minorHAnsi" w:eastAsiaTheme="minorEastAsia" w:hAnsiTheme="minorHAnsi" w:cstheme="minorBidi"/>
              <w:noProof/>
              <w:sz w:val="22"/>
              <w:szCs w:val="22"/>
            </w:rPr>
          </w:pPr>
          <w:hyperlink w:anchor="_Toc89075369" w:history="1">
            <w:r w:rsidR="00CF2DBC" w:rsidRPr="00BA76A6">
              <w:rPr>
                <w:rStyle w:val="Hipervnculo"/>
                <w:rFonts w:eastAsiaTheme="majorEastAsia"/>
                <w:noProof/>
              </w:rPr>
              <w:t>Teoría de la transición epidemiológica clásica</w:t>
            </w:r>
            <w:r w:rsidR="00CF2DBC">
              <w:rPr>
                <w:noProof/>
                <w:webHidden/>
              </w:rPr>
              <w:tab/>
            </w:r>
            <w:r w:rsidR="00CF2DBC">
              <w:rPr>
                <w:noProof/>
                <w:webHidden/>
              </w:rPr>
              <w:fldChar w:fldCharType="begin"/>
            </w:r>
            <w:r w:rsidR="00CF2DBC">
              <w:rPr>
                <w:noProof/>
                <w:webHidden/>
              </w:rPr>
              <w:instrText xml:space="preserve"> PAGEREF _Toc89075369 \h </w:instrText>
            </w:r>
            <w:r w:rsidR="00CF2DBC">
              <w:rPr>
                <w:noProof/>
                <w:webHidden/>
              </w:rPr>
            </w:r>
            <w:r w:rsidR="00CF2DBC">
              <w:rPr>
                <w:noProof/>
                <w:webHidden/>
              </w:rPr>
              <w:fldChar w:fldCharType="separate"/>
            </w:r>
            <w:r w:rsidR="007C3378">
              <w:rPr>
                <w:noProof/>
                <w:webHidden/>
              </w:rPr>
              <w:t>20</w:t>
            </w:r>
            <w:r w:rsidR="00CF2DBC">
              <w:rPr>
                <w:noProof/>
                <w:webHidden/>
              </w:rPr>
              <w:fldChar w:fldCharType="end"/>
            </w:r>
          </w:hyperlink>
        </w:p>
        <w:p w14:paraId="33E64D4D" w14:textId="53BA79CA" w:rsidR="00CF2DBC" w:rsidRDefault="00F4132C">
          <w:pPr>
            <w:pStyle w:val="TDC2"/>
            <w:tabs>
              <w:tab w:val="right" w:pos="8828"/>
            </w:tabs>
            <w:rPr>
              <w:rFonts w:asciiTheme="minorHAnsi" w:eastAsiaTheme="minorEastAsia" w:hAnsiTheme="minorHAnsi" w:cstheme="minorBidi"/>
              <w:noProof/>
              <w:sz w:val="22"/>
              <w:szCs w:val="22"/>
            </w:rPr>
          </w:pPr>
          <w:hyperlink w:anchor="_Toc89075370" w:history="1">
            <w:r w:rsidR="00CF2DBC" w:rsidRPr="00BA76A6">
              <w:rPr>
                <w:rStyle w:val="Hipervnculo"/>
                <w:rFonts w:eastAsiaTheme="majorEastAsia"/>
                <w:noProof/>
              </w:rPr>
              <w:t>Teoría de la transición epidemiológica en América Latina</w:t>
            </w:r>
            <w:r w:rsidR="00CF2DBC">
              <w:rPr>
                <w:noProof/>
                <w:webHidden/>
              </w:rPr>
              <w:tab/>
            </w:r>
            <w:r w:rsidR="00CF2DBC">
              <w:rPr>
                <w:noProof/>
                <w:webHidden/>
              </w:rPr>
              <w:fldChar w:fldCharType="begin"/>
            </w:r>
            <w:r w:rsidR="00CF2DBC">
              <w:rPr>
                <w:noProof/>
                <w:webHidden/>
              </w:rPr>
              <w:instrText xml:space="preserve"> PAGEREF _Toc89075370 \h </w:instrText>
            </w:r>
            <w:r w:rsidR="00CF2DBC">
              <w:rPr>
                <w:noProof/>
                <w:webHidden/>
              </w:rPr>
            </w:r>
            <w:r w:rsidR="00CF2DBC">
              <w:rPr>
                <w:noProof/>
                <w:webHidden/>
              </w:rPr>
              <w:fldChar w:fldCharType="separate"/>
            </w:r>
            <w:r w:rsidR="007C3378">
              <w:rPr>
                <w:noProof/>
                <w:webHidden/>
              </w:rPr>
              <w:t>22</w:t>
            </w:r>
            <w:r w:rsidR="00CF2DBC">
              <w:rPr>
                <w:noProof/>
                <w:webHidden/>
              </w:rPr>
              <w:fldChar w:fldCharType="end"/>
            </w:r>
          </w:hyperlink>
        </w:p>
        <w:p w14:paraId="2530443D" w14:textId="1AAB75CE" w:rsidR="00CF2DBC" w:rsidRDefault="00F4132C">
          <w:pPr>
            <w:pStyle w:val="TDC2"/>
            <w:tabs>
              <w:tab w:val="right" w:pos="8828"/>
            </w:tabs>
            <w:rPr>
              <w:rFonts w:asciiTheme="minorHAnsi" w:eastAsiaTheme="minorEastAsia" w:hAnsiTheme="minorHAnsi" w:cstheme="minorBidi"/>
              <w:noProof/>
              <w:sz w:val="22"/>
              <w:szCs w:val="22"/>
            </w:rPr>
          </w:pPr>
          <w:hyperlink w:anchor="_Toc89075371" w:history="1">
            <w:r w:rsidR="00CF2DBC" w:rsidRPr="00BA76A6">
              <w:rPr>
                <w:rStyle w:val="Hipervnculo"/>
                <w:rFonts w:eastAsiaTheme="majorEastAsia"/>
                <w:noProof/>
              </w:rPr>
              <w:t>De la Geografía a la Geoinformática</w:t>
            </w:r>
            <w:r w:rsidR="00CF2DBC">
              <w:rPr>
                <w:noProof/>
                <w:webHidden/>
              </w:rPr>
              <w:tab/>
            </w:r>
            <w:r w:rsidR="00CF2DBC">
              <w:rPr>
                <w:noProof/>
                <w:webHidden/>
              </w:rPr>
              <w:fldChar w:fldCharType="begin"/>
            </w:r>
            <w:r w:rsidR="00CF2DBC">
              <w:rPr>
                <w:noProof/>
                <w:webHidden/>
              </w:rPr>
              <w:instrText xml:space="preserve"> PAGEREF _Toc89075371 \h </w:instrText>
            </w:r>
            <w:r w:rsidR="00CF2DBC">
              <w:rPr>
                <w:noProof/>
                <w:webHidden/>
              </w:rPr>
            </w:r>
            <w:r w:rsidR="00CF2DBC">
              <w:rPr>
                <w:noProof/>
                <w:webHidden/>
              </w:rPr>
              <w:fldChar w:fldCharType="separate"/>
            </w:r>
            <w:r w:rsidR="007C3378">
              <w:rPr>
                <w:noProof/>
                <w:webHidden/>
              </w:rPr>
              <w:t>22</w:t>
            </w:r>
            <w:r w:rsidR="00CF2DBC">
              <w:rPr>
                <w:noProof/>
                <w:webHidden/>
              </w:rPr>
              <w:fldChar w:fldCharType="end"/>
            </w:r>
          </w:hyperlink>
        </w:p>
        <w:p w14:paraId="47B693A7" w14:textId="6D056982" w:rsidR="00CF2DBC" w:rsidRDefault="00F4132C">
          <w:pPr>
            <w:pStyle w:val="TDC2"/>
            <w:tabs>
              <w:tab w:val="right" w:pos="8828"/>
            </w:tabs>
            <w:rPr>
              <w:rFonts w:asciiTheme="minorHAnsi" w:eastAsiaTheme="minorEastAsia" w:hAnsiTheme="minorHAnsi" w:cstheme="minorBidi"/>
              <w:noProof/>
              <w:sz w:val="22"/>
              <w:szCs w:val="22"/>
            </w:rPr>
          </w:pPr>
          <w:hyperlink w:anchor="_Toc89075372" w:history="1">
            <w:r w:rsidR="00CF2DBC" w:rsidRPr="00BA76A6">
              <w:rPr>
                <w:rStyle w:val="Hipervnculo"/>
                <w:rFonts w:eastAsiaTheme="majorEastAsia"/>
                <w:noProof/>
              </w:rPr>
              <w:t>La Geoinformática como base para la modelación</w:t>
            </w:r>
            <w:r w:rsidR="00CF2DBC">
              <w:rPr>
                <w:noProof/>
                <w:webHidden/>
              </w:rPr>
              <w:tab/>
            </w:r>
            <w:r w:rsidR="00CF2DBC">
              <w:rPr>
                <w:noProof/>
                <w:webHidden/>
              </w:rPr>
              <w:fldChar w:fldCharType="begin"/>
            </w:r>
            <w:r w:rsidR="00CF2DBC">
              <w:rPr>
                <w:noProof/>
                <w:webHidden/>
              </w:rPr>
              <w:instrText xml:space="preserve"> PAGEREF _Toc89075372 \h </w:instrText>
            </w:r>
            <w:r w:rsidR="00CF2DBC">
              <w:rPr>
                <w:noProof/>
                <w:webHidden/>
              </w:rPr>
            </w:r>
            <w:r w:rsidR="00CF2DBC">
              <w:rPr>
                <w:noProof/>
                <w:webHidden/>
              </w:rPr>
              <w:fldChar w:fldCharType="separate"/>
            </w:r>
            <w:r w:rsidR="007C3378">
              <w:rPr>
                <w:noProof/>
                <w:webHidden/>
              </w:rPr>
              <w:t>25</w:t>
            </w:r>
            <w:r w:rsidR="00CF2DBC">
              <w:rPr>
                <w:noProof/>
                <w:webHidden/>
              </w:rPr>
              <w:fldChar w:fldCharType="end"/>
            </w:r>
          </w:hyperlink>
        </w:p>
        <w:p w14:paraId="424B500D" w14:textId="21247242" w:rsidR="00CF2DBC" w:rsidRDefault="00F4132C">
          <w:pPr>
            <w:pStyle w:val="TDC2"/>
            <w:tabs>
              <w:tab w:val="right" w:pos="8828"/>
            </w:tabs>
            <w:rPr>
              <w:rFonts w:asciiTheme="minorHAnsi" w:eastAsiaTheme="minorEastAsia" w:hAnsiTheme="minorHAnsi" w:cstheme="minorBidi"/>
              <w:noProof/>
              <w:sz w:val="22"/>
              <w:szCs w:val="22"/>
            </w:rPr>
          </w:pPr>
          <w:hyperlink w:anchor="_Toc89075373" w:history="1">
            <w:r w:rsidR="00CF2DBC" w:rsidRPr="00BA76A6">
              <w:rPr>
                <w:rStyle w:val="Hipervnculo"/>
                <w:rFonts w:eastAsiaTheme="majorEastAsia"/>
                <w:noProof/>
              </w:rPr>
              <w:t>Teoría de la localización</w:t>
            </w:r>
            <w:r w:rsidR="00CF2DBC">
              <w:rPr>
                <w:noProof/>
                <w:webHidden/>
              </w:rPr>
              <w:tab/>
            </w:r>
            <w:r w:rsidR="00CF2DBC">
              <w:rPr>
                <w:noProof/>
                <w:webHidden/>
              </w:rPr>
              <w:fldChar w:fldCharType="begin"/>
            </w:r>
            <w:r w:rsidR="00CF2DBC">
              <w:rPr>
                <w:noProof/>
                <w:webHidden/>
              </w:rPr>
              <w:instrText xml:space="preserve"> PAGEREF _Toc89075373 \h </w:instrText>
            </w:r>
            <w:r w:rsidR="00CF2DBC">
              <w:rPr>
                <w:noProof/>
                <w:webHidden/>
              </w:rPr>
            </w:r>
            <w:r w:rsidR="00CF2DBC">
              <w:rPr>
                <w:noProof/>
                <w:webHidden/>
              </w:rPr>
              <w:fldChar w:fldCharType="separate"/>
            </w:r>
            <w:r w:rsidR="007C3378">
              <w:rPr>
                <w:noProof/>
                <w:webHidden/>
              </w:rPr>
              <w:t>26</w:t>
            </w:r>
            <w:r w:rsidR="00CF2DBC">
              <w:rPr>
                <w:noProof/>
                <w:webHidden/>
              </w:rPr>
              <w:fldChar w:fldCharType="end"/>
            </w:r>
          </w:hyperlink>
        </w:p>
        <w:p w14:paraId="5E4AC927" w14:textId="4B469D00" w:rsidR="00CF2DBC" w:rsidRDefault="00F4132C">
          <w:pPr>
            <w:pStyle w:val="TDC2"/>
            <w:tabs>
              <w:tab w:val="right" w:pos="8828"/>
            </w:tabs>
            <w:rPr>
              <w:rFonts w:asciiTheme="minorHAnsi" w:eastAsiaTheme="minorEastAsia" w:hAnsiTheme="minorHAnsi" w:cstheme="minorBidi"/>
              <w:noProof/>
              <w:sz w:val="22"/>
              <w:szCs w:val="22"/>
            </w:rPr>
          </w:pPr>
          <w:hyperlink w:anchor="_Toc89075374" w:history="1">
            <w:r w:rsidR="00CF2DBC" w:rsidRPr="00BA76A6">
              <w:rPr>
                <w:rStyle w:val="Hipervnculo"/>
                <w:rFonts w:eastAsiaTheme="majorEastAsia"/>
                <w:noProof/>
              </w:rPr>
              <w:t>Modelos de localización y su aplicación en los servicios públicos</w:t>
            </w:r>
            <w:r w:rsidR="00CF2DBC">
              <w:rPr>
                <w:noProof/>
                <w:webHidden/>
              </w:rPr>
              <w:tab/>
            </w:r>
            <w:r w:rsidR="00CF2DBC">
              <w:rPr>
                <w:noProof/>
                <w:webHidden/>
              </w:rPr>
              <w:fldChar w:fldCharType="begin"/>
            </w:r>
            <w:r w:rsidR="00CF2DBC">
              <w:rPr>
                <w:noProof/>
                <w:webHidden/>
              </w:rPr>
              <w:instrText xml:space="preserve"> PAGEREF _Toc89075374 \h </w:instrText>
            </w:r>
            <w:r w:rsidR="00CF2DBC">
              <w:rPr>
                <w:noProof/>
                <w:webHidden/>
              </w:rPr>
            </w:r>
            <w:r w:rsidR="00CF2DBC">
              <w:rPr>
                <w:noProof/>
                <w:webHidden/>
              </w:rPr>
              <w:fldChar w:fldCharType="separate"/>
            </w:r>
            <w:r w:rsidR="007C3378">
              <w:rPr>
                <w:noProof/>
                <w:webHidden/>
              </w:rPr>
              <w:t>28</w:t>
            </w:r>
            <w:r w:rsidR="00CF2DBC">
              <w:rPr>
                <w:noProof/>
                <w:webHidden/>
              </w:rPr>
              <w:fldChar w:fldCharType="end"/>
            </w:r>
          </w:hyperlink>
        </w:p>
        <w:p w14:paraId="7613D37A" w14:textId="311B8DDC" w:rsidR="00CF2DBC" w:rsidRDefault="00F4132C">
          <w:pPr>
            <w:pStyle w:val="TDC2"/>
            <w:tabs>
              <w:tab w:val="right" w:pos="8828"/>
            </w:tabs>
            <w:rPr>
              <w:rFonts w:asciiTheme="minorHAnsi" w:eastAsiaTheme="minorEastAsia" w:hAnsiTheme="minorHAnsi" w:cstheme="minorBidi"/>
              <w:noProof/>
              <w:sz w:val="22"/>
              <w:szCs w:val="22"/>
            </w:rPr>
          </w:pPr>
          <w:hyperlink w:anchor="_Toc89075375" w:history="1">
            <w:r w:rsidR="00CF2DBC" w:rsidRPr="00BA76A6">
              <w:rPr>
                <w:rStyle w:val="Hipervnculo"/>
                <w:rFonts w:eastAsiaTheme="majorEastAsia"/>
                <w:noProof/>
              </w:rPr>
              <w:t>Modelos de interacción espacial</w:t>
            </w:r>
            <w:r w:rsidR="00CF2DBC">
              <w:rPr>
                <w:noProof/>
                <w:webHidden/>
              </w:rPr>
              <w:tab/>
            </w:r>
            <w:r w:rsidR="00CF2DBC">
              <w:rPr>
                <w:noProof/>
                <w:webHidden/>
              </w:rPr>
              <w:fldChar w:fldCharType="begin"/>
            </w:r>
            <w:r w:rsidR="00CF2DBC">
              <w:rPr>
                <w:noProof/>
                <w:webHidden/>
              </w:rPr>
              <w:instrText xml:space="preserve"> PAGEREF _Toc89075375 \h </w:instrText>
            </w:r>
            <w:r w:rsidR="00CF2DBC">
              <w:rPr>
                <w:noProof/>
                <w:webHidden/>
              </w:rPr>
            </w:r>
            <w:r w:rsidR="00CF2DBC">
              <w:rPr>
                <w:noProof/>
                <w:webHidden/>
              </w:rPr>
              <w:fldChar w:fldCharType="separate"/>
            </w:r>
            <w:r w:rsidR="007C3378">
              <w:rPr>
                <w:noProof/>
                <w:webHidden/>
              </w:rPr>
              <w:t>29</w:t>
            </w:r>
            <w:r w:rsidR="00CF2DBC">
              <w:rPr>
                <w:noProof/>
                <w:webHidden/>
              </w:rPr>
              <w:fldChar w:fldCharType="end"/>
            </w:r>
          </w:hyperlink>
        </w:p>
        <w:p w14:paraId="71A4E840" w14:textId="3806B94F" w:rsidR="00CF2DBC" w:rsidRDefault="00F4132C">
          <w:pPr>
            <w:pStyle w:val="TDC1"/>
            <w:tabs>
              <w:tab w:val="right" w:pos="8828"/>
            </w:tabs>
            <w:rPr>
              <w:rFonts w:asciiTheme="minorHAnsi" w:eastAsiaTheme="minorEastAsia" w:hAnsiTheme="minorHAnsi" w:cstheme="minorBidi"/>
              <w:noProof/>
              <w:sz w:val="22"/>
              <w:szCs w:val="22"/>
            </w:rPr>
          </w:pPr>
          <w:hyperlink w:anchor="_Toc89075376" w:history="1">
            <w:r w:rsidR="00CF2DBC" w:rsidRPr="00BA76A6">
              <w:rPr>
                <w:rStyle w:val="Hipervnculo"/>
                <w:rFonts w:eastAsiaTheme="majorEastAsia"/>
                <w:noProof/>
              </w:rPr>
              <w:t>Capítulo 2. Caracterización de la Alcaldía de Iztapalapa</w:t>
            </w:r>
            <w:r w:rsidR="00CF2DBC">
              <w:rPr>
                <w:noProof/>
                <w:webHidden/>
              </w:rPr>
              <w:tab/>
            </w:r>
            <w:r w:rsidR="00CF2DBC">
              <w:rPr>
                <w:noProof/>
                <w:webHidden/>
              </w:rPr>
              <w:fldChar w:fldCharType="begin"/>
            </w:r>
            <w:r w:rsidR="00CF2DBC">
              <w:rPr>
                <w:noProof/>
                <w:webHidden/>
              </w:rPr>
              <w:instrText xml:space="preserve"> PAGEREF _Toc89075376 \h </w:instrText>
            </w:r>
            <w:r w:rsidR="00CF2DBC">
              <w:rPr>
                <w:noProof/>
                <w:webHidden/>
              </w:rPr>
            </w:r>
            <w:r w:rsidR="00CF2DBC">
              <w:rPr>
                <w:noProof/>
                <w:webHidden/>
              </w:rPr>
              <w:fldChar w:fldCharType="separate"/>
            </w:r>
            <w:r w:rsidR="007C3378">
              <w:rPr>
                <w:noProof/>
                <w:webHidden/>
              </w:rPr>
              <w:t>32</w:t>
            </w:r>
            <w:r w:rsidR="00CF2DBC">
              <w:rPr>
                <w:noProof/>
                <w:webHidden/>
              </w:rPr>
              <w:fldChar w:fldCharType="end"/>
            </w:r>
          </w:hyperlink>
        </w:p>
        <w:p w14:paraId="5E6EE60B" w14:textId="586A56D0" w:rsidR="00CF2DBC" w:rsidRDefault="00F4132C">
          <w:pPr>
            <w:pStyle w:val="TDC3"/>
            <w:tabs>
              <w:tab w:val="right" w:pos="8828"/>
            </w:tabs>
            <w:rPr>
              <w:rFonts w:asciiTheme="minorHAnsi" w:eastAsiaTheme="minorEastAsia" w:hAnsiTheme="minorHAnsi" w:cstheme="minorBidi"/>
              <w:noProof/>
              <w:sz w:val="22"/>
              <w:szCs w:val="22"/>
            </w:rPr>
          </w:pPr>
          <w:hyperlink w:anchor="_Toc89075377" w:history="1">
            <w:r w:rsidR="00CF2DBC" w:rsidRPr="00BA76A6">
              <w:rPr>
                <w:rStyle w:val="Hipervnculo"/>
                <w:rFonts w:eastAsiaTheme="majorEastAsia"/>
                <w:noProof/>
              </w:rPr>
              <w:t>Dinámica demográfica de la Alcaldía</w:t>
            </w:r>
            <w:r w:rsidR="00CF2DBC">
              <w:rPr>
                <w:noProof/>
                <w:webHidden/>
              </w:rPr>
              <w:tab/>
            </w:r>
            <w:r w:rsidR="00CF2DBC">
              <w:rPr>
                <w:noProof/>
                <w:webHidden/>
              </w:rPr>
              <w:fldChar w:fldCharType="begin"/>
            </w:r>
            <w:r w:rsidR="00CF2DBC">
              <w:rPr>
                <w:noProof/>
                <w:webHidden/>
              </w:rPr>
              <w:instrText xml:space="preserve"> PAGEREF _Toc89075377 \h </w:instrText>
            </w:r>
            <w:r w:rsidR="00CF2DBC">
              <w:rPr>
                <w:noProof/>
                <w:webHidden/>
              </w:rPr>
            </w:r>
            <w:r w:rsidR="00CF2DBC">
              <w:rPr>
                <w:noProof/>
                <w:webHidden/>
              </w:rPr>
              <w:fldChar w:fldCharType="separate"/>
            </w:r>
            <w:r w:rsidR="007C3378">
              <w:rPr>
                <w:noProof/>
                <w:webHidden/>
              </w:rPr>
              <w:t>33</w:t>
            </w:r>
            <w:r w:rsidR="00CF2DBC">
              <w:rPr>
                <w:noProof/>
                <w:webHidden/>
              </w:rPr>
              <w:fldChar w:fldCharType="end"/>
            </w:r>
          </w:hyperlink>
        </w:p>
        <w:p w14:paraId="5F7C2B81" w14:textId="14B85FAC" w:rsidR="00CF2DBC" w:rsidRDefault="00F4132C">
          <w:pPr>
            <w:pStyle w:val="TDC3"/>
            <w:tabs>
              <w:tab w:val="right" w:pos="8828"/>
            </w:tabs>
            <w:rPr>
              <w:rFonts w:asciiTheme="minorHAnsi" w:eastAsiaTheme="minorEastAsia" w:hAnsiTheme="minorHAnsi" w:cstheme="minorBidi"/>
              <w:noProof/>
              <w:sz w:val="22"/>
              <w:szCs w:val="22"/>
            </w:rPr>
          </w:pPr>
          <w:hyperlink w:anchor="_Toc89075378" w:history="1">
            <w:r w:rsidR="00CF2DBC" w:rsidRPr="00BA76A6">
              <w:rPr>
                <w:rStyle w:val="Hipervnculo"/>
                <w:rFonts w:eastAsiaTheme="majorEastAsia"/>
                <w:noProof/>
              </w:rPr>
              <w:t>Natalidad en la Alcaldía</w:t>
            </w:r>
            <w:r w:rsidR="00CF2DBC">
              <w:rPr>
                <w:noProof/>
                <w:webHidden/>
              </w:rPr>
              <w:tab/>
            </w:r>
            <w:r w:rsidR="00CF2DBC">
              <w:rPr>
                <w:noProof/>
                <w:webHidden/>
              </w:rPr>
              <w:fldChar w:fldCharType="begin"/>
            </w:r>
            <w:r w:rsidR="00CF2DBC">
              <w:rPr>
                <w:noProof/>
                <w:webHidden/>
              </w:rPr>
              <w:instrText xml:space="preserve"> PAGEREF _Toc89075378 \h </w:instrText>
            </w:r>
            <w:r w:rsidR="00CF2DBC">
              <w:rPr>
                <w:noProof/>
                <w:webHidden/>
              </w:rPr>
            </w:r>
            <w:r w:rsidR="00CF2DBC">
              <w:rPr>
                <w:noProof/>
                <w:webHidden/>
              </w:rPr>
              <w:fldChar w:fldCharType="separate"/>
            </w:r>
            <w:r w:rsidR="007C3378">
              <w:rPr>
                <w:noProof/>
                <w:webHidden/>
              </w:rPr>
              <w:t>35</w:t>
            </w:r>
            <w:r w:rsidR="00CF2DBC">
              <w:rPr>
                <w:noProof/>
                <w:webHidden/>
              </w:rPr>
              <w:fldChar w:fldCharType="end"/>
            </w:r>
          </w:hyperlink>
        </w:p>
        <w:p w14:paraId="399DE934" w14:textId="0060F306" w:rsidR="00CF2DBC" w:rsidRDefault="00F4132C">
          <w:pPr>
            <w:pStyle w:val="TDC3"/>
            <w:tabs>
              <w:tab w:val="right" w:pos="8828"/>
            </w:tabs>
            <w:rPr>
              <w:rFonts w:asciiTheme="minorHAnsi" w:eastAsiaTheme="minorEastAsia" w:hAnsiTheme="minorHAnsi" w:cstheme="minorBidi"/>
              <w:noProof/>
              <w:sz w:val="22"/>
              <w:szCs w:val="22"/>
            </w:rPr>
          </w:pPr>
          <w:hyperlink w:anchor="_Toc89075379" w:history="1">
            <w:r w:rsidR="00CF2DBC" w:rsidRPr="00BA76A6">
              <w:rPr>
                <w:rStyle w:val="Hipervnculo"/>
                <w:rFonts w:eastAsiaTheme="majorEastAsia"/>
                <w:noProof/>
              </w:rPr>
              <w:t>Mortalidad de la Alcaldía</w:t>
            </w:r>
            <w:r w:rsidR="00CF2DBC">
              <w:rPr>
                <w:noProof/>
                <w:webHidden/>
              </w:rPr>
              <w:tab/>
            </w:r>
            <w:r w:rsidR="00CF2DBC">
              <w:rPr>
                <w:noProof/>
                <w:webHidden/>
              </w:rPr>
              <w:fldChar w:fldCharType="begin"/>
            </w:r>
            <w:r w:rsidR="00CF2DBC">
              <w:rPr>
                <w:noProof/>
                <w:webHidden/>
              </w:rPr>
              <w:instrText xml:space="preserve"> PAGEREF _Toc89075379 \h </w:instrText>
            </w:r>
            <w:r w:rsidR="00CF2DBC">
              <w:rPr>
                <w:noProof/>
                <w:webHidden/>
              </w:rPr>
            </w:r>
            <w:r w:rsidR="00CF2DBC">
              <w:rPr>
                <w:noProof/>
                <w:webHidden/>
              </w:rPr>
              <w:fldChar w:fldCharType="separate"/>
            </w:r>
            <w:r w:rsidR="007C3378">
              <w:rPr>
                <w:noProof/>
                <w:webHidden/>
              </w:rPr>
              <w:t>36</w:t>
            </w:r>
            <w:r w:rsidR="00CF2DBC">
              <w:rPr>
                <w:noProof/>
                <w:webHidden/>
              </w:rPr>
              <w:fldChar w:fldCharType="end"/>
            </w:r>
          </w:hyperlink>
        </w:p>
        <w:p w14:paraId="7A083499" w14:textId="5A6AD408" w:rsidR="00CF2DBC" w:rsidRDefault="00F4132C">
          <w:pPr>
            <w:pStyle w:val="TDC4"/>
            <w:tabs>
              <w:tab w:val="right" w:pos="8828"/>
            </w:tabs>
            <w:rPr>
              <w:rFonts w:asciiTheme="minorHAnsi" w:eastAsiaTheme="minorEastAsia" w:hAnsiTheme="minorHAnsi" w:cstheme="minorBidi"/>
              <w:noProof/>
              <w:sz w:val="22"/>
              <w:szCs w:val="22"/>
            </w:rPr>
          </w:pPr>
          <w:hyperlink w:anchor="_Toc89075380" w:history="1">
            <w:r w:rsidR="00CF2DBC" w:rsidRPr="00BA76A6">
              <w:rPr>
                <w:rStyle w:val="Hipervnculo"/>
                <w:rFonts w:eastAsiaTheme="majorEastAsia"/>
                <w:noProof/>
              </w:rPr>
              <w:t>Mortalidad por grupos quinquenales</w:t>
            </w:r>
            <w:r w:rsidR="00CF2DBC">
              <w:rPr>
                <w:noProof/>
                <w:webHidden/>
              </w:rPr>
              <w:tab/>
            </w:r>
            <w:r w:rsidR="00CF2DBC">
              <w:rPr>
                <w:noProof/>
                <w:webHidden/>
              </w:rPr>
              <w:fldChar w:fldCharType="begin"/>
            </w:r>
            <w:r w:rsidR="00CF2DBC">
              <w:rPr>
                <w:noProof/>
                <w:webHidden/>
              </w:rPr>
              <w:instrText xml:space="preserve"> PAGEREF _Toc89075380 \h </w:instrText>
            </w:r>
            <w:r w:rsidR="00CF2DBC">
              <w:rPr>
                <w:noProof/>
                <w:webHidden/>
              </w:rPr>
            </w:r>
            <w:r w:rsidR="00CF2DBC">
              <w:rPr>
                <w:noProof/>
                <w:webHidden/>
              </w:rPr>
              <w:fldChar w:fldCharType="separate"/>
            </w:r>
            <w:r w:rsidR="007C3378">
              <w:rPr>
                <w:noProof/>
                <w:webHidden/>
              </w:rPr>
              <w:t>37</w:t>
            </w:r>
            <w:r w:rsidR="00CF2DBC">
              <w:rPr>
                <w:noProof/>
                <w:webHidden/>
              </w:rPr>
              <w:fldChar w:fldCharType="end"/>
            </w:r>
          </w:hyperlink>
        </w:p>
        <w:p w14:paraId="27D6C114" w14:textId="5BA9782A" w:rsidR="00CF2DBC" w:rsidRDefault="00F4132C">
          <w:pPr>
            <w:pStyle w:val="TDC4"/>
            <w:tabs>
              <w:tab w:val="right" w:pos="8828"/>
            </w:tabs>
            <w:rPr>
              <w:rFonts w:asciiTheme="minorHAnsi" w:eastAsiaTheme="minorEastAsia" w:hAnsiTheme="minorHAnsi" w:cstheme="minorBidi"/>
              <w:noProof/>
              <w:sz w:val="22"/>
              <w:szCs w:val="22"/>
            </w:rPr>
          </w:pPr>
          <w:hyperlink w:anchor="_Toc89075381" w:history="1">
            <w:r w:rsidR="00CF2DBC" w:rsidRPr="00BA76A6">
              <w:rPr>
                <w:rStyle w:val="Hipervnculo"/>
                <w:rFonts w:eastAsiaTheme="majorEastAsia"/>
                <w:noProof/>
              </w:rPr>
              <w:t>Causas de muerte</w:t>
            </w:r>
            <w:r w:rsidR="00CF2DBC">
              <w:rPr>
                <w:noProof/>
                <w:webHidden/>
              </w:rPr>
              <w:tab/>
            </w:r>
            <w:r w:rsidR="00CF2DBC">
              <w:rPr>
                <w:noProof/>
                <w:webHidden/>
              </w:rPr>
              <w:fldChar w:fldCharType="begin"/>
            </w:r>
            <w:r w:rsidR="00CF2DBC">
              <w:rPr>
                <w:noProof/>
                <w:webHidden/>
              </w:rPr>
              <w:instrText xml:space="preserve"> PAGEREF _Toc89075381 \h </w:instrText>
            </w:r>
            <w:r w:rsidR="00CF2DBC">
              <w:rPr>
                <w:noProof/>
                <w:webHidden/>
              </w:rPr>
            </w:r>
            <w:r w:rsidR="00CF2DBC">
              <w:rPr>
                <w:noProof/>
                <w:webHidden/>
              </w:rPr>
              <w:fldChar w:fldCharType="separate"/>
            </w:r>
            <w:r w:rsidR="007C3378">
              <w:rPr>
                <w:noProof/>
                <w:webHidden/>
              </w:rPr>
              <w:t>38</w:t>
            </w:r>
            <w:r w:rsidR="00CF2DBC">
              <w:rPr>
                <w:noProof/>
                <w:webHidden/>
              </w:rPr>
              <w:fldChar w:fldCharType="end"/>
            </w:r>
          </w:hyperlink>
        </w:p>
        <w:p w14:paraId="74B9DA87" w14:textId="4F07F11C" w:rsidR="00CF2DBC" w:rsidRDefault="00F4132C">
          <w:pPr>
            <w:pStyle w:val="TDC2"/>
            <w:tabs>
              <w:tab w:val="right" w:pos="8828"/>
            </w:tabs>
            <w:rPr>
              <w:rFonts w:asciiTheme="minorHAnsi" w:eastAsiaTheme="minorEastAsia" w:hAnsiTheme="minorHAnsi" w:cstheme="minorBidi"/>
              <w:noProof/>
              <w:sz w:val="22"/>
              <w:szCs w:val="22"/>
            </w:rPr>
          </w:pPr>
          <w:hyperlink w:anchor="_Toc89075382" w:history="1">
            <w:r w:rsidR="00CF2DBC" w:rsidRPr="00BA76A6">
              <w:rPr>
                <w:rStyle w:val="Hipervnculo"/>
                <w:rFonts w:eastAsiaTheme="majorEastAsia"/>
                <w:noProof/>
              </w:rPr>
              <w:t>Diagnóstico de los panteones en la Alcaldía</w:t>
            </w:r>
            <w:r w:rsidR="00CF2DBC">
              <w:rPr>
                <w:noProof/>
                <w:webHidden/>
              </w:rPr>
              <w:tab/>
            </w:r>
            <w:r w:rsidR="00CF2DBC">
              <w:rPr>
                <w:noProof/>
                <w:webHidden/>
              </w:rPr>
              <w:fldChar w:fldCharType="begin"/>
            </w:r>
            <w:r w:rsidR="00CF2DBC">
              <w:rPr>
                <w:noProof/>
                <w:webHidden/>
              </w:rPr>
              <w:instrText xml:space="preserve"> PAGEREF _Toc89075382 \h </w:instrText>
            </w:r>
            <w:r w:rsidR="00CF2DBC">
              <w:rPr>
                <w:noProof/>
                <w:webHidden/>
              </w:rPr>
            </w:r>
            <w:r w:rsidR="00CF2DBC">
              <w:rPr>
                <w:noProof/>
                <w:webHidden/>
              </w:rPr>
              <w:fldChar w:fldCharType="separate"/>
            </w:r>
            <w:r w:rsidR="007C3378">
              <w:rPr>
                <w:noProof/>
                <w:webHidden/>
              </w:rPr>
              <w:t>40</w:t>
            </w:r>
            <w:r w:rsidR="00CF2DBC">
              <w:rPr>
                <w:noProof/>
                <w:webHidden/>
              </w:rPr>
              <w:fldChar w:fldCharType="end"/>
            </w:r>
          </w:hyperlink>
        </w:p>
        <w:p w14:paraId="19016B13" w14:textId="42FBC33A" w:rsidR="00CF2DBC" w:rsidRDefault="00F4132C">
          <w:pPr>
            <w:pStyle w:val="TDC3"/>
            <w:tabs>
              <w:tab w:val="right" w:pos="8828"/>
            </w:tabs>
            <w:rPr>
              <w:rFonts w:asciiTheme="minorHAnsi" w:eastAsiaTheme="minorEastAsia" w:hAnsiTheme="minorHAnsi" w:cstheme="minorBidi"/>
              <w:noProof/>
              <w:sz w:val="22"/>
              <w:szCs w:val="22"/>
            </w:rPr>
          </w:pPr>
          <w:hyperlink w:anchor="_Toc89075383" w:history="1">
            <w:r w:rsidR="00CF2DBC" w:rsidRPr="00BA76A6">
              <w:rPr>
                <w:rStyle w:val="Hipervnculo"/>
                <w:rFonts w:eastAsiaTheme="majorEastAsia"/>
                <w:noProof/>
              </w:rPr>
              <w:t>Panteones generales</w:t>
            </w:r>
            <w:r w:rsidR="00CF2DBC">
              <w:rPr>
                <w:noProof/>
                <w:webHidden/>
              </w:rPr>
              <w:tab/>
            </w:r>
            <w:r w:rsidR="00CF2DBC">
              <w:rPr>
                <w:noProof/>
                <w:webHidden/>
              </w:rPr>
              <w:fldChar w:fldCharType="begin"/>
            </w:r>
            <w:r w:rsidR="00CF2DBC">
              <w:rPr>
                <w:noProof/>
                <w:webHidden/>
              </w:rPr>
              <w:instrText xml:space="preserve"> PAGEREF _Toc89075383 \h </w:instrText>
            </w:r>
            <w:r w:rsidR="00CF2DBC">
              <w:rPr>
                <w:noProof/>
                <w:webHidden/>
              </w:rPr>
            </w:r>
            <w:r w:rsidR="00CF2DBC">
              <w:rPr>
                <w:noProof/>
                <w:webHidden/>
              </w:rPr>
              <w:fldChar w:fldCharType="separate"/>
            </w:r>
            <w:r w:rsidR="007C3378">
              <w:rPr>
                <w:noProof/>
                <w:webHidden/>
              </w:rPr>
              <w:t>41</w:t>
            </w:r>
            <w:r w:rsidR="00CF2DBC">
              <w:rPr>
                <w:noProof/>
                <w:webHidden/>
              </w:rPr>
              <w:fldChar w:fldCharType="end"/>
            </w:r>
          </w:hyperlink>
        </w:p>
        <w:p w14:paraId="66757F75" w14:textId="217A1836" w:rsidR="00CF2DBC" w:rsidRDefault="00F4132C">
          <w:pPr>
            <w:pStyle w:val="TDC3"/>
            <w:tabs>
              <w:tab w:val="right" w:pos="8828"/>
            </w:tabs>
            <w:rPr>
              <w:rFonts w:asciiTheme="minorHAnsi" w:eastAsiaTheme="minorEastAsia" w:hAnsiTheme="minorHAnsi" w:cstheme="minorBidi"/>
              <w:noProof/>
              <w:sz w:val="22"/>
              <w:szCs w:val="22"/>
            </w:rPr>
          </w:pPr>
          <w:hyperlink w:anchor="_Toc89075384" w:history="1">
            <w:r w:rsidR="00CF2DBC" w:rsidRPr="00BA76A6">
              <w:rPr>
                <w:rStyle w:val="Hipervnculo"/>
                <w:rFonts w:eastAsiaTheme="majorEastAsia"/>
                <w:noProof/>
              </w:rPr>
              <w:t>Panteón delegacional</w:t>
            </w:r>
            <w:r w:rsidR="00CF2DBC">
              <w:rPr>
                <w:noProof/>
                <w:webHidden/>
              </w:rPr>
              <w:tab/>
            </w:r>
            <w:r w:rsidR="00CF2DBC">
              <w:rPr>
                <w:noProof/>
                <w:webHidden/>
              </w:rPr>
              <w:fldChar w:fldCharType="begin"/>
            </w:r>
            <w:r w:rsidR="00CF2DBC">
              <w:rPr>
                <w:noProof/>
                <w:webHidden/>
              </w:rPr>
              <w:instrText xml:space="preserve"> PAGEREF _Toc89075384 \h </w:instrText>
            </w:r>
            <w:r w:rsidR="00CF2DBC">
              <w:rPr>
                <w:noProof/>
                <w:webHidden/>
              </w:rPr>
            </w:r>
            <w:r w:rsidR="00CF2DBC">
              <w:rPr>
                <w:noProof/>
                <w:webHidden/>
              </w:rPr>
              <w:fldChar w:fldCharType="separate"/>
            </w:r>
            <w:r w:rsidR="007C3378">
              <w:rPr>
                <w:noProof/>
                <w:webHidden/>
              </w:rPr>
              <w:t>41</w:t>
            </w:r>
            <w:r w:rsidR="00CF2DBC">
              <w:rPr>
                <w:noProof/>
                <w:webHidden/>
              </w:rPr>
              <w:fldChar w:fldCharType="end"/>
            </w:r>
          </w:hyperlink>
        </w:p>
        <w:p w14:paraId="44A79740" w14:textId="12E355A1" w:rsidR="00CF2DBC" w:rsidRDefault="00F4132C">
          <w:pPr>
            <w:pStyle w:val="TDC3"/>
            <w:tabs>
              <w:tab w:val="right" w:pos="8828"/>
            </w:tabs>
            <w:rPr>
              <w:rFonts w:asciiTheme="minorHAnsi" w:eastAsiaTheme="minorEastAsia" w:hAnsiTheme="minorHAnsi" w:cstheme="minorBidi"/>
              <w:noProof/>
              <w:sz w:val="22"/>
              <w:szCs w:val="22"/>
            </w:rPr>
          </w:pPr>
          <w:hyperlink w:anchor="_Toc89075385" w:history="1">
            <w:r w:rsidR="00CF2DBC" w:rsidRPr="00BA76A6">
              <w:rPr>
                <w:rStyle w:val="Hipervnculo"/>
                <w:rFonts w:eastAsiaTheme="majorEastAsia"/>
                <w:noProof/>
              </w:rPr>
              <w:t>Panteones vecinales</w:t>
            </w:r>
            <w:r w:rsidR="00CF2DBC">
              <w:rPr>
                <w:noProof/>
                <w:webHidden/>
              </w:rPr>
              <w:tab/>
            </w:r>
            <w:r w:rsidR="00CF2DBC">
              <w:rPr>
                <w:noProof/>
                <w:webHidden/>
              </w:rPr>
              <w:fldChar w:fldCharType="begin"/>
            </w:r>
            <w:r w:rsidR="00CF2DBC">
              <w:rPr>
                <w:noProof/>
                <w:webHidden/>
              </w:rPr>
              <w:instrText xml:space="preserve"> PAGEREF _Toc89075385 \h </w:instrText>
            </w:r>
            <w:r w:rsidR="00CF2DBC">
              <w:rPr>
                <w:noProof/>
                <w:webHidden/>
              </w:rPr>
            </w:r>
            <w:r w:rsidR="00CF2DBC">
              <w:rPr>
                <w:noProof/>
                <w:webHidden/>
              </w:rPr>
              <w:fldChar w:fldCharType="separate"/>
            </w:r>
            <w:r w:rsidR="007C3378">
              <w:rPr>
                <w:noProof/>
                <w:webHidden/>
              </w:rPr>
              <w:t>42</w:t>
            </w:r>
            <w:r w:rsidR="00CF2DBC">
              <w:rPr>
                <w:noProof/>
                <w:webHidden/>
              </w:rPr>
              <w:fldChar w:fldCharType="end"/>
            </w:r>
          </w:hyperlink>
        </w:p>
        <w:p w14:paraId="6C6253BB" w14:textId="1B7C8F4A" w:rsidR="00CF2DBC" w:rsidRDefault="00F4132C">
          <w:pPr>
            <w:pStyle w:val="TDC2"/>
            <w:tabs>
              <w:tab w:val="right" w:pos="8828"/>
            </w:tabs>
            <w:rPr>
              <w:rFonts w:asciiTheme="minorHAnsi" w:eastAsiaTheme="minorEastAsia" w:hAnsiTheme="minorHAnsi" w:cstheme="minorBidi"/>
              <w:noProof/>
              <w:sz w:val="22"/>
              <w:szCs w:val="22"/>
            </w:rPr>
          </w:pPr>
          <w:hyperlink w:anchor="_Toc89075386" w:history="1">
            <w:r w:rsidR="00CF2DBC" w:rsidRPr="00BA76A6">
              <w:rPr>
                <w:rStyle w:val="Hipervnculo"/>
                <w:rFonts w:eastAsiaTheme="majorEastAsia"/>
                <w:noProof/>
              </w:rPr>
              <w:t>Disponibilidad en los panteones de la Alcaldía</w:t>
            </w:r>
            <w:r w:rsidR="00CF2DBC">
              <w:rPr>
                <w:noProof/>
                <w:webHidden/>
              </w:rPr>
              <w:tab/>
            </w:r>
            <w:r w:rsidR="00CF2DBC">
              <w:rPr>
                <w:noProof/>
                <w:webHidden/>
              </w:rPr>
              <w:fldChar w:fldCharType="begin"/>
            </w:r>
            <w:r w:rsidR="00CF2DBC">
              <w:rPr>
                <w:noProof/>
                <w:webHidden/>
              </w:rPr>
              <w:instrText xml:space="preserve"> PAGEREF _Toc89075386 \h </w:instrText>
            </w:r>
            <w:r w:rsidR="00CF2DBC">
              <w:rPr>
                <w:noProof/>
                <w:webHidden/>
              </w:rPr>
            </w:r>
            <w:r w:rsidR="00CF2DBC">
              <w:rPr>
                <w:noProof/>
                <w:webHidden/>
              </w:rPr>
              <w:fldChar w:fldCharType="separate"/>
            </w:r>
            <w:r w:rsidR="007C3378">
              <w:rPr>
                <w:noProof/>
                <w:webHidden/>
              </w:rPr>
              <w:t>43</w:t>
            </w:r>
            <w:r w:rsidR="00CF2DBC">
              <w:rPr>
                <w:noProof/>
                <w:webHidden/>
              </w:rPr>
              <w:fldChar w:fldCharType="end"/>
            </w:r>
          </w:hyperlink>
        </w:p>
        <w:p w14:paraId="133312D7" w14:textId="5AC3E8CB" w:rsidR="00CF2DBC" w:rsidRDefault="00F4132C">
          <w:pPr>
            <w:pStyle w:val="TDC2"/>
            <w:tabs>
              <w:tab w:val="right" w:pos="8828"/>
            </w:tabs>
            <w:rPr>
              <w:rFonts w:asciiTheme="minorHAnsi" w:eastAsiaTheme="minorEastAsia" w:hAnsiTheme="minorHAnsi" w:cstheme="minorBidi"/>
              <w:noProof/>
              <w:sz w:val="22"/>
              <w:szCs w:val="22"/>
            </w:rPr>
          </w:pPr>
          <w:hyperlink w:anchor="_Toc89075387" w:history="1">
            <w:r w:rsidR="00CF2DBC" w:rsidRPr="00BA76A6">
              <w:rPr>
                <w:rStyle w:val="Hipervnculo"/>
                <w:rFonts w:eastAsiaTheme="majorEastAsia"/>
                <w:noProof/>
              </w:rPr>
              <w:t>Demanda del servicio</w:t>
            </w:r>
            <w:r w:rsidR="00CF2DBC">
              <w:rPr>
                <w:noProof/>
                <w:webHidden/>
              </w:rPr>
              <w:tab/>
            </w:r>
            <w:r w:rsidR="00CF2DBC">
              <w:rPr>
                <w:noProof/>
                <w:webHidden/>
              </w:rPr>
              <w:fldChar w:fldCharType="begin"/>
            </w:r>
            <w:r w:rsidR="00CF2DBC">
              <w:rPr>
                <w:noProof/>
                <w:webHidden/>
              </w:rPr>
              <w:instrText xml:space="preserve"> PAGEREF _Toc89075387 \h </w:instrText>
            </w:r>
            <w:r w:rsidR="00CF2DBC">
              <w:rPr>
                <w:noProof/>
                <w:webHidden/>
              </w:rPr>
            </w:r>
            <w:r w:rsidR="00CF2DBC">
              <w:rPr>
                <w:noProof/>
                <w:webHidden/>
              </w:rPr>
              <w:fldChar w:fldCharType="separate"/>
            </w:r>
            <w:r w:rsidR="007C3378">
              <w:rPr>
                <w:noProof/>
                <w:webHidden/>
              </w:rPr>
              <w:t>44</w:t>
            </w:r>
            <w:r w:rsidR="00CF2DBC">
              <w:rPr>
                <w:noProof/>
                <w:webHidden/>
              </w:rPr>
              <w:fldChar w:fldCharType="end"/>
            </w:r>
          </w:hyperlink>
        </w:p>
        <w:p w14:paraId="296676C8" w14:textId="3C2C0146" w:rsidR="00CF2DBC" w:rsidRDefault="00F4132C">
          <w:pPr>
            <w:pStyle w:val="TDC1"/>
            <w:tabs>
              <w:tab w:val="right" w:pos="8828"/>
            </w:tabs>
            <w:rPr>
              <w:rFonts w:asciiTheme="minorHAnsi" w:eastAsiaTheme="minorEastAsia" w:hAnsiTheme="minorHAnsi" w:cstheme="minorBidi"/>
              <w:noProof/>
              <w:sz w:val="22"/>
              <w:szCs w:val="22"/>
            </w:rPr>
          </w:pPr>
          <w:hyperlink w:anchor="_Toc89075388" w:history="1">
            <w:r w:rsidR="00CF2DBC" w:rsidRPr="00BA76A6">
              <w:rPr>
                <w:rStyle w:val="Hipervnculo"/>
                <w:rFonts w:eastAsiaTheme="majorEastAsia"/>
                <w:noProof/>
              </w:rPr>
              <w:t>Capítulo 3. Marco metodológico</w:t>
            </w:r>
            <w:r w:rsidR="00CF2DBC">
              <w:rPr>
                <w:noProof/>
                <w:webHidden/>
              </w:rPr>
              <w:tab/>
            </w:r>
            <w:r w:rsidR="00CF2DBC">
              <w:rPr>
                <w:noProof/>
                <w:webHidden/>
              </w:rPr>
              <w:fldChar w:fldCharType="begin"/>
            </w:r>
            <w:r w:rsidR="00CF2DBC">
              <w:rPr>
                <w:noProof/>
                <w:webHidden/>
              </w:rPr>
              <w:instrText xml:space="preserve"> PAGEREF _Toc89075388 \h </w:instrText>
            </w:r>
            <w:r w:rsidR="00CF2DBC">
              <w:rPr>
                <w:noProof/>
                <w:webHidden/>
              </w:rPr>
            </w:r>
            <w:r w:rsidR="00CF2DBC">
              <w:rPr>
                <w:noProof/>
                <w:webHidden/>
              </w:rPr>
              <w:fldChar w:fldCharType="separate"/>
            </w:r>
            <w:r w:rsidR="007C3378">
              <w:rPr>
                <w:noProof/>
                <w:webHidden/>
              </w:rPr>
              <w:t>47</w:t>
            </w:r>
            <w:r w:rsidR="00CF2DBC">
              <w:rPr>
                <w:noProof/>
                <w:webHidden/>
              </w:rPr>
              <w:fldChar w:fldCharType="end"/>
            </w:r>
          </w:hyperlink>
        </w:p>
        <w:p w14:paraId="5AE7A4BB" w14:textId="0F15A535" w:rsidR="00CF2DBC" w:rsidRDefault="00F4132C">
          <w:pPr>
            <w:pStyle w:val="TDC2"/>
            <w:tabs>
              <w:tab w:val="right" w:pos="8828"/>
            </w:tabs>
            <w:rPr>
              <w:rFonts w:asciiTheme="minorHAnsi" w:eastAsiaTheme="minorEastAsia" w:hAnsiTheme="minorHAnsi" w:cstheme="minorBidi"/>
              <w:noProof/>
              <w:sz w:val="22"/>
              <w:szCs w:val="22"/>
            </w:rPr>
          </w:pPr>
          <w:hyperlink w:anchor="_Toc89075389" w:history="1">
            <w:r w:rsidR="00CF2DBC" w:rsidRPr="00BA76A6">
              <w:rPr>
                <w:rStyle w:val="Hipervnculo"/>
                <w:rFonts w:eastAsiaTheme="majorEastAsia"/>
                <w:noProof/>
              </w:rPr>
              <w:t>Universo de estudio</w:t>
            </w:r>
            <w:r w:rsidR="00CF2DBC">
              <w:rPr>
                <w:noProof/>
                <w:webHidden/>
              </w:rPr>
              <w:tab/>
            </w:r>
            <w:r w:rsidR="00CF2DBC">
              <w:rPr>
                <w:noProof/>
                <w:webHidden/>
              </w:rPr>
              <w:fldChar w:fldCharType="begin"/>
            </w:r>
            <w:r w:rsidR="00CF2DBC">
              <w:rPr>
                <w:noProof/>
                <w:webHidden/>
              </w:rPr>
              <w:instrText xml:space="preserve"> PAGEREF _Toc89075389 \h </w:instrText>
            </w:r>
            <w:r w:rsidR="00CF2DBC">
              <w:rPr>
                <w:noProof/>
                <w:webHidden/>
              </w:rPr>
            </w:r>
            <w:r w:rsidR="00CF2DBC">
              <w:rPr>
                <w:noProof/>
                <w:webHidden/>
              </w:rPr>
              <w:fldChar w:fldCharType="separate"/>
            </w:r>
            <w:r w:rsidR="007C3378">
              <w:rPr>
                <w:noProof/>
                <w:webHidden/>
              </w:rPr>
              <w:t>47</w:t>
            </w:r>
            <w:r w:rsidR="00CF2DBC">
              <w:rPr>
                <w:noProof/>
                <w:webHidden/>
              </w:rPr>
              <w:fldChar w:fldCharType="end"/>
            </w:r>
          </w:hyperlink>
        </w:p>
        <w:p w14:paraId="03A77E1E" w14:textId="4F5697E0" w:rsidR="00CF2DBC" w:rsidRDefault="00F4132C">
          <w:pPr>
            <w:pStyle w:val="TDC2"/>
            <w:tabs>
              <w:tab w:val="right" w:pos="8828"/>
            </w:tabs>
            <w:rPr>
              <w:rFonts w:asciiTheme="minorHAnsi" w:eastAsiaTheme="minorEastAsia" w:hAnsiTheme="minorHAnsi" w:cstheme="minorBidi"/>
              <w:noProof/>
              <w:sz w:val="22"/>
              <w:szCs w:val="22"/>
            </w:rPr>
          </w:pPr>
          <w:hyperlink w:anchor="_Toc89075390" w:history="1">
            <w:r w:rsidR="00CF2DBC" w:rsidRPr="00BA76A6">
              <w:rPr>
                <w:rStyle w:val="Hipervnculo"/>
                <w:rFonts w:eastAsiaTheme="majorEastAsia"/>
                <w:noProof/>
              </w:rPr>
              <w:t>Propuesta tecnológica</w:t>
            </w:r>
            <w:r w:rsidR="00CF2DBC">
              <w:rPr>
                <w:noProof/>
                <w:webHidden/>
              </w:rPr>
              <w:tab/>
            </w:r>
            <w:r w:rsidR="00CF2DBC">
              <w:rPr>
                <w:noProof/>
                <w:webHidden/>
              </w:rPr>
              <w:fldChar w:fldCharType="begin"/>
            </w:r>
            <w:r w:rsidR="00CF2DBC">
              <w:rPr>
                <w:noProof/>
                <w:webHidden/>
              </w:rPr>
              <w:instrText xml:space="preserve"> PAGEREF _Toc89075390 \h </w:instrText>
            </w:r>
            <w:r w:rsidR="00CF2DBC">
              <w:rPr>
                <w:noProof/>
                <w:webHidden/>
              </w:rPr>
            </w:r>
            <w:r w:rsidR="00CF2DBC">
              <w:rPr>
                <w:noProof/>
                <w:webHidden/>
              </w:rPr>
              <w:fldChar w:fldCharType="separate"/>
            </w:r>
            <w:r w:rsidR="007C3378">
              <w:rPr>
                <w:noProof/>
                <w:webHidden/>
              </w:rPr>
              <w:t>47</w:t>
            </w:r>
            <w:r w:rsidR="00CF2DBC">
              <w:rPr>
                <w:noProof/>
                <w:webHidden/>
              </w:rPr>
              <w:fldChar w:fldCharType="end"/>
            </w:r>
          </w:hyperlink>
        </w:p>
        <w:p w14:paraId="4B9DF2C1" w14:textId="6BD580E0" w:rsidR="00CF2DBC" w:rsidRDefault="00F4132C">
          <w:pPr>
            <w:pStyle w:val="TDC2"/>
            <w:tabs>
              <w:tab w:val="right" w:pos="8828"/>
            </w:tabs>
            <w:rPr>
              <w:rFonts w:asciiTheme="minorHAnsi" w:eastAsiaTheme="minorEastAsia" w:hAnsiTheme="minorHAnsi" w:cstheme="minorBidi"/>
              <w:noProof/>
              <w:sz w:val="22"/>
              <w:szCs w:val="22"/>
            </w:rPr>
          </w:pPr>
          <w:hyperlink w:anchor="_Toc89075391" w:history="1">
            <w:r w:rsidR="00CF2DBC" w:rsidRPr="00BA76A6">
              <w:rPr>
                <w:rStyle w:val="Hipervnculo"/>
                <w:rFonts w:eastAsiaTheme="majorEastAsia"/>
                <w:noProof/>
              </w:rPr>
              <w:t>Diseño conceptual web</w:t>
            </w:r>
            <w:r w:rsidR="00CF2DBC">
              <w:rPr>
                <w:noProof/>
                <w:webHidden/>
              </w:rPr>
              <w:tab/>
            </w:r>
            <w:r w:rsidR="00CF2DBC">
              <w:rPr>
                <w:noProof/>
                <w:webHidden/>
              </w:rPr>
              <w:fldChar w:fldCharType="begin"/>
            </w:r>
            <w:r w:rsidR="00CF2DBC">
              <w:rPr>
                <w:noProof/>
                <w:webHidden/>
              </w:rPr>
              <w:instrText xml:space="preserve"> PAGEREF _Toc89075391 \h </w:instrText>
            </w:r>
            <w:r w:rsidR="00CF2DBC">
              <w:rPr>
                <w:noProof/>
                <w:webHidden/>
              </w:rPr>
            </w:r>
            <w:r w:rsidR="00CF2DBC">
              <w:rPr>
                <w:noProof/>
                <w:webHidden/>
              </w:rPr>
              <w:fldChar w:fldCharType="separate"/>
            </w:r>
            <w:r w:rsidR="007C3378">
              <w:rPr>
                <w:noProof/>
                <w:webHidden/>
              </w:rPr>
              <w:t>50</w:t>
            </w:r>
            <w:r w:rsidR="00CF2DBC">
              <w:rPr>
                <w:noProof/>
                <w:webHidden/>
              </w:rPr>
              <w:fldChar w:fldCharType="end"/>
            </w:r>
          </w:hyperlink>
        </w:p>
        <w:p w14:paraId="0576B640" w14:textId="5CB70826" w:rsidR="00CF2DBC" w:rsidRDefault="00F4132C">
          <w:pPr>
            <w:pStyle w:val="TDC2"/>
            <w:tabs>
              <w:tab w:val="right" w:pos="8828"/>
            </w:tabs>
            <w:rPr>
              <w:rFonts w:asciiTheme="minorHAnsi" w:eastAsiaTheme="minorEastAsia" w:hAnsiTheme="minorHAnsi" w:cstheme="minorBidi"/>
              <w:noProof/>
              <w:sz w:val="22"/>
              <w:szCs w:val="22"/>
            </w:rPr>
          </w:pPr>
          <w:hyperlink w:anchor="_Toc89075392" w:history="1">
            <w:r w:rsidR="00CF2DBC" w:rsidRPr="00BA76A6">
              <w:rPr>
                <w:rStyle w:val="Hipervnculo"/>
                <w:rFonts w:eastAsiaTheme="majorEastAsia"/>
                <w:noProof/>
              </w:rPr>
              <w:t>Recopilación y estandarización de información</w:t>
            </w:r>
            <w:r w:rsidR="00CF2DBC">
              <w:rPr>
                <w:noProof/>
                <w:webHidden/>
              </w:rPr>
              <w:tab/>
            </w:r>
            <w:r w:rsidR="00CF2DBC">
              <w:rPr>
                <w:noProof/>
                <w:webHidden/>
              </w:rPr>
              <w:fldChar w:fldCharType="begin"/>
            </w:r>
            <w:r w:rsidR="00CF2DBC">
              <w:rPr>
                <w:noProof/>
                <w:webHidden/>
              </w:rPr>
              <w:instrText xml:space="preserve"> PAGEREF _Toc89075392 \h </w:instrText>
            </w:r>
            <w:r w:rsidR="00CF2DBC">
              <w:rPr>
                <w:noProof/>
                <w:webHidden/>
              </w:rPr>
            </w:r>
            <w:r w:rsidR="00CF2DBC">
              <w:rPr>
                <w:noProof/>
                <w:webHidden/>
              </w:rPr>
              <w:fldChar w:fldCharType="separate"/>
            </w:r>
            <w:r w:rsidR="007C3378">
              <w:rPr>
                <w:noProof/>
                <w:webHidden/>
              </w:rPr>
              <w:t>51</w:t>
            </w:r>
            <w:r w:rsidR="00CF2DBC">
              <w:rPr>
                <w:noProof/>
                <w:webHidden/>
              </w:rPr>
              <w:fldChar w:fldCharType="end"/>
            </w:r>
          </w:hyperlink>
        </w:p>
        <w:p w14:paraId="363A6A73" w14:textId="1CC27F5F" w:rsidR="00CF2DBC" w:rsidRDefault="00F4132C">
          <w:pPr>
            <w:pStyle w:val="TDC3"/>
            <w:tabs>
              <w:tab w:val="right" w:pos="8828"/>
            </w:tabs>
            <w:rPr>
              <w:rFonts w:asciiTheme="minorHAnsi" w:eastAsiaTheme="minorEastAsia" w:hAnsiTheme="minorHAnsi" w:cstheme="minorBidi"/>
              <w:noProof/>
              <w:sz w:val="22"/>
              <w:szCs w:val="22"/>
            </w:rPr>
          </w:pPr>
          <w:hyperlink w:anchor="_Toc89075393" w:history="1">
            <w:r w:rsidR="00CF2DBC" w:rsidRPr="00BA76A6">
              <w:rPr>
                <w:rStyle w:val="Hipervnculo"/>
                <w:rFonts w:eastAsiaTheme="majorEastAsia"/>
                <w:noProof/>
              </w:rPr>
              <w:t>Población</w:t>
            </w:r>
            <w:r w:rsidR="00CF2DBC">
              <w:rPr>
                <w:noProof/>
                <w:webHidden/>
              </w:rPr>
              <w:tab/>
            </w:r>
            <w:r w:rsidR="00CF2DBC">
              <w:rPr>
                <w:noProof/>
                <w:webHidden/>
              </w:rPr>
              <w:fldChar w:fldCharType="begin"/>
            </w:r>
            <w:r w:rsidR="00CF2DBC">
              <w:rPr>
                <w:noProof/>
                <w:webHidden/>
              </w:rPr>
              <w:instrText xml:space="preserve"> PAGEREF _Toc89075393 \h </w:instrText>
            </w:r>
            <w:r w:rsidR="00CF2DBC">
              <w:rPr>
                <w:noProof/>
                <w:webHidden/>
              </w:rPr>
            </w:r>
            <w:r w:rsidR="00CF2DBC">
              <w:rPr>
                <w:noProof/>
                <w:webHidden/>
              </w:rPr>
              <w:fldChar w:fldCharType="separate"/>
            </w:r>
            <w:r w:rsidR="007C3378">
              <w:rPr>
                <w:noProof/>
                <w:webHidden/>
              </w:rPr>
              <w:t>51</w:t>
            </w:r>
            <w:r w:rsidR="00CF2DBC">
              <w:rPr>
                <w:noProof/>
                <w:webHidden/>
              </w:rPr>
              <w:fldChar w:fldCharType="end"/>
            </w:r>
          </w:hyperlink>
        </w:p>
        <w:p w14:paraId="7A129644" w14:textId="7BEFB1AF" w:rsidR="00CF2DBC" w:rsidRDefault="00F4132C">
          <w:pPr>
            <w:pStyle w:val="TDC3"/>
            <w:tabs>
              <w:tab w:val="right" w:pos="8828"/>
            </w:tabs>
            <w:rPr>
              <w:rFonts w:asciiTheme="minorHAnsi" w:eastAsiaTheme="minorEastAsia" w:hAnsiTheme="minorHAnsi" w:cstheme="minorBidi"/>
              <w:noProof/>
              <w:sz w:val="22"/>
              <w:szCs w:val="22"/>
            </w:rPr>
          </w:pPr>
          <w:hyperlink w:anchor="_Toc89075394" w:history="1">
            <w:r w:rsidR="00CF2DBC" w:rsidRPr="00BA76A6">
              <w:rPr>
                <w:rStyle w:val="Hipervnculo"/>
                <w:rFonts w:eastAsiaTheme="majorEastAsia"/>
                <w:noProof/>
              </w:rPr>
              <w:t>Mortalidad general</w:t>
            </w:r>
            <w:r w:rsidR="00CF2DBC">
              <w:rPr>
                <w:noProof/>
                <w:webHidden/>
              </w:rPr>
              <w:tab/>
            </w:r>
            <w:r w:rsidR="00CF2DBC">
              <w:rPr>
                <w:noProof/>
                <w:webHidden/>
              </w:rPr>
              <w:fldChar w:fldCharType="begin"/>
            </w:r>
            <w:r w:rsidR="00CF2DBC">
              <w:rPr>
                <w:noProof/>
                <w:webHidden/>
              </w:rPr>
              <w:instrText xml:space="preserve"> PAGEREF _Toc89075394 \h </w:instrText>
            </w:r>
            <w:r w:rsidR="00CF2DBC">
              <w:rPr>
                <w:noProof/>
                <w:webHidden/>
              </w:rPr>
            </w:r>
            <w:r w:rsidR="00CF2DBC">
              <w:rPr>
                <w:noProof/>
                <w:webHidden/>
              </w:rPr>
              <w:fldChar w:fldCharType="separate"/>
            </w:r>
            <w:r w:rsidR="007C3378">
              <w:rPr>
                <w:noProof/>
                <w:webHidden/>
              </w:rPr>
              <w:t>52</w:t>
            </w:r>
            <w:r w:rsidR="00CF2DBC">
              <w:rPr>
                <w:noProof/>
                <w:webHidden/>
              </w:rPr>
              <w:fldChar w:fldCharType="end"/>
            </w:r>
          </w:hyperlink>
        </w:p>
        <w:p w14:paraId="361B9C66" w14:textId="405E8409" w:rsidR="00CF2DBC" w:rsidRDefault="00F4132C">
          <w:pPr>
            <w:pStyle w:val="TDC3"/>
            <w:tabs>
              <w:tab w:val="right" w:pos="8828"/>
            </w:tabs>
            <w:rPr>
              <w:rFonts w:asciiTheme="minorHAnsi" w:eastAsiaTheme="minorEastAsia" w:hAnsiTheme="minorHAnsi" w:cstheme="minorBidi"/>
              <w:noProof/>
              <w:sz w:val="22"/>
              <w:szCs w:val="22"/>
            </w:rPr>
          </w:pPr>
          <w:hyperlink w:anchor="_Toc89075395" w:history="1">
            <w:r w:rsidR="00CF2DBC" w:rsidRPr="00BA76A6">
              <w:rPr>
                <w:rStyle w:val="Hipervnculo"/>
                <w:rFonts w:eastAsiaTheme="majorEastAsia"/>
                <w:noProof/>
              </w:rPr>
              <w:t>Oferta</w:t>
            </w:r>
            <w:r w:rsidR="00CF2DBC">
              <w:rPr>
                <w:noProof/>
                <w:webHidden/>
              </w:rPr>
              <w:tab/>
            </w:r>
            <w:r w:rsidR="00CF2DBC">
              <w:rPr>
                <w:noProof/>
                <w:webHidden/>
              </w:rPr>
              <w:fldChar w:fldCharType="begin"/>
            </w:r>
            <w:r w:rsidR="00CF2DBC">
              <w:rPr>
                <w:noProof/>
                <w:webHidden/>
              </w:rPr>
              <w:instrText xml:space="preserve"> PAGEREF _Toc89075395 \h </w:instrText>
            </w:r>
            <w:r w:rsidR="00CF2DBC">
              <w:rPr>
                <w:noProof/>
                <w:webHidden/>
              </w:rPr>
            </w:r>
            <w:r w:rsidR="00CF2DBC">
              <w:rPr>
                <w:noProof/>
                <w:webHidden/>
              </w:rPr>
              <w:fldChar w:fldCharType="separate"/>
            </w:r>
            <w:r w:rsidR="007C3378">
              <w:rPr>
                <w:noProof/>
                <w:webHidden/>
              </w:rPr>
              <w:t>53</w:t>
            </w:r>
            <w:r w:rsidR="00CF2DBC">
              <w:rPr>
                <w:noProof/>
                <w:webHidden/>
              </w:rPr>
              <w:fldChar w:fldCharType="end"/>
            </w:r>
          </w:hyperlink>
        </w:p>
        <w:p w14:paraId="5C4BCBE5" w14:textId="5DD1B3B2" w:rsidR="00CF2DBC" w:rsidRDefault="00F4132C">
          <w:pPr>
            <w:pStyle w:val="TDC3"/>
            <w:tabs>
              <w:tab w:val="right" w:pos="8828"/>
            </w:tabs>
            <w:rPr>
              <w:rFonts w:asciiTheme="minorHAnsi" w:eastAsiaTheme="minorEastAsia" w:hAnsiTheme="minorHAnsi" w:cstheme="minorBidi"/>
              <w:noProof/>
              <w:sz w:val="22"/>
              <w:szCs w:val="22"/>
            </w:rPr>
          </w:pPr>
          <w:hyperlink w:anchor="_Toc89075396" w:history="1">
            <w:r w:rsidR="00CF2DBC" w:rsidRPr="00BA76A6">
              <w:rPr>
                <w:rStyle w:val="Hipervnculo"/>
                <w:rFonts w:eastAsiaTheme="majorEastAsia"/>
                <w:noProof/>
              </w:rPr>
              <w:t>Demanda</w:t>
            </w:r>
            <w:r w:rsidR="00CF2DBC">
              <w:rPr>
                <w:noProof/>
                <w:webHidden/>
              </w:rPr>
              <w:tab/>
            </w:r>
            <w:r w:rsidR="00CF2DBC">
              <w:rPr>
                <w:noProof/>
                <w:webHidden/>
              </w:rPr>
              <w:fldChar w:fldCharType="begin"/>
            </w:r>
            <w:r w:rsidR="00CF2DBC">
              <w:rPr>
                <w:noProof/>
                <w:webHidden/>
              </w:rPr>
              <w:instrText xml:space="preserve"> PAGEREF _Toc89075396 \h </w:instrText>
            </w:r>
            <w:r w:rsidR="00CF2DBC">
              <w:rPr>
                <w:noProof/>
                <w:webHidden/>
              </w:rPr>
            </w:r>
            <w:r w:rsidR="00CF2DBC">
              <w:rPr>
                <w:noProof/>
                <w:webHidden/>
              </w:rPr>
              <w:fldChar w:fldCharType="separate"/>
            </w:r>
            <w:r w:rsidR="007C3378">
              <w:rPr>
                <w:noProof/>
                <w:webHidden/>
              </w:rPr>
              <w:t>54</w:t>
            </w:r>
            <w:r w:rsidR="00CF2DBC">
              <w:rPr>
                <w:noProof/>
                <w:webHidden/>
              </w:rPr>
              <w:fldChar w:fldCharType="end"/>
            </w:r>
          </w:hyperlink>
        </w:p>
        <w:p w14:paraId="62D9FE09" w14:textId="64993458" w:rsidR="00CF2DBC" w:rsidRDefault="00F4132C">
          <w:pPr>
            <w:pStyle w:val="TDC3"/>
            <w:tabs>
              <w:tab w:val="right" w:pos="8828"/>
            </w:tabs>
            <w:rPr>
              <w:rFonts w:asciiTheme="minorHAnsi" w:eastAsiaTheme="minorEastAsia" w:hAnsiTheme="minorHAnsi" w:cstheme="minorBidi"/>
              <w:noProof/>
              <w:sz w:val="22"/>
              <w:szCs w:val="22"/>
            </w:rPr>
          </w:pPr>
          <w:hyperlink w:anchor="_Toc89075397" w:history="1">
            <w:r w:rsidR="00CF2DBC" w:rsidRPr="00BA76A6">
              <w:rPr>
                <w:rStyle w:val="Hipervnculo"/>
                <w:rFonts w:eastAsiaTheme="majorEastAsia"/>
                <w:noProof/>
              </w:rPr>
              <w:t>Asignación de la demanda</w:t>
            </w:r>
            <w:r w:rsidR="00CF2DBC">
              <w:rPr>
                <w:noProof/>
                <w:webHidden/>
              </w:rPr>
              <w:tab/>
            </w:r>
            <w:r w:rsidR="00CF2DBC">
              <w:rPr>
                <w:noProof/>
                <w:webHidden/>
              </w:rPr>
              <w:fldChar w:fldCharType="begin"/>
            </w:r>
            <w:r w:rsidR="00CF2DBC">
              <w:rPr>
                <w:noProof/>
                <w:webHidden/>
              </w:rPr>
              <w:instrText xml:space="preserve"> PAGEREF _Toc89075397 \h </w:instrText>
            </w:r>
            <w:r w:rsidR="00CF2DBC">
              <w:rPr>
                <w:noProof/>
                <w:webHidden/>
              </w:rPr>
            </w:r>
            <w:r w:rsidR="00CF2DBC">
              <w:rPr>
                <w:noProof/>
                <w:webHidden/>
              </w:rPr>
              <w:fldChar w:fldCharType="separate"/>
            </w:r>
            <w:r w:rsidR="007C3378">
              <w:rPr>
                <w:noProof/>
                <w:webHidden/>
              </w:rPr>
              <w:t>54</w:t>
            </w:r>
            <w:r w:rsidR="00CF2DBC">
              <w:rPr>
                <w:noProof/>
                <w:webHidden/>
              </w:rPr>
              <w:fldChar w:fldCharType="end"/>
            </w:r>
          </w:hyperlink>
        </w:p>
        <w:p w14:paraId="5FF3840C" w14:textId="3DB2333B" w:rsidR="00CF2DBC" w:rsidRDefault="00F4132C">
          <w:pPr>
            <w:pStyle w:val="TDC2"/>
            <w:tabs>
              <w:tab w:val="right" w:pos="8828"/>
            </w:tabs>
            <w:rPr>
              <w:rFonts w:asciiTheme="minorHAnsi" w:eastAsiaTheme="minorEastAsia" w:hAnsiTheme="minorHAnsi" w:cstheme="minorBidi"/>
              <w:noProof/>
              <w:sz w:val="22"/>
              <w:szCs w:val="22"/>
            </w:rPr>
          </w:pPr>
          <w:hyperlink w:anchor="_Toc89075398" w:history="1">
            <w:r w:rsidR="00CF2DBC" w:rsidRPr="00BA76A6">
              <w:rPr>
                <w:rStyle w:val="Hipervnculo"/>
                <w:rFonts w:eastAsiaTheme="majorEastAsia"/>
                <w:noProof/>
              </w:rPr>
              <w:t>Base de datos geoespacial</w:t>
            </w:r>
            <w:r w:rsidR="00CF2DBC">
              <w:rPr>
                <w:noProof/>
                <w:webHidden/>
              </w:rPr>
              <w:tab/>
            </w:r>
            <w:r w:rsidR="00CF2DBC">
              <w:rPr>
                <w:noProof/>
                <w:webHidden/>
              </w:rPr>
              <w:fldChar w:fldCharType="begin"/>
            </w:r>
            <w:r w:rsidR="00CF2DBC">
              <w:rPr>
                <w:noProof/>
                <w:webHidden/>
              </w:rPr>
              <w:instrText xml:space="preserve"> PAGEREF _Toc89075398 \h </w:instrText>
            </w:r>
            <w:r w:rsidR="00CF2DBC">
              <w:rPr>
                <w:noProof/>
                <w:webHidden/>
              </w:rPr>
            </w:r>
            <w:r w:rsidR="00CF2DBC">
              <w:rPr>
                <w:noProof/>
                <w:webHidden/>
              </w:rPr>
              <w:fldChar w:fldCharType="separate"/>
            </w:r>
            <w:r w:rsidR="007C3378">
              <w:rPr>
                <w:noProof/>
                <w:webHidden/>
              </w:rPr>
              <w:t>55</w:t>
            </w:r>
            <w:r w:rsidR="00CF2DBC">
              <w:rPr>
                <w:noProof/>
                <w:webHidden/>
              </w:rPr>
              <w:fldChar w:fldCharType="end"/>
            </w:r>
          </w:hyperlink>
        </w:p>
        <w:p w14:paraId="1C1DA5F7" w14:textId="5FF4B7EB" w:rsidR="00CF2DBC" w:rsidRDefault="00F4132C">
          <w:pPr>
            <w:pStyle w:val="TDC3"/>
            <w:tabs>
              <w:tab w:val="right" w:pos="8828"/>
            </w:tabs>
            <w:rPr>
              <w:rFonts w:asciiTheme="minorHAnsi" w:eastAsiaTheme="minorEastAsia" w:hAnsiTheme="minorHAnsi" w:cstheme="minorBidi"/>
              <w:noProof/>
              <w:sz w:val="22"/>
              <w:szCs w:val="22"/>
            </w:rPr>
          </w:pPr>
          <w:hyperlink w:anchor="_Toc89075399" w:history="1">
            <w:r w:rsidR="00CF2DBC" w:rsidRPr="00BA76A6">
              <w:rPr>
                <w:rStyle w:val="Hipervnculo"/>
                <w:rFonts w:eastAsiaTheme="majorEastAsia"/>
                <w:noProof/>
              </w:rPr>
              <w:t>Modelo relacional</w:t>
            </w:r>
            <w:r w:rsidR="00CF2DBC">
              <w:rPr>
                <w:noProof/>
                <w:webHidden/>
              </w:rPr>
              <w:tab/>
            </w:r>
            <w:r w:rsidR="00CF2DBC">
              <w:rPr>
                <w:noProof/>
                <w:webHidden/>
              </w:rPr>
              <w:fldChar w:fldCharType="begin"/>
            </w:r>
            <w:r w:rsidR="00CF2DBC">
              <w:rPr>
                <w:noProof/>
                <w:webHidden/>
              </w:rPr>
              <w:instrText xml:space="preserve"> PAGEREF _Toc89075399 \h </w:instrText>
            </w:r>
            <w:r w:rsidR="00CF2DBC">
              <w:rPr>
                <w:noProof/>
                <w:webHidden/>
              </w:rPr>
            </w:r>
            <w:r w:rsidR="00CF2DBC">
              <w:rPr>
                <w:noProof/>
                <w:webHidden/>
              </w:rPr>
              <w:fldChar w:fldCharType="separate"/>
            </w:r>
            <w:r w:rsidR="007C3378">
              <w:rPr>
                <w:noProof/>
                <w:webHidden/>
              </w:rPr>
              <w:t>55</w:t>
            </w:r>
            <w:r w:rsidR="00CF2DBC">
              <w:rPr>
                <w:noProof/>
                <w:webHidden/>
              </w:rPr>
              <w:fldChar w:fldCharType="end"/>
            </w:r>
          </w:hyperlink>
        </w:p>
        <w:p w14:paraId="3874B3E5" w14:textId="333DF222" w:rsidR="00CF2DBC" w:rsidRDefault="00F4132C">
          <w:pPr>
            <w:pStyle w:val="TDC2"/>
            <w:tabs>
              <w:tab w:val="right" w:pos="8828"/>
            </w:tabs>
            <w:rPr>
              <w:rFonts w:asciiTheme="minorHAnsi" w:eastAsiaTheme="minorEastAsia" w:hAnsiTheme="minorHAnsi" w:cstheme="minorBidi"/>
              <w:noProof/>
              <w:sz w:val="22"/>
              <w:szCs w:val="22"/>
            </w:rPr>
          </w:pPr>
          <w:hyperlink w:anchor="_Toc89075400" w:history="1">
            <w:r w:rsidR="00CF2DBC" w:rsidRPr="00BA76A6">
              <w:rPr>
                <w:rStyle w:val="Hipervnculo"/>
                <w:rFonts w:eastAsiaTheme="majorEastAsia"/>
                <w:noProof/>
              </w:rPr>
              <w:t>Construcción del modelo</w:t>
            </w:r>
            <w:r w:rsidR="00CF2DBC">
              <w:rPr>
                <w:noProof/>
                <w:webHidden/>
              </w:rPr>
              <w:tab/>
            </w:r>
            <w:r w:rsidR="00CF2DBC">
              <w:rPr>
                <w:noProof/>
                <w:webHidden/>
              </w:rPr>
              <w:fldChar w:fldCharType="begin"/>
            </w:r>
            <w:r w:rsidR="00CF2DBC">
              <w:rPr>
                <w:noProof/>
                <w:webHidden/>
              </w:rPr>
              <w:instrText xml:space="preserve"> PAGEREF _Toc89075400 \h </w:instrText>
            </w:r>
            <w:r w:rsidR="00CF2DBC">
              <w:rPr>
                <w:noProof/>
                <w:webHidden/>
              </w:rPr>
            </w:r>
            <w:r w:rsidR="00CF2DBC">
              <w:rPr>
                <w:noProof/>
                <w:webHidden/>
              </w:rPr>
              <w:fldChar w:fldCharType="separate"/>
            </w:r>
            <w:r w:rsidR="007C3378">
              <w:rPr>
                <w:noProof/>
                <w:webHidden/>
              </w:rPr>
              <w:t>56</w:t>
            </w:r>
            <w:r w:rsidR="00CF2DBC">
              <w:rPr>
                <w:noProof/>
                <w:webHidden/>
              </w:rPr>
              <w:fldChar w:fldCharType="end"/>
            </w:r>
          </w:hyperlink>
        </w:p>
        <w:p w14:paraId="702636C0" w14:textId="4F8FB399" w:rsidR="00CF2DBC" w:rsidRDefault="00F4132C">
          <w:pPr>
            <w:pStyle w:val="TDC3"/>
            <w:tabs>
              <w:tab w:val="right" w:pos="8828"/>
            </w:tabs>
            <w:rPr>
              <w:rFonts w:asciiTheme="minorHAnsi" w:eastAsiaTheme="minorEastAsia" w:hAnsiTheme="minorHAnsi" w:cstheme="minorBidi"/>
              <w:noProof/>
              <w:sz w:val="22"/>
              <w:szCs w:val="22"/>
            </w:rPr>
          </w:pPr>
          <w:hyperlink w:anchor="_Toc89075401" w:history="1">
            <w:r w:rsidR="00CF2DBC" w:rsidRPr="00BA76A6">
              <w:rPr>
                <w:rStyle w:val="Hipervnculo"/>
                <w:rFonts w:eastAsiaTheme="majorEastAsia"/>
                <w:noProof/>
              </w:rPr>
              <w:t>Modelo conceptual</w:t>
            </w:r>
            <w:r w:rsidR="00CF2DBC">
              <w:rPr>
                <w:noProof/>
                <w:webHidden/>
              </w:rPr>
              <w:tab/>
            </w:r>
            <w:r w:rsidR="00CF2DBC">
              <w:rPr>
                <w:noProof/>
                <w:webHidden/>
              </w:rPr>
              <w:fldChar w:fldCharType="begin"/>
            </w:r>
            <w:r w:rsidR="00CF2DBC">
              <w:rPr>
                <w:noProof/>
                <w:webHidden/>
              </w:rPr>
              <w:instrText xml:space="preserve"> PAGEREF _Toc89075401 \h </w:instrText>
            </w:r>
            <w:r w:rsidR="00CF2DBC">
              <w:rPr>
                <w:noProof/>
                <w:webHidden/>
              </w:rPr>
            </w:r>
            <w:r w:rsidR="00CF2DBC">
              <w:rPr>
                <w:noProof/>
                <w:webHidden/>
              </w:rPr>
              <w:fldChar w:fldCharType="separate"/>
            </w:r>
            <w:r w:rsidR="007C3378">
              <w:rPr>
                <w:noProof/>
                <w:webHidden/>
              </w:rPr>
              <w:t>56</w:t>
            </w:r>
            <w:r w:rsidR="00CF2DBC">
              <w:rPr>
                <w:noProof/>
                <w:webHidden/>
              </w:rPr>
              <w:fldChar w:fldCharType="end"/>
            </w:r>
          </w:hyperlink>
        </w:p>
        <w:p w14:paraId="050F466F" w14:textId="58C4B2E2" w:rsidR="00CF2DBC" w:rsidRDefault="00F4132C">
          <w:pPr>
            <w:pStyle w:val="TDC2"/>
            <w:tabs>
              <w:tab w:val="right" w:pos="8828"/>
            </w:tabs>
            <w:rPr>
              <w:rFonts w:asciiTheme="minorHAnsi" w:eastAsiaTheme="minorEastAsia" w:hAnsiTheme="minorHAnsi" w:cstheme="minorBidi"/>
              <w:noProof/>
              <w:sz w:val="22"/>
              <w:szCs w:val="22"/>
            </w:rPr>
          </w:pPr>
          <w:hyperlink w:anchor="_Toc89075402" w:history="1">
            <w:r w:rsidR="00CF2DBC" w:rsidRPr="00BA76A6">
              <w:rPr>
                <w:rStyle w:val="Hipervnculo"/>
                <w:rFonts w:eastAsiaTheme="majorEastAsia"/>
                <w:noProof/>
              </w:rPr>
              <w:t>Desarrollo Web</w:t>
            </w:r>
            <w:r w:rsidR="00CF2DBC">
              <w:rPr>
                <w:noProof/>
                <w:webHidden/>
              </w:rPr>
              <w:tab/>
            </w:r>
            <w:r w:rsidR="00CF2DBC">
              <w:rPr>
                <w:noProof/>
                <w:webHidden/>
              </w:rPr>
              <w:fldChar w:fldCharType="begin"/>
            </w:r>
            <w:r w:rsidR="00CF2DBC">
              <w:rPr>
                <w:noProof/>
                <w:webHidden/>
              </w:rPr>
              <w:instrText xml:space="preserve"> PAGEREF _Toc89075402 \h </w:instrText>
            </w:r>
            <w:r w:rsidR="00CF2DBC">
              <w:rPr>
                <w:noProof/>
                <w:webHidden/>
              </w:rPr>
            </w:r>
            <w:r w:rsidR="00CF2DBC">
              <w:rPr>
                <w:noProof/>
                <w:webHidden/>
              </w:rPr>
              <w:fldChar w:fldCharType="separate"/>
            </w:r>
            <w:r w:rsidR="007C3378">
              <w:rPr>
                <w:noProof/>
                <w:webHidden/>
              </w:rPr>
              <w:t>58</w:t>
            </w:r>
            <w:r w:rsidR="00CF2DBC">
              <w:rPr>
                <w:noProof/>
                <w:webHidden/>
              </w:rPr>
              <w:fldChar w:fldCharType="end"/>
            </w:r>
          </w:hyperlink>
        </w:p>
        <w:p w14:paraId="360DCC58" w14:textId="0AAD6712" w:rsidR="00CF2DBC" w:rsidRDefault="00F4132C">
          <w:pPr>
            <w:pStyle w:val="TDC3"/>
            <w:tabs>
              <w:tab w:val="right" w:pos="8828"/>
            </w:tabs>
            <w:rPr>
              <w:rFonts w:asciiTheme="minorHAnsi" w:eastAsiaTheme="minorEastAsia" w:hAnsiTheme="minorHAnsi" w:cstheme="minorBidi"/>
              <w:noProof/>
              <w:sz w:val="22"/>
              <w:szCs w:val="22"/>
            </w:rPr>
          </w:pPr>
          <w:hyperlink w:anchor="_Toc89075403" w:history="1">
            <w:r w:rsidR="00CF2DBC" w:rsidRPr="00BA76A6">
              <w:rPr>
                <w:rStyle w:val="Hipervnculo"/>
                <w:rFonts w:eastAsiaTheme="majorEastAsia"/>
                <w:noProof/>
              </w:rPr>
              <w:t>Front End: Maquetación y estilo</w:t>
            </w:r>
            <w:r w:rsidR="00CF2DBC">
              <w:rPr>
                <w:noProof/>
                <w:webHidden/>
              </w:rPr>
              <w:tab/>
            </w:r>
            <w:r w:rsidR="00CF2DBC">
              <w:rPr>
                <w:noProof/>
                <w:webHidden/>
              </w:rPr>
              <w:fldChar w:fldCharType="begin"/>
            </w:r>
            <w:r w:rsidR="00CF2DBC">
              <w:rPr>
                <w:noProof/>
                <w:webHidden/>
              </w:rPr>
              <w:instrText xml:space="preserve"> PAGEREF _Toc89075403 \h </w:instrText>
            </w:r>
            <w:r w:rsidR="00CF2DBC">
              <w:rPr>
                <w:noProof/>
                <w:webHidden/>
              </w:rPr>
            </w:r>
            <w:r w:rsidR="00CF2DBC">
              <w:rPr>
                <w:noProof/>
                <w:webHidden/>
              </w:rPr>
              <w:fldChar w:fldCharType="separate"/>
            </w:r>
            <w:r w:rsidR="007C3378">
              <w:rPr>
                <w:noProof/>
                <w:webHidden/>
              </w:rPr>
              <w:t>58</w:t>
            </w:r>
            <w:r w:rsidR="00CF2DBC">
              <w:rPr>
                <w:noProof/>
                <w:webHidden/>
              </w:rPr>
              <w:fldChar w:fldCharType="end"/>
            </w:r>
          </w:hyperlink>
        </w:p>
        <w:p w14:paraId="4A651267" w14:textId="05B4A2D1" w:rsidR="00CF2DBC" w:rsidRDefault="00F4132C">
          <w:pPr>
            <w:pStyle w:val="TDC3"/>
            <w:tabs>
              <w:tab w:val="right" w:pos="8828"/>
            </w:tabs>
            <w:rPr>
              <w:rFonts w:asciiTheme="minorHAnsi" w:eastAsiaTheme="minorEastAsia" w:hAnsiTheme="minorHAnsi" w:cstheme="minorBidi"/>
              <w:noProof/>
              <w:sz w:val="22"/>
              <w:szCs w:val="22"/>
            </w:rPr>
          </w:pPr>
          <w:hyperlink w:anchor="_Toc89075404" w:history="1">
            <w:r w:rsidR="00CF2DBC" w:rsidRPr="00BA76A6">
              <w:rPr>
                <w:rStyle w:val="Hipervnculo"/>
                <w:rFonts w:eastAsiaTheme="majorEastAsia"/>
                <w:noProof/>
              </w:rPr>
              <w:t>Back End</w:t>
            </w:r>
            <w:r w:rsidR="00CF2DBC">
              <w:rPr>
                <w:noProof/>
                <w:webHidden/>
              </w:rPr>
              <w:tab/>
            </w:r>
            <w:r w:rsidR="00CF2DBC">
              <w:rPr>
                <w:noProof/>
                <w:webHidden/>
              </w:rPr>
              <w:fldChar w:fldCharType="begin"/>
            </w:r>
            <w:r w:rsidR="00CF2DBC">
              <w:rPr>
                <w:noProof/>
                <w:webHidden/>
              </w:rPr>
              <w:instrText xml:space="preserve"> PAGEREF _Toc89075404 \h </w:instrText>
            </w:r>
            <w:r w:rsidR="00CF2DBC">
              <w:rPr>
                <w:noProof/>
                <w:webHidden/>
              </w:rPr>
            </w:r>
            <w:r w:rsidR="00CF2DBC">
              <w:rPr>
                <w:noProof/>
                <w:webHidden/>
              </w:rPr>
              <w:fldChar w:fldCharType="separate"/>
            </w:r>
            <w:r w:rsidR="007C3378">
              <w:rPr>
                <w:noProof/>
                <w:webHidden/>
              </w:rPr>
              <w:t>58</w:t>
            </w:r>
            <w:r w:rsidR="00CF2DBC">
              <w:rPr>
                <w:noProof/>
                <w:webHidden/>
              </w:rPr>
              <w:fldChar w:fldCharType="end"/>
            </w:r>
          </w:hyperlink>
        </w:p>
        <w:p w14:paraId="227FC95E" w14:textId="3BD4FFD7" w:rsidR="00CF2DBC" w:rsidRDefault="00F4132C">
          <w:pPr>
            <w:pStyle w:val="TDC2"/>
            <w:tabs>
              <w:tab w:val="right" w:pos="8828"/>
            </w:tabs>
            <w:rPr>
              <w:rFonts w:asciiTheme="minorHAnsi" w:eastAsiaTheme="minorEastAsia" w:hAnsiTheme="minorHAnsi" w:cstheme="minorBidi"/>
              <w:noProof/>
              <w:sz w:val="22"/>
              <w:szCs w:val="22"/>
            </w:rPr>
          </w:pPr>
          <w:hyperlink w:anchor="_Toc89075405" w:history="1">
            <w:r w:rsidR="00CF2DBC" w:rsidRPr="00BA76A6">
              <w:rPr>
                <w:rStyle w:val="Hipervnculo"/>
                <w:rFonts w:eastAsiaTheme="majorEastAsia"/>
                <w:noProof/>
              </w:rPr>
              <w:t>Pruebas del sistema</w:t>
            </w:r>
            <w:r w:rsidR="00CF2DBC">
              <w:rPr>
                <w:noProof/>
                <w:webHidden/>
              </w:rPr>
              <w:tab/>
            </w:r>
            <w:r w:rsidR="00CF2DBC">
              <w:rPr>
                <w:noProof/>
                <w:webHidden/>
              </w:rPr>
              <w:fldChar w:fldCharType="begin"/>
            </w:r>
            <w:r w:rsidR="00CF2DBC">
              <w:rPr>
                <w:noProof/>
                <w:webHidden/>
              </w:rPr>
              <w:instrText xml:space="preserve"> PAGEREF _Toc89075405 \h </w:instrText>
            </w:r>
            <w:r w:rsidR="00CF2DBC">
              <w:rPr>
                <w:noProof/>
                <w:webHidden/>
              </w:rPr>
            </w:r>
            <w:r w:rsidR="00CF2DBC">
              <w:rPr>
                <w:noProof/>
                <w:webHidden/>
              </w:rPr>
              <w:fldChar w:fldCharType="separate"/>
            </w:r>
            <w:r w:rsidR="007C3378">
              <w:rPr>
                <w:noProof/>
                <w:webHidden/>
              </w:rPr>
              <w:t>59</w:t>
            </w:r>
            <w:r w:rsidR="00CF2DBC">
              <w:rPr>
                <w:noProof/>
                <w:webHidden/>
              </w:rPr>
              <w:fldChar w:fldCharType="end"/>
            </w:r>
          </w:hyperlink>
        </w:p>
        <w:p w14:paraId="1B5CEDB9" w14:textId="66D48B41" w:rsidR="00CF2DBC" w:rsidRDefault="00F4132C">
          <w:pPr>
            <w:pStyle w:val="TDC1"/>
            <w:tabs>
              <w:tab w:val="right" w:pos="8828"/>
            </w:tabs>
            <w:rPr>
              <w:rFonts w:asciiTheme="minorHAnsi" w:eastAsiaTheme="minorEastAsia" w:hAnsiTheme="minorHAnsi" w:cstheme="minorBidi"/>
              <w:noProof/>
              <w:sz w:val="22"/>
              <w:szCs w:val="22"/>
            </w:rPr>
          </w:pPr>
          <w:hyperlink w:anchor="_Toc89075406" w:history="1">
            <w:r w:rsidR="00CF2DBC" w:rsidRPr="00BA76A6">
              <w:rPr>
                <w:rStyle w:val="Hipervnculo"/>
                <w:rFonts w:eastAsiaTheme="majorEastAsia"/>
                <w:noProof/>
              </w:rPr>
              <w:t>Capítulo 4. Resultados</w:t>
            </w:r>
            <w:r w:rsidR="00CF2DBC">
              <w:rPr>
                <w:noProof/>
                <w:webHidden/>
              </w:rPr>
              <w:tab/>
            </w:r>
            <w:r w:rsidR="00CF2DBC">
              <w:rPr>
                <w:noProof/>
                <w:webHidden/>
              </w:rPr>
              <w:fldChar w:fldCharType="begin"/>
            </w:r>
            <w:r w:rsidR="00CF2DBC">
              <w:rPr>
                <w:noProof/>
                <w:webHidden/>
              </w:rPr>
              <w:instrText xml:space="preserve"> PAGEREF _Toc89075406 \h </w:instrText>
            </w:r>
            <w:r w:rsidR="00CF2DBC">
              <w:rPr>
                <w:noProof/>
                <w:webHidden/>
              </w:rPr>
            </w:r>
            <w:r w:rsidR="00CF2DBC">
              <w:rPr>
                <w:noProof/>
                <w:webHidden/>
              </w:rPr>
              <w:fldChar w:fldCharType="separate"/>
            </w:r>
            <w:r w:rsidR="007C3378">
              <w:rPr>
                <w:noProof/>
                <w:webHidden/>
              </w:rPr>
              <w:t>61</w:t>
            </w:r>
            <w:r w:rsidR="00CF2DBC">
              <w:rPr>
                <w:noProof/>
                <w:webHidden/>
              </w:rPr>
              <w:fldChar w:fldCharType="end"/>
            </w:r>
          </w:hyperlink>
        </w:p>
        <w:p w14:paraId="57188C20" w14:textId="6BC6783C" w:rsidR="00CF2DBC" w:rsidRDefault="00F4132C">
          <w:pPr>
            <w:pStyle w:val="TDC2"/>
            <w:tabs>
              <w:tab w:val="right" w:pos="8828"/>
            </w:tabs>
            <w:rPr>
              <w:rFonts w:asciiTheme="minorHAnsi" w:eastAsiaTheme="minorEastAsia" w:hAnsiTheme="minorHAnsi" w:cstheme="minorBidi"/>
              <w:noProof/>
              <w:sz w:val="22"/>
              <w:szCs w:val="22"/>
            </w:rPr>
          </w:pPr>
          <w:hyperlink w:anchor="_Toc89075407" w:history="1">
            <w:r w:rsidR="00CF2DBC" w:rsidRPr="00BA76A6">
              <w:rPr>
                <w:rStyle w:val="Hipervnculo"/>
                <w:rFonts w:eastAsiaTheme="majorEastAsia"/>
                <w:noProof/>
              </w:rPr>
              <w:t>Tendencias demográficas</w:t>
            </w:r>
            <w:r w:rsidR="00CF2DBC">
              <w:rPr>
                <w:noProof/>
                <w:webHidden/>
              </w:rPr>
              <w:tab/>
            </w:r>
            <w:r w:rsidR="00CF2DBC">
              <w:rPr>
                <w:noProof/>
                <w:webHidden/>
              </w:rPr>
              <w:fldChar w:fldCharType="begin"/>
            </w:r>
            <w:r w:rsidR="00CF2DBC">
              <w:rPr>
                <w:noProof/>
                <w:webHidden/>
              </w:rPr>
              <w:instrText xml:space="preserve"> PAGEREF _Toc89075407 \h </w:instrText>
            </w:r>
            <w:r w:rsidR="00CF2DBC">
              <w:rPr>
                <w:noProof/>
                <w:webHidden/>
              </w:rPr>
            </w:r>
            <w:r w:rsidR="00CF2DBC">
              <w:rPr>
                <w:noProof/>
                <w:webHidden/>
              </w:rPr>
              <w:fldChar w:fldCharType="separate"/>
            </w:r>
            <w:r w:rsidR="007C3378">
              <w:rPr>
                <w:noProof/>
                <w:webHidden/>
              </w:rPr>
              <w:t>61</w:t>
            </w:r>
            <w:r w:rsidR="00CF2DBC">
              <w:rPr>
                <w:noProof/>
                <w:webHidden/>
              </w:rPr>
              <w:fldChar w:fldCharType="end"/>
            </w:r>
          </w:hyperlink>
        </w:p>
        <w:p w14:paraId="63C4911F" w14:textId="636B8993" w:rsidR="00CF2DBC" w:rsidRDefault="00F4132C">
          <w:pPr>
            <w:pStyle w:val="TDC3"/>
            <w:tabs>
              <w:tab w:val="right" w:pos="8828"/>
            </w:tabs>
            <w:rPr>
              <w:rFonts w:asciiTheme="minorHAnsi" w:eastAsiaTheme="minorEastAsia" w:hAnsiTheme="minorHAnsi" w:cstheme="minorBidi"/>
              <w:noProof/>
              <w:sz w:val="22"/>
              <w:szCs w:val="22"/>
            </w:rPr>
          </w:pPr>
          <w:hyperlink w:anchor="_Toc89075408" w:history="1">
            <w:r w:rsidR="00CF2DBC" w:rsidRPr="00BA76A6">
              <w:rPr>
                <w:rStyle w:val="Hipervnculo"/>
                <w:rFonts w:eastAsiaTheme="majorEastAsia"/>
                <w:noProof/>
              </w:rPr>
              <w:t>Población</w:t>
            </w:r>
            <w:r w:rsidR="00CF2DBC">
              <w:rPr>
                <w:noProof/>
                <w:webHidden/>
              </w:rPr>
              <w:tab/>
            </w:r>
            <w:r w:rsidR="00CF2DBC">
              <w:rPr>
                <w:noProof/>
                <w:webHidden/>
              </w:rPr>
              <w:fldChar w:fldCharType="begin"/>
            </w:r>
            <w:r w:rsidR="00CF2DBC">
              <w:rPr>
                <w:noProof/>
                <w:webHidden/>
              </w:rPr>
              <w:instrText xml:space="preserve"> PAGEREF _Toc89075408 \h </w:instrText>
            </w:r>
            <w:r w:rsidR="00CF2DBC">
              <w:rPr>
                <w:noProof/>
                <w:webHidden/>
              </w:rPr>
            </w:r>
            <w:r w:rsidR="00CF2DBC">
              <w:rPr>
                <w:noProof/>
                <w:webHidden/>
              </w:rPr>
              <w:fldChar w:fldCharType="separate"/>
            </w:r>
            <w:r w:rsidR="007C3378">
              <w:rPr>
                <w:noProof/>
                <w:webHidden/>
              </w:rPr>
              <w:t>61</w:t>
            </w:r>
            <w:r w:rsidR="00CF2DBC">
              <w:rPr>
                <w:noProof/>
                <w:webHidden/>
              </w:rPr>
              <w:fldChar w:fldCharType="end"/>
            </w:r>
          </w:hyperlink>
        </w:p>
        <w:p w14:paraId="070048E1" w14:textId="31F49607" w:rsidR="00CF2DBC" w:rsidRDefault="00F4132C">
          <w:pPr>
            <w:pStyle w:val="TDC3"/>
            <w:tabs>
              <w:tab w:val="right" w:pos="8828"/>
            </w:tabs>
            <w:rPr>
              <w:rFonts w:asciiTheme="minorHAnsi" w:eastAsiaTheme="minorEastAsia" w:hAnsiTheme="minorHAnsi" w:cstheme="minorBidi"/>
              <w:noProof/>
              <w:sz w:val="22"/>
              <w:szCs w:val="22"/>
            </w:rPr>
          </w:pPr>
          <w:hyperlink w:anchor="_Toc89075409" w:history="1">
            <w:r w:rsidR="00CF2DBC" w:rsidRPr="00BA76A6">
              <w:rPr>
                <w:rStyle w:val="Hipervnculo"/>
                <w:rFonts w:eastAsiaTheme="majorEastAsia"/>
                <w:noProof/>
              </w:rPr>
              <w:t>Mortalidad y natalidad</w:t>
            </w:r>
            <w:r w:rsidR="00CF2DBC">
              <w:rPr>
                <w:noProof/>
                <w:webHidden/>
              </w:rPr>
              <w:tab/>
            </w:r>
            <w:r w:rsidR="00CF2DBC">
              <w:rPr>
                <w:noProof/>
                <w:webHidden/>
              </w:rPr>
              <w:fldChar w:fldCharType="begin"/>
            </w:r>
            <w:r w:rsidR="00CF2DBC">
              <w:rPr>
                <w:noProof/>
                <w:webHidden/>
              </w:rPr>
              <w:instrText xml:space="preserve"> PAGEREF _Toc89075409 \h </w:instrText>
            </w:r>
            <w:r w:rsidR="00CF2DBC">
              <w:rPr>
                <w:noProof/>
                <w:webHidden/>
              </w:rPr>
            </w:r>
            <w:r w:rsidR="00CF2DBC">
              <w:rPr>
                <w:noProof/>
                <w:webHidden/>
              </w:rPr>
              <w:fldChar w:fldCharType="separate"/>
            </w:r>
            <w:r w:rsidR="007C3378">
              <w:rPr>
                <w:noProof/>
                <w:webHidden/>
              </w:rPr>
              <w:t>62</w:t>
            </w:r>
            <w:r w:rsidR="00CF2DBC">
              <w:rPr>
                <w:noProof/>
                <w:webHidden/>
              </w:rPr>
              <w:fldChar w:fldCharType="end"/>
            </w:r>
          </w:hyperlink>
        </w:p>
        <w:p w14:paraId="30F88175" w14:textId="5ABD811E" w:rsidR="00CF2DBC" w:rsidRDefault="00F4132C">
          <w:pPr>
            <w:pStyle w:val="TDC3"/>
            <w:tabs>
              <w:tab w:val="right" w:pos="8828"/>
            </w:tabs>
            <w:rPr>
              <w:rFonts w:asciiTheme="minorHAnsi" w:eastAsiaTheme="minorEastAsia" w:hAnsiTheme="minorHAnsi" w:cstheme="minorBidi"/>
              <w:noProof/>
              <w:sz w:val="22"/>
              <w:szCs w:val="22"/>
            </w:rPr>
          </w:pPr>
          <w:hyperlink w:anchor="_Toc89075410" w:history="1">
            <w:r w:rsidR="00CF2DBC" w:rsidRPr="00BA76A6">
              <w:rPr>
                <w:rStyle w:val="Hipervnculo"/>
                <w:rFonts w:eastAsiaTheme="majorEastAsia"/>
                <w:noProof/>
              </w:rPr>
              <w:t>Morbilidad en la Alcaldía Iztapalapa</w:t>
            </w:r>
            <w:r w:rsidR="00CF2DBC">
              <w:rPr>
                <w:noProof/>
                <w:webHidden/>
              </w:rPr>
              <w:tab/>
            </w:r>
            <w:r w:rsidR="00CF2DBC">
              <w:rPr>
                <w:noProof/>
                <w:webHidden/>
              </w:rPr>
              <w:fldChar w:fldCharType="begin"/>
            </w:r>
            <w:r w:rsidR="00CF2DBC">
              <w:rPr>
                <w:noProof/>
                <w:webHidden/>
              </w:rPr>
              <w:instrText xml:space="preserve"> PAGEREF _Toc89075410 \h </w:instrText>
            </w:r>
            <w:r w:rsidR="00CF2DBC">
              <w:rPr>
                <w:noProof/>
                <w:webHidden/>
              </w:rPr>
            </w:r>
            <w:r w:rsidR="00CF2DBC">
              <w:rPr>
                <w:noProof/>
                <w:webHidden/>
              </w:rPr>
              <w:fldChar w:fldCharType="separate"/>
            </w:r>
            <w:r w:rsidR="007C3378">
              <w:rPr>
                <w:noProof/>
                <w:webHidden/>
              </w:rPr>
              <w:t>63</w:t>
            </w:r>
            <w:r w:rsidR="00CF2DBC">
              <w:rPr>
                <w:noProof/>
                <w:webHidden/>
              </w:rPr>
              <w:fldChar w:fldCharType="end"/>
            </w:r>
          </w:hyperlink>
        </w:p>
        <w:p w14:paraId="488B354D" w14:textId="48F618B5" w:rsidR="00CF2DBC" w:rsidRDefault="00F4132C">
          <w:pPr>
            <w:pStyle w:val="TDC2"/>
            <w:tabs>
              <w:tab w:val="right" w:pos="8828"/>
            </w:tabs>
            <w:rPr>
              <w:rFonts w:asciiTheme="minorHAnsi" w:eastAsiaTheme="minorEastAsia" w:hAnsiTheme="minorHAnsi" w:cstheme="minorBidi"/>
              <w:noProof/>
              <w:sz w:val="22"/>
              <w:szCs w:val="22"/>
            </w:rPr>
          </w:pPr>
          <w:hyperlink w:anchor="_Toc89075411" w:history="1">
            <w:r w:rsidR="00CF2DBC" w:rsidRPr="00BA76A6">
              <w:rPr>
                <w:rStyle w:val="Hipervnculo"/>
                <w:rFonts w:eastAsiaTheme="majorEastAsia"/>
                <w:noProof/>
              </w:rPr>
              <w:t>Plantilla interactiva</w:t>
            </w:r>
            <w:r w:rsidR="00CF2DBC">
              <w:rPr>
                <w:noProof/>
                <w:webHidden/>
              </w:rPr>
              <w:tab/>
            </w:r>
            <w:r w:rsidR="00CF2DBC">
              <w:rPr>
                <w:noProof/>
                <w:webHidden/>
              </w:rPr>
              <w:fldChar w:fldCharType="begin"/>
            </w:r>
            <w:r w:rsidR="00CF2DBC">
              <w:rPr>
                <w:noProof/>
                <w:webHidden/>
              </w:rPr>
              <w:instrText xml:space="preserve"> PAGEREF _Toc89075411 \h </w:instrText>
            </w:r>
            <w:r w:rsidR="00CF2DBC">
              <w:rPr>
                <w:noProof/>
                <w:webHidden/>
              </w:rPr>
            </w:r>
            <w:r w:rsidR="00CF2DBC">
              <w:rPr>
                <w:noProof/>
                <w:webHidden/>
              </w:rPr>
              <w:fldChar w:fldCharType="separate"/>
            </w:r>
            <w:r w:rsidR="007C3378">
              <w:rPr>
                <w:noProof/>
                <w:webHidden/>
              </w:rPr>
              <w:t>66</w:t>
            </w:r>
            <w:r w:rsidR="00CF2DBC">
              <w:rPr>
                <w:noProof/>
                <w:webHidden/>
              </w:rPr>
              <w:fldChar w:fldCharType="end"/>
            </w:r>
          </w:hyperlink>
        </w:p>
        <w:p w14:paraId="1F88B5F9" w14:textId="49552F5D" w:rsidR="00CF2DBC" w:rsidRDefault="00F4132C">
          <w:pPr>
            <w:pStyle w:val="TDC2"/>
            <w:tabs>
              <w:tab w:val="right" w:pos="8828"/>
            </w:tabs>
            <w:rPr>
              <w:rFonts w:asciiTheme="minorHAnsi" w:eastAsiaTheme="minorEastAsia" w:hAnsiTheme="minorHAnsi" w:cstheme="minorBidi"/>
              <w:noProof/>
              <w:sz w:val="22"/>
              <w:szCs w:val="22"/>
            </w:rPr>
          </w:pPr>
          <w:hyperlink w:anchor="_Toc89075412" w:history="1">
            <w:r w:rsidR="00CF2DBC" w:rsidRPr="00BA76A6">
              <w:rPr>
                <w:rStyle w:val="Hipervnculo"/>
                <w:rFonts w:eastAsiaTheme="majorEastAsia"/>
                <w:noProof/>
              </w:rPr>
              <w:t>Tend</w:t>
            </w:r>
            <w:r w:rsidR="00CF2DBC" w:rsidRPr="00BA76A6">
              <w:rPr>
                <w:rStyle w:val="Hipervnculo"/>
                <w:rFonts w:ascii="Calibri" w:eastAsia="Calibri" w:hAnsi="Calibri" w:cs="Calibri"/>
                <w:noProof/>
              </w:rPr>
              <w:t>encia de la saturación del servicio</w:t>
            </w:r>
            <w:r w:rsidR="00CF2DBC">
              <w:rPr>
                <w:noProof/>
                <w:webHidden/>
              </w:rPr>
              <w:tab/>
            </w:r>
            <w:r w:rsidR="00CF2DBC">
              <w:rPr>
                <w:noProof/>
                <w:webHidden/>
              </w:rPr>
              <w:fldChar w:fldCharType="begin"/>
            </w:r>
            <w:r w:rsidR="00CF2DBC">
              <w:rPr>
                <w:noProof/>
                <w:webHidden/>
              </w:rPr>
              <w:instrText xml:space="preserve"> PAGEREF _Toc89075412 \h </w:instrText>
            </w:r>
            <w:r w:rsidR="00CF2DBC">
              <w:rPr>
                <w:noProof/>
                <w:webHidden/>
              </w:rPr>
            </w:r>
            <w:r w:rsidR="00CF2DBC">
              <w:rPr>
                <w:noProof/>
                <w:webHidden/>
              </w:rPr>
              <w:fldChar w:fldCharType="separate"/>
            </w:r>
            <w:r w:rsidR="007C3378">
              <w:rPr>
                <w:noProof/>
                <w:webHidden/>
              </w:rPr>
              <w:t>67</w:t>
            </w:r>
            <w:r w:rsidR="00CF2DBC">
              <w:rPr>
                <w:noProof/>
                <w:webHidden/>
              </w:rPr>
              <w:fldChar w:fldCharType="end"/>
            </w:r>
          </w:hyperlink>
        </w:p>
        <w:p w14:paraId="5AB9D39E" w14:textId="276DE429" w:rsidR="00CF2DBC" w:rsidRDefault="00F4132C">
          <w:pPr>
            <w:pStyle w:val="TDC2"/>
            <w:tabs>
              <w:tab w:val="right" w:pos="8828"/>
            </w:tabs>
            <w:rPr>
              <w:rFonts w:asciiTheme="minorHAnsi" w:eastAsiaTheme="minorEastAsia" w:hAnsiTheme="minorHAnsi" w:cstheme="minorBidi"/>
              <w:noProof/>
              <w:sz w:val="22"/>
              <w:szCs w:val="22"/>
            </w:rPr>
          </w:pPr>
          <w:hyperlink w:anchor="_Toc89075413" w:history="1">
            <w:r w:rsidR="00CF2DBC" w:rsidRPr="00BA76A6">
              <w:rPr>
                <w:rStyle w:val="Hipervnculo"/>
                <w:rFonts w:eastAsiaTheme="majorEastAsia"/>
                <w:noProof/>
              </w:rPr>
              <w:t>Análisis de los resultados</w:t>
            </w:r>
            <w:r w:rsidR="00CF2DBC">
              <w:rPr>
                <w:noProof/>
                <w:webHidden/>
              </w:rPr>
              <w:tab/>
            </w:r>
            <w:r w:rsidR="00CF2DBC">
              <w:rPr>
                <w:noProof/>
                <w:webHidden/>
              </w:rPr>
              <w:fldChar w:fldCharType="begin"/>
            </w:r>
            <w:r w:rsidR="00CF2DBC">
              <w:rPr>
                <w:noProof/>
                <w:webHidden/>
              </w:rPr>
              <w:instrText xml:space="preserve"> PAGEREF _Toc89075413 \h </w:instrText>
            </w:r>
            <w:r w:rsidR="00CF2DBC">
              <w:rPr>
                <w:noProof/>
                <w:webHidden/>
              </w:rPr>
            </w:r>
            <w:r w:rsidR="00CF2DBC">
              <w:rPr>
                <w:noProof/>
                <w:webHidden/>
              </w:rPr>
              <w:fldChar w:fldCharType="separate"/>
            </w:r>
            <w:r w:rsidR="007C3378">
              <w:rPr>
                <w:noProof/>
                <w:webHidden/>
              </w:rPr>
              <w:t>69</w:t>
            </w:r>
            <w:r w:rsidR="00CF2DBC">
              <w:rPr>
                <w:noProof/>
                <w:webHidden/>
              </w:rPr>
              <w:fldChar w:fldCharType="end"/>
            </w:r>
          </w:hyperlink>
        </w:p>
        <w:p w14:paraId="25F83D26" w14:textId="6BED4797" w:rsidR="00CF2DBC" w:rsidRDefault="00F4132C">
          <w:pPr>
            <w:pStyle w:val="TDC1"/>
            <w:tabs>
              <w:tab w:val="right" w:pos="8828"/>
            </w:tabs>
            <w:rPr>
              <w:rFonts w:asciiTheme="minorHAnsi" w:eastAsiaTheme="minorEastAsia" w:hAnsiTheme="minorHAnsi" w:cstheme="minorBidi"/>
              <w:noProof/>
              <w:sz w:val="22"/>
              <w:szCs w:val="22"/>
            </w:rPr>
          </w:pPr>
          <w:hyperlink w:anchor="_Toc89075414" w:history="1">
            <w:r w:rsidR="00CF2DBC" w:rsidRPr="00BA76A6">
              <w:rPr>
                <w:rStyle w:val="Hipervnculo"/>
                <w:rFonts w:eastAsiaTheme="majorEastAsia"/>
                <w:noProof/>
              </w:rPr>
              <w:t>Conclusiones</w:t>
            </w:r>
            <w:r w:rsidR="00CF2DBC">
              <w:rPr>
                <w:noProof/>
                <w:webHidden/>
              </w:rPr>
              <w:tab/>
            </w:r>
            <w:r w:rsidR="00CF2DBC">
              <w:rPr>
                <w:noProof/>
                <w:webHidden/>
              </w:rPr>
              <w:fldChar w:fldCharType="begin"/>
            </w:r>
            <w:r w:rsidR="00CF2DBC">
              <w:rPr>
                <w:noProof/>
                <w:webHidden/>
              </w:rPr>
              <w:instrText xml:space="preserve"> PAGEREF _Toc89075414 \h </w:instrText>
            </w:r>
            <w:r w:rsidR="00CF2DBC">
              <w:rPr>
                <w:noProof/>
                <w:webHidden/>
              </w:rPr>
            </w:r>
            <w:r w:rsidR="00CF2DBC">
              <w:rPr>
                <w:noProof/>
                <w:webHidden/>
              </w:rPr>
              <w:fldChar w:fldCharType="separate"/>
            </w:r>
            <w:r w:rsidR="007C3378">
              <w:rPr>
                <w:noProof/>
                <w:webHidden/>
              </w:rPr>
              <w:t>73</w:t>
            </w:r>
            <w:r w:rsidR="00CF2DBC">
              <w:rPr>
                <w:noProof/>
                <w:webHidden/>
              </w:rPr>
              <w:fldChar w:fldCharType="end"/>
            </w:r>
          </w:hyperlink>
        </w:p>
        <w:p w14:paraId="3F4EB219" w14:textId="6FDE21FD" w:rsidR="00CF2DBC" w:rsidRDefault="00F4132C">
          <w:pPr>
            <w:pStyle w:val="TDC1"/>
            <w:tabs>
              <w:tab w:val="right" w:pos="8828"/>
            </w:tabs>
            <w:rPr>
              <w:rFonts w:asciiTheme="minorHAnsi" w:eastAsiaTheme="minorEastAsia" w:hAnsiTheme="minorHAnsi" w:cstheme="minorBidi"/>
              <w:noProof/>
              <w:sz w:val="22"/>
              <w:szCs w:val="22"/>
            </w:rPr>
          </w:pPr>
          <w:hyperlink w:anchor="_Toc89075415" w:history="1">
            <w:r w:rsidR="00CF2DBC" w:rsidRPr="00BA76A6">
              <w:rPr>
                <w:rStyle w:val="Hipervnculo"/>
                <w:rFonts w:eastAsiaTheme="majorEastAsia"/>
                <w:noProof/>
              </w:rPr>
              <w:t>Recomendaciones</w:t>
            </w:r>
            <w:r w:rsidR="00CF2DBC">
              <w:rPr>
                <w:noProof/>
                <w:webHidden/>
              </w:rPr>
              <w:tab/>
            </w:r>
            <w:r w:rsidR="00CF2DBC">
              <w:rPr>
                <w:noProof/>
                <w:webHidden/>
              </w:rPr>
              <w:fldChar w:fldCharType="begin"/>
            </w:r>
            <w:r w:rsidR="00CF2DBC">
              <w:rPr>
                <w:noProof/>
                <w:webHidden/>
              </w:rPr>
              <w:instrText xml:space="preserve"> PAGEREF _Toc89075415 \h </w:instrText>
            </w:r>
            <w:r w:rsidR="00CF2DBC">
              <w:rPr>
                <w:noProof/>
                <w:webHidden/>
              </w:rPr>
            </w:r>
            <w:r w:rsidR="00CF2DBC">
              <w:rPr>
                <w:noProof/>
                <w:webHidden/>
              </w:rPr>
              <w:fldChar w:fldCharType="separate"/>
            </w:r>
            <w:r w:rsidR="007C3378">
              <w:rPr>
                <w:noProof/>
                <w:webHidden/>
              </w:rPr>
              <w:t>75</w:t>
            </w:r>
            <w:r w:rsidR="00CF2DBC">
              <w:rPr>
                <w:noProof/>
                <w:webHidden/>
              </w:rPr>
              <w:fldChar w:fldCharType="end"/>
            </w:r>
          </w:hyperlink>
        </w:p>
        <w:p w14:paraId="49133403" w14:textId="21E862D3" w:rsidR="00CF2DBC" w:rsidRDefault="00F4132C">
          <w:pPr>
            <w:pStyle w:val="TDC1"/>
            <w:tabs>
              <w:tab w:val="right" w:pos="8828"/>
            </w:tabs>
            <w:rPr>
              <w:rFonts w:asciiTheme="minorHAnsi" w:eastAsiaTheme="minorEastAsia" w:hAnsiTheme="minorHAnsi" w:cstheme="minorBidi"/>
              <w:noProof/>
              <w:sz w:val="22"/>
              <w:szCs w:val="22"/>
            </w:rPr>
          </w:pPr>
          <w:hyperlink w:anchor="_Toc89075416" w:history="1">
            <w:r w:rsidR="00CF2DBC" w:rsidRPr="00BA76A6">
              <w:rPr>
                <w:rStyle w:val="Hipervnculo"/>
                <w:rFonts w:eastAsiaTheme="majorEastAsia"/>
                <w:noProof/>
              </w:rPr>
              <w:t>Anexos</w:t>
            </w:r>
            <w:r w:rsidR="00CF2DBC">
              <w:rPr>
                <w:noProof/>
                <w:webHidden/>
              </w:rPr>
              <w:tab/>
            </w:r>
            <w:r w:rsidR="00CF2DBC">
              <w:rPr>
                <w:noProof/>
                <w:webHidden/>
              </w:rPr>
              <w:fldChar w:fldCharType="begin"/>
            </w:r>
            <w:r w:rsidR="00CF2DBC">
              <w:rPr>
                <w:noProof/>
                <w:webHidden/>
              </w:rPr>
              <w:instrText xml:space="preserve"> PAGEREF _Toc89075416 \h </w:instrText>
            </w:r>
            <w:r w:rsidR="00CF2DBC">
              <w:rPr>
                <w:noProof/>
                <w:webHidden/>
              </w:rPr>
            </w:r>
            <w:r w:rsidR="00CF2DBC">
              <w:rPr>
                <w:noProof/>
                <w:webHidden/>
              </w:rPr>
              <w:fldChar w:fldCharType="separate"/>
            </w:r>
            <w:r w:rsidR="007C3378">
              <w:rPr>
                <w:noProof/>
                <w:webHidden/>
              </w:rPr>
              <w:t>83</w:t>
            </w:r>
            <w:r w:rsidR="00CF2DBC">
              <w:rPr>
                <w:noProof/>
                <w:webHidden/>
              </w:rPr>
              <w:fldChar w:fldCharType="end"/>
            </w:r>
          </w:hyperlink>
        </w:p>
        <w:p w14:paraId="567B7FAF" w14:textId="00BF2325" w:rsidR="00CF2DBC" w:rsidRDefault="00425878">
          <w:pPr>
            <w:pBdr>
              <w:top w:val="nil"/>
              <w:left w:val="nil"/>
              <w:bottom w:val="nil"/>
              <w:right w:val="nil"/>
              <w:between w:val="nil"/>
            </w:pBdr>
            <w:tabs>
              <w:tab w:val="right" w:pos="8828"/>
            </w:tabs>
            <w:spacing w:after="100"/>
          </w:pPr>
          <w:r>
            <w:fldChar w:fldCharType="end"/>
          </w:r>
        </w:p>
        <w:p w14:paraId="5291EF63" w14:textId="432AA7FD" w:rsidR="00644151" w:rsidRDefault="00F4132C">
          <w:pPr>
            <w:pBdr>
              <w:top w:val="nil"/>
              <w:left w:val="nil"/>
              <w:bottom w:val="nil"/>
              <w:right w:val="nil"/>
              <w:between w:val="nil"/>
            </w:pBdr>
            <w:tabs>
              <w:tab w:val="right" w:pos="8828"/>
            </w:tabs>
            <w:spacing w:after="100"/>
            <w:rPr>
              <w:rFonts w:ascii="Calibri" w:eastAsia="Calibri" w:hAnsi="Calibri" w:cs="Calibri"/>
              <w:color w:val="000000"/>
              <w:sz w:val="22"/>
              <w:szCs w:val="22"/>
            </w:rPr>
          </w:pPr>
        </w:p>
      </w:sdtContent>
    </w:sdt>
    <w:p w14:paraId="72C60FCF" w14:textId="77777777" w:rsidR="00644151" w:rsidRDefault="00425878">
      <w:pPr>
        <w:rPr>
          <w:rFonts w:ascii="Calibri" w:eastAsia="Calibri" w:hAnsi="Calibri" w:cs="Calibri"/>
          <w:color w:val="2F5496"/>
          <w:sz w:val="32"/>
          <w:szCs w:val="32"/>
        </w:rPr>
      </w:pPr>
      <w:r>
        <w:rPr>
          <w:rFonts w:ascii="Calibri" w:eastAsia="Calibri" w:hAnsi="Calibri" w:cs="Calibri"/>
          <w:color w:val="2F5496"/>
          <w:sz w:val="32"/>
          <w:szCs w:val="32"/>
        </w:rPr>
        <w:t>índice de tablas</w:t>
      </w:r>
    </w:p>
    <w:sdt>
      <w:sdtPr>
        <w:id w:val="1462536443"/>
        <w:docPartObj>
          <w:docPartGallery w:val="Table of Contents"/>
          <w:docPartUnique/>
        </w:docPartObj>
      </w:sdtPr>
      <w:sdtEndPr/>
      <w:sdtContent>
        <w:p w14:paraId="3359611A" w14:textId="77777777" w:rsidR="00644151" w:rsidRDefault="00425878">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r>
            <w:fldChar w:fldCharType="begin"/>
          </w:r>
          <w:r>
            <w:instrText xml:space="preserve"> TOC \h \u \z </w:instrText>
          </w:r>
          <w:r>
            <w:fldChar w:fldCharType="separate"/>
          </w:r>
          <w:hyperlink w:anchor="_heading=h.1ksv4uv">
            <w:r>
              <w:rPr>
                <w:rFonts w:ascii="Calibri" w:eastAsia="Calibri" w:hAnsi="Calibri" w:cs="Calibri"/>
                <w:smallCaps/>
                <w:color w:val="000000"/>
                <w:sz w:val="20"/>
                <w:szCs w:val="20"/>
              </w:rPr>
              <w:t>Tabla 1. Las fases de la transición demográfica en los países desarrollados</w:t>
            </w:r>
            <w:r>
              <w:rPr>
                <w:rFonts w:ascii="Calibri" w:eastAsia="Calibri" w:hAnsi="Calibri" w:cs="Calibri"/>
                <w:smallCaps/>
                <w:color w:val="000000"/>
                <w:sz w:val="20"/>
                <w:szCs w:val="20"/>
              </w:rPr>
              <w:tab/>
              <w:t>22</w:t>
            </w:r>
          </w:hyperlink>
        </w:p>
        <w:p w14:paraId="06EEE150"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p2csry">
            <w:r w:rsidR="00425878">
              <w:rPr>
                <w:rFonts w:ascii="Calibri" w:eastAsia="Calibri" w:hAnsi="Calibri" w:cs="Calibri"/>
                <w:smallCaps/>
                <w:color w:val="000000"/>
                <w:sz w:val="20"/>
                <w:szCs w:val="20"/>
              </w:rPr>
              <w:t>Tabla 2. Población y porcentaje poblacional por grupos de edades</w:t>
            </w:r>
            <w:r w:rsidR="00425878">
              <w:rPr>
                <w:rFonts w:ascii="Calibri" w:eastAsia="Calibri" w:hAnsi="Calibri" w:cs="Calibri"/>
                <w:smallCaps/>
                <w:color w:val="000000"/>
                <w:sz w:val="20"/>
                <w:szCs w:val="20"/>
              </w:rPr>
              <w:tab/>
              <w:t>38</w:t>
            </w:r>
          </w:hyperlink>
        </w:p>
        <w:p w14:paraId="15467CC0"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tbugp1">
            <w:r w:rsidR="00425878">
              <w:rPr>
                <w:rFonts w:ascii="Calibri" w:eastAsia="Calibri" w:hAnsi="Calibri" w:cs="Calibri"/>
                <w:smallCaps/>
                <w:color w:val="000000"/>
                <w:sz w:val="20"/>
                <w:szCs w:val="20"/>
              </w:rPr>
              <w:t>Tabla 3. Principales causas de defunción por grupo de enfermedades.</w:t>
            </w:r>
            <w:r w:rsidR="00425878">
              <w:rPr>
                <w:rFonts w:ascii="Calibri" w:eastAsia="Calibri" w:hAnsi="Calibri" w:cs="Calibri"/>
                <w:smallCaps/>
                <w:color w:val="000000"/>
                <w:sz w:val="20"/>
                <w:szCs w:val="20"/>
              </w:rPr>
              <w:tab/>
              <w:t>42</w:t>
            </w:r>
          </w:hyperlink>
        </w:p>
        <w:p w14:paraId="4C2C9E8D"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41mghml">
            <w:r w:rsidR="00425878">
              <w:rPr>
                <w:rFonts w:ascii="Calibri" w:eastAsia="Calibri" w:hAnsi="Calibri" w:cs="Calibri"/>
                <w:smallCaps/>
                <w:color w:val="000000"/>
                <w:sz w:val="20"/>
                <w:szCs w:val="20"/>
              </w:rPr>
              <w:t>Tabla 4. Panteones de la Alcaldía Iztapalapa</w:t>
            </w:r>
            <w:r w:rsidR="00425878">
              <w:rPr>
                <w:rFonts w:ascii="Calibri" w:eastAsia="Calibri" w:hAnsi="Calibri" w:cs="Calibri"/>
                <w:smallCaps/>
                <w:color w:val="000000"/>
                <w:sz w:val="20"/>
                <w:szCs w:val="20"/>
              </w:rPr>
              <w:tab/>
              <w:t>43</w:t>
            </w:r>
          </w:hyperlink>
        </w:p>
        <w:p w14:paraId="66CB6807"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fwokq0">
            <w:r w:rsidR="00425878">
              <w:rPr>
                <w:rFonts w:ascii="Calibri" w:eastAsia="Calibri" w:hAnsi="Calibri" w:cs="Calibri"/>
                <w:smallCaps/>
                <w:color w:val="000000"/>
                <w:sz w:val="20"/>
                <w:szCs w:val="20"/>
              </w:rPr>
              <w:t>Tabla 5. Disponibilidad de fosas vacías o por utilizar de la Alcaldía Iztapalapa, para el periodo 2019-2020.</w:t>
            </w:r>
            <w:r w:rsidR="00425878">
              <w:rPr>
                <w:rFonts w:ascii="Calibri" w:eastAsia="Calibri" w:hAnsi="Calibri" w:cs="Calibri"/>
                <w:smallCaps/>
                <w:color w:val="000000"/>
                <w:sz w:val="20"/>
                <w:szCs w:val="20"/>
              </w:rPr>
              <w:tab/>
              <w:t>47</w:t>
            </w:r>
          </w:hyperlink>
        </w:p>
        <w:p w14:paraId="2462C876"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4f1mdlm">
            <w:r w:rsidR="00425878">
              <w:rPr>
                <w:rFonts w:ascii="Calibri" w:eastAsia="Calibri" w:hAnsi="Calibri" w:cs="Calibri"/>
                <w:smallCaps/>
                <w:color w:val="000000"/>
                <w:sz w:val="20"/>
                <w:szCs w:val="20"/>
              </w:rPr>
              <w:t>Tabla 6. Total, de servicios de inhumación prestados por la Alcaldía Iztapalapa para el periodo 2016-2020.</w:t>
            </w:r>
            <w:r w:rsidR="00425878">
              <w:rPr>
                <w:rFonts w:ascii="Calibri" w:eastAsia="Calibri" w:hAnsi="Calibri" w:cs="Calibri"/>
                <w:smallCaps/>
                <w:color w:val="000000"/>
                <w:sz w:val="20"/>
                <w:szCs w:val="20"/>
              </w:rPr>
              <w:tab/>
              <w:t>48</w:t>
            </w:r>
          </w:hyperlink>
        </w:p>
        <w:p w14:paraId="7CB10A44"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u6wntf">
            <w:r w:rsidR="00425878">
              <w:rPr>
                <w:rFonts w:ascii="Calibri" w:eastAsia="Calibri" w:hAnsi="Calibri" w:cs="Calibri"/>
                <w:smallCaps/>
                <w:color w:val="000000"/>
                <w:sz w:val="20"/>
                <w:szCs w:val="20"/>
              </w:rPr>
              <w:t>Tabla 7. Servicio de cremaciones del panteón San Nicolás Tolentino, periodo 2016 -2017.</w:t>
            </w:r>
            <w:r w:rsidR="00425878">
              <w:rPr>
                <w:rFonts w:ascii="Calibri" w:eastAsia="Calibri" w:hAnsi="Calibri" w:cs="Calibri"/>
                <w:smallCaps/>
                <w:color w:val="000000"/>
                <w:sz w:val="20"/>
                <w:szCs w:val="20"/>
              </w:rPr>
              <w:tab/>
              <w:t>48</w:t>
            </w:r>
          </w:hyperlink>
        </w:p>
        <w:p w14:paraId="2EE3C3C5"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1664s55">
            <w:r w:rsidR="00425878">
              <w:rPr>
                <w:rFonts w:ascii="Calibri" w:eastAsia="Calibri" w:hAnsi="Calibri" w:cs="Calibri"/>
                <w:smallCaps/>
                <w:color w:val="000000"/>
                <w:sz w:val="20"/>
                <w:szCs w:val="20"/>
              </w:rPr>
              <w:t>Tabla 8. Pruebas del sistema.</w:t>
            </w:r>
            <w:r w:rsidR="00425878">
              <w:rPr>
                <w:rFonts w:ascii="Calibri" w:eastAsia="Calibri" w:hAnsi="Calibri" w:cs="Calibri"/>
                <w:smallCaps/>
                <w:color w:val="000000"/>
                <w:sz w:val="20"/>
                <w:szCs w:val="20"/>
              </w:rPr>
              <w:tab/>
              <w:t>62</w:t>
            </w:r>
          </w:hyperlink>
        </w:p>
        <w:p w14:paraId="72DA3A26"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dhjn8m">
            <w:r w:rsidR="00425878">
              <w:rPr>
                <w:rFonts w:ascii="Calibri" w:eastAsia="Calibri" w:hAnsi="Calibri" w:cs="Calibri"/>
                <w:smallCaps/>
                <w:color w:val="000000"/>
                <w:sz w:val="20"/>
                <w:szCs w:val="20"/>
              </w:rPr>
              <w:t>Tabla 9. Defunciones por grupo de edades, grupos de enfermedad y tasa de defunción del año 2000.</w:t>
            </w:r>
            <w:r w:rsidR="00425878">
              <w:rPr>
                <w:rFonts w:ascii="Calibri" w:eastAsia="Calibri" w:hAnsi="Calibri" w:cs="Calibri"/>
                <w:smallCaps/>
                <w:color w:val="000000"/>
                <w:sz w:val="20"/>
                <w:szCs w:val="20"/>
              </w:rPr>
              <w:tab/>
              <w:t>67</w:t>
            </w:r>
          </w:hyperlink>
        </w:p>
        <w:p w14:paraId="38F5BEFD"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1smtxgf">
            <w:r w:rsidR="00425878">
              <w:rPr>
                <w:rFonts w:ascii="Calibri" w:eastAsia="Calibri" w:hAnsi="Calibri" w:cs="Calibri"/>
                <w:smallCaps/>
                <w:color w:val="000000"/>
                <w:sz w:val="20"/>
                <w:szCs w:val="20"/>
              </w:rPr>
              <w:t>Tabla 10. Defunciones por grupo de edades y tipos de enfermedad del año 2019.</w:t>
            </w:r>
            <w:r w:rsidR="00425878">
              <w:rPr>
                <w:rFonts w:ascii="Calibri" w:eastAsia="Calibri" w:hAnsi="Calibri" w:cs="Calibri"/>
                <w:smallCaps/>
                <w:color w:val="000000"/>
                <w:sz w:val="20"/>
                <w:szCs w:val="20"/>
              </w:rPr>
              <w:tab/>
              <w:t>68</w:t>
            </w:r>
          </w:hyperlink>
        </w:p>
        <w:p w14:paraId="46ACBB10"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61ztfg">
            <w:r w:rsidR="00425878">
              <w:rPr>
                <w:rFonts w:ascii="Calibri" w:eastAsia="Calibri" w:hAnsi="Calibri" w:cs="Calibri"/>
                <w:smallCaps/>
                <w:color w:val="000000"/>
                <w:sz w:val="20"/>
                <w:szCs w:val="20"/>
              </w:rPr>
              <w:t>Tabla 11. Defunciones en adultos mayores (40 a 64) años y mayores (65 años y más) de los años 2000 y 2019.</w:t>
            </w:r>
            <w:r w:rsidR="00425878">
              <w:rPr>
                <w:rFonts w:ascii="Calibri" w:eastAsia="Calibri" w:hAnsi="Calibri" w:cs="Calibri"/>
                <w:smallCaps/>
                <w:color w:val="000000"/>
                <w:sz w:val="20"/>
                <w:szCs w:val="20"/>
              </w:rPr>
              <w:tab/>
              <w:t>72</w:t>
            </w:r>
          </w:hyperlink>
        </w:p>
        <w:p w14:paraId="6B9135C4" w14:textId="77777777" w:rsidR="00644151" w:rsidRDefault="00F4132C">
          <w:pPr>
            <w:pBdr>
              <w:top w:val="nil"/>
              <w:left w:val="nil"/>
              <w:bottom w:val="nil"/>
              <w:right w:val="nil"/>
              <w:between w:val="nil"/>
            </w:pBdr>
            <w:tabs>
              <w:tab w:val="right" w:pos="8828"/>
            </w:tabs>
            <w:spacing w:after="0" w:line="360" w:lineRule="auto"/>
            <w:ind w:left="480" w:hanging="480"/>
            <w:jc w:val="left"/>
            <w:rPr>
              <w:smallCaps/>
              <w:sz w:val="22"/>
              <w:szCs w:val="22"/>
            </w:rPr>
          </w:pPr>
          <w:hyperlink w:anchor="_heading=h.16x20ju">
            <w:r w:rsidR="00425878">
              <w:rPr>
                <w:rFonts w:ascii="Calibri" w:eastAsia="Calibri" w:hAnsi="Calibri" w:cs="Calibri"/>
                <w:smallCaps/>
                <w:color w:val="000000"/>
                <w:sz w:val="20"/>
                <w:szCs w:val="20"/>
              </w:rPr>
              <w:t>Tabla 12. Principales resultados</w:t>
            </w:r>
            <w:r w:rsidR="00425878">
              <w:rPr>
                <w:rFonts w:ascii="Calibri" w:eastAsia="Calibri" w:hAnsi="Calibri" w:cs="Calibri"/>
                <w:smallCaps/>
                <w:color w:val="000000"/>
                <w:sz w:val="20"/>
                <w:szCs w:val="20"/>
              </w:rPr>
              <w:tab/>
              <w:t>73</w:t>
            </w:r>
          </w:hyperlink>
        </w:p>
        <w:p w14:paraId="3CC8A20E" w14:textId="6834CCC4" w:rsidR="00644151" w:rsidRDefault="00425878">
          <w:r>
            <w:fldChar w:fldCharType="end"/>
          </w:r>
        </w:p>
      </w:sdtContent>
    </w:sdt>
    <w:p w14:paraId="77FDC4AE" w14:textId="77777777" w:rsidR="00644151" w:rsidRDefault="00425878">
      <w:pPr>
        <w:rPr>
          <w:rFonts w:ascii="Calibri" w:eastAsia="Calibri" w:hAnsi="Calibri" w:cs="Calibri"/>
          <w:color w:val="2F5496"/>
          <w:sz w:val="32"/>
          <w:szCs w:val="32"/>
        </w:rPr>
      </w:pPr>
      <w:r>
        <w:rPr>
          <w:rFonts w:ascii="Calibri" w:eastAsia="Calibri" w:hAnsi="Calibri" w:cs="Calibri"/>
          <w:color w:val="2F5496"/>
          <w:sz w:val="32"/>
          <w:szCs w:val="32"/>
        </w:rPr>
        <w:t>índice de figuras</w:t>
      </w:r>
    </w:p>
    <w:sdt>
      <w:sdtPr>
        <w:id w:val="1970001744"/>
        <w:docPartObj>
          <w:docPartGallery w:val="Table of Contents"/>
          <w:docPartUnique/>
        </w:docPartObj>
      </w:sdtPr>
      <w:sdtEndPr/>
      <w:sdtContent>
        <w:p w14:paraId="5D6F3FFE" w14:textId="77777777" w:rsidR="00644151" w:rsidRDefault="00425878">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r>
            <w:fldChar w:fldCharType="begin"/>
          </w:r>
          <w:r>
            <w:instrText xml:space="preserve"> TOC \h \u \z </w:instrText>
          </w:r>
          <w:r>
            <w:fldChar w:fldCharType="separate"/>
          </w:r>
          <w:hyperlink w:anchor="_heading=h.qsh70q">
            <w:r>
              <w:rPr>
                <w:rFonts w:ascii="Calibri" w:eastAsia="Calibri" w:hAnsi="Calibri" w:cs="Calibri"/>
                <w:smallCaps/>
                <w:color w:val="000000"/>
                <w:sz w:val="20"/>
                <w:szCs w:val="20"/>
              </w:rPr>
              <w:t>Figura 1. Ubicación de la Alcaldía Iztapalapa, CDMX.</w:t>
            </w:r>
            <w:r>
              <w:rPr>
                <w:rFonts w:ascii="Calibri" w:eastAsia="Calibri" w:hAnsi="Calibri" w:cs="Calibri"/>
                <w:smallCaps/>
                <w:color w:val="000000"/>
                <w:sz w:val="20"/>
                <w:szCs w:val="20"/>
              </w:rPr>
              <w:tab/>
              <w:t>36</w:t>
            </w:r>
          </w:hyperlink>
        </w:p>
        <w:p w14:paraId="0FF6EBFC"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1pxezwc">
            <w:r w:rsidR="00425878">
              <w:rPr>
                <w:rFonts w:ascii="Calibri" w:eastAsia="Calibri" w:hAnsi="Calibri" w:cs="Calibri"/>
                <w:smallCaps/>
                <w:color w:val="000000"/>
                <w:sz w:val="20"/>
                <w:szCs w:val="20"/>
              </w:rPr>
              <w:t>Figura 2. Alcaldía Iztapalapa, Ciudad de México, población y crecimiento neto para el periodo 1990-2010.</w:t>
            </w:r>
            <w:r w:rsidR="00425878">
              <w:rPr>
                <w:rFonts w:ascii="Calibri" w:eastAsia="Calibri" w:hAnsi="Calibri" w:cs="Calibri"/>
                <w:smallCaps/>
                <w:color w:val="000000"/>
                <w:sz w:val="20"/>
                <w:szCs w:val="20"/>
              </w:rPr>
              <w:tab/>
              <w:t>37</w:t>
            </w:r>
          </w:hyperlink>
        </w:p>
        <w:p w14:paraId="0EC7EDEE"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49x2ik5">
            <w:r w:rsidR="00425878">
              <w:rPr>
                <w:rFonts w:ascii="Calibri" w:eastAsia="Calibri" w:hAnsi="Calibri" w:cs="Calibri"/>
                <w:smallCaps/>
                <w:color w:val="000000"/>
                <w:sz w:val="20"/>
                <w:szCs w:val="20"/>
              </w:rPr>
              <w:t>Figura 3. Alcaldía Iztapalapa, Ciudad de México, pirámide poblacional por sexo y edad para el año 2020.</w:t>
            </w:r>
            <w:r w:rsidR="00425878">
              <w:rPr>
                <w:rFonts w:ascii="Calibri" w:eastAsia="Calibri" w:hAnsi="Calibri" w:cs="Calibri"/>
                <w:smallCaps/>
                <w:color w:val="000000"/>
                <w:sz w:val="20"/>
                <w:szCs w:val="20"/>
              </w:rPr>
              <w:tab/>
              <w:t>38</w:t>
            </w:r>
          </w:hyperlink>
        </w:p>
        <w:p w14:paraId="26FF6C99"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147n2zr">
            <w:r w:rsidR="00425878">
              <w:rPr>
                <w:rFonts w:ascii="Calibri" w:eastAsia="Calibri" w:hAnsi="Calibri" w:cs="Calibri"/>
                <w:smallCaps/>
                <w:color w:val="000000"/>
                <w:sz w:val="20"/>
                <w:szCs w:val="20"/>
              </w:rPr>
              <w:t>Figura 4. Alcaldía Iztapalapa, Ciudad de México, natalidad y tasa de natalidad para el periodo 2000-2019.</w:t>
            </w:r>
            <w:r w:rsidR="00425878">
              <w:rPr>
                <w:rFonts w:ascii="Calibri" w:eastAsia="Calibri" w:hAnsi="Calibri" w:cs="Calibri"/>
                <w:smallCaps/>
                <w:color w:val="000000"/>
                <w:sz w:val="20"/>
                <w:szCs w:val="20"/>
              </w:rPr>
              <w:tab/>
              <w:t>40</w:t>
            </w:r>
          </w:hyperlink>
        </w:p>
        <w:p w14:paraId="2FF5F8B5"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3ckvvd">
            <w:r w:rsidR="00425878">
              <w:rPr>
                <w:rFonts w:ascii="Calibri" w:eastAsia="Calibri" w:hAnsi="Calibri" w:cs="Calibri"/>
                <w:smallCaps/>
                <w:color w:val="000000"/>
                <w:sz w:val="20"/>
                <w:szCs w:val="20"/>
              </w:rPr>
              <w:t>Figura 5. Alcaldía Iztapalapa, Ciudad de México, mortalidad y tasa de mortalidad para el periodo 2000-2019.</w:t>
            </w:r>
            <w:r w:rsidR="00425878">
              <w:rPr>
                <w:rFonts w:ascii="Calibri" w:eastAsia="Calibri" w:hAnsi="Calibri" w:cs="Calibri"/>
                <w:smallCaps/>
                <w:color w:val="000000"/>
                <w:sz w:val="20"/>
                <w:szCs w:val="20"/>
              </w:rPr>
              <w:tab/>
              <w:t>41</w:t>
            </w:r>
          </w:hyperlink>
        </w:p>
        <w:p w14:paraId="0A530A67"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ihv636">
            <w:r w:rsidR="00425878">
              <w:rPr>
                <w:rFonts w:ascii="Calibri" w:eastAsia="Calibri" w:hAnsi="Calibri" w:cs="Calibri"/>
                <w:smallCaps/>
                <w:color w:val="000000"/>
                <w:sz w:val="20"/>
                <w:szCs w:val="20"/>
              </w:rPr>
              <w:t>Figura 6.Alcaldía Iztapalapa, Ciudad de México, mortalidad por grupos quinquenales para el año 2019.</w:t>
            </w:r>
            <w:r w:rsidR="00425878">
              <w:rPr>
                <w:rFonts w:ascii="Calibri" w:eastAsia="Calibri" w:hAnsi="Calibri" w:cs="Calibri"/>
                <w:smallCaps/>
                <w:color w:val="000000"/>
                <w:sz w:val="20"/>
                <w:szCs w:val="20"/>
              </w:rPr>
              <w:tab/>
              <w:t>42</w:t>
            </w:r>
          </w:hyperlink>
        </w:p>
        <w:p w14:paraId="2EC2D24F"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2hioqz">
            <w:r w:rsidR="00425878">
              <w:rPr>
                <w:rFonts w:ascii="Calibri" w:eastAsia="Calibri" w:hAnsi="Calibri" w:cs="Calibri"/>
                <w:smallCaps/>
                <w:color w:val="000000"/>
                <w:sz w:val="20"/>
                <w:szCs w:val="20"/>
              </w:rPr>
              <w:t>Figura 7. Alcaldía Iztapalapa, Ciudad de México, 10 principales causas de defunción para el año 2019.</w:t>
            </w:r>
            <w:r w:rsidR="00425878">
              <w:rPr>
                <w:rFonts w:ascii="Calibri" w:eastAsia="Calibri" w:hAnsi="Calibri" w:cs="Calibri"/>
                <w:smallCaps/>
                <w:color w:val="000000"/>
                <w:sz w:val="20"/>
                <w:szCs w:val="20"/>
              </w:rPr>
              <w:tab/>
              <w:t>43</w:t>
            </w:r>
          </w:hyperlink>
        </w:p>
        <w:p w14:paraId="030ADFB8"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grqrue">
            <w:r w:rsidR="00425878">
              <w:rPr>
                <w:rFonts w:ascii="Calibri" w:eastAsia="Calibri" w:hAnsi="Calibri" w:cs="Calibri"/>
                <w:smallCaps/>
                <w:color w:val="000000"/>
                <w:sz w:val="20"/>
                <w:szCs w:val="20"/>
              </w:rPr>
              <w:t>Figura 8. Distribución de los panteones de la alcaldía Iztapalapa.</w:t>
            </w:r>
            <w:r w:rsidR="00425878">
              <w:rPr>
                <w:rFonts w:ascii="Calibri" w:eastAsia="Calibri" w:hAnsi="Calibri" w:cs="Calibri"/>
                <w:smallCaps/>
                <w:color w:val="000000"/>
                <w:sz w:val="20"/>
                <w:szCs w:val="20"/>
              </w:rPr>
              <w:tab/>
              <w:t>47</w:t>
            </w:r>
          </w:hyperlink>
        </w:p>
        <w:p w14:paraId="5335401A"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zbgiuw">
            <w:r w:rsidR="00425878">
              <w:rPr>
                <w:rFonts w:ascii="Calibri" w:eastAsia="Calibri" w:hAnsi="Calibri" w:cs="Calibri"/>
                <w:smallCaps/>
                <w:color w:val="000000"/>
                <w:sz w:val="20"/>
                <w:szCs w:val="20"/>
              </w:rPr>
              <w:t>Figura 9. Arquitectura de la propuesta tecnológica.</w:t>
            </w:r>
            <w:r w:rsidR="00425878">
              <w:rPr>
                <w:rFonts w:ascii="Calibri" w:eastAsia="Calibri" w:hAnsi="Calibri" w:cs="Calibri"/>
                <w:smallCaps/>
                <w:color w:val="000000"/>
                <w:sz w:val="20"/>
                <w:szCs w:val="20"/>
              </w:rPr>
              <w:tab/>
              <w:t>53</w:t>
            </w:r>
          </w:hyperlink>
        </w:p>
        <w:p w14:paraId="3CE9105F"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2dlolyb">
            <w:r w:rsidR="00425878">
              <w:rPr>
                <w:rFonts w:ascii="Calibri" w:eastAsia="Calibri" w:hAnsi="Calibri" w:cs="Calibri"/>
                <w:smallCaps/>
                <w:color w:val="000000"/>
                <w:sz w:val="20"/>
                <w:szCs w:val="20"/>
              </w:rPr>
              <w:t>Figura 10. Diseño del sitio web mediante Draw.io</w:t>
            </w:r>
            <w:r w:rsidR="00425878">
              <w:rPr>
                <w:rFonts w:ascii="Calibri" w:eastAsia="Calibri" w:hAnsi="Calibri" w:cs="Calibri"/>
                <w:smallCaps/>
                <w:color w:val="000000"/>
                <w:sz w:val="20"/>
                <w:szCs w:val="20"/>
              </w:rPr>
              <w:tab/>
              <w:t>54</w:t>
            </w:r>
          </w:hyperlink>
        </w:p>
        <w:p w14:paraId="5425DEB5"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ygebqi">
            <w:r w:rsidR="00425878">
              <w:rPr>
                <w:rFonts w:ascii="Calibri" w:eastAsia="Calibri" w:hAnsi="Calibri" w:cs="Calibri"/>
                <w:smallCaps/>
                <w:color w:val="000000"/>
                <w:sz w:val="20"/>
                <w:szCs w:val="20"/>
              </w:rPr>
              <w:t>Figura 11. Diagrama entidad-relación de la base de datos.</w:t>
            </w:r>
            <w:r w:rsidR="00425878">
              <w:rPr>
                <w:rFonts w:ascii="Calibri" w:eastAsia="Calibri" w:hAnsi="Calibri" w:cs="Calibri"/>
                <w:smallCaps/>
                <w:color w:val="000000"/>
                <w:sz w:val="20"/>
                <w:szCs w:val="20"/>
              </w:rPr>
              <w:tab/>
              <w:t>59</w:t>
            </w:r>
          </w:hyperlink>
        </w:p>
        <w:p w14:paraId="4BDDA98F"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hv69ve">
            <w:r w:rsidR="00425878">
              <w:rPr>
                <w:rFonts w:ascii="Calibri" w:eastAsia="Calibri" w:hAnsi="Calibri" w:cs="Calibri"/>
                <w:smallCaps/>
                <w:color w:val="000000"/>
                <w:sz w:val="20"/>
                <w:szCs w:val="20"/>
              </w:rPr>
              <w:t>Figura 12. Modelo conceptual del flujo de trabajo.</w:t>
            </w:r>
            <w:r w:rsidR="00425878">
              <w:rPr>
                <w:rFonts w:ascii="Calibri" w:eastAsia="Calibri" w:hAnsi="Calibri" w:cs="Calibri"/>
                <w:smallCaps/>
                <w:color w:val="000000"/>
                <w:sz w:val="20"/>
                <w:szCs w:val="20"/>
              </w:rPr>
              <w:tab/>
              <w:t>61</w:t>
            </w:r>
          </w:hyperlink>
        </w:p>
        <w:p w14:paraId="11BEAAB2"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z7bk57">
            <w:r w:rsidR="00425878">
              <w:rPr>
                <w:rFonts w:ascii="Calibri" w:eastAsia="Calibri" w:hAnsi="Calibri" w:cs="Calibri"/>
                <w:smallCaps/>
                <w:color w:val="000000"/>
                <w:sz w:val="20"/>
                <w:szCs w:val="20"/>
              </w:rPr>
              <w:t>Figura 13. Tendencia poblacional y crecimiento neto para el período 1990-2030, Alcaldía Iztapalapa, Ciudad de México.</w:t>
            </w:r>
            <w:r w:rsidR="00425878">
              <w:rPr>
                <w:rFonts w:ascii="Calibri" w:eastAsia="Calibri" w:hAnsi="Calibri" w:cs="Calibri"/>
                <w:smallCaps/>
                <w:color w:val="000000"/>
                <w:sz w:val="20"/>
                <w:szCs w:val="20"/>
              </w:rPr>
              <w:tab/>
              <w:t>66</w:t>
            </w:r>
          </w:hyperlink>
        </w:p>
        <w:p w14:paraId="5AA716AD" w14:textId="77777777" w:rsidR="00644151" w:rsidRDefault="00F4132C">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hyperlink w:anchor="_heading=h.34g0dwd">
            <w:r w:rsidR="00425878">
              <w:rPr>
                <w:rFonts w:ascii="Calibri" w:eastAsia="Calibri" w:hAnsi="Calibri" w:cs="Calibri"/>
                <w:smallCaps/>
                <w:color w:val="000000"/>
                <w:sz w:val="20"/>
                <w:szCs w:val="20"/>
              </w:rPr>
              <w:t>Figura 14. Tendencia de las tasas de natalidad y de defunción por cada 10 000 habitantes para 2030.</w:t>
            </w:r>
            <w:r w:rsidR="00425878">
              <w:rPr>
                <w:rFonts w:ascii="Calibri" w:eastAsia="Calibri" w:hAnsi="Calibri" w:cs="Calibri"/>
                <w:smallCaps/>
                <w:color w:val="000000"/>
                <w:sz w:val="20"/>
                <w:szCs w:val="20"/>
              </w:rPr>
              <w:tab/>
              <w:t>67</w:t>
            </w:r>
          </w:hyperlink>
        </w:p>
        <w:p w14:paraId="0AC556C8" w14:textId="77777777" w:rsidR="00CF2DBC" w:rsidRDefault="00F4132C">
          <w:pPr>
            <w:pBdr>
              <w:top w:val="nil"/>
              <w:left w:val="nil"/>
              <w:bottom w:val="nil"/>
              <w:right w:val="nil"/>
              <w:between w:val="nil"/>
            </w:pBdr>
            <w:tabs>
              <w:tab w:val="right" w:pos="8828"/>
            </w:tabs>
            <w:spacing w:after="0" w:line="360" w:lineRule="auto"/>
            <w:ind w:left="480" w:hanging="480"/>
            <w:jc w:val="left"/>
          </w:pPr>
          <w:hyperlink w:anchor="_heading=h.xvir7l">
            <w:r w:rsidR="00425878">
              <w:rPr>
                <w:rFonts w:ascii="Calibri" w:eastAsia="Calibri" w:hAnsi="Calibri" w:cs="Calibri"/>
                <w:smallCaps/>
                <w:color w:val="000000"/>
                <w:sz w:val="20"/>
                <w:szCs w:val="20"/>
              </w:rPr>
              <w:t>Figura 15. Vista de la página HTML, resultado de la maquetación y programación web.</w:t>
            </w:r>
            <w:r w:rsidR="00425878">
              <w:rPr>
                <w:rFonts w:ascii="Calibri" w:eastAsia="Calibri" w:hAnsi="Calibri" w:cs="Calibri"/>
                <w:smallCaps/>
                <w:color w:val="000000"/>
                <w:sz w:val="20"/>
                <w:szCs w:val="20"/>
              </w:rPr>
              <w:tab/>
              <w:t>71</w:t>
            </w:r>
          </w:hyperlink>
          <w:r w:rsidR="00425878">
            <w:fldChar w:fldCharType="end"/>
          </w:r>
        </w:p>
        <w:p w14:paraId="571DC489" w14:textId="2E51C4C9" w:rsidR="00201587" w:rsidRDefault="00F4132C">
          <w:pPr>
            <w:pBdr>
              <w:top w:val="nil"/>
              <w:left w:val="nil"/>
              <w:bottom w:val="nil"/>
              <w:right w:val="nil"/>
              <w:between w:val="nil"/>
            </w:pBdr>
            <w:tabs>
              <w:tab w:val="right" w:pos="8828"/>
            </w:tabs>
            <w:spacing w:after="0" w:line="360" w:lineRule="auto"/>
            <w:ind w:left="480" w:hanging="480"/>
            <w:jc w:val="left"/>
          </w:pPr>
        </w:p>
      </w:sdtContent>
    </w:sdt>
    <w:p w14:paraId="11F718DB" w14:textId="77777777" w:rsidR="00201587" w:rsidRDefault="00201587">
      <w:r>
        <w:br w:type="page"/>
      </w:r>
    </w:p>
    <w:p w14:paraId="43F6AB48" w14:textId="77777777" w:rsidR="00201587" w:rsidRDefault="00201587">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sectPr w:rsidR="00201587" w:rsidSect="00D23515">
          <w:footerReference w:type="default" r:id="rId12"/>
          <w:footerReference w:type="first" r:id="rId13"/>
          <w:pgSz w:w="12240" w:h="15840"/>
          <w:pgMar w:top="1417" w:right="1701" w:bottom="1417" w:left="1701" w:header="708" w:footer="708" w:gutter="0"/>
          <w:pgNumType w:start="0"/>
          <w:cols w:space="720"/>
          <w:docGrid w:linePitch="326"/>
        </w:sectPr>
      </w:pPr>
    </w:p>
    <w:p w14:paraId="3097101C" w14:textId="76E82C41" w:rsidR="00644151" w:rsidRDefault="00644151">
      <w:pPr>
        <w:pBdr>
          <w:top w:val="nil"/>
          <w:left w:val="nil"/>
          <w:bottom w:val="nil"/>
          <w:right w:val="nil"/>
          <w:between w:val="nil"/>
        </w:pBdr>
        <w:tabs>
          <w:tab w:val="right" w:pos="8828"/>
        </w:tabs>
        <w:spacing w:after="0" w:line="360" w:lineRule="auto"/>
        <w:ind w:left="480" w:hanging="480"/>
        <w:jc w:val="left"/>
        <w:rPr>
          <w:rFonts w:ascii="Calibri" w:eastAsia="Calibri" w:hAnsi="Calibri" w:cs="Calibri"/>
          <w:smallCaps/>
          <w:color w:val="000000"/>
          <w:sz w:val="20"/>
          <w:szCs w:val="20"/>
        </w:rPr>
      </w:pPr>
    </w:p>
    <w:p w14:paraId="2C09A5DF" w14:textId="77777777" w:rsidR="00644151" w:rsidRDefault="00425878">
      <w:pPr>
        <w:pStyle w:val="Ttulo1"/>
      </w:pPr>
      <w:bookmarkStart w:id="1" w:name="_Toc89075356"/>
      <w:r>
        <w:t>Resumen</w:t>
      </w:r>
      <w:bookmarkEnd w:id="1"/>
    </w:p>
    <w:p w14:paraId="092D1749" w14:textId="15603EF1" w:rsidR="00644151" w:rsidRDefault="00425878">
      <w:pPr>
        <w:spacing w:line="360" w:lineRule="auto"/>
      </w:pPr>
      <w:r>
        <w:t>El presente trabajo se realiza con el objetivo de diseñar y construir una herramienta de modelación, para simular escenarios de ocupación del servicio público de panteones en la alcaldía Iztapalapa. Est</w:t>
      </w:r>
      <w:r w:rsidR="006F21F3">
        <w:t>a</w:t>
      </w:r>
      <w:r>
        <w:t xml:space="preserve"> se desarrolla desde una perspectiva web, mediante una interfaz interactiva, dinámica y accesible al usuario o usuarios finales, resultado del diseño y la programación web. La tecnología web permite presentar los resultados al usuario final en una interfaz sencilla y orientada a sus necesidades, lo que propicia que no sea necesario el uso de algún software especializado o conocimientos científico/técnico en el tema.</w:t>
      </w:r>
    </w:p>
    <w:p w14:paraId="21E2F2A2" w14:textId="387BB0E8" w:rsidR="00644151" w:rsidRDefault="00425878">
      <w:pPr>
        <w:spacing w:line="360" w:lineRule="auto"/>
      </w:pPr>
      <w:r>
        <w:t xml:space="preserve">El resultado es una plantilla web que modela diversos escenarios de ocupación para el periodo que comprende del año 2019 al 2030 donde el usuario puede observar la distribución espacial de oferta y demanda, teniendo un apartado donde tiene la opción de determinar el año de partida de simulación, así como establecer algunos parámetros de partida.  </w:t>
      </w:r>
    </w:p>
    <w:p w14:paraId="7C3E9323" w14:textId="2231AD34" w:rsidR="006F21F3" w:rsidRDefault="006F21F3">
      <w:pPr>
        <w:spacing w:line="360" w:lineRule="auto"/>
      </w:pPr>
      <w:r w:rsidRPr="006F21F3">
        <w:t>De acuerdo con la demanda del servicio de entierro predominante hasta 2019, los panteones de la Alcaldía Iztapalapa llegarán a su máxima capacidad en el año 2024, sin embargo, este resultado puede verse directamente afectado por el número de fosas que son recuperadas a través de cada año por concepto de vencimiento de temporalidad. He aquí donde radica la mayor contribución con relación a la programación y automatización de la plantilla web, ya que permite plantear diversos escenarios con base a un aumento o disminución en la oferta y demanda del servicio</w:t>
      </w:r>
      <w:r>
        <w:t xml:space="preserve"> para conocer los periodos de saturación del servicio</w:t>
      </w:r>
      <w:r w:rsidRPr="006F21F3">
        <w:t>.</w:t>
      </w:r>
    </w:p>
    <w:p w14:paraId="2F2FC621" w14:textId="219D10BE" w:rsidR="00644151" w:rsidRDefault="00425878">
      <w:pPr>
        <w:spacing w:line="360" w:lineRule="auto"/>
      </w:pPr>
      <w:r>
        <w:t xml:space="preserve">El desarrollo de esta herramienta es trascendente a nivel social ya que apoyará en el proceso de planificación urbana de estos espacios, al permitir tomar decisiones acertadas, con base en los resultados de las aproximaciones de las simulaciones que se planten, contribuirá a concientizar al personal y a los actores clave involucrados en el proceso </w:t>
      </w:r>
      <w:r w:rsidRPr="006F21F3">
        <w:t>de toma de decisiones</w:t>
      </w:r>
      <w:r w:rsidR="006F21F3" w:rsidRPr="006F21F3">
        <w:t xml:space="preserve"> a corto y mediano plazo</w:t>
      </w:r>
      <w:r w:rsidRPr="006F21F3">
        <w:t>.</w:t>
      </w:r>
    </w:p>
    <w:p w14:paraId="56D0BD20" w14:textId="77777777" w:rsidR="00644151" w:rsidRDefault="00644151"/>
    <w:p w14:paraId="20F44600" w14:textId="77777777" w:rsidR="00644151" w:rsidRDefault="00425878">
      <w:pPr>
        <w:spacing w:line="360" w:lineRule="auto"/>
      </w:pPr>
      <w:bookmarkStart w:id="2" w:name="_heading=h.30j0zll" w:colFirst="0" w:colLast="0"/>
      <w:bookmarkEnd w:id="2"/>
      <w:r>
        <w:rPr>
          <w:b/>
        </w:rPr>
        <w:t>Palabras clave:</w:t>
      </w:r>
      <w:r>
        <w:t xml:space="preserve"> Panteón, modelación espacial, escenarios de ocupación y programación web.</w:t>
      </w:r>
    </w:p>
    <w:p w14:paraId="562E2B84" w14:textId="77777777" w:rsidR="00644151" w:rsidRDefault="00644151">
      <w:pPr>
        <w:spacing w:line="360" w:lineRule="auto"/>
      </w:pPr>
    </w:p>
    <w:p w14:paraId="444845AA" w14:textId="77777777" w:rsidR="00644151" w:rsidRDefault="00644151">
      <w:pPr>
        <w:spacing w:line="360" w:lineRule="auto"/>
      </w:pPr>
    </w:p>
    <w:p w14:paraId="23A55504" w14:textId="2A18A3DF" w:rsidR="00644151" w:rsidRDefault="00201587">
      <w:pPr>
        <w:rPr>
          <w:rFonts w:ascii="Calibri" w:eastAsia="Calibri" w:hAnsi="Calibri" w:cs="Calibri"/>
          <w:color w:val="2F5496"/>
          <w:sz w:val="32"/>
          <w:szCs w:val="32"/>
        </w:rPr>
      </w:pPr>
      <w:proofErr w:type="spellStart"/>
      <w:r>
        <w:rPr>
          <w:rFonts w:ascii="Calibri" w:eastAsia="Calibri" w:hAnsi="Calibri" w:cs="Calibri"/>
          <w:color w:val="2F5496"/>
          <w:sz w:val="32"/>
          <w:szCs w:val="32"/>
        </w:rPr>
        <w:t>Abstract</w:t>
      </w:r>
      <w:proofErr w:type="spellEnd"/>
    </w:p>
    <w:p w14:paraId="2AC6EB69" w14:textId="70FD30C9" w:rsidR="006F21F3" w:rsidRDefault="00CC4E7E" w:rsidP="006F21F3">
      <w:pPr>
        <w:spacing w:line="360" w:lineRule="auto"/>
      </w:pPr>
      <w:proofErr w:type="spellStart"/>
      <w:r w:rsidRPr="00CC4E7E">
        <w:t>The</w:t>
      </w:r>
      <w:proofErr w:type="spellEnd"/>
      <w:r w:rsidRPr="00CC4E7E">
        <w:t xml:space="preserve"> </w:t>
      </w:r>
      <w:proofErr w:type="spellStart"/>
      <w:r w:rsidRPr="00CC4E7E">
        <w:t>present</w:t>
      </w:r>
      <w:proofErr w:type="spellEnd"/>
      <w:r w:rsidRPr="00CC4E7E">
        <w:t xml:space="preserve"> </w:t>
      </w:r>
      <w:proofErr w:type="spellStart"/>
      <w:r w:rsidRPr="00CC4E7E">
        <w:t>work</w:t>
      </w:r>
      <w:proofErr w:type="spellEnd"/>
      <w:r w:rsidRPr="00CC4E7E">
        <w:t xml:space="preserve"> </w:t>
      </w:r>
      <w:proofErr w:type="spellStart"/>
      <w:r w:rsidRPr="00CC4E7E">
        <w:t>is</w:t>
      </w:r>
      <w:proofErr w:type="spellEnd"/>
      <w:r w:rsidR="006F21F3">
        <w:t xml:space="preserve"> </w:t>
      </w:r>
      <w:proofErr w:type="spellStart"/>
      <w:r w:rsidR="006F21F3">
        <w:t>carried</w:t>
      </w:r>
      <w:proofErr w:type="spellEnd"/>
      <w:r w:rsidR="006F21F3">
        <w:t xml:space="preserve"> </w:t>
      </w:r>
      <w:proofErr w:type="spellStart"/>
      <w:r w:rsidR="006F21F3">
        <w:t>out</w:t>
      </w:r>
      <w:proofErr w:type="spellEnd"/>
      <w:r w:rsidR="006F21F3">
        <w:t xml:space="preserve"> </w:t>
      </w:r>
      <w:proofErr w:type="spellStart"/>
      <w:r w:rsidR="006F21F3">
        <w:t>with</w:t>
      </w:r>
      <w:proofErr w:type="spellEnd"/>
      <w:r w:rsidR="006F21F3">
        <w:t xml:space="preserve"> </w:t>
      </w:r>
      <w:proofErr w:type="spellStart"/>
      <w:r w:rsidR="006F21F3">
        <w:t>the</w:t>
      </w:r>
      <w:proofErr w:type="spellEnd"/>
      <w:r w:rsidR="006F21F3">
        <w:t xml:space="preserve"> </w:t>
      </w:r>
      <w:proofErr w:type="spellStart"/>
      <w:r w:rsidR="006F21F3">
        <w:t>objective</w:t>
      </w:r>
      <w:proofErr w:type="spellEnd"/>
      <w:r w:rsidR="006F21F3">
        <w:t xml:space="preserve"> </w:t>
      </w:r>
      <w:proofErr w:type="spellStart"/>
      <w:r w:rsidR="006F21F3">
        <w:t>of</w:t>
      </w:r>
      <w:proofErr w:type="spellEnd"/>
      <w:r w:rsidR="006F21F3">
        <w:t xml:space="preserve"> </w:t>
      </w:r>
      <w:proofErr w:type="spellStart"/>
      <w:r w:rsidR="006F21F3">
        <w:t>designing</w:t>
      </w:r>
      <w:proofErr w:type="spellEnd"/>
      <w:r w:rsidR="006F21F3">
        <w:t xml:space="preserve"> and </w:t>
      </w:r>
      <w:proofErr w:type="spellStart"/>
      <w:r w:rsidR="006F21F3">
        <w:t>building</w:t>
      </w:r>
      <w:proofErr w:type="spellEnd"/>
      <w:r w:rsidR="006F21F3">
        <w:t xml:space="preserve"> a </w:t>
      </w:r>
      <w:proofErr w:type="spellStart"/>
      <w:r w:rsidR="006F21F3">
        <w:t>modeling</w:t>
      </w:r>
      <w:proofErr w:type="spellEnd"/>
      <w:r w:rsidR="006F21F3">
        <w:t xml:space="preserve"> </w:t>
      </w:r>
      <w:proofErr w:type="spellStart"/>
      <w:r w:rsidR="006F21F3">
        <w:t>tool</w:t>
      </w:r>
      <w:proofErr w:type="spellEnd"/>
      <w:r w:rsidR="006F21F3">
        <w:t xml:space="preserve"> </w:t>
      </w:r>
      <w:proofErr w:type="spellStart"/>
      <w:r w:rsidR="006F21F3">
        <w:t>for</w:t>
      </w:r>
      <w:proofErr w:type="spellEnd"/>
      <w:r w:rsidR="006F21F3">
        <w:t xml:space="preserve"> </w:t>
      </w:r>
      <w:proofErr w:type="spellStart"/>
      <w:r w:rsidR="006F21F3">
        <w:t>simulated</w:t>
      </w:r>
      <w:proofErr w:type="spellEnd"/>
      <w:r w:rsidR="006F21F3">
        <w:t xml:space="preserve"> </w:t>
      </w:r>
      <w:proofErr w:type="spellStart"/>
      <w:r w:rsidR="006F21F3">
        <w:t>scenarios</w:t>
      </w:r>
      <w:proofErr w:type="spellEnd"/>
      <w:r w:rsidR="006F21F3">
        <w:t xml:space="preserve"> </w:t>
      </w:r>
      <w:proofErr w:type="spellStart"/>
      <w:r w:rsidR="006F21F3">
        <w:t>of</w:t>
      </w:r>
      <w:proofErr w:type="spellEnd"/>
      <w:r w:rsidR="006F21F3">
        <w:t xml:space="preserve"> </w:t>
      </w:r>
      <w:proofErr w:type="spellStart"/>
      <w:r w:rsidR="006F21F3">
        <w:t>occupation</w:t>
      </w:r>
      <w:proofErr w:type="spellEnd"/>
      <w:r w:rsidR="006F21F3">
        <w:t xml:space="preserve"> </w:t>
      </w:r>
      <w:proofErr w:type="spellStart"/>
      <w:r w:rsidR="006F21F3">
        <w:t>of</w:t>
      </w:r>
      <w:proofErr w:type="spellEnd"/>
      <w:r w:rsidR="006F21F3">
        <w:t xml:space="preserve"> </w:t>
      </w:r>
      <w:proofErr w:type="spellStart"/>
      <w:r w:rsidR="006F21F3">
        <w:t>the</w:t>
      </w:r>
      <w:proofErr w:type="spellEnd"/>
      <w:r w:rsidR="006F21F3">
        <w:t xml:space="preserve"> </w:t>
      </w:r>
      <w:proofErr w:type="spellStart"/>
      <w:r w:rsidR="006F21F3">
        <w:t>public</w:t>
      </w:r>
      <w:proofErr w:type="spellEnd"/>
      <w:r w:rsidR="006F21F3">
        <w:t xml:space="preserve"> </w:t>
      </w:r>
      <w:proofErr w:type="spellStart"/>
      <w:r w:rsidR="006F21F3">
        <w:t>service</w:t>
      </w:r>
      <w:proofErr w:type="spellEnd"/>
      <w:r w:rsidR="006F21F3">
        <w:t xml:space="preserve"> </w:t>
      </w:r>
      <w:proofErr w:type="spellStart"/>
      <w:r w:rsidR="006F21F3">
        <w:t>of</w:t>
      </w:r>
      <w:proofErr w:type="spellEnd"/>
      <w:r w:rsidR="006F21F3">
        <w:t xml:space="preserve"> </w:t>
      </w:r>
      <w:proofErr w:type="spellStart"/>
      <w:r w:rsidR="006F21F3">
        <w:t>pantheons</w:t>
      </w:r>
      <w:proofErr w:type="spellEnd"/>
      <w:r w:rsidR="006F21F3">
        <w:t xml:space="preserve"> in </w:t>
      </w:r>
      <w:proofErr w:type="spellStart"/>
      <w:r w:rsidR="006F21F3">
        <w:t>the</w:t>
      </w:r>
      <w:proofErr w:type="spellEnd"/>
      <w:r w:rsidR="006F21F3">
        <w:t xml:space="preserve"> Iztapalapa</w:t>
      </w:r>
      <w:r w:rsidRPr="00CC4E7E">
        <w:t xml:space="preserve"> </w:t>
      </w:r>
      <w:proofErr w:type="spellStart"/>
      <w:r w:rsidRPr="00CC4E7E">
        <w:t>municipality</w:t>
      </w:r>
      <w:proofErr w:type="spellEnd"/>
      <w:r w:rsidR="006F21F3">
        <w:t xml:space="preserve">. </w:t>
      </w:r>
      <w:proofErr w:type="spellStart"/>
      <w:r w:rsidR="006F21F3">
        <w:t>This</w:t>
      </w:r>
      <w:proofErr w:type="spellEnd"/>
      <w:r w:rsidR="006F21F3">
        <w:t xml:space="preserve"> </w:t>
      </w:r>
      <w:proofErr w:type="spellStart"/>
      <w:r w:rsidR="006F21F3">
        <w:t>is</w:t>
      </w:r>
      <w:proofErr w:type="spellEnd"/>
      <w:r w:rsidR="006F21F3">
        <w:t xml:space="preserve"> </w:t>
      </w:r>
      <w:proofErr w:type="spellStart"/>
      <w:r w:rsidR="006F21F3">
        <w:t>developed</w:t>
      </w:r>
      <w:proofErr w:type="spellEnd"/>
      <w:r w:rsidR="006F21F3">
        <w:t xml:space="preserve"> </w:t>
      </w:r>
      <w:proofErr w:type="spellStart"/>
      <w:r w:rsidR="006F21F3">
        <w:t>from</w:t>
      </w:r>
      <w:proofErr w:type="spellEnd"/>
      <w:r w:rsidR="006F21F3">
        <w:t xml:space="preserve"> a web </w:t>
      </w:r>
      <w:proofErr w:type="spellStart"/>
      <w:r w:rsidR="006F21F3">
        <w:t>perspective</w:t>
      </w:r>
      <w:proofErr w:type="spellEnd"/>
      <w:r w:rsidR="006F21F3">
        <w:t xml:space="preserve">, </w:t>
      </w:r>
      <w:proofErr w:type="spellStart"/>
      <w:r w:rsidR="006F21F3">
        <w:t>through</w:t>
      </w:r>
      <w:proofErr w:type="spellEnd"/>
      <w:r w:rsidR="006F21F3">
        <w:t xml:space="preserve"> </w:t>
      </w:r>
      <w:proofErr w:type="spellStart"/>
      <w:r w:rsidR="006F21F3">
        <w:t>an</w:t>
      </w:r>
      <w:proofErr w:type="spellEnd"/>
      <w:r w:rsidR="006F21F3">
        <w:t xml:space="preserve"> interactive, </w:t>
      </w:r>
      <w:proofErr w:type="spellStart"/>
      <w:r w:rsidR="006F21F3">
        <w:t>dynamic</w:t>
      </w:r>
      <w:proofErr w:type="spellEnd"/>
      <w:r w:rsidR="006F21F3">
        <w:t xml:space="preserve"> and </w:t>
      </w:r>
      <w:proofErr w:type="spellStart"/>
      <w:r w:rsidR="006F21F3">
        <w:t>accessible</w:t>
      </w:r>
      <w:proofErr w:type="spellEnd"/>
      <w:r w:rsidR="006F21F3">
        <w:t xml:space="preserve"> </w:t>
      </w:r>
      <w:proofErr w:type="gramStart"/>
      <w:r w:rsidR="006F21F3">
        <w:t>interface</w:t>
      </w:r>
      <w:proofErr w:type="gramEnd"/>
      <w:r w:rsidR="006F21F3">
        <w:t xml:space="preserve"> </w:t>
      </w:r>
      <w:proofErr w:type="spellStart"/>
      <w:r w:rsidR="006F21F3">
        <w:t>to</w:t>
      </w:r>
      <w:proofErr w:type="spellEnd"/>
      <w:r w:rsidR="006F21F3">
        <w:t xml:space="preserve"> </w:t>
      </w:r>
      <w:proofErr w:type="spellStart"/>
      <w:r w:rsidR="006F21F3">
        <w:t>the</w:t>
      </w:r>
      <w:proofErr w:type="spellEnd"/>
      <w:r w:rsidR="006F21F3">
        <w:t xml:space="preserve"> </w:t>
      </w:r>
      <w:proofErr w:type="spellStart"/>
      <w:r>
        <w:t>end</w:t>
      </w:r>
      <w:proofErr w:type="spellEnd"/>
      <w:r>
        <w:t xml:space="preserve"> </w:t>
      </w:r>
      <w:proofErr w:type="spellStart"/>
      <w:r w:rsidR="006F21F3">
        <w:t>user</w:t>
      </w:r>
      <w:proofErr w:type="spellEnd"/>
      <w:r w:rsidR="006F21F3">
        <w:t xml:space="preserve"> </w:t>
      </w:r>
      <w:proofErr w:type="spellStart"/>
      <w:r w:rsidR="006F21F3">
        <w:t>or</w:t>
      </w:r>
      <w:proofErr w:type="spellEnd"/>
      <w:r w:rsidR="006F21F3">
        <w:t xml:space="preserve"> </w:t>
      </w:r>
      <w:proofErr w:type="spellStart"/>
      <w:r w:rsidR="006F21F3">
        <w:t>users</w:t>
      </w:r>
      <w:proofErr w:type="spellEnd"/>
      <w:r w:rsidR="006F21F3">
        <w:t xml:space="preserve">, </w:t>
      </w:r>
      <w:proofErr w:type="spellStart"/>
      <w:r w:rsidR="006F21F3">
        <w:t>the</w:t>
      </w:r>
      <w:proofErr w:type="spellEnd"/>
      <w:r w:rsidR="006F21F3">
        <w:t xml:space="preserve"> </w:t>
      </w:r>
      <w:proofErr w:type="spellStart"/>
      <w:r w:rsidR="006F21F3">
        <w:t>result</w:t>
      </w:r>
      <w:proofErr w:type="spellEnd"/>
      <w:r w:rsidR="006F21F3">
        <w:t xml:space="preserve"> </w:t>
      </w:r>
      <w:proofErr w:type="spellStart"/>
      <w:r w:rsidR="006F21F3">
        <w:t>of</w:t>
      </w:r>
      <w:proofErr w:type="spellEnd"/>
      <w:r w:rsidR="006F21F3">
        <w:t xml:space="preserve"> web </w:t>
      </w:r>
      <w:proofErr w:type="spellStart"/>
      <w:r w:rsidR="006F21F3">
        <w:t>design</w:t>
      </w:r>
      <w:proofErr w:type="spellEnd"/>
      <w:r w:rsidR="006F21F3">
        <w:t xml:space="preserve"> and </w:t>
      </w:r>
      <w:proofErr w:type="spellStart"/>
      <w:r w:rsidR="006F21F3">
        <w:t>programming</w:t>
      </w:r>
      <w:proofErr w:type="spellEnd"/>
      <w:r w:rsidR="006F21F3">
        <w:t xml:space="preserve">. </w:t>
      </w:r>
      <w:proofErr w:type="spellStart"/>
      <w:r w:rsidRPr="00CC4E7E">
        <w:t>The</w:t>
      </w:r>
      <w:proofErr w:type="spellEnd"/>
      <w:r w:rsidRPr="00CC4E7E">
        <w:t xml:space="preserve"> web </w:t>
      </w:r>
      <w:proofErr w:type="spellStart"/>
      <w:r w:rsidRPr="00CC4E7E">
        <w:t>technology</w:t>
      </w:r>
      <w:proofErr w:type="spellEnd"/>
      <w:r w:rsidR="006F21F3">
        <w:t xml:space="preserve"> </w:t>
      </w:r>
      <w:proofErr w:type="spellStart"/>
      <w:r w:rsidR="006F21F3">
        <w:t>allows</w:t>
      </w:r>
      <w:proofErr w:type="spellEnd"/>
      <w:r w:rsidR="006F21F3">
        <w:t xml:space="preserve"> </w:t>
      </w:r>
      <w:proofErr w:type="spellStart"/>
      <w:r w:rsidRPr="00CC4E7E">
        <w:t>presenting</w:t>
      </w:r>
      <w:proofErr w:type="spellEnd"/>
      <w:r w:rsidRPr="00CC4E7E">
        <w:t xml:space="preserve"> </w:t>
      </w:r>
      <w:proofErr w:type="spellStart"/>
      <w:r w:rsidRPr="00CC4E7E">
        <w:t>the</w:t>
      </w:r>
      <w:proofErr w:type="spellEnd"/>
      <w:r w:rsidRPr="00CC4E7E">
        <w:t xml:space="preserve"> </w:t>
      </w:r>
      <w:proofErr w:type="spellStart"/>
      <w:r w:rsidRPr="00CC4E7E">
        <w:t>results</w:t>
      </w:r>
      <w:proofErr w:type="spellEnd"/>
      <w:r w:rsidRPr="00CC4E7E">
        <w:t xml:space="preserve"> </w:t>
      </w:r>
      <w:proofErr w:type="spellStart"/>
      <w:r w:rsidRPr="00CC4E7E">
        <w:t>to</w:t>
      </w:r>
      <w:proofErr w:type="spellEnd"/>
      <w:r w:rsidRPr="00CC4E7E">
        <w:t xml:space="preserve"> </w:t>
      </w:r>
      <w:proofErr w:type="spellStart"/>
      <w:r w:rsidRPr="00CC4E7E">
        <w:t>the</w:t>
      </w:r>
      <w:proofErr w:type="spellEnd"/>
      <w:r w:rsidRPr="00CC4E7E">
        <w:t xml:space="preserve"> </w:t>
      </w:r>
      <w:proofErr w:type="spellStart"/>
      <w:r w:rsidRPr="00CC4E7E">
        <w:t>end</w:t>
      </w:r>
      <w:proofErr w:type="spellEnd"/>
      <w:r w:rsidRPr="00CC4E7E">
        <w:t xml:space="preserve"> </w:t>
      </w:r>
      <w:proofErr w:type="spellStart"/>
      <w:r w:rsidRPr="00CC4E7E">
        <w:t>user</w:t>
      </w:r>
      <w:proofErr w:type="spellEnd"/>
      <w:r w:rsidRPr="00CC4E7E">
        <w:t xml:space="preserve"> in a simple </w:t>
      </w:r>
      <w:proofErr w:type="gramStart"/>
      <w:r w:rsidRPr="00CC4E7E">
        <w:t>interface</w:t>
      </w:r>
      <w:proofErr w:type="gramEnd"/>
      <w:r w:rsidRPr="00CC4E7E">
        <w:t xml:space="preserve"> </w:t>
      </w:r>
      <w:proofErr w:type="spellStart"/>
      <w:r w:rsidRPr="00CC4E7E">
        <w:t>oriented</w:t>
      </w:r>
      <w:proofErr w:type="spellEnd"/>
      <w:r w:rsidRPr="00CC4E7E">
        <w:t xml:space="preserve"> </w:t>
      </w:r>
      <w:proofErr w:type="spellStart"/>
      <w:r w:rsidRPr="00CC4E7E">
        <w:t>to</w:t>
      </w:r>
      <w:proofErr w:type="spellEnd"/>
      <w:r w:rsidRPr="00CC4E7E">
        <w:t xml:space="preserve"> </w:t>
      </w:r>
      <w:proofErr w:type="spellStart"/>
      <w:r w:rsidRPr="00CC4E7E">
        <w:t>their</w:t>
      </w:r>
      <w:proofErr w:type="spellEnd"/>
      <w:r w:rsidRPr="00CC4E7E">
        <w:t xml:space="preserve"> </w:t>
      </w:r>
      <w:proofErr w:type="spellStart"/>
      <w:r w:rsidRPr="00CC4E7E">
        <w:t>needs</w:t>
      </w:r>
      <w:proofErr w:type="spellEnd"/>
      <w:r w:rsidRPr="00CC4E7E">
        <w:t xml:space="preserve">, </w:t>
      </w:r>
      <w:proofErr w:type="spellStart"/>
      <w:r w:rsidRPr="00CC4E7E">
        <w:t>which</w:t>
      </w:r>
      <w:proofErr w:type="spellEnd"/>
      <w:r w:rsidRPr="00CC4E7E">
        <w:t xml:space="preserve"> </w:t>
      </w:r>
      <w:proofErr w:type="spellStart"/>
      <w:r w:rsidRPr="00CC4E7E">
        <w:t>means</w:t>
      </w:r>
      <w:proofErr w:type="spellEnd"/>
      <w:r w:rsidRPr="00CC4E7E">
        <w:t xml:space="preserve"> </w:t>
      </w:r>
      <w:proofErr w:type="spellStart"/>
      <w:r w:rsidRPr="00CC4E7E">
        <w:t>that</w:t>
      </w:r>
      <w:proofErr w:type="spellEnd"/>
      <w:r w:rsidRPr="00CC4E7E">
        <w:t xml:space="preserve"> </w:t>
      </w:r>
      <w:proofErr w:type="spellStart"/>
      <w:r w:rsidRPr="00CC4E7E">
        <w:t>it</w:t>
      </w:r>
      <w:proofErr w:type="spellEnd"/>
      <w:r w:rsidRPr="00CC4E7E">
        <w:t xml:space="preserve"> </w:t>
      </w:r>
      <w:proofErr w:type="spellStart"/>
      <w:r w:rsidRPr="00CC4E7E">
        <w:t>is</w:t>
      </w:r>
      <w:proofErr w:type="spellEnd"/>
      <w:r w:rsidRPr="00CC4E7E">
        <w:t xml:space="preserve"> </w:t>
      </w:r>
      <w:proofErr w:type="spellStart"/>
      <w:r w:rsidRPr="00CC4E7E">
        <w:t>not</w:t>
      </w:r>
      <w:proofErr w:type="spellEnd"/>
      <w:r w:rsidRPr="00CC4E7E">
        <w:t xml:space="preserve"> </w:t>
      </w:r>
      <w:proofErr w:type="spellStart"/>
      <w:r w:rsidRPr="00CC4E7E">
        <w:t>necessary</w:t>
      </w:r>
      <w:proofErr w:type="spellEnd"/>
      <w:r w:rsidRPr="00CC4E7E">
        <w:t xml:space="preserve"> </w:t>
      </w:r>
      <w:proofErr w:type="spellStart"/>
      <w:r w:rsidRPr="00CC4E7E">
        <w:t>to</w:t>
      </w:r>
      <w:proofErr w:type="spellEnd"/>
      <w:r w:rsidRPr="00CC4E7E">
        <w:t xml:space="preserve"> use </w:t>
      </w:r>
      <w:proofErr w:type="spellStart"/>
      <w:r w:rsidRPr="00CC4E7E">
        <w:t>specialized</w:t>
      </w:r>
      <w:proofErr w:type="spellEnd"/>
      <w:r w:rsidRPr="00CC4E7E">
        <w:t xml:space="preserve"> software </w:t>
      </w:r>
      <w:proofErr w:type="spellStart"/>
      <w:r w:rsidRPr="00CC4E7E">
        <w:t>or</w:t>
      </w:r>
      <w:proofErr w:type="spellEnd"/>
      <w:r w:rsidRPr="00CC4E7E">
        <w:t xml:space="preserve"> </w:t>
      </w:r>
      <w:proofErr w:type="spellStart"/>
      <w:r w:rsidRPr="00CC4E7E">
        <w:t>scientific</w:t>
      </w:r>
      <w:proofErr w:type="spellEnd"/>
      <w:r w:rsidRPr="00CC4E7E">
        <w:t>/</w:t>
      </w:r>
      <w:proofErr w:type="spellStart"/>
      <w:r w:rsidRPr="00CC4E7E">
        <w:t>technical</w:t>
      </w:r>
      <w:proofErr w:type="spellEnd"/>
      <w:r w:rsidRPr="00CC4E7E">
        <w:t xml:space="preserve"> </w:t>
      </w:r>
      <w:proofErr w:type="spellStart"/>
      <w:r w:rsidRPr="00CC4E7E">
        <w:t>knowledge</w:t>
      </w:r>
      <w:proofErr w:type="spellEnd"/>
      <w:r w:rsidRPr="00CC4E7E">
        <w:t xml:space="preserve"> </w:t>
      </w:r>
      <w:proofErr w:type="spellStart"/>
      <w:r w:rsidRPr="00CC4E7E">
        <w:t>on</w:t>
      </w:r>
      <w:proofErr w:type="spellEnd"/>
      <w:r w:rsidRPr="00CC4E7E">
        <w:t xml:space="preserve"> </w:t>
      </w:r>
      <w:proofErr w:type="spellStart"/>
      <w:r w:rsidRPr="00CC4E7E">
        <w:t>the</w:t>
      </w:r>
      <w:proofErr w:type="spellEnd"/>
      <w:r w:rsidRPr="00CC4E7E">
        <w:t xml:space="preserve"> </w:t>
      </w:r>
      <w:proofErr w:type="spellStart"/>
      <w:r w:rsidRPr="00CC4E7E">
        <w:t>subject</w:t>
      </w:r>
      <w:proofErr w:type="spellEnd"/>
      <w:r w:rsidRPr="00CC4E7E">
        <w:t>.</w:t>
      </w:r>
    </w:p>
    <w:p w14:paraId="2C41EE8B" w14:textId="4801718B" w:rsidR="006F21F3" w:rsidRDefault="006F21F3" w:rsidP="006F21F3">
      <w:pPr>
        <w:spacing w:line="360" w:lineRule="auto"/>
      </w:pPr>
      <w:proofErr w:type="spellStart"/>
      <w:r>
        <w:t>The</w:t>
      </w:r>
      <w:proofErr w:type="spellEnd"/>
      <w:r>
        <w:t xml:space="preserve"> </w:t>
      </w:r>
      <w:proofErr w:type="spellStart"/>
      <w:r>
        <w:t>result</w:t>
      </w:r>
      <w:proofErr w:type="spellEnd"/>
      <w:r>
        <w:t xml:space="preserve"> </w:t>
      </w:r>
      <w:proofErr w:type="spellStart"/>
      <w:r>
        <w:t>is</w:t>
      </w:r>
      <w:proofErr w:type="spellEnd"/>
      <w:r>
        <w:t xml:space="preserve"> a web </w:t>
      </w:r>
      <w:proofErr w:type="spellStart"/>
      <w:r>
        <w:t>template</w:t>
      </w:r>
      <w:proofErr w:type="spellEnd"/>
      <w:r>
        <w:t xml:space="preserve"> </w:t>
      </w:r>
      <w:proofErr w:type="spellStart"/>
      <w:r>
        <w:t>that</w:t>
      </w:r>
      <w:proofErr w:type="spellEnd"/>
      <w:r>
        <w:t xml:space="preserve"> </w:t>
      </w:r>
      <w:proofErr w:type="spellStart"/>
      <w:r>
        <w:t>models</w:t>
      </w:r>
      <w:proofErr w:type="spellEnd"/>
      <w:r>
        <w:t xml:space="preserve"> </w:t>
      </w:r>
      <w:proofErr w:type="spellStart"/>
      <w:r>
        <w:t>various</w:t>
      </w:r>
      <w:proofErr w:type="spellEnd"/>
      <w:r>
        <w:t xml:space="preserve"> </w:t>
      </w:r>
      <w:proofErr w:type="spellStart"/>
      <w:r>
        <w:t>occupancy</w:t>
      </w:r>
      <w:proofErr w:type="spellEnd"/>
      <w:r>
        <w:t xml:space="preserve"> </w:t>
      </w:r>
      <w:proofErr w:type="spellStart"/>
      <w:r>
        <w:t>scenarios</w:t>
      </w:r>
      <w:proofErr w:type="spellEnd"/>
      <w:r>
        <w:t xml:space="preserve"> </w:t>
      </w:r>
      <w:proofErr w:type="spellStart"/>
      <w:r>
        <w:t>for</w:t>
      </w:r>
      <w:proofErr w:type="spellEnd"/>
      <w:r>
        <w:t xml:space="preserve"> </w:t>
      </w:r>
      <w:proofErr w:type="spellStart"/>
      <w:r>
        <w:t>the</w:t>
      </w:r>
      <w:proofErr w:type="spellEnd"/>
      <w:r>
        <w:t xml:space="preserve"> </w:t>
      </w:r>
      <w:proofErr w:type="spellStart"/>
      <w:r>
        <w:t>period</w:t>
      </w:r>
      <w:proofErr w:type="spellEnd"/>
      <w:r>
        <w:t xml:space="preserve"> </w:t>
      </w:r>
      <w:proofErr w:type="spellStart"/>
      <w:r>
        <w:t>from</w:t>
      </w:r>
      <w:proofErr w:type="spellEnd"/>
      <w:r>
        <w:t xml:space="preserve"> 2019 </w:t>
      </w:r>
      <w:proofErr w:type="spellStart"/>
      <w:r>
        <w:t>to</w:t>
      </w:r>
      <w:proofErr w:type="spellEnd"/>
      <w:r>
        <w:t xml:space="preserve"> 2030 </w:t>
      </w:r>
      <w:proofErr w:type="spellStart"/>
      <w:r>
        <w:t>where</w:t>
      </w:r>
      <w:proofErr w:type="spellEnd"/>
      <w:r>
        <w:t xml:space="preserve"> </w:t>
      </w:r>
      <w:proofErr w:type="spellStart"/>
      <w:r>
        <w:t>the</w:t>
      </w:r>
      <w:proofErr w:type="spellEnd"/>
      <w:r>
        <w:t xml:space="preserve"> </w:t>
      </w:r>
      <w:proofErr w:type="spellStart"/>
      <w:r>
        <w:t>user</w:t>
      </w:r>
      <w:proofErr w:type="spellEnd"/>
      <w:r>
        <w:t xml:space="preserve"> can observe </w:t>
      </w:r>
      <w:proofErr w:type="spellStart"/>
      <w:r>
        <w:t>the</w:t>
      </w:r>
      <w:proofErr w:type="spellEnd"/>
      <w:r>
        <w:t xml:space="preserve"> </w:t>
      </w:r>
      <w:proofErr w:type="spellStart"/>
      <w:r>
        <w:t>spatial</w:t>
      </w:r>
      <w:proofErr w:type="spellEnd"/>
      <w:r>
        <w:t xml:space="preserve"> </w:t>
      </w:r>
      <w:proofErr w:type="spellStart"/>
      <w:r>
        <w:t>distribution</w:t>
      </w:r>
      <w:proofErr w:type="spellEnd"/>
      <w:r>
        <w:t xml:space="preserve"> </w:t>
      </w:r>
      <w:proofErr w:type="spellStart"/>
      <w:r>
        <w:t>of</w:t>
      </w:r>
      <w:proofErr w:type="spellEnd"/>
      <w:r>
        <w:t xml:space="preserve"> </w:t>
      </w:r>
      <w:proofErr w:type="spellStart"/>
      <w:r>
        <w:t>supply</w:t>
      </w:r>
      <w:proofErr w:type="spellEnd"/>
      <w:r>
        <w:t xml:space="preserve"> and </w:t>
      </w:r>
      <w:proofErr w:type="spellStart"/>
      <w:r>
        <w:t>demand</w:t>
      </w:r>
      <w:proofErr w:type="spellEnd"/>
      <w:r>
        <w:t xml:space="preserve">, </w:t>
      </w:r>
      <w:proofErr w:type="spellStart"/>
      <w:r w:rsidR="00CC4E7E" w:rsidRPr="00CC4E7E">
        <w:t>having</w:t>
      </w:r>
      <w:proofErr w:type="spellEnd"/>
      <w:r w:rsidR="00CC4E7E" w:rsidRPr="00CC4E7E">
        <w:t xml:space="preserve"> a </w:t>
      </w:r>
      <w:proofErr w:type="spellStart"/>
      <w:r w:rsidR="00CC4E7E" w:rsidRPr="00CC4E7E">
        <w:t>section</w:t>
      </w:r>
      <w:proofErr w:type="spellEnd"/>
      <w:r w:rsidR="00CC4E7E" w:rsidRPr="00CC4E7E">
        <w:t xml:space="preserve"> </w:t>
      </w:r>
      <w:proofErr w:type="spellStart"/>
      <w:r w:rsidR="00CC4E7E" w:rsidRPr="00CC4E7E">
        <w:t>where</w:t>
      </w:r>
      <w:proofErr w:type="spellEnd"/>
      <w:r>
        <w:t xml:space="preserve"> </w:t>
      </w:r>
      <w:proofErr w:type="spellStart"/>
      <w:r w:rsidR="00CC4E7E" w:rsidRPr="00CC4E7E">
        <w:t>the</w:t>
      </w:r>
      <w:proofErr w:type="spellEnd"/>
      <w:r w:rsidR="00CC4E7E" w:rsidRPr="00CC4E7E">
        <w:t xml:space="preserve"> </w:t>
      </w:r>
      <w:proofErr w:type="spellStart"/>
      <w:r w:rsidR="00CC4E7E" w:rsidRPr="00CC4E7E">
        <w:t>user</w:t>
      </w:r>
      <w:proofErr w:type="spellEnd"/>
      <w:r w:rsidR="00CC4E7E" w:rsidRPr="00CC4E7E">
        <w:t xml:space="preserve"> has </w:t>
      </w:r>
      <w:proofErr w:type="spellStart"/>
      <w:r w:rsidR="00CC4E7E" w:rsidRPr="00CC4E7E">
        <w:t>the</w:t>
      </w:r>
      <w:proofErr w:type="spellEnd"/>
      <w:r w:rsidR="00CC4E7E" w:rsidRPr="00CC4E7E">
        <w:t xml:space="preserve"> </w:t>
      </w:r>
      <w:proofErr w:type="spellStart"/>
      <w:r w:rsidR="00CC4E7E" w:rsidRPr="00CC4E7E">
        <w:t>option</w:t>
      </w:r>
      <w:proofErr w:type="spellEnd"/>
      <w:r w:rsidR="00CC4E7E" w:rsidRPr="00CC4E7E">
        <w:t xml:space="preserve"> </w:t>
      </w:r>
      <w:proofErr w:type="spellStart"/>
      <w:r w:rsidR="00CC4E7E" w:rsidRPr="00CC4E7E">
        <w:t>to</w:t>
      </w:r>
      <w:proofErr w:type="spellEnd"/>
      <w:r w:rsidR="00CC4E7E" w:rsidRPr="00CC4E7E">
        <w:t xml:space="preserve"> determine </w:t>
      </w:r>
      <w:proofErr w:type="spellStart"/>
      <w:r w:rsidR="00CC4E7E" w:rsidRPr="00CC4E7E">
        <w:t>the</w:t>
      </w:r>
      <w:proofErr w:type="spellEnd"/>
      <w:r w:rsidR="00CC4E7E" w:rsidRPr="00CC4E7E">
        <w:t xml:space="preserve"> </w:t>
      </w:r>
      <w:proofErr w:type="spellStart"/>
      <w:r w:rsidR="00CC4E7E" w:rsidRPr="00CC4E7E">
        <w:t>starting</w:t>
      </w:r>
      <w:proofErr w:type="spellEnd"/>
      <w:r w:rsidR="00CC4E7E" w:rsidRPr="00CC4E7E">
        <w:t xml:space="preserve"> </w:t>
      </w:r>
      <w:proofErr w:type="spellStart"/>
      <w:r w:rsidR="00CC4E7E" w:rsidRPr="00CC4E7E">
        <w:t>year</w:t>
      </w:r>
      <w:proofErr w:type="spellEnd"/>
      <w:r w:rsidR="00CC4E7E" w:rsidRPr="00CC4E7E">
        <w:t xml:space="preserve"> </w:t>
      </w:r>
      <w:proofErr w:type="spellStart"/>
      <w:r w:rsidR="00CC4E7E" w:rsidRPr="00CC4E7E">
        <w:t>of</w:t>
      </w:r>
      <w:proofErr w:type="spellEnd"/>
      <w:r w:rsidR="00CC4E7E" w:rsidRPr="00CC4E7E">
        <w:t xml:space="preserve"> </w:t>
      </w:r>
      <w:proofErr w:type="spellStart"/>
      <w:r w:rsidR="00CC4E7E" w:rsidRPr="00CC4E7E">
        <w:t>simulation</w:t>
      </w:r>
      <w:proofErr w:type="spellEnd"/>
      <w:r w:rsidR="00CC4E7E" w:rsidRPr="00CC4E7E">
        <w:t xml:space="preserve">, as </w:t>
      </w:r>
      <w:proofErr w:type="spellStart"/>
      <w:r w:rsidR="00CC4E7E" w:rsidRPr="00CC4E7E">
        <w:t>well</w:t>
      </w:r>
      <w:proofErr w:type="spellEnd"/>
      <w:r w:rsidR="00CC4E7E" w:rsidRPr="00CC4E7E">
        <w:t xml:space="preserve"> as set </w:t>
      </w:r>
      <w:proofErr w:type="spellStart"/>
      <w:r w:rsidR="00CC4E7E" w:rsidRPr="00CC4E7E">
        <w:t>some</w:t>
      </w:r>
      <w:proofErr w:type="spellEnd"/>
      <w:r w:rsidR="00CC4E7E" w:rsidRPr="00CC4E7E">
        <w:t xml:space="preserve"> </w:t>
      </w:r>
      <w:proofErr w:type="spellStart"/>
      <w:r w:rsidR="00CC4E7E" w:rsidRPr="00CC4E7E">
        <w:t>starting</w:t>
      </w:r>
      <w:proofErr w:type="spellEnd"/>
      <w:r w:rsidR="00CC4E7E" w:rsidRPr="00CC4E7E">
        <w:t xml:space="preserve"> </w:t>
      </w:r>
      <w:proofErr w:type="spellStart"/>
      <w:r w:rsidR="00CC4E7E" w:rsidRPr="00CC4E7E">
        <w:t>parameters</w:t>
      </w:r>
      <w:proofErr w:type="spellEnd"/>
      <w:r w:rsidR="00CC4E7E" w:rsidRPr="00CC4E7E">
        <w:t>.</w:t>
      </w:r>
    </w:p>
    <w:p w14:paraId="78690456" w14:textId="539FDAD7" w:rsidR="006F21F3" w:rsidRDefault="00E8275C" w:rsidP="006F21F3">
      <w:pPr>
        <w:spacing w:line="360" w:lineRule="auto"/>
      </w:pPr>
      <w:proofErr w:type="spellStart"/>
      <w:r w:rsidRPr="00E8275C">
        <w:t>According</w:t>
      </w:r>
      <w:proofErr w:type="spellEnd"/>
      <w:r w:rsidRPr="00E8275C">
        <w:t xml:space="preserve"> </w:t>
      </w:r>
      <w:proofErr w:type="spellStart"/>
      <w:r w:rsidRPr="00E8275C">
        <w:t>to</w:t>
      </w:r>
      <w:proofErr w:type="spellEnd"/>
      <w:r w:rsidRPr="00E8275C">
        <w:t xml:space="preserve"> </w:t>
      </w:r>
      <w:proofErr w:type="spellStart"/>
      <w:r w:rsidRPr="00E8275C">
        <w:t>the</w:t>
      </w:r>
      <w:proofErr w:type="spellEnd"/>
      <w:r w:rsidRPr="00E8275C">
        <w:t xml:space="preserve"> </w:t>
      </w:r>
      <w:proofErr w:type="spellStart"/>
      <w:r w:rsidRPr="00E8275C">
        <w:t>predominant</w:t>
      </w:r>
      <w:proofErr w:type="spellEnd"/>
      <w:r w:rsidRPr="00E8275C">
        <w:t xml:space="preserve"> </w:t>
      </w:r>
      <w:proofErr w:type="spellStart"/>
      <w:r w:rsidRPr="00E8275C">
        <w:t>demand</w:t>
      </w:r>
      <w:proofErr w:type="spellEnd"/>
      <w:r w:rsidRPr="00E8275C">
        <w:t xml:space="preserve"> </w:t>
      </w:r>
      <w:proofErr w:type="spellStart"/>
      <w:r w:rsidRPr="00E8275C">
        <w:t>for</w:t>
      </w:r>
      <w:proofErr w:type="spellEnd"/>
      <w:r w:rsidRPr="00E8275C">
        <w:t xml:space="preserve"> </w:t>
      </w:r>
      <w:proofErr w:type="spellStart"/>
      <w:r w:rsidRPr="00E8275C">
        <w:t>burial</w:t>
      </w:r>
      <w:proofErr w:type="spellEnd"/>
      <w:r w:rsidRPr="00E8275C">
        <w:t xml:space="preserve"> </w:t>
      </w:r>
      <w:proofErr w:type="spellStart"/>
      <w:r w:rsidRPr="00E8275C">
        <w:t>services</w:t>
      </w:r>
      <w:proofErr w:type="spellEnd"/>
      <w:r w:rsidRPr="00E8275C">
        <w:t xml:space="preserve"> </w:t>
      </w:r>
      <w:proofErr w:type="spellStart"/>
      <w:r w:rsidRPr="00E8275C">
        <w:t>until</w:t>
      </w:r>
      <w:proofErr w:type="spellEnd"/>
      <w:r w:rsidRPr="00E8275C">
        <w:t xml:space="preserve"> 2019</w:t>
      </w:r>
      <w:r>
        <w:t xml:space="preserve">, </w:t>
      </w:r>
      <w:proofErr w:type="spellStart"/>
      <w:r w:rsidR="006F21F3">
        <w:t>the</w:t>
      </w:r>
      <w:proofErr w:type="spellEnd"/>
      <w:r w:rsidR="006F21F3">
        <w:t xml:space="preserve"> </w:t>
      </w:r>
      <w:proofErr w:type="spellStart"/>
      <w:r w:rsidR="006F21F3">
        <w:t>cemeteries</w:t>
      </w:r>
      <w:proofErr w:type="spellEnd"/>
      <w:r w:rsidR="006F21F3">
        <w:t xml:space="preserve"> </w:t>
      </w:r>
      <w:proofErr w:type="spellStart"/>
      <w:r w:rsidR="006F21F3">
        <w:t>of</w:t>
      </w:r>
      <w:proofErr w:type="spellEnd"/>
      <w:r w:rsidR="006F21F3">
        <w:t xml:space="preserve"> </w:t>
      </w:r>
      <w:proofErr w:type="spellStart"/>
      <w:r w:rsidR="006F21F3">
        <w:t>the</w:t>
      </w:r>
      <w:proofErr w:type="spellEnd"/>
      <w:r w:rsidR="006F21F3">
        <w:t xml:space="preserve"> Iztapalapa </w:t>
      </w:r>
      <w:proofErr w:type="spellStart"/>
      <w:r w:rsidR="00CC4E7E" w:rsidRPr="00CC4E7E">
        <w:t>municipality</w:t>
      </w:r>
      <w:proofErr w:type="spellEnd"/>
      <w:r w:rsidR="006F21F3">
        <w:t xml:space="preserve"> </w:t>
      </w:r>
      <w:proofErr w:type="spellStart"/>
      <w:r w:rsidR="006F21F3">
        <w:t>will</w:t>
      </w:r>
      <w:proofErr w:type="spellEnd"/>
      <w:r w:rsidR="006F21F3">
        <w:t xml:space="preserve"> </w:t>
      </w:r>
      <w:proofErr w:type="spellStart"/>
      <w:r w:rsidR="006F21F3">
        <w:t>reach</w:t>
      </w:r>
      <w:proofErr w:type="spellEnd"/>
      <w:r w:rsidR="006F21F3">
        <w:t xml:space="preserve"> </w:t>
      </w:r>
      <w:proofErr w:type="spellStart"/>
      <w:r w:rsidR="006F21F3">
        <w:t>their</w:t>
      </w:r>
      <w:proofErr w:type="spellEnd"/>
      <w:r w:rsidR="006F21F3">
        <w:t xml:space="preserve"> </w:t>
      </w:r>
      <w:proofErr w:type="spellStart"/>
      <w:r w:rsidR="006F21F3">
        <w:t>maximum</w:t>
      </w:r>
      <w:proofErr w:type="spellEnd"/>
      <w:r w:rsidR="006F21F3">
        <w:t xml:space="preserve"> </w:t>
      </w:r>
      <w:proofErr w:type="spellStart"/>
      <w:r w:rsidR="006F21F3">
        <w:t>capacity</w:t>
      </w:r>
      <w:proofErr w:type="spellEnd"/>
      <w:r w:rsidR="006F21F3">
        <w:t xml:space="preserve"> in 2024, </w:t>
      </w:r>
      <w:proofErr w:type="spellStart"/>
      <w:r w:rsidR="006F21F3">
        <w:t>however</w:t>
      </w:r>
      <w:proofErr w:type="spellEnd"/>
      <w:r w:rsidR="006F21F3">
        <w:t xml:space="preserve">, </w:t>
      </w:r>
      <w:proofErr w:type="spellStart"/>
      <w:r w:rsidR="006F21F3">
        <w:t>this</w:t>
      </w:r>
      <w:proofErr w:type="spellEnd"/>
      <w:r w:rsidR="006F21F3">
        <w:t xml:space="preserve"> </w:t>
      </w:r>
      <w:proofErr w:type="spellStart"/>
      <w:r w:rsidR="006F21F3">
        <w:t>result</w:t>
      </w:r>
      <w:proofErr w:type="spellEnd"/>
      <w:r w:rsidR="006F21F3">
        <w:t xml:space="preserve"> </w:t>
      </w:r>
      <w:proofErr w:type="spellStart"/>
      <w:r w:rsidR="006F21F3">
        <w:t>may</w:t>
      </w:r>
      <w:proofErr w:type="spellEnd"/>
      <w:r w:rsidR="006F21F3">
        <w:t xml:space="preserve"> be </w:t>
      </w:r>
      <w:proofErr w:type="spellStart"/>
      <w:r w:rsidR="006F21F3">
        <w:t>directly</w:t>
      </w:r>
      <w:proofErr w:type="spellEnd"/>
      <w:r w:rsidR="006F21F3">
        <w:t xml:space="preserve"> </w:t>
      </w:r>
      <w:proofErr w:type="spellStart"/>
      <w:r w:rsidR="006F21F3">
        <w:t>affected</w:t>
      </w:r>
      <w:proofErr w:type="spellEnd"/>
      <w:r w:rsidR="006F21F3">
        <w:t xml:space="preserve"> </w:t>
      </w:r>
      <w:proofErr w:type="spellStart"/>
      <w:r w:rsidR="006F21F3">
        <w:t>by</w:t>
      </w:r>
      <w:proofErr w:type="spellEnd"/>
      <w:r w:rsidR="006F21F3">
        <w:t xml:space="preserve"> </w:t>
      </w:r>
      <w:proofErr w:type="spellStart"/>
      <w:r w:rsidR="006F21F3">
        <w:t>the</w:t>
      </w:r>
      <w:proofErr w:type="spellEnd"/>
      <w:r w:rsidR="006F21F3">
        <w:t xml:space="preserve"> </w:t>
      </w:r>
      <w:proofErr w:type="spellStart"/>
      <w:r w:rsidR="006F21F3">
        <w:t>number</w:t>
      </w:r>
      <w:proofErr w:type="spellEnd"/>
      <w:r w:rsidR="006F21F3">
        <w:t xml:space="preserve"> </w:t>
      </w:r>
      <w:proofErr w:type="spellStart"/>
      <w:r w:rsidR="006F21F3">
        <w:t>of</w:t>
      </w:r>
      <w:proofErr w:type="spellEnd"/>
      <w:r w:rsidR="006F21F3">
        <w:t xml:space="preserve"> graves </w:t>
      </w:r>
      <w:proofErr w:type="spellStart"/>
      <w:r w:rsidR="006F21F3">
        <w:t>that</w:t>
      </w:r>
      <w:proofErr w:type="spellEnd"/>
      <w:r w:rsidR="006F21F3">
        <w:t xml:space="preserve"> are </w:t>
      </w:r>
      <w:proofErr w:type="spellStart"/>
      <w:r w:rsidR="006F21F3">
        <w:t>recovered</w:t>
      </w:r>
      <w:proofErr w:type="spellEnd"/>
      <w:r w:rsidR="006F21F3">
        <w:t xml:space="preserve"> </w:t>
      </w:r>
      <w:proofErr w:type="spellStart"/>
      <w:r w:rsidR="006F21F3">
        <w:t>through</w:t>
      </w:r>
      <w:proofErr w:type="spellEnd"/>
      <w:r w:rsidR="006F21F3">
        <w:t xml:space="preserve"> </w:t>
      </w:r>
      <w:proofErr w:type="spellStart"/>
      <w:r w:rsidR="006F21F3">
        <w:t>each</w:t>
      </w:r>
      <w:proofErr w:type="spellEnd"/>
      <w:r w:rsidR="006F21F3">
        <w:t xml:space="preserve"> </w:t>
      </w:r>
      <w:proofErr w:type="spellStart"/>
      <w:r w:rsidR="006F21F3">
        <w:t>year</w:t>
      </w:r>
      <w:proofErr w:type="spellEnd"/>
      <w:r w:rsidR="006F21F3">
        <w:t xml:space="preserve"> </w:t>
      </w:r>
      <w:proofErr w:type="spellStart"/>
      <w:r w:rsidR="006F21F3">
        <w:t>due</w:t>
      </w:r>
      <w:proofErr w:type="spellEnd"/>
      <w:r w:rsidR="006F21F3">
        <w:t xml:space="preserve"> </w:t>
      </w:r>
      <w:proofErr w:type="spellStart"/>
      <w:r w:rsidR="006F21F3">
        <w:t>to</w:t>
      </w:r>
      <w:proofErr w:type="spellEnd"/>
      <w:r w:rsidR="006F21F3">
        <w:t xml:space="preserve"> </w:t>
      </w:r>
      <w:proofErr w:type="spellStart"/>
      <w:r w:rsidRPr="00E8275C">
        <w:t>the</w:t>
      </w:r>
      <w:proofErr w:type="spellEnd"/>
      <w:r w:rsidRPr="00E8275C">
        <w:t xml:space="preserve"> </w:t>
      </w:r>
      <w:proofErr w:type="spellStart"/>
      <w:r w:rsidRPr="00E8275C">
        <w:t>expiration</w:t>
      </w:r>
      <w:proofErr w:type="spellEnd"/>
      <w:r w:rsidRPr="00E8275C">
        <w:t xml:space="preserve"> </w:t>
      </w:r>
      <w:proofErr w:type="spellStart"/>
      <w:r w:rsidRPr="00E8275C">
        <w:t>of</w:t>
      </w:r>
      <w:proofErr w:type="spellEnd"/>
      <w:r w:rsidRPr="00E8275C">
        <w:t xml:space="preserve"> </w:t>
      </w:r>
      <w:proofErr w:type="spellStart"/>
      <w:r w:rsidRPr="00E8275C">
        <w:t>temporality</w:t>
      </w:r>
      <w:proofErr w:type="spellEnd"/>
      <w:r w:rsidR="006F21F3">
        <w:t xml:space="preserve">. </w:t>
      </w:r>
      <w:proofErr w:type="spellStart"/>
      <w:r w:rsidR="006F21F3">
        <w:t>This</w:t>
      </w:r>
      <w:proofErr w:type="spellEnd"/>
      <w:r w:rsidR="006F21F3">
        <w:t xml:space="preserve"> </w:t>
      </w:r>
      <w:proofErr w:type="spellStart"/>
      <w:r w:rsidR="006F21F3">
        <w:t>is</w:t>
      </w:r>
      <w:proofErr w:type="spellEnd"/>
      <w:r w:rsidR="006F21F3">
        <w:t xml:space="preserve"> </w:t>
      </w:r>
      <w:proofErr w:type="spellStart"/>
      <w:r w:rsidR="006F21F3">
        <w:t>where</w:t>
      </w:r>
      <w:proofErr w:type="spellEnd"/>
      <w:r w:rsidR="006F21F3">
        <w:t xml:space="preserve"> </w:t>
      </w:r>
      <w:proofErr w:type="spellStart"/>
      <w:r w:rsidR="006F21F3">
        <w:t>the</w:t>
      </w:r>
      <w:proofErr w:type="spellEnd"/>
      <w:r w:rsidR="006F21F3">
        <w:t xml:space="preserve"> </w:t>
      </w:r>
      <w:proofErr w:type="spellStart"/>
      <w:r w:rsidR="006F21F3">
        <w:t>greatest</w:t>
      </w:r>
      <w:proofErr w:type="spellEnd"/>
      <w:r w:rsidR="006F21F3">
        <w:t xml:space="preserve"> </w:t>
      </w:r>
      <w:proofErr w:type="spellStart"/>
      <w:r w:rsidR="006F21F3">
        <w:t>contribution</w:t>
      </w:r>
      <w:proofErr w:type="spellEnd"/>
      <w:r w:rsidR="006F21F3">
        <w:t xml:space="preserve"> in </w:t>
      </w:r>
      <w:proofErr w:type="spellStart"/>
      <w:r w:rsidR="006F21F3">
        <w:t>relation</w:t>
      </w:r>
      <w:proofErr w:type="spellEnd"/>
      <w:r w:rsidR="006F21F3">
        <w:t xml:space="preserve"> </w:t>
      </w:r>
      <w:proofErr w:type="spellStart"/>
      <w:r w:rsidR="006F21F3">
        <w:t>to</w:t>
      </w:r>
      <w:proofErr w:type="spellEnd"/>
      <w:r w:rsidR="006F21F3">
        <w:t xml:space="preserve"> </w:t>
      </w:r>
      <w:proofErr w:type="spellStart"/>
      <w:r w:rsidR="006F21F3">
        <w:t>the</w:t>
      </w:r>
      <w:proofErr w:type="spellEnd"/>
      <w:r w:rsidR="006F21F3">
        <w:t xml:space="preserve"> </w:t>
      </w:r>
      <w:proofErr w:type="spellStart"/>
      <w:r w:rsidR="006F21F3">
        <w:t>programming</w:t>
      </w:r>
      <w:proofErr w:type="spellEnd"/>
      <w:r w:rsidR="006F21F3">
        <w:t xml:space="preserve"> and </w:t>
      </w:r>
      <w:proofErr w:type="spellStart"/>
      <w:r w:rsidR="006F21F3">
        <w:t>automation</w:t>
      </w:r>
      <w:proofErr w:type="spellEnd"/>
      <w:r w:rsidR="006F21F3">
        <w:t xml:space="preserve"> </w:t>
      </w:r>
      <w:proofErr w:type="spellStart"/>
      <w:r w:rsidR="006F21F3">
        <w:t>of</w:t>
      </w:r>
      <w:proofErr w:type="spellEnd"/>
      <w:r w:rsidR="006F21F3">
        <w:t xml:space="preserve"> </w:t>
      </w:r>
      <w:proofErr w:type="spellStart"/>
      <w:r w:rsidR="006F21F3">
        <w:t>the</w:t>
      </w:r>
      <w:proofErr w:type="spellEnd"/>
      <w:r w:rsidR="006F21F3">
        <w:t xml:space="preserve"> web </w:t>
      </w:r>
      <w:proofErr w:type="spellStart"/>
      <w:r w:rsidR="006F21F3">
        <w:t>template</w:t>
      </w:r>
      <w:proofErr w:type="spellEnd"/>
      <w:r w:rsidR="006F21F3">
        <w:t xml:space="preserve"> </w:t>
      </w:r>
      <w:proofErr w:type="spellStart"/>
      <w:r w:rsidR="006F21F3">
        <w:t>lies</w:t>
      </w:r>
      <w:proofErr w:type="spellEnd"/>
      <w:r w:rsidR="006F21F3">
        <w:t xml:space="preserve">, </w:t>
      </w:r>
      <w:proofErr w:type="spellStart"/>
      <w:r w:rsidR="006F21F3">
        <w:t>since</w:t>
      </w:r>
      <w:proofErr w:type="spellEnd"/>
      <w:r w:rsidR="006F21F3">
        <w:t xml:space="preserve"> </w:t>
      </w:r>
      <w:proofErr w:type="spellStart"/>
      <w:r w:rsidR="006F21F3">
        <w:t>it</w:t>
      </w:r>
      <w:proofErr w:type="spellEnd"/>
      <w:r w:rsidR="006F21F3">
        <w:t xml:space="preserve"> </w:t>
      </w:r>
      <w:proofErr w:type="spellStart"/>
      <w:r w:rsidR="006F21F3">
        <w:t>allows</w:t>
      </w:r>
      <w:proofErr w:type="spellEnd"/>
      <w:r w:rsidR="006F21F3">
        <w:t xml:space="preserve"> </w:t>
      </w:r>
      <w:proofErr w:type="spellStart"/>
      <w:r>
        <w:t>us</w:t>
      </w:r>
      <w:proofErr w:type="spellEnd"/>
      <w:r>
        <w:t xml:space="preserve"> </w:t>
      </w:r>
      <w:proofErr w:type="spellStart"/>
      <w:r>
        <w:t>to</w:t>
      </w:r>
      <w:proofErr w:type="spellEnd"/>
      <w:r w:rsidR="006F21F3">
        <w:t xml:space="preserve"> </w:t>
      </w:r>
      <w:proofErr w:type="spellStart"/>
      <w:r w:rsidR="006F21F3">
        <w:t>propose</w:t>
      </w:r>
      <w:proofErr w:type="spellEnd"/>
      <w:r w:rsidR="006F21F3">
        <w:t xml:space="preserve"> </w:t>
      </w:r>
      <w:proofErr w:type="spellStart"/>
      <w:r>
        <w:t>different</w:t>
      </w:r>
      <w:proofErr w:type="spellEnd"/>
      <w:r w:rsidR="006F21F3">
        <w:t xml:space="preserve"> </w:t>
      </w:r>
      <w:proofErr w:type="spellStart"/>
      <w:r w:rsidR="006F21F3">
        <w:t>scenarios</w:t>
      </w:r>
      <w:proofErr w:type="spellEnd"/>
      <w:r w:rsidR="006F21F3">
        <w:t xml:space="preserve"> </w:t>
      </w:r>
      <w:proofErr w:type="spellStart"/>
      <w:r w:rsidR="006F21F3">
        <w:t>based</w:t>
      </w:r>
      <w:proofErr w:type="spellEnd"/>
      <w:r w:rsidR="006F21F3">
        <w:t xml:space="preserve"> </w:t>
      </w:r>
      <w:proofErr w:type="spellStart"/>
      <w:r w:rsidR="006F21F3">
        <w:t>on</w:t>
      </w:r>
      <w:proofErr w:type="spellEnd"/>
      <w:r w:rsidR="006F21F3">
        <w:t xml:space="preserve"> </w:t>
      </w:r>
      <w:proofErr w:type="spellStart"/>
      <w:r w:rsidR="006F21F3">
        <w:t>an</w:t>
      </w:r>
      <w:proofErr w:type="spellEnd"/>
      <w:r w:rsidR="006F21F3">
        <w:t xml:space="preserve"> </w:t>
      </w:r>
      <w:proofErr w:type="spellStart"/>
      <w:r w:rsidR="006F21F3">
        <w:t>increase</w:t>
      </w:r>
      <w:proofErr w:type="spellEnd"/>
      <w:r w:rsidR="006F21F3">
        <w:t xml:space="preserve"> </w:t>
      </w:r>
      <w:proofErr w:type="spellStart"/>
      <w:r w:rsidR="006F21F3">
        <w:t>or</w:t>
      </w:r>
      <w:proofErr w:type="spellEnd"/>
      <w:r w:rsidR="006F21F3">
        <w:t xml:space="preserve"> </w:t>
      </w:r>
      <w:proofErr w:type="spellStart"/>
      <w:r w:rsidR="006F21F3">
        <w:t>decrease</w:t>
      </w:r>
      <w:proofErr w:type="spellEnd"/>
      <w:r w:rsidR="006F21F3">
        <w:t xml:space="preserve"> in </w:t>
      </w:r>
      <w:proofErr w:type="spellStart"/>
      <w:r w:rsidR="006F21F3">
        <w:t>the</w:t>
      </w:r>
      <w:proofErr w:type="spellEnd"/>
      <w:r w:rsidR="006F21F3">
        <w:t xml:space="preserve"> </w:t>
      </w:r>
      <w:proofErr w:type="spellStart"/>
      <w:r w:rsidR="006F21F3">
        <w:t>supply</w:t>
      </w:r>
      <w:proofErr w:type="spellEnd"/>
      <w:r w:rsidR="006F21F3">
        <w:t xml:space="preserve"> and </w:t>
      </w:r>
      <w:proofErr w:type="spellStart"/>
      <w:r w:rsidR="006F21F3">
        <w:t>demand</w:t>
      </w:r>
      <w:proofErr w:type="spellEnd"/>
      <w:r w:rsidR="006F21F3">
        <w:t xml:space="preserve"> </w:t>
      </w:r>
      <w:proofErr w:type="spellStart"/>
      <w:r w:rsidR="006F21F3">
        <w:t>of</w:t>
      </w:r>
      <w:proofErr w:type="spellEnd"/>
      <w:r w:rsidR="006F21F3">
        <w:t xml:space="preserve"> </w:t>
      </w:r>
      <w:proofErr w:type="spellStart"/>
      <w:r w:rsidR="006F21F3">
        <w:t>the</w:t>
      </w:r>
      <w:proofErr w:type="spellEnd"/>
      <w:r w:rsidR="006F21F3">
        <w:t xml:space="preserve"> </w:t>
      </w:r>
      <w:proofErr w:type="spellStart"/>
      <w:r w:rsidR="006F21F3">
        <w:t>service</w:t>
      </w:r>
      <w:proofErr w:type="spellEnd"/>
      <w:r w:rsidR="006F21F3">
        <w:t xml:space="preserve"> </w:t>
      </w:r>
      <w:proofErr w:type="spellStart"/>
      <w:r w:rsidR="006F21F3">
        <w:t>to</w:t>
      </w:r>
      <w:proofErr w:type="spellEnd"/>
      <w:r w:rsidR="006F21F3">
        <w:t xml:space="preserve"> </w:t>
      </w:r>
      <w:proofErr w:type="spellStart"/>
      <w:r w:rsidR="006F21F3">
        <w:t>know</w:t>
      </w:r>
      <w:proofErr w:type="spellEnd"/>
      <w:r w:rsidR="006F21F3">
        <w:t xml:space="preserve"> </w:t>
      </w:r>
      <w:proofErr w:type="spellStart"/>
      <w:r w:rsidR="006F21F3">
        <w:t>the</w:t>
      </w:r>
      <w:proofErr w:type="spellEnd"/>
      <w:r w:rsidR="006F21F3">
        <w:t xml:space="preserve"> </w:t>
      </w:r>
      <w:proofErr w:type="spellStart"/>
      <w:r w:rsidR="006F21F3">
        <w:t>periods</w:t>
      </w:r>
      <w:proofErr w:type="spellEnd"/>
      <w:r w:rsidR="006F21F3">
        <w:t xml:space="preserve"> </w:t>
      </w:r>
      <w:proofErr w:type="spellStart"/>
      <w:r w:rsidR="006F21F3">
        <w:t>of</w:t>
      </w:r>
      <w:proofErr w:type="spellEnd"/>
      <w:r w:rsidR="006F21F3">
        <w:t xml:space="preserve"> </w:t>
      </w:r>
      <w:proofErr w:type="spellStart"/>
      <w:r w:rsidR="006F21F3">
        <w:t>saturation</w:t>
      </w:r>
      <w:proofErr w:type="spellEnd"/>
      <w:r w:rsidR="006F21F3">
        <w:t xml:space="preserve"> </w:t>
      </w:r>
      <w:proofErr w:type="spellStart"/>
      <w:r w:rsidR="006F21F3">
        <w:t>of</w:t>
      </w:r>
      <w:proofErr w:type="spellEnd"/>
      <w:r w:rsidR="006F21F3">
        <w:t xml:space="preserve"> </w:t>
      </w:r>
      <w:proofErr w:type="spellStart"/>
      <w:r w:rsidR="006F21F3">
        <w:t>the</w:t>
      </w:r>
      <w:proofErr w:type="spellEnd"/>
      <w:r w:rsidR="006F21F3">
        <w:t xml:space="preserve"> </w:t>
      </w:r>
      <w:proofErr w:type="spellStart"/>
      <w:r w:rsidR="006F21F3">
        <w:t>service</w:t>
      </w:r>
      <w:proofErr w:type="spellEnd"/>
      <w:r w:rsidR="006F21F3">
        <w:t>.</w:t>
      </w:r>
    </w:p>
    <w:p w14:paraId="5AECF328" w14:textId="53972EB5" w:rsidR="006F21F3" w:rsidRDefault="00E8275C" w:rsidP="006F21F3">
      <w:pPr>
        <w:spacing w:line="360" w:lineRule="auto"/>
      </w:pPr>
      <w:proofErr w:type="spellStart"/>
      <w:r w:rsidRPr="00E8275C">
        <w:t>The</w:t>
      </w:r>
      <w:proofErr w:type="spellEnd"/>
      <w:r w:rsidRPr="00E8275C">
        <w:t xml:space="preserve"> </w:t>
      </w:r>
      <w:proofErr w:type="spellStart"/>
      <w:r w:rsidRPr="00E8275C">
        <w:t>development</w:t>
      </w:r>
      <w:proofErr w:type="spellEnd"/>
      <w:r w:rsidRPr="00E8275C">
        <w:t xml:space="preserve"> </w:t>
      </w:r>
      <w:proofErr w:type="spellStart"/>
      <w:r w:rsidRPr="00E8275C">
        <w:t>of</w:t>
      </w:r>
      <w:proofErr w:type="spellEnd"/>
      <w:r w:rsidRPr="00E8275C">
        <w:t xml:space="preserve"> </w:t>
      </w:r>
      <w:proofErr w:type="spellStart"/>
      <w:r w:rsidRPr="00E8275C">
        <w:t>this</w:t>
      </w:r>
      <w:proofErr w:type="spellEnd"/>
      <w:r w:rsidRPr="00E8275C">
        <w:t xml:space="preserve"> </w:t>
      </w:r>
      <w:proofErr w:type="spellStart"/>
      <w:r w:rsidRPr="00E8275C">
        <w:t>tool</w:t>
      </w:r>
      <w:proofErr w:type="spellEnd"/>
      <w:r w:rsidRPr="00E8275C">
        <w:t xml:space="preserve"> </w:t>
      </w:r>
      <w:proofErr w:type="spellStart"/>
      <w:r w:rsidRPr="00E8275C">
        <w:t>is</w:t>
      </w:r>
      <w:proofErr w:type="spellEnd"/>
      <w:r w:rsidRPr="00E8275C">
        <w:t xml:space="preserve"> </w:t>
      </w:r>
      <w:proofErr w:type="spellStart"/>
      <w:r w:rsidRPr="00E8275C">
        <w:t>transcendent</w:t>
      </w:r>
      <w:proofErr w:type="spellEnd"/>
      <w:r w:rsidRPr="00E8275C">
        <w:t xml:space="preserve"> at a social </w:t>
      </w:r>
      <w:proofErr w:type="spellStart"/>
      <w:r w:rsidRPr="00E8275C">
        <w:t>level</w:t>
      </w:r>
      <w:proofErr w:type="spellEnd"/>
      <w:r w:rsidRPr="00E8275C">
        <w:t xml:space="preserve"> </w:t>
      </w:r>
      <w:proofErr w:type="spellStart"/>
      <w:r w:rsidRPr="00E8275C">
        <w:t>since</w:t>
      </w:r>
      <w:proofErr w:type="spellEnd"/>
      <w:r w:rsidRPr="00E8275C">
        <w:t xml:space="preserve"> </w:t>
      </w:r>
      <w:proofErr w:type="spellStart"/>
      <w:r w:rsidRPr="00E8275C">
        <w:t>it</w:t>
      </w:r>
      <w:proofErr w:type="spellEnd"/>
      <w:r w:rsidRPr="00E8275C">
        <w:t xml:space="preserve"> </w:t>
      </w:r>
      <w:proofErr w:type="spellStart"/>
      <w:r w:rsidRPr="00E8275C">
        <w:t>will</w:t>
      </w:r>
      <w:proofErr w:type="spellEnd"/>
      <w:r w:rsidRPr="00E8275C">
        <w:t xml:space="preserve"> </w:t>
      </w:r>
      <w:proofErr w:type="spellStart"/>
      <w:r w:rsidRPr="00E8275C">
        <w:t>support</w:t>
      </w:r>
      <w:proofErr w:type="spellEnd"/>
      <w:r w:rsidRPr="00E8275C">
        <w:t xml:space="preserve"> </w:t>
      </w:r>
      <w:proofErr w:type="spellStart"/>
      <w:r w:rsidRPr="00E8275C">
        <w:t>the</w:t>
      </w:r>
      <w:proofErr w:type="spellEnd"/>
      <w:r w:rsidRPr="00E8275C">
        <w:t xml:space="preserve"> </w:t>
      </w:r>
      <w:proofErr w:type="spellStart"/>
      <w:r w:rsidRPr="00E8275C">
        <w:t>urban</w:t>
      </w:r>
      <w:proofErr w:type="spellEnd"/>
      <w:r w:rsidRPr="00E8275C">
        <w:t xml:space="preserve"> </w:t>
      </w:r>
      <w:proofErr w:type="spellStart"/>
      <w:r w:rsidRPr="00E8275C">
        <w:t>planning</w:t>
      </w:r>
      <w:proofErr w:type="spellEnd"/>
      <w:r w:rsidRPr="00E8275C">
        <w:t xml:space="preserve"> </w:t>
      </w:r>
      <w:proofErr w:type="spellStart"/>
      <w:r w:rsidRPr="00E8275C">
        <w:t>process</w:t>
      </w:r>
      <w:proofErr w:type="spellEnd"/>
      <w:r w:rsidRPr="00E8275C">
        <w:t xml:space="preserve"> </w:t>
      </w:r>
      <w:proofErr w:type="spellStart"/>
      <w:r w:rsidRPr="00E8275C">
        <w:t>of</w:t>
      </w:r>
      <w:proofErr w:type="spellEnd"/>
      <w:r w:rsidRPr="00E8275C">
        <w:t xml:space="preserve"> </w:t>
      </w:r>
      <w:proofErr w:type="spellStart"/>
      <w:r w:rsidRPr="00E8275C">
        <w:t>these</w:t>
      </w:r>
      <w:proofErr w:type="spellEnd"/>
      <w:r w:rsidRPr="00E8275C">
        <w:t xml:space="preserve"> </w:t>
      </w:r>
      <w:proofErr w:type="spellStart"/>
      <w:r w:rsidRPr="00E8275C">
        <w:t>spaces</w:t>
      </w:r>
      <w:proofErr w:type="spellEnd"/>
      <w:r w:rsidRPr="00E8275C">
        <w:t xml:space="preserve">, </w:t>
      </w:r>
      <w:proofErr w:type="spellStart"/>
      <w:r w:rsidRPr="00E8275C">
        <w:t>allowing</w:t>
      </w:r>
      <w:proofErr w:type="spellEnd"/>
      <w:r w:rsidRPr="00E8275C">
        <w:t xml:space="preserve"> </w:t>
      </w:r>
      <w:proofErr w:type="spellStart"/>
      <w:r w:rsidRPr="00E8275C">
        <w:t>to</w:t>
      </w:r>
      <w:proofErr w:type="spellEnd"/>
      <w:r w:rsidRPr="00E8275C">
        <w:t xml:space="preserve"> </w:t>
      </w:r>
      <w:proofErr w:type="spellStart"/>
      <w:r w:rsidRPr="00E8275C">
        <w:t>make</w:t>
      </w:r>
      <w:proofErr w:type="spellEnd"/>
      <w:r w:rsidRPr="00E8275C">
        <w:t xml:space="preserve"> </w:t>
      </w:r>
      <w:proofErr w:type="spellStart"/>
      <w:r w:rsidRPr="00E8275C">
        <w:t>the</w:t>
      </w:r>
      <w:proofErr w:type="spellEnd"/>
      <w:r w:rsidRPr="00E8275C">
        <w:t xml:space="preserve"> </w:t>
      </w:r>
      <w:proofErr w:type="spellStart"/>
      <w:r w:rsidRPr="00E8275C">
        <w:t>right</w:t>
      </w:r>
      <w:proofErr w:type="spellEnd"/>
      <w:r w:rsidRPr="00E8275C">
        <w:t xml:space="preserve"> </w:t>
      </w:r>
      <w:proofErr w:type="spellStart"/>
      <w:r w:rsidRPr="00E8275C">
        <w:t>decisions</w:t>
      </w:r>
      <w:proofErr w:type="spellEnd"/>
      <w:r w:rsidRPr="00E8275C">
        <w:t xml:space="preserve">, </w:t>
      </w:r>
      <w:proofErr w:type="spellStart"/>
      <w:r w:rsidRPr="00E8275C">
        <w:t>based</w:t>
      </w:r>
      <w:proofErr w:type="spellEnd"/>
      <w:r w:rsidRPr="00E8275C">
        <w:t xml:space="preserve"> </w:t>
      </w:r>
      <w:proofErr w:type="spellStart"/>
      <w:r w:rsidRPr="00E8275C">
        <w:t>on</w:t>
      </w:r>
      <w:proofErr w:type="spellEnd"/>
      <w:r w:rsidRPr="00E8275C">
        <w:t xml:space="preserve"> </w:t>
      </w:r>
      <w:proofErr w:type="spellStart"/>
      <w:r w:rsidRPr="00E8275C">
        <w:t>the</w:t>
      </w:r>
      <w:proofErr w:type="spellEnd"/>
      <w:r w:rsidRPr="00E8275C">
        <w:t xml:space="preserve"> </w:t>
      </w:r>
      <w:proofErr w:type="spellStart"/>
      <w:r w:rsidRPr="00E8275C">
        <w:t>results</w:t>
      </w:r>
      <w:proofErr w:type="spellEnd"/>
      <w:r w:rsidRPr="00E8275C">
        <w:t xml:space="preserve"> </w:t>
      </w:r>
      <w:proofErr w:type="spellStart"/>
      <w:r w:rsidRPr="00E8275C">
        <w:t>of</w:t>
      </w:r>
      <w:proofErr w:type="spellEnd"/>
      <w:r w:rsidRPr="00E8275C">
        <w:t xml:space="preserve"> </w:t>
      </w:r>
      <w:proofErr w:type="spellStart"/>
      <w:r w:rsidRPr="00E8275C">
        <w:t>the</w:t>
      </w:r>
      <w:proofErr w:type="spellEnd"/>
      <w:r w:rsidRPr="00E8275C">
        <w:t xml:space="preserve"> </w:t>
      </w:r>
      <w:proofErr w:type="spellStart"/>
      <w:r w:rsidRPr="00E8275C">
        <w:t>approximations</w:t>
      </w:r>
      <w:proofErr w:type="spellEnd"/>
      <w:r w:rsidRPr="00E8275C">
        <w:t xml:space="preserve"> </w:t>
      </w:r>
      <w:proofErr w:type="spellStart"/>
      <w:r w:rsidRPr="00E8275C">
        <w:t>of</w:t>
      </w:r>
      <w:proofErr w:type="spellEnd"/>
      <w:r w:rsidRPr="00E8275C">
        <w:t xml:space="preserve"> </w:t>
      </w:r>
      <w:proofErr w:type="spellStart"/>
      <w:r w:rsidRPr="00E8275C">
        <w:t>the</w:t>
      </w:r>
      <w:proofErr w:type="spellEnd"/>
      <w:r w:rsidRPr="00E8275C">
        <w:t xml:space="preserve"> </w:t>
      </w:r>
      <w:proofErr w:type="spellStart"/>
      <w:r w:rsidRPr="00E8275C">
        <w:t>simulations</w:t>
      </w:r>
      <w:proofErr w:type="spellEnd"/>
      <w:r w:rsidRPr="00E8275C">
        <w:t xml:space="preserve"> </w:t>
      </w:r>
      <w:proofErr w:type="spellStart"/>
      <w:r w:rsidRPr="00E8275C">
        <w:t>that</w:t>
      </w:r>
      <w:proofErr w:type="spellEnd"/>
      <w:r w:rsidRPr="00E8275C">
        <w:t xml:space="preserve"> are </w:t>
      </w:r>
      <w:proofErr w:type="spellStart"/>
      <w:r w:rsidRPr="00E8275C">
        <w:t>planted</w:t>
      </w:r>
      <w:proofErr w:type="spellEnd"/>
      <w:r w:rsidRPr="00E8275C">
        <w:t xml:space="preserve">, </w:t>
      </w:r>
      <w:proofErr w:type="spellStart"/>
      <w:r w:rsidRPr="00E8275C">
        <w:t>it</w:t>
      </w:r>
      <w:proofErr w:type="spellEnd"/>
      <w:r w:rsidRPr="00E8275C">
        <w:t xml:space="preserve"> </w:t>
      </w:r>
      <w:proofErr w:type="spellStart"/>
      <w:r w:rsidRPr="00E8275C">
        <w:t>will</w:t>
      </w:r>
      <w:proofErr w:type="spellEnd"/>
      <w:r w:rsidRPr="00E8275C">
        <w:t xml:space="preserve"> </w:t>
      </w:r>
      <w:proofErr w:type="spellStart"/>
      <w:r w:rsidRPr="00E8275C">
        <w:t>contribute</w:t>
      </w:r>
      <w:proofErr w:type="spellEnd"/>
      <w:r w:rsidRPr="00E8275C">
        <w:t xml:space="preserve"> </w:t>
      </w:r>
      <w:proofErr w:type="spellStart"/>
      <w:r w:rsidRPr="00E8275C">
        <w:t>to</w:t>
      </w:r>
      <w:proofErr w:type="spellEnd"/>
      <w:r w:rsidRPr="00E8275C">
        <w:t xml:space="preserve"> </w:t>
      </w:r>
      <w:proofErr w:type="spellStart"/>
      <w:r w:rsidRPr="00E8275C">
        <w:t>raise</w:t>
      </w:r>
      <w:proofErr w:type="spellEnd"/>
      <w:r w:rsidRPr="00E8275C">
        <w:t xml:space="preserve"> </w:t>
      </w:r>
      <w:proofErr w:type="spellStart"/>
      <w:r w:rsidRPr="00E8275C">
        <w:t>awareness</w:t>
      </w:r>
      <w:proofErr w:type="spellEnd"/>
      <w:r w:rsidRPr="00E8275C">
        <w:t xml:space="preserve"> </w:t>
      </w:r>
      <w:proofErr w:type="spellStart"/>
      <w:r w:rsidRPr="00E8275C">
        <w:t>of</w:t>
      </w:r>
      <w:proofErr w:type="spellEnd"/>
      <w:r w:rsidRPr="00E8275C">
        <w:t xml:space="preserve"> </w:t>
      </w:r>
      <w:proofErr w:type="spellStart"/>
      <w:r w:rsidRPr="00E8275C">
        <w:t>the</w:t>
      </w:r>
      <w:proofErr w:type="spellEnd"/>
      <w:r w:rsidRPr="00E8275C">
        <w:t xml:space="preserve"> staff and </w:t>
      </w:r>
      <w:proofErr w:type="spellStart"/>
      <w:r w:rsidRPr="00E8275C">
        <w:t>key</w:t>
      </w:r>
      <w:proofErr w:type="spellEnd"/>
      <w:r w:rsidRPr="00E8275C">
        <w:t xml:space="preserve"> </w:t>
      </w:r>
      <w:proofErr w:type="spellStart"/>
      <w:r w:rsidRPr="00E8275C">
        <w:t>actors</w:t>
      </w:r>
      <w:proofErr w:type="spellEnd"/>
      <w:r w:rsidRPr="00E8275C">
        <w:t xml:space="preserve"> </w:t>
      </w:r>
      <w:proofErr w:type="spellStart"/>
      <w:r w:rsidRPr="00E8275C">
        <w:t>involved</w:t>
      </w:r>
      <w:proofErr w:type="spellEnd"/>
      <w:r w:rsidRPr="00E8275C">
        <w:t xml:space="preserve"> in </w:t>
      </w:r>
      <w:proofErr w:type="spellStart"/>
      <w:r w:rsidRPr="00E8275C">
        <w:t>the</w:t>
      </w:r>
      <w:proofErr w:type="spellEnd"/>
      <w:r w:rsidRPr="00E8275C">
        <w:t xml:space="preserve"> </w:t>
      </w:r>
      <w:proofErr w:type="spellStart"/>
      <w:r w:rsidRPr="00E8275C">
        <w:t>decision-making</w:t>
      </w:r>
      <w:proofErr w:type="spellEnd"/>
      <w:r w:rsidRPr="00E8275C">
        <w:t xml:space="preserve"> </w:t>
      </w:r>
      <w:proofErr w:type="spellStart"/>
      <w:r w:rsidRPr="00E8275C">
        <w:t>process</w:t>
      </w:r>
      <w:proofErr w:type="spellEnd"/>
      <w:r w:rsidRPr="00E8275C">
        <w:t xml:space="preserve"> in </w:t>
      </w:r>
      <w:proofErr w:type="spellStart"/>
      <w:r w:rsidRPr="00E8275C">
        <w:t>the</w:t>
      </w:r>
      <w:proofErr w:type="spellEnd"/>
      <w:r w:rsidRPr="00E8275C">
        <w:t xml:space="preserve"> short and </w:t>
      </w:r>
      <w:proofErr w:type="spellStart"/>
      <w:r w:rsidRPr="00E8275C">
        <w:t>medium</w:t>
      </w:r>
      <w:proofErr w:type="spellEnd"/>
      <w:r w:rsidRPr="00E8275C">
        <w:t xml:space="preserve"> </w:t>
      </w:r>
      <w:proofErr w:type="spellStart"/>
      <w:r w:rsidRPr="00E8275C">
        <w:t>term</w:t>
      </w:r>
      <w:proofErr w:type="spellEnd"/>
      <w:r w:rsidRPr="00E8275C">
        <w:t>.</w:t>
      </w:r>
    </w:p>
    <w:p w14:paraId="3942161C" w14:textId="77777777" w:rsidR="00644151" w:rsidRDefault="00644151">
      <w:pPr>
        <w:spacing w:line="360" w:lineRule="auto"/>
      </w:pPr>
    </w:p>
    <w:p w14:paraId="37570B10" w14:textId="77777777" w:rsidR="00644151" w:rsidRDefault="00425878">
      <w:pPr>
        <w:spacing w:line="360" w:lineRule="auto"/>
      </w:pPr>
      <w:proofErr w:type="spellStart"/>
      <w:r>
        <w:rPr>
          <w:b/>
        </w:rPr>
        <w:t>Keywords</w:t>
      </w:r>
      <w:proofErr w:type="spellEnd"/>
      <w:r>
        <w:rPr>
          <w:b/>
        </w:rPr>
        <w:t>:</w:t>
      </w:r>
      <w:r>
        <w:t xml:space="preserve"> </w:t>
      </w:r>
      <w:proofErr w:type="spellStart"/>
      <w:r>
        <w:t>Pantheon</w:t>
      </w:r>
      <w:proofErr w:type="spellEnd"/>
      <w:r>
        <w:t xml:space="preserve">, </w:t>
      </w:r>
      <w:proofErr w:type="spellStart"/>
      <w:r>
        <w:t>spatial</w:t>
      </w:r>
      <w:proofErr w:type="spellEnd"/>
      <w:r>
        <w:t xml:space="preserve"> </w:t>
      </w:r>
      <w:proofErr w:type="spellStart"/>
      <w:r>
        <w:t>modeling</w:t>
      </w:r>
      <w:proofErr w:type="spellEnd"/>
      <w:r>
        <w:t xml:space="preserve">, </w:t>
      </w:r>
      <w:proofErr w:type="spellStart"/>
      <w:r>
        <w:t>occupation</w:t>
      </w:r>
      <w:proofErr w:type="spellEnd"/>
      <w:r>
        <w:t xml:space="preserve"> </w:t>
      </w:r>
      <w:proofErr w:type="spellStart"/>
      <w:r>
        <w:t>scenarios</w:t>
      </w:r>
      <w:proofErr w:type="spellEnd"/>
      <w:r>
        <w:t xml:space="preserve"> and web </w:t>
      </w:r>
      <w:proofErr w:type="spellStart"/>
      <w:r>
        <w:t>programming</w:t>
      </w:r>
      <w:proofErr w:type="spellEnd"/>
      <w:r>
        <w:t>.</w:t>
      </w:r>
    </w:p>
    <w:p w14:paraId="215024F4" w14:textId="77777777" w:rsidR="00644151" w:rsidRDefault="00425878">
      <w:pPr>
        <w:pStyle w:val="Ttulo1"/>
      </w:pPr>
      <w:bookmarkStart w:id="3" w:name="_Toc89075357"/>
      <w:r>
        <w:lastRenderedPageBreak/>
        <w:t>Introducción</w:t>
      </w:r>
      <w:bookmarkEnd w:id="3"/>
    </w:p>
    <w:p w14:paraId="1AA66AB4" w14:textId="77777777" w:rsidR="00644151" w:rsidRDefault="00425878">
      <w:pPr>
        <w:spacing w:line="360" w:lineRule="auto"/>
      </w:pPr>
      <w:r>
        <w:t>En el último siglo las ciudades en el mundo han experimentado un acelerado crecimiento poblacional, por lo que cada vez demanda mayor cantidad de bienes y servicios. En el tema de servicios se ha dado prioridad a aquellos orientados a procurar el confort y bienestar de la sociedad como el agua potable, el alcantarillado, la energía eléctrica, el drenaje, transporte, vivienda entre muchos otros más, dejando a un lado un tema, que debería de preocupar a la administración pública que son: los espacios para la inhumación. Si bien, en nuestra vida demandamos una superficie para vivir, debemos ser conscientes que, en la muerte también demandamos una superficie, que nos acoja al fallecer.</w:t>
      </w:r>
    </w:p>
    <w:p w14:paraId="7D58287E" w14:textId="1A3DC641" w:rsidR="00644151" w:rsidRDefault="00425878">
      <w:pPr>
        <w:spacing w:line="360" w:lineRule="auto"/>
      </w:pPr>
      <w:r>
        <w:t xml:space="preserve">Los panteones son esos espacios destinados para el entierro de los difuntos de una sociedad donde se depositan los restos mortales. Desde el punto de vista de la administración pública los panteones son elementos de equipamiento urbano, inmuebles establecidos para alojar los restos mortuorios de seres humanos de manera digna y legal. Enterrar a los muertos ha sido de suma importancia para el sujeto lo que ha derivado en una diversidad de significados, contenidos simbólicos y ritos funerarios en </w:t>
      </w:r>
      <w:r w:rsidR="00714879">
        <w:t>diferentes</w:t>
      </w:r>
      <w:r>
        <w:t xml:space="preserve"> panteones de todo el mundo. </w:t>
      </w:r>
    </w:p>
    <w:p w14:paraId="3A167750" w14:textId="77777777" w:rsidR="00644151" w:rsidRDefault="00425878">
      <w:pPr>
        <w:tabs>
          <w:tab w:val="left" w:pos="1377"/>
        </w:tabs>
        <w:spacing w:line="360" w:lineRule="auto"/>
      </w:pPr>
      <w:r>
        <w:t xml:space="preserve">En años recientes ha crecido el interés por incorporar modelos de simulación espacialmente explícitos en el desarrollo de las políticas de planeación. Estos modelos son utilizados para modelar las dinámicas del paisaje, apareciendo herramientas útiles para entender la complejidad de ciertos procesos, y son aplicables a problemas de manejo y conservación (Turner et al., 1995 citado por Salinas et al., 2019). Por lo que es probable que cada vez, sea más común, que surjan diferentes modelos que traten de explicar diferentes fenómenos tanto físicos, como sociales.  </w:t>
      </w:r>
    </w:p>
    <w:p w14:paraId="0AEC168D" w14:textId="77777777" w:rsidR="00644151" w:rsidRDefault="00425878">
      <w:pPr>
        <w:spacing w:line="360" w:lineRule="auto"/>
      </w:pPr>
      <w:r>
        <w:t xml:space="preserve">El desarrollo del presente proyecto busca mostrar un panorama general del servicio público de panteones, así como aportar un modelo, que permita simular diferentes escenarios de ocupación del servicio público de inhumación en los panteones con la finalidad de modelar los periodos de saturación. Para fines de la demostración empírica de la investigación se ha acotado el estudio únicamente a la Alcaldía Iztapalapa, sin embargo, es posible ajustar los datos a más de una Alcaldía, municipio e inclusive una ciudad. </w:t>
      </w:r>
    </w:p>
    <w:p w14:paraId="1E29D493" w14:textId="601611D4" w:rsidR="00644151" w:rsidRDefault="00425878">
      <w:pPr>
        <w:spacing w:line="360" w:lineRule="auto"/>
      </w:pPr>
      <w:r>
        <w:t xml:space="preserve">En el primer capítulo se presentan las bases teóricas y conceptuales que dan sustento al modelo, como es la teoría de la transición demográfica y la teoría de la transición </w:t>
      </w:r>
      <w:r>
        <w:lastRenderedPageBreak/>
        <w:t xml:space="preserve">epidemiológica, así como la conceptualización de la Geoinformática como base para la automatización y modelación. El modelo parte de factores cuantitativos (factores demográficos) obtenidos a partir de datos obtenidos de fuentes oficiales como </w:t>
      </w:r>
      <w:r w:rsidR="00714879">
        <w:t xml:space="preserve">es la </w:t>
      </w:r>
      <w:r>
        <w:t xml:space="preserve">demanda del servicio y oferta de fosas disponibles en los panteones de la Alcaldía. </w:t>
      </w:r>
      <w:r w:rsidR="00714879" w:rsidRPr="00714879">
        <w:t>L</w:t>
      </w:r>
      <w:r w:rsidRPr="00714879">
        <w:t>a asignación de la demanda</w:t>
      </w:r>
      <w:r w:rsidR="00714879" w:rsidRPr="00714879">
        <w:t xml:space="preserve"> a cada pante</w:t>
      </w:r>
      <w:r w:rsidR="00714879">
        <w:t>ón</w:t>
      </w:r>
      <w:r w:rsidR="00714879" w:rsidRPr="00714879">
        <w:t xml:space="preserve"> se consideró con base a</w:t>
      </w:r>
      <w:r w:rsidRPr="00714879">
        <w:t xml:space="preserve"> </w:t>
      </w:r>
      <w:r w:rsidR="00714879" w:rsidRPr="00714879">
        <w:t>la</w:t>
      </w:r>
      <w:r w:rsidRPr="00714879">
        <w:t xml:space="preserve"> distancia euclidiana</w:t>
      </w:r>
      <w:r w:rsidR="00714879" w:rsidRPr="00714879">
        <w:t xml:space="preserve"> existente entre </w:t>
      </w:r>
      <w:proofErr w:type="spellStart"/>
      <w:r w:rsidR="00714879" w:rsidRPr="00714879">
        <w:t>ageb</w:t>
      </w:r>
      <w:proofErr w:type="spellEnd"/>
      <w:r w:rsidR="00714879" w:rsidRPr="00714879">
        <w:t xml:space="preserve"> y panteón,</w:t>
      </w:r>
      <w:r w:rsidRPr="00714879">
        <w:t xml:space="preserve"> ya que por la naturaleza del servicio este no obedece a factores de fricción </w:t>
      </w:r>
      <w:r w:rsidR="00714879">
        <w:t xml:space="preserve">como son: </w:t>
      </w:r>
      <w:r w:rsidRPr="00714879">
        <w:t>distancia, costo, tiempo, calidad, etc.</w:t>
      </w:r>
      <w:r w:rsidR="00714879">
        <w:t>,</w:t>
      </w:r>
      <w:r w:rsidRPr="00714879">
        <w:t xml:space="preserve"> como otros servicios (Marcos, 2003).</w:t>
      </w:r>
      <w:r>
        <w:t xml:space="preserve">  </w:t>
      </w:r>
    </w:p>
    <w:p w14:paraId="45CCCB77" w14:textId="77777777" w:rsidR="00644151" w:rsidRDefault="00425878">
      <w:pPr>
        <w:tabs>
          <w:tab w:val="left" w:pos="1377"/>
        </w:tabs>
        <w:spacing w:line="360" w:lineRule="auto"/>
      </w:pPr>
      <w:r>
        <w:t xml:space="preserve">En el segundo apartado se desarrolla la caracterización de la Alcaldía Iztapalapa y de los panteones que se encuentran en está.  La caracterización de la Alcaldía parte de características demográficas, enfatizando la población, natalidad y mortalidad, mientras que la caracterización de los panteones aborda la disponibilidad y demanda del servicio.   </w:t>
      </w:r>
    </w:p>
    <w:p w14:paraId="5CA679AF" w14:textId="77777777" w:rsidR="00644151" w:rsidRDefault="00425878">
      <w:pPr>
        <w:tabs>
          <w:tab w:val="left" w:pos="1377"/>
        </w:tabs>
        <w:spacing w:line="360" w:lineRule="auto"/>
      </w:pPr>
      <w:r>
        <w:t>El tercer capítulo aborda el marco metodológico, donde se exponen los métodos y técnicas para realizar el diseño y la construcción de la plantilla de modelación para la generación de escenarios de ocupación, la cual se plantea desde una perspectiva geoinformática, mediante el uso de la programación para la automatización de los procesos. Se abordan temas como son: universo de estudio, propuesta tecnológica, recolección y estandarización de información, y herramientas a ser utilizadas, así como el establecimiento de los alcances de la aplicación.</w:t>
      </w:r>
    </w:p>
    <w:p w14:paraId="7997062A" w14:textId="2B32ECB0" w:rsidR="00644151" w:rsidRDefault="00425878">
      <w:pPr>
        <w:tabs>
          <w:tab w:val="left" w:pos="1377"/>
        </w:tabs>
        <w:spacing w:line="360" w:lineRule="auto"/>
      </w:pPr>
      <w:r>
        <w:t>El cuarto capítulo aborda los resultados obtenidos</w:t>
      </w:r>
      <w:r w:rsidR="00714879">
        <w:t xml:space="preserve"> y el análisis de estos</w:t>
      </w:r>
      <w:r>
        <w:t xml:space="preserve">, </w:t>
      </w:r>
      <w:r w:rsidR="00714879">
        <w:t xml:space="preserve">con base a </w:t>
      </w:r>
      <w:r>
        <w:t>la</w:t>
      </w:r>
      <w:r w:rsidR="00714879" w:rsidRPr="00714879">
        <w:t xml:space="preserve"> caracterización y la metodología utilizada</w:t>
      </w:r>
      <w:r w:rsidR="00714879">
        <w:t xml:space="preserve"> </w:t>
      </w:r>
      <w:r w:rsidR="006830D1">
        <w:t xml:space="preserve">con el fin de dar un panorama de la </w:t>
      </w:r>
      <w:r>
        <w:t>tendencia de la saturación del servicio, el uso</w:t>
      </w:r>
      <w:r w:rsidR="006830D1">
        <w:t xml:space="preserve"> y</w:t>
      </w:r>
      <w:r>
        <w:t xml:space="preserve"> aplicación de una herramienta como la que </w:t>
      </w:r>
      <w:r w:rsidR="006830D1">
        <w:t xml:space="preserve">se </w:t>
      </w:r>
      <w:r>
        <w:t xml:space="preserve">plantea </w:t>
      </w:r>
      <w:r w:rsidR="006830D1">
        <w:t xml:space="preserve">en </w:t>
      </w:r>
      <w:r>
        <w:t>el presente proyecto. Finalmente se exponen las conclusiones y recomendaciones para trabajos futuros.</w:t>
      </w:r>
    </w:p>
    <w:p w14:paraId="31D46010" w14:textId="77777777" w:rsidR="00644151" w:rsidRDefault="00644151">
      <w:pPr>
        <w:spacing w:line="360" w:lineRule="auto"/>
      </w:pPr>
    </w:p>
    <w:p w14:paraId="3B760162" w14:textId="77777777" w:rsidR="00644151" w:rsidRDefault="00644151">
      <w:pPr>
        <w:spacing w:line="360" w:lineRule="auto"/>
      </w:pPr>
    </w:p>
    <w:p w14:paraId="391FCF97" w14:textId="77777777" w:rsidR="00644151" w:rsidRDefault="00644151">
      <w:pPr>
        <w:spacing w:line="360" w:lineRule="auto"/>
      </w:pPr>
    </w:p>
    <w:p w14:paraId="146B962C" w14:textId="77777777" w:rsidR="00644151" w:rsidRDefault="00644151">
      <w:pPr>
        <w:spacing w:line="360" w:lineRule="auto"/>
      </w:pPr>
    </w:p>
    <w:p w14:paraId="7E6CBFF1" w14:textId="77777777" w:rsidR="00644151" w:rsidRDefault="00644151">
      <w:pPr>
        <w:tabs>
          <w:tab w:val="left" w:pos="1377"/>
        </w:tabs>
        <w:spacing w:line="360" w:lineRule="auto"/>
      </w:pPr>
    </w:p>
    <w:p w14:paraId="2D0C75F7" w14:textId="77777777" w:rsidR="00644151" w:rsidRDefault="00425878">
      <w:pPr>
        <w:pStyle w:val="Ttulo1"/>
      </w:pPr>
      <w:bookmarkStart w:id="4" w:name="_Toc89075358"/>
      <w:r>
        <w:lastRenderedPageBreak/>
        <w:t>Planteamiento del problema</w:t>
      </w:r>
      <w:bookmarkEnd w:id="4"/>
    </w:p>
    <w:p w14:paraId="5216507B" w14:textId="77777777" w:rsidR="00644151" w:rsidRDefault="00425878">
      <w:pPr>
        <w:spacing w:line="360" w:lineRule="auto"/>
      </w:pPr>
      <w:r>
        <w:t>De acuerdo con el ciclo de la vida, proceso vital de un organismo desde su nacimiento hasta su muerte, es innegable que todos tendemos a fallecer. En este sentido, el certificado de defunción es el documento que acredita el fallecimiento de una persona, esté es importante, ya que es la fuente primaria para la elaboración de las estadísticas de mortalidad.</w:t>
      </w:r>
    </w:p>
    <w:p w14:paraId="3D1A7106" w14:textId="526E95CA" w:rsidR="00644151" w:rsidRDefault="00425878">
      <w:pPr>
        <w:spacing w:line="360" w:lineRule="auto"/>
      </w:pPr>
      <w:r>
        <w:t>Los indicadores de mortalidad y fecundidad son fundamentales para comprender la dinámica del crecimiento de la población. Las estadísticas de mortalidad permiten el análisis de enfermedades epidemiológicas, en particular, la estimación de los riesgos de muerte prematura por sexo y edad en los distintos subgrupos de la población según características de las causas de defunción (INEGI, 2016).</w:t>
      </w:r>
    </w:p>
    <w:p w14:paraId="3A6ED410" w14:textId="17BD171C" w:rsidR="00644151" w:rsidRDefault="00425878">
      <w:pPr>
        <w:spacing w:line="360" w:lineRule="auto"/>
      </w:pPr>
      <w:r>
        <w:t xml:space="preserve">Diversos investigadores han centrado sus estudios en analizar las causas de mortalidad en la población adulta mayor, población infantil, mortalidad materna o bien por causas violentas (homicidios y suicidios), en estudios sobre mortalidad se han identificado las principales causas de muerte, para cada uno de estos grupos, en determinado tiempo y espacio, sin embargo, poco se conoce sobre los lugares destinados para el proceso de inhumación, conocidos como </w:t>
      </w:r>
      <w:r w:rsidR="006830D1">
        <w:t xml:space="preserve">popularmente como </w:t>
      </w:r>
      <w:r w:rsidRPr="006830D1">
        <w:t>panteones.</w:t>
      </w:r>
      <w:r>
        <w:t xml:space="preserve"> Basta con realizar una búsqueda en el repositorio institucional de La Universidad Autónoma del Estado de México (UAEM) para encontrar, solo un par de resultados afines, incluso se puede realizar una consulta en la Universidad Nacional Autónoma de México (UNAM), para encontrar que estos lugares han sido abordados, en numerosas ocasiones desde el enfoque de la arquitectura funeraria. </w:t>
      </w:r>
    </w:p>
    <w:p w14:paraId="48CA3E55" w14:textId="77777777" w:rsidR="00644151" w:rsidRDefault="00425878">
      <w:pPr>
        <w:spacing w:line="360" w:lineRule="auto"/>
      </w:pPr>
      <w:r>
        <w:t>Los panteones son lugares destinados para el entierro de los difuntos, que día a día prestan su servicio a la población. En lo que concierne a la administración pública, los panteones son elementos de equipamiento urbano, inmuebles destinados para alojar los restos mortuorios de seres humanos de manera digna y legal (SEDESOL, 1999).</w:t>
      </w:r>
    </w:p>
    <w:p w14:paraId="11C61886" w14:textId="71112B4B" w:rsidR="00644151" w:rsidRDefault="00425878">
      <w:pPr>
        <w:spacing w:line="360" w:lineRule="auto"/>
      </w:pPr>
      <w:r>
        <w:t>Se estima a nivel nacional un total de 3 954 panteones, con un total de 6 099 547 fosas de las cuales, el 83% se encuentran ocupadas, y solo el 16.7% se encuentran disponibles; lo que representa 1 018 624 de tumbas disponibles, algunas Zonas Metropolitanas como: Acapulco, Chilpancingo, Ciudad Victoria, Campeche, Mexicali y San Francisco del Rincón han llegado a su máxima capacidad, presentado el 100% de ocupación de fosas (INEGI, 2020</w:t>
      </w:r>
      <w:r w:rsidR="00556500">
        <w:t>b</w:t>
      </w:r>
      <w:r>
        <w:t>).</w:t>
      </w:r>
    </w:p>
    <w:p w14:paraId="77A797C1" w14:textId="3AB6CA17" w:rsidR="00644151" w:rsidRDefault="00425878">
      <w:pPr>
        <w:tabs>
          <w:tab w:val="left" w:pos="2309"/>
        </w:tabs>
        <w:spacing w:line="360" w:lineRule="auto"/>
      </w:pPr>
      <w:r>
        <w:lastRenderedPageBreak/>
        <w:t xml:space="preserve">En México mueren alrededor de 747 784 personas al año (INEGI, 2019), las estadísticas muestran que la tasa de defunción por cada 10 000 </w:t>
      </w:r>
      <w:r w:rsidR="006830D1">
        <w:t xml:space="preserve">habitantes a nivel nacional </w:t>
      </w:r>
      <w:r>
        <w:t>aumentó en 13 unidades en el periodo 2009-2019 (de 50 a 63). En términos porcentuales este aumento en la mortalidad pareciera poco significativo, no obstante, en términos absolutos, existe gran diferencia, por ejemplo, para 2009 se registraron un total de 564 673 defunciones, sin embargo, para el año 2019, se registra un total de 747 784 defunciones anuales, lo que representa un aumento de 183 111 defunciones en ese periodo. Los Estados con las tasas más altas por cada 10 000 habitantes son: Ciudad de México con 85, Chihuahua con 68 y Morelos con 67 (INEGI, 2019</w:t>
      </w:r>
      <w:r w:rsidR="00556500">
        <w:t>a</w:t>
      </w:r>
      <w:r>
        <w:t>).</w:t>
      </w:r>
    </w:p>
    <w:p w14:paraId="7375C776" w14:textId="4F182621" w:rsidR="00644151" w:rsidRDefault="00425878">
      <w:pPr>
        <w:spacing w:line="360" w:lineRule="auto"/>
      </w:pPr>
      <w:r>
        <w:t>La Ciudad de México es el Estado con mayor población en 2020, con un estimado de 9.21 millones de habitantes de acuerdo con el censo de población y vivienda (</w:t>
      </w:r>
      <w:r w:rsidR="00556500">
        <w:t>INEGI, 2020a</w:t>
      </w:r>
      <w:r>
        <w:t xml:space="preserve">), y de acuerdo con la Dirección General Jurídica y de Estudios Legislativos </w:t>
      </w:r>
      <w:r w:rsidR="006830D1">
        <w:t xml:space="preserve">está </w:t>
      </w:r>
      <w:r>
        <w:t>cuenta con 118 panteones para el mismo año, de los cuales el 87% de estos son públicos y el restante 13% pertenece a la propiedad privada. González Bernal en 2019 advierte que solo faltan 10 años para agotar todas las fosas disponibles de los panteones públicos de la Ciudad de México, esto antes de la pandemia provocada por el nuevo virus SARS-CoV-2, que causa la enfermedad de Covid-19 y que sin duda ha modificado las tasas de mortalidad en la Ciudad de México y en todo el país en general.</w:t>
      </w:r>
    </w:p>
    <w:p w14:paraId="0871FFEB" w14:textId="7B3EDE33" w:rsidR="00644151" w:rsidRDefault="00425878">
      <w:pPr>
        <w:spacing w:line="360" w:lineRule="auto"/>
      </w:pPr>
      <w:r>
        <w:t>Tomando en consideración que la Ciudad de México es de las ciudades más pobladas, con la mayor tasa de mortalidad del país, surgen diferentes interrogantes como: ¿Cuál será el estado actual de los panteones de la Ciudad de México?, ¿Qué factores influyen en la saturación o la no saturación de este servicio? ¿Cuál será el panorama de los cementerios de la ciudad de México en los próximos años?</w:t>
      </w:r>
    </w:p>
    <w:p w14:paraId="18738C33" w14:textId="77777777" w:rsidR="00644151" w:rsidRDefault="00425878">
      <w:pPr>
        <w:spacing w:line="360" w:lineRule="auto"/>
      </w:pPr>
      <w:r>
        <w:t>Para dar respuesta a estas interrogantes, se plantea el diseño y la construcción de una plantilla interactiva, que permite simular escenarios de ocupación del servicio público de panteones con base a parámetros preestablecidos que intervienen en la oferta y demanda del servicio, que permitan comprender la dinámica que se presentará en caso de continuar con las condiciones que predominaban hasta 2019, así como un escenario alterno en donde se muestre un aumento en las defunciones por un evento extraordinario como un temblor, una catástrofe natural o una pandemia, como la de covid-19.</w:t>
      </w:r>
    </w:p>
    <w:p w14:paraId="77C97C43" w14:textId="77777777" w:rsidR="00644151" w:rsidRDefault="00425878">
      <w:pPr>
        <w:pStyle w:val="Ttulo1"/>
      </w:pPr>
      <w:bookmarkStart w:id="5" w:name="_Toc89075359"/>
      <w:r>
        <w:lastRenderedPageBreak/>
        <w:t>Objetivos de investigación</w:t>
      </w:r>
      <w:bookmarkEnd w:id="5"/>
    </w:p>
    <w:p w14:paraId="07B101DE" w14:textId="77777777" w:rsidR="00644151" w:rsidRDefault="00425878">
      <w:pPr>
        <w:pStyle w:val="Ttulo2"/>
      </w:pPr>
      <w:bookmarkStart w:id="6" w:name="_Toc89075360"/>
      <w:r>
        <w:t>General</w:t>
      </w:r>
      <w:bookmarkEnd w:id="6"/>
    </w:p>
    <w:p w14:paraId="2CA147F0" w14:textId="14FFA6B5" w:rsidR="00644151" w:rsidRDefault="00425878">
      <w:pPr>
        <w:spacing w:line="360" w:lineRule="auto"/>
        <w:ind w:firstLine="708"/>
      </w:pPr>
      <w:r>
        <w:t>Construir una plantilla interactiva que simul</w:t>
      </w:r>
      <w:r w:rsidR="00A74C35">
        <w:t>e</w:t>
      </w:r>
      <w:r>
        <w:t xml:space="preserve"> escenarios de ocupación del servicio público de panteones en la Alcaldía Iztapalapa.</w:t>
      </w:r>
    </w:p>
    <w:p w14:paraId="4251950F" w14:textId="77777777" w:rsidR="00644151" w:rsidRDefault="00644151">
      <w:pPr>
        <w:spacing w:line="360" w:lineRule="auto"/>
        <w:ind w:firstLine="708"/>
      </w:pPr>
    </w:p>
    <w:p w14:paraId="4ED0363E" w14:textId="77777777" w:rsidR="00644151" w:rsidRDefault="00425878">
      <w:pPr>
        <w:pStyle w:val="Ttulo2"/>
      </w:pPr>
      <w:bookmarkStart w:id="7" w:name="_Toc89075361"/>
      <w:r>
        <w:t>Específicos</w:t>
      </w:r>
      <w:bookmarkEnd w:id="7"/>
    </w:p>
    <w:p w14:paraId="24BDC18A" w14:textId="77777777" w:rsidR="00644151" w:rsidRDefault="00425878">
      <w:pPr>
        <w:spacing w:line="360" w:lineRule="auto"/>
        <w:ind w:firstLine="708"/>
      </w:pPr>
      <w:r>
        <w:t>Describir las características demográficas y epidemiológicas de la población en la Alcaldía Iztapalapa, así como de los servicios de panteones que se brindan en la misma área de estudio.</w:t>
      </w:r>
    </w:p>
    <w:p w14:paraId="1EB69CE2" w14:textId="77777777" w:rsidR="00644151" w:rsidRDefault="00425878">
      <w:pPr>
        <w:spacing w:line="360" w:lineRule="auto"/>
        <w:ind w:firstLine="708"/>
      </w:pPr>
      <w:r>
        <w:t>Generar una base de datos que alimente la plantilla interactiva a desarrollar, a partir de los datos obtenidos, para su almacenamiento, procesamiento, análisis y representación cartográfica.</w:t>
      </w:r>
    </w:p>
    <w:p w14:paraId="5EAD4418" w14:textId="77777777" w:rsidR="00644151" w:rsidRDefault="00425878">
      <w:pPr>
        <w:spacing w:line="360" w:lineRule="auto"/>
        <w:ind w:firstLine="708"/>
      </w:pPr>
      <w:r>
        <w:t>Diseñar e implementar una plantilla interactiva para la generación de escenarios de ocupación, con base en la disponibilidad de fosas en los panteones de la Alcaldía y la dinámica en el servicio, con la finalidad de modelar diferentes entornos.</w:t>
      </w:r>
    </w:p>
    <w:p w14:paraId="381A3D30" w14:textId="77777777" w:rsidR="00644151" w:rsidRDefault="00644151">
      <w:pPr>
        <w:spacing w:line="360" w:lineRule="auto"/>
      </w:pPr>
    </w:p>
    <w:p w14:paraId="61AA2690" w14:textId="77777777" w:rsidR="00644151" w:rsidRDefault="00644151">
      <w:pPr>
        <w:spacing w:line="360" w:lineRule="auto"/>
      </w:pPr>
    </w:p>
    <w:p w14:paraId="57965121" w14:textId="77777777" w:rsidR="00644151" w:rsidRDefault="00644151">
      <w:pPr>
        <w:spacing w:line="360" w:lineRule="auto"/>
      </w:pPr>
    </w:p>
    <w:p w14:paraId="3CB351A1" w14:textId="77777777" w:rsidR="00644151" w:rsidRDefault="00644151">
      <w:pPr>
        <w:spacing w:line="360" w:lineRule="auto"/>
      </w:pPr>
    </w:p>
    <w:p w14:paraId="464F63E1" w14:textId="77777777" w:rsidR="00644151" w:rsidRDefault="00644151">
      <w:pPr>
        <w:spacing w:line="360" w:lineRule="auto"/>
      </w:pPr>
    </w:p>
    <w:p w14:paraId="6EB79922" w14:textId="77777777" w:rsidR="00644151" w:rsidRDefault="00644151">
      <w:pPr>
        <w:spacing w:line="360" w:lineRule="auto"/>
      </w:pPr>
    </w:p>
    <w:p w14:paraId="147AAADC" w14:textId="77777777" w:rsidR="00644151" w:rsidRDefault="00644151">
      <w:pPr>
        <w:spacing w:line="360" w:lineRule="auto"/>
      </w:pPr>
    </w:p>
    <w:p w14:paraId="40F976FD" w14:textId="77777777" w:rsidR="00644151" w:rsidRDefault="00644151">
      <w:pPr>
        <w:spacing w:line="360" w:lineRule="auto"/>
      </w:pPr>
    </w:p>
    <w:p w14:paraId="3D56A32C" w14:textId="77777777" w:rsidR="00644151" w:rsidRDefault="00644151">
      <w:pPr>
        <w:spacing w:line="360" w:lineRule="auto"/>
      </w:pPr>
    </w:p>
    <w:p w14:paraId="3FBEB1F7" w14:textId="77777777" w:rsidR="00644151" w:rsidRDefault="00425878">
      <w:pPr>
        <w:pStyle w:val="Ttulo1"/>
      </w:pPr>
      <w:bookmarkStart w:id="8" w:name="_Toc89075362"/>
      <w:r>
        <w:lastRenderedPageBreak/>
        <w:t>Justificación</w:t>
      </w:r>
      <w:bookmarkEnd w:id="8"/>
    </w:p>
    <w:p w14:paraId="11BE288D" w14:textId="77777777" w:rsidR="00644151" w:rsidRDefault="00425878">
      <w:pPr>
        <w:spacing w:line="360" w:lineRule="auto"/>
      </w:pPr>
      <w:r>
        <w:t>El presente proyecto busca mostrar un panorama general del servicio público de panteones, así como aportar una herramienta geoinformática, que permita simular escenarios de ocupación con la finalidad de modelar los periodos de saturación del servicio público de panteones. La programación y automatización de la herramienta, busca mostrar la importancia de adaptar las tecnologías actuales para plantear escenarios y contribuir a la toma de decisiones en el proceso de planificación de servicios en el sector público.</w:t>
      </w:r>
    </w:p>
    <w:p w14:paraId="47265834" w14:textId="369175BF" w:rsidR="00644151" w:rsidRDefault="00425878">
      <w:pPr>
        <w:spacing w:line="360" w:lineRule="auto"/>
      </w:pPr>
      <w:r>
        <w:t xml:space="preserve">Los motivos que llevaron a investigar este tema, es porque pareciera que existe poca información respecto a estos espacios, ya que hablar de cuestiones relacionadas con la muerte suele ser un tema </w:t>
      </w:r>
      <w:r w:rsidR="00A74C35">
        <w:t>incómodo para muchos</w:t>
      </w:r>
      <w:r>
        <w:t xml:space="preserve">, además de que el acceso a la información sobre este tipo de servicios tiende a no ser pública y se maneja de forma reservada, sobre todo porque la información se encuentra en forma análoga e incompleta. Sin embargo, no debemos olvidar que; los panteones han sido y son los lugares que proporcionan un espacio para llevar a cabo el proceso de inhumación de los habitantes de un cierto territorio, los cuales, están llenos de historia, creencias y guardan la memoria colectiva de nuestros antepasados (Romero, 2010). </w:t>
      </w:r>
    </w:p>
    <w:p w14:paraId="25129876" w14:textId="77777777" w:rsidR="00644151" w:rsidRDefault="00425878">
      <w:pPr>
        <w:spacing w:line="360" w:lineRule="auto"/>
      </w:pPr>
      <w:r>
        <w:t xml:space="preserve">Alcaraz Hernández en 2010 expresa que en la década de 1870 la Ciudad de México experimentó un acelerado crecimiento demográfico, hecho que llevó a ocasionar elevados índices de mortalidad y constantes epidemias debido a las condiciones insalubres de los cementerios que imperaban en la época.  El médico José María Reyes advertía que el método más eficaz para controlar la mortalidad no consistía en evitar el aire dañino o miasmas arrastrados por los vientos si no que, había que preocuparse por la insalubridad del entorno urbano. Diversos médicos e higienistas de la época coincidían que en los barrios más pobres de la ciudad se desarrollaban una multitud de enfermedades debido a los malos hábitos y prácticas antihigiénicas que predominaban entre los habitantes de la ciudad, llegando a causar la propagación de cólera, la viruela y el tifo y por consiguiente un aumento significativo en la mortalidad (Carrillo 2009, citado en Alcaraz, 2010). </w:t>
      </w:r>
      <w:r>
        <w:tab/>
        <w:t xml:space="preserve"> </w:t>
      </w:r>
    </w:p>
    <w:p w14:paraId="556FAAFA" w14:textId="77777777" w:rsidR="00644151" w:rsidRDefault="00425878">
      <w:pPr>
        <w:spacing w:line="360" w:lineRule="auto"/>
      </w:pPr>
      <w:r>
        <w:t xml:space="preserve">Mediante el desarrollo de este documento se pretende entonces, dar a conocer la importancia que tienen los panteones, la evolución que estos han presentado en el tiempo, la problemática de salud pública que se ha generado a consecuencia del agotamiento de fosas para la </w:t>
      </w:r>
      <w:r>
        <w:lastRenderedPageBreak/>
        <w:t>inhumación y alertar a las autoridades acerca de la planificación de estos lugares antes de que lleguen a su máxima capacidad, esto con la finalidad de mejorar o diseñar políticas públicas regulatorias que favorezcan la creación o ampliación de nuevos espacios destinados a este servicio, promoviendo la implementación de programas que contribuyan al ordenamiento de estos espacios mejorando su aspecto visual, o bien favorecer nuevas técnicas para la inhumación.</w:t>
      </w:r>
    </w:p>
    <w:p w14:paraId="37FF16EE" w14:textId="77777777" w:rsidR="00644151" w:rsidRDefault="00425878">
      <w:pPr>
        <w:spacing w:line="360" w:lineRule="auto"/>
      </w:pPr>
      <w:r>
        <w:t>El presente trabajo, se planteó en un principio, para la Ciudad de México, debido a sus características demográficas, ya que históricamente, la Ciudad de México ha sido la entidad más poblada y dinámica de todo el país. Pero, al momento de solicitar información a través del portal de transparencia, la respuesta por parte de las 16 Alcaldías fue distinta, ya que, cada Alcaldía tiene una manera diferente de administrar sus panteones y algunas inclusive no tienen contabilizado el total de fosas, que se encuentran bajo su jurisdicción, por tratarse de espacios antiguos, desordenados e inclusive abandonados.</w:t>
      </w:r>
    </w:p>
    <w:p w14:paraId="501F87B2" w14:textId="77777777" w:rsidR="00644151" w:rsidRDefault="00425878">
      <w:pPr>
        <w:spacing w:line="360" w:lineRule="auto"/>
      </w:pPr>
      <w:r>
        <w:t>Uno de los problemas actuales que enfrenta el gobierno local, es que no cuenta con un sistema para la administración y gestión de estos espacios, en muchos de los casos, no se conoce con certeza el número de fosas disponibles, mucho menos la clasificación a la que pertenece cada fosa, ya que no se cuenta con un registro digital, sólo con registros textuales en fichas que, en ocasiones sobrepasan al personal administrativo de cada panteón.</w:t>
      </w:r>
    </w:p>
    <w:p w14:paraId="64A58C55" w14:textId="055EE5C6" w:rsidR="00644151" w:rsidRDefault="00425878">
      <w:pPr>
        <w:spacing w:line="360" w:lineRule="auto"/>
      </w:pPr>
      <w:r>
        <w:t>La Alcaldía Iztapalapa cuenta con 10 panteones dentro de su administración territorial, de los cuales siete son vecinales</w:t>
      </w:r>
      <w:r>
        <w:rPr>
          <w:vertAlign w:val="superscript"/>
        </w:rPr>
        <w:footnoteReference w:id="1"/>
      </w:r>
      <w:r>
        <w:t>, uno delegacional</w:t>
      </w:r>
      <w:r>
        <w:rPr>
          <w:vertAlign w:val="superscript"/>
        </w:rPr>
        <w:footnoteReference w:id="2"/>
      </w:r>
      <w:r>
        <w:t xml:space="preserve"> y dos generales</w:t>
      </w:r>
      <w:r>
        <w:rPr>
          <w:vertAlign w:val="superscript"/>
        </w:rPr>
        <w:footnoteReference w:id="3"/>
      </w:r>
      <w:r>
        <w:t>; lo que la convierte en una de las Alcaldías con más panteones, pero, sobre todo, una de las alcaldías que cuenta con mayor número de fosas, con un estimado de 288 715 tan solo por detrás de la Alcaldía Miguel Hidalgo que registra 690 000 fosas (Gaceta Oficial, 2004).</w:t>
      </w:r>
    </w:p>
    <w:p w14:paraId="3E057C76" w14:textId="77777777" w:rsidR="00644151" w:rsidRDefault="00425878">
      <w:pPr>
        <w:spacing w:line="360" w:lineRule="auto"/>
      </w:pPr>
      <w:r>
        <w:t xml:space="preserve">El hecho de que la Alcaldía Iztapalapa cuenta con dos de los cinco panteones Generales de la Ciudad de México hace que sea una de las Alcaldías con mayor disponibilidad de fosas a temporalidad, lo que le da la característica de ser pieza fundamental en la planificación de </w:t>
      </w:r>
      <w:r>
        <w:lastRenderedPageBreak/>
        <w:t>este servicio, ya que, al conocer la vida útil de los panteones de la Alcaldía Iztapalapa, permitirá tener un panorama general del resto de panteones de la Ciudad de México.</w:t>
      </w:r>
    </w:p>
    <w:p w14:paraId="73847DB3" w14:textId="77777777" w:rsidR="00644151" w:rsidRDefault="00425878">
      <w:pPr>
        <w:spacing w:line="360" w:lineRule="auto"/>
      </w:pPr>
      <w:r>
        <w:t>La aportación principal del proyecto es: generar posibles escenarios de ocupación con base en el servicio de inhumación de la Alcaldía, que permitirá obtener estimaciones sobre la vida útil de los panteones en diversos casos, uno de ellos es el de continuar con la demanda que ha imperado hasta el 2019 sobre el servicio de entierro.</w:t>
      </w:r>
    </w:p>
    <w:p w14:paraId="3CD73D21" w14:textId="77777777" w:rsidR="00644151" w:rsidRDefault="00425878">
      <w:pPr>
        <w:spacing w:line="360" w:lineRule="auto"/>
      </w:pPr>
      <w:r>
        <w:t>El desarrollo de esta herramienta es trascendente a nivel social ya que apoyará en el proceso de la planificación urbana de estos espacios, al permitir tomar decisiones acertadas, con base en los resultados de las aproximaciones de las simulaciones que se planten, además, contribuirá a concientizar al personal y a los actores clave involucrados en el proceso de toma de decisiones.</w:t>
      </w:r>
    </w:p>
    <w:p w14:paraId="2850F3A1" w14:textId="24C13FD0" w:rsidR="00644151" w:rsidRDefault="00425878">
      <w:pPr>
        <w:spacing w:line="360" w:lineRule="auto"/>
      </w:pPr>
      <w:r>
        <w:t>Finalmente, la investigación es viable económicamente ya que, requiere de poca cantidad de dinero para llevarse a cabo. Además de que, existe disponibilidad e interés por parte de la Alcaldía Iztapalapa, para proporcionar información que fuese necesaria y que tengan a su disposición. Los resultados de este trabajo podrán orientar a quienes tienen en sus manos la gestión de estos espacios, para intervenir y actuar con antelación, pero, sobre todo, para concientizar la toma de decisiones basada en el análisis de l</w:t>
      </w:r>
      <w:r w:rsidR="009B31E5">
        <w:t>a información</w:t>
      </w:r>
      <w:r>
        <w:t>.</w:t>
      </w:r>
    </w:p>
    <w:p w14:paraId="449F3CC2" w14:textId="24B9E28F" w:rsidR="00644151" w:rsidRDefault="00644151">
      <w:pPr>
        <w:spacing w:line="360" w:lineRule="auto"/>
      </w:pPr>
    </w:p>
    <w:p w14:paraId="0A35532E" w14:textId="3AC4CD46" w:rsidR="009B31E5" w:rsidRDefault="009B31E5">
      <w:pPr>
        <w:spacing w:line="360" w:lineRule="auto"/>
      </w:pPr>
    </w:p>
    <w:p w14:paraId="2B03CDCC" w14:textId="4BFADD01" w:rsidR="009B31E5" w:rsidRDefault="009B31E5">
      <w:pPr>
        <w:spacing w:line="360" w:lineRule="auto"/>
      </w:pPr>
    </w:p>
    <w:p w14:paraId="71FD5DA8" w14:textId="1FFEDE42" w:rsidR="009B31E5" w:rsidRDefault="009B31E5">
      <w:pPr>
        <w:spacing w:line="360" w:lineRule="auto"/>
      </w:pPr>
    </w:p>
    <w:p w14:paraId="0FA156EE" w14:textId="77777777" w:rsidR="009B31E5" w:rsidRDefault="009B31E5">
      <w:pPr>
        <w:spacing w:line="360" w:lineRule="auto"/>
      </w:pPr>
    </w:p>
    <w:p w14:paraId="2BEAAD14" w14:textId="77777777" w:rsidR="00644151" w:rsidRDefault="00644151">
      <w:pPr>
        <w:spacing w:line="360" w:lineRule="auto"/>
      </w:pPr>
    </w:p>
    <w:p w14:paraId="64FEA07F" w14:textId="77777777" w:rsidR="00644151" w:rsidRDefault="00644151">
      <w:pPr>
        <w:spacing w:line="360" w:lineRule="auto"/>
      </w:pPr>
    </w:p>
    <w:p w14:paraId="176005E0" w14:textId="77777777" w:rsidR="00644151" w:rsidRDefault="00644151">
      <w:pPr>
        <w:spacing w:line="360" w:lineRule="auto"/>
      </w:pPr>
    </w:p>
    <w:p w14:paraId="59CE1EC4" w14:textId="77777777" w:rsidR="00644151" w:rsidRDefault="00425878">
      <w:pPr>
        <w:pStyle w:val="Ttulo1"/>
      </w:pPr>
      <w:bookmarkStart w:id="9" w:name="_Toc89075363"/>
      <w:r>
        <w:lastRenderedPageBreak/>
        <w:t>Antecedentes</w:t>
      </w:r>
      <w:bookmarkEnd w:id="9"/>
    </w:p>
    <w:p w14:paraId="5B6D40FC" w14:textId="4EFE53DB" w:rsidR="00644151" w:rsidRDefault="00425878" w:rsidP="00393F73">
      <w:pPr>
        <w:spacing w:line="360" w:lineRule="auto"/>
      </w:pPr>
      <w:bookmarkStart w:id="10" w:name="_heading=h.17dp8vu" w:colFirst="0" w:colLast="0"/>
      <w:bookmarkEnd w:id="10"/>
      <w:r w:rsidRPr="00953BD8">
        <w:t xml:space="preserve">Los antecedentes parten del objeto de estudio donde se </w:t>
      </w:r>
      <w:r w:rsidR="00393F73" w:rsidRPr="00953BD8">
        <w:t xml:space="preserve">da a conocer </w:t>
      </w:r>
      <w:r w:rsidR="00B63403" w:rsidRPr="00953BD8">
        <w:t xml:space="preserve">que son </w:t>
      </w:r>
      <w:r w:rsidR="00393F73" w:rsidRPr="00953BD8">
        <w:t xml:space="preserve">los panteones, su historia, evolución </w:t>
      </w:r>
      <w:r w:rsidR="00E47C91" w:rsidRPr="00953BD8">
        <w:t xml:space="preserve">y </w:t>
      </w:r>
      <w:r w:rsidR="00AF69D4" w:rsidRPr="00953BD8">
        <w:t xml:space="preserve">jurisdicción, así como la importancia de la mortalidad en la salud pública. También se aborda una descripción sobre </w:t>
      </w:r>
      <w:r w:rsidR="00393F73" w:rsidRPr="00953BD8">
        <w:t xml:space="preserve">aplicaciones </w:t>
      </w:r>
      <w:r w:rsidR="00A87006" w:rsidRPr="00953BD8">
        <w:t xml:space="preserve">y SIG (Sistemas Información Geográfica) en </w:t>
      </w:r>
      <w:r w:rsidR="00AF69D4" w:rsidRPr="00953BD8">
        <w:t>la web</w:t>
      </w:r>
      <w:r w:rsidR="00393F73" w:rsidRPr="00953BD8">
        <w:t>.</w:t>
      </w:r>
    </w:p>
    <w:p w14:paraId="7D3579CD" w14:textId="77777777" w:rsidR="00393F73" w:rsidRDefault="00393F73" w:rsidP="00393F73">
      <w:pPr>
        <w:spacing w:line="360" w:lineRule="auto"/>
      </w:pPr>
    </w:p>
    <w:p w14:paraId="0962F897" w14:textId="77777777" w:rsidR="00644151" w:rsidRDefault="00425878">
      <w:pPr>
        <w:pStyle w:val="Ttulo2"/>
      </w:pPr>
      <w:bookmarkStart w:id="11" w:name="_Toc89075364"/>
      <w:r>
        <w:t>Panteones</w:t>
      </w:r>
      <w:bookmarkEnd w:id="11"/>
    </w:p>
    <w:p w14:paraId="34E761B1" w14:textId="77777777" w:rsidR="00644151" w:rsidRDefault="00425878">
      <w:pPr>
        <w:spacing w:line="360" w:lineRule="auto"/>
      </w:pPr>
      <w:r>
        <w:t xml:space="preserve">Los panteones son espacios claramente delimitados, que dotan de servicios </w:t>
      </w:r>
      <w:proofErr w:type="spellStart"/>
      <w:r>
        <w:rPr>
          <w:i/>
        </w:rPr>
        <w:t>post-mortem</w:t>
      </w:r>
      <w:proofErr w:type="spellEnd"/>
      <w:r>
        <w:t xml:space="preserve"> a la población, en estos se encuentran diferentes espacios destinados para practicar el proceso de inhumación</w:t>
      </w:r>
      <w:r>
        <w:rPr>
          <w:vertAlign w:val="superscript"/>
        </w:rPr>
        <w:footnoteReference w:id="4"/>
      </w:r>
      <w:r>
        <w:t>, como son: fosas, tumbas, nichos y criptas. Desde el punto de vista de la administración pública los panteones son elementos de equipamiento urbano, inmuebles establecidos para alojar los restos mortuorios de seres humanos de manera digna y legal; proporcionando servicios de administración, ceremonias religiosas, inhumación, cremación</w:t>
      </w:r>
      <w:r>
        <w:rPr>
          <w:vertAlign w:val="superscript"/>
        </w:rPr>
        <w:footnoteReference w:id="5"/>
      </w:r>
      <w:r>
        <w:t>, exhumación</w:t>
      </w:r>
      <w:r>
        <w:rPr>
          <w:vertAlign w:val="superscript"/>
        </w:rPr>
        <w:footnoteReference w:id="6"/>
      </w:r>
      <w:r>
        <w:t>, mantenimiento y visitas a sepulcros, para satisfacer las necesidades de la población y su bienestar (SEDESOL, 1999).</w:t>
      </w:r>
    </w:p>
    <w:p w14:paraId="2B9B9CEB" w14:textId="71B678FD" w:rsidR="00644151" w:rsidRDefault="00425878">
      <w:pPr>
        <w:spacing w:line="360" w:lineRule="auto"/>
      </w:pPr>
      <w:r>
        <w:t xml:space="preserve">Alrededor del siglo XVII los entierros europeos estaban bajo el control de la iglesia, por lo que las inhumaciones se realizaban en los conventos, iglesias, ermitas y en el interior de las iglesias parroquiales. Debido al crecimiento natural poblacional, el </w:t>
      </w:r>
      <w:r w:rsidR="009B31E5">
        <w:t>término</w:t>
      </w:r>
      <w:r>
        <w:t xml:space="preserve"> del ciclo de vida o bien periodos de epidemias, con el paso del tiempo, los espacios para el entierro en las iglesias fueron sobrepasados, por lo que fue necesario tomar medidas, ante tal situación, ya que mantener o enterrar los cuerpos en un mismo lugar, representaba una situación de riesgo sanitario, ya que se consideraba que, las enfermedades infectocontagiosas eran causadas por emanaciones resultado de hedores y lixiviados generados por la descomposición cadavérica (</w:t>
      </w:r>
      <w:proofErr w:type="spellStart"/>
      <w:r>
        <w:t>Cuenya</w:t>
      </w:r>
      <w:proofErr w:type="spellEnd"/>
      <w:r>
        <w:t>, 2008).</w:t>
      </w:r>
    </w:p>
    <w:p w14:paraId="0BDFA024" w14:textId="5C6D0FB2" w:rsidR="00644151" w:rsidRDefault="00425878">
      <w:pPr>
        <w:spacing w:line="360" w:lineRule="auto"/>
      </w:pPr>
      <w:r>
        <w:t xml:space="preserve">En México históricamente era el clero el encargado de llevar las estadísticas de defunción mediante los registros parroquiales, que realizaba la iglesia católica, ya que en estas se </w:t>
      </w:r>
      <w:r>
        <w:lastRenderedPageBreak/>
        <w:t>realizaban los entierros de los pobladores (siglo XV al XVIII), por lo que fungía también como la figura de panteón. Los panteones durante décadas han sido considerados como lugares sagrados por los pobladores, ya que estos representaban un espacio destinado a la práctica del entierro, donde se mezcla creencia, cultura, y religión (Romero, 2010).</w:t>
      </w:r>
    </w:p>
    <w:p w14:paraId="1D0F4478" w14:textId="77777777" w:rsidR="00644151" w:rsidRDefault="00425878">
      <w:pPr>
        <w:spacing w:line="360" w:lineRule="auto"/>
      </w:pPr>
      <w:r>
        <w:t>Debido a las características espaciales de estas, pronto se vieron sobrepasada y sobrepobladas por las reducidas dimensiones lo que dio pasó al entierro al exterior de las iglesias y posteriormente a los primeros espacios de cementerio que se encontraban a las afueras del área urbana, en la periferia inmediata, o en zonas que no estuvieran destinadas al crecimiento urbano, para evitar que estos quedarán inmersos o cercanos a la población.</w:t>
      </w:r>
    </w:p>
    <w:p w14:paraId="6DC27CB1" w14:textId="7E3A22D4" w:rsidR="00644151" w:rsidRDefault="00425878">
      <w:pPr>
        <w:spacing w:line="360" w:lineRule="auto"/>
      </w:pPr>
      <w:r>
        <w:t>Es así como nace la figura de panteón</w:t>
      </w:r>
      <w:r w:rsidR="00F363E7">
        <w:t>, también conocido como cementerio</w:t>
      </w:r>
      <w:r>
        <w:t xml:space="preserve">, que hoy conocemos, como un espacio claramente delimitado que brinda el servicio </w:t>
      </w:r>
      <w:proofErr w:type="spellStart"/>
      <w:r>
        <w:t>post-mortem</w:t>
      </w:r>
      <w:proofErr w:type="spellEnd"/>
      <w:r>
        <w:t xml:space="preserve"> a la población, administrado en un principio por la iglesia católica, pero entre 1857 y 1859, como parte de las Leyes de Reforma (que separa la iglesia del Estado), el Estado asumió la administración de los panteones</w:t>
      </w:r>
      <w:r w:rsidR="004321EE">
        <w:t>,</w:t>
      </w:r>
      <w:r>
        <w:t xml:space="preserve"> donde los encargados de los registros queda</w:t>
      </w:r>
      <w:r w:rsidR="004321EE">
        <w:t>ron</w:t>
      </w:r>
      <w:r>
        <w:t xml:space="preserve"> a cargo de los Jueces del Registro Civil (Valdés, 2010).</w:t>
      </w:r>
    </w:p>
    <w:p w14:paraId="59368EFB" w14:textId="77777777" w:rsidR="00644151" w:rsidRDefault="00425878">
      <w:pPr>
        <w:spacing w:line="360" w:lineRule="auto"/>
      </w:pPr>
      <w:r>
        <w:t>La adquisición de un espacio para el entierro se realizaba a título de perpetuidad, lo que refiere al derecho de la propiedad de un espacio físico determinado en el panteón, donde se obtenía el derecho de mantener los restos en ese mismo lugar permanentemente. Debido a que la saturación era cosa común, y en épocas de epidemia la situación se agravaba, se planteó que los espacios para panteones se tendrían que encontrar a las afueras de la ciudad, en un lugar opuesto a los vientos dominantes, esto como medidas sanitarias de la época. Hoy en día es común encontrar panteones dentro de las poblaciones con mayor crecimiento poblacional, los casos más marcados son las ciudades de México, Guadalajara y Monterrey.</w:t>
      </w:r>
    </w:p>
    <w:p w14:paraId="1D18169E" w14:textId="76C927DF" w:rsidR="00644151" w:rsidRDefault="00425878">
      <w:pPr>
        <w:tabs>
          <w:tab w:val="left" w:pos="1440"/>
        </w:tabs>
        <w:spacing w:line="360" w:lineRule="auto"/>
      </w:pPr>
      <w:r>
        <w:t xml:space="preserve">En la Ciudad de México “desde 1857 hasta 1974, las fosas de los panteones se vendieron con títulos de perpetuidad, lo que significa que los restos que guardan no pueden ser exhumados; sin embargo, fue hasta el último cuarto del siglo XX, cuando la Ley de Hacienda del entonces Departamento del Distrito Federal estableció que a partir de ese entonces ya no se entregarán más títulos a perpetuidades, sino únicamente se otorgarán títulos a temporalidad” (Rangel Garrido, 2019). Con </w:t>
      </w:r>
      <w:r w:rsidR="00F363E7">
        <w:t>el</w:t>
      </w:r>
      <w:r>
        <w:t xml:space="preserve"> régimen</w:t>
      </w:r>
      <w:r w:rsidR="00F363E7">
        <w:t xml:space="preserve"> de temporalidad</w:t>
      </w:r>
      <w:r>
        <w:t xml:space="preserve">, se da comienzo a la renovación de un espacio para el entierro cada determinado tiempo, con el fin de evitar la saturación, abandono </w:t>
      </w:r>
      <w:r>
        <w:lastRenderedPageBreak/>
        <w:t>y agotamiento de los espacios disponibles para inhumar. El actual reglamento de Cementerios del Distrito Federal, que data del año 1984, señala que la temporalidad mínima de una fosa es de siete años la que podrá tener dos refrendos hasta llegar a una temporalidad máxima de 21 años.</w:t>
      </w:r>
    </w:p>
    <w:p w14:paraId="4028604C" w14:textId="6057623A" w:rsidR="00644151" w:rsidRDefault="00425878">
      <w:pPr>
        <w:spacing w:line="360" w:lineRule="auto"/>
      </w:pPr>
      <w:r>
        <w:t xml:space="preserve">De acuerdo con el reglamento de cementerios de la Ciudad de México, publicado en el Diario Oficial de la Federación en 1984, corresponde a la Dirección General Jurídica y de Estudios Legislativos supervisar la prestación de los servicios en los cementerios, los cuales están clasificados como: civiles generales, delegacionales, vecinales y concesionados (a cargo de un particular). Sin embargo, corresponde a las delegaciones (actualmente Alcaldías), prestar los servicios públicos de inhumación, exhumación y </w:t>
      </w:r>
      <w:proofErr w:type="spellStart"/>
      <w:r>
        <w:t>re</w:t>
      </w:r>
      <w:r w:rsidR="00A87006">
        <w:t>-</w:t>
      </w:r>
      <w:r>
        <w:t>inhumación</w:t>
      </w:r>
      <w:proofErr w:type="spellEnd"/>
      <w:r>
        <w:t xml:space="preserve"> de cadáveres, restos humanos, y restos humanos áridos o cremados en los panteones civiles generales, delegacionales y vecinales </w:t>
      </w:r>
      <w:r w:rsidRPr="00F363E7">
        <w:t>(</w:t>
      </w:r>
      <w:r w:rsidR="004321EE" w:rsidRPr="004321EE">
        <w:t>Diario Oficial de la Federación</w:t>
      </w:r>
      <w:r w:rsidRPr="00F363E7">
        <w:t>, 1984).</w:t>
      </w:r>
    </w:p>
    <w:p w14:paraId="68032696" w14:textId="77777777" w:rsidR="00644151" w:rsidRDefault="00425878">
      <w:pPr>
        <w:spacing w:line="360" w:lineRule="auto"/>
      </w:pPr>
      <w:r>
        <w:t>Los panteones civiles generales son los únicos panteones oficiales en la Ciudad de México, que brindan el servicio de inhumación y servicios complementarios al público en general sin importar su procedencia; en los panteones delegacionales, se brindan los mismos servicios, única y exclusivamente a los habitantes de la demarcación; y en los panteones civiles vecinales, también se entierran cadáveres y se prestan diversos servicios, sin embargo, únicamente a los habitantes de los pueblos y barrios correspondientes al área vecinal donde están ubicados.</w:t>
      </w:r>
    </w:p>
    <w:p w14:paraId="5BEC46AC" w14:textId="3327D49E" w:rsidR="00644151" w:rsidRDefault="00425878">
      <w:pPr>
        <w:spacing w:line="360" w:lineRule="auto"/>
      </w:pPr>
      <w:r>
        <w:t>En 2007 se publicó en la gaceta oficial del distrito federal el Programa de Regularización de Títulos de Fosas a Perpetuidad en Cementerios Públicos, que busca regularizar los títulos de fosas a perpetuidad de los cementerios públicos, para otorgar certeza y seguridad jurídica a los titulares. Este programa tiene miras a recuperar las fosas que se encuentran abandonadas en panteones delegacionales, así como panteones generales, sin embargo, ha tenido muy poco éxito ya que para el periodo 2004-2006 solo se tenían el 1.7% de las fosas a perpetuidades regularizadas que representa 19 660 fosas regularizadas (Gaceta Oficial del Distrito Federal, 200</w:t>
      </w:r>
      <w:r w:rsidR="004321EE">
        <w:t>8</w:t>
      </w:r>
      <w:r>
        <w:t>).</w:t>
      </w:r>
    </w:p>
    <w:p w14:paraId="126009D5" w14:textId="77777777" w:rsidR="00644151" w:rsidRDefault="00644151">
      <w:pPr>
        <w:spacing w:line="360" w:lineRule="auto"/>
      </w:pPr>
    </w:p>
    <w:p w14:paraId="0965DF96" w14:textId="77777777" w:rsidR="00644151" w:rsidRDefault="00425878">
      <w:pPr>
        <w:pStyle w:val="Ttulo2"/>
      </w:pPr>
      <w:bookmarkStart w:id="12" w:name="_Toc89075365"/>
      <w:r>
        <w:lastRenderedPageBreak/>
        <w:t>M</w:t>
      </w:r>
      <w:r>
        <w:rPr>
          <w:sz w:val="24"/>
          <w:szCs w:val="24"/>
        </w:rPr>
        <w:t>ortalidad</w:t>
      </w:r>
      <w:bookmarkEnd w:id="12"/>
    </w:p>
    <w:p w14:paraId="243F419B" w14:textId="77777777" w:rsidR="00644151" w:rsidRDefault="00425878">
      <w:pPr>
        <w:spacing w:line="360" w:lineRule="auto"/>
      </w:pPr>
      <w:r>
        <w:t xml:space="preserve">Los datos de mortalidad de la Organización Mundial de la Salud (OMS), reflejan las defunciones registradas en los sistemas nacionales de registro civil. La importancia de las estadísticas de mortalidad radica en que éstas han sido la fuente de datos más accesible, completa y relativamente confiable para el conocimiento de los problemas de salud y para la administración de servicios de salud (Fernández, 1983). </w:t>
      </w:r>
    </w:p>
    <w:p w14:paraId="29C48F0F" w14:textId="6608D893" w:rsidR="00644151" w:rsidRDefault="00425878">
      <w:pPr>
        <w:spacing w:line="360" w:lineRule="auto"/>
      </w:pPr>
      <w:r>
        <w:t>En 1948 la OMS, aprobó la sexta revisión de la clasificación internacional de enfermedades y con ella recomendó un modelo estándar de certificado médico de defunción, para lograr la comparabilidad internacional en la información de las causas de muerte y en la producción de estadísticas (Bustamante et al. 1990). En la actualidad nos encontramos en la décima revisión de la clasificación internacional de enfermedades (CIE-10)</w:t>
      </w:r>
      <w:r w:rsidR="00F363E7">
        <w:t>.</w:t>
      </w:r>
    </w:p>
    <w:p w14:paraId="74B0EB51" w14:textId="77777777" w:rsidR="00644151" w:rsidRDefault="00425878">
      <w:pPr>
        <w:spacing w:line="360" w:lineRule="auto"/>
      </w:pPr>
      <w:r>
        <w:t>De acuerdo con el INEGI (2016) la mortalidad es fundamental para comprender la dinámica del crecimiento de la población, algunos estudios han demostrado que las estadísticas de defunciones generales proporcionan información para el análisis, diseño y evaluación para proporcionar seguimiento a acciones dirigidas a la elaboración de políticas y programas de salud pública, así como para controlar enfermedades infecciosas y epidemiológicas.</w:t>
      </w:r>
    </w:p>
    <w:p w14:paraId="42407D75" w14:textId="4815F3C2" w:rsidR="00644151" w:rsidRDefault="00425878">
      <w:pPr>
        <w:spacing w:line="360" w:lineRule="auto"/>
      </w:pPr>
      <w:r>
        <w:t>En México, el Centro Colaborador para la familia de Clasificaciones Internacionales de la OMS, el CEMECE es la instancia que promueve y vigila el uso correcto de la misma, en conjunto con el INEGI, genera información de defunciones comparable internacionalmente. En 2019, se contaba con tres formatos donde se capta la información estadística de mortalidad, el certificado de defunción, el acta de defunción y el cuaderno de defunción, gracias a estos, se cuenta con información disponible a nivel Nacional para el periodo 1998-2019, que puede ser consultada a través de cubos dinámicos de información</w:t>
      </w:r>
      <w:r w:rsidR="00F363E7">
        <w:t xml:space="preserve"> en la página oficial de la Secretaría de Salud</w:t>
      </w:r>
      <w:r>
        <w:t>.</w:t>
      </w:r>
    </w:p>
    <w:p w14:paraId="0D3530B2" w14:textId="23EB1612" w:rsidR="00F363E7" w:rsidRDefault="00F363E7">
      <w:pPr>
        <w:spacing w:line="360" w:lineRule="auto"/>
        <w:rPr>
          <w:color w:val="7030A0"/>
          <w:sz w:val="28"/>
          <w:szCs w:val="28"/>
        </w:rPr>
      </w:pPr>
    </w:p>
    <w:p w14:paraId="0CBA867C" w14:textId="6AC603A2" w:rsidR="00A87006" w:rsidRDefault="00A87006">
      <w:pPr>
        <w:spacing w:line="360" w:lineRule="auto"/>
        <w:rPr>
          <w:color w:val="7030A0"/>
          <w:sz w:val="28"/>
          <w:szCs w:val="28"/>
        </w:rPr>
      </w:pPr>
    </w:p>
    <w:p w14:paraId="49864DB8" w14:textId="77777777" w:rsidR="00A87006" w:rsidRDefault="00A87006">
      <w:pPr>
        <w:spacing w:line="360" w:lineRule="auto"/>
        <w:rPr>
          <w:color w:val="7030A0"/>
          <w:sz w:val="28"/>
          <w:szCs w:val="28"/>
        </w:rPr>
      </w:pPr>
    </w:p>
    <w:p w14:paraId="2F4C96D7" w14:textId="3DF69228" w:rsidR="00644151" w:rsidRDefault="00F363E7">
      <w:pPr>
        <w:pStyle w:val="Ttulo2"/>
      </w:pPr>
      <w:bookmarkStart w:id="13" w:name="_Toc89075366"/>
      <w:r>
        <w:lastRenderedPageBreak/>
        <w:t>Aplicaciones web</w:t>
      </w:r>
      <w:bookmarkEnd w:id="13"/>
    </w:p>
    <w:p w14:paraId="2CBD6852" w14:textId="5A1BCE4F" w:rsidR="00127825" w:rsidRDefault="00127825" w:rsidP="00127825">
      <w:pPr>
        <w:spacing w:line="360" w:lineRule="auto"/>
      </w:pPr>
      <w:r w:rsidRPr="00127825">
        <w:t xml:space="preserve">En </w:t>
      </w:r>
      <w:r w:rsidR="00533BE6">
        <w:t xml:space="preserve">los </w:t>
      </w:r>
      <w:r>
        <w:t xml:space="preserve">últimos años el mundo ha cambiado sustancialmente y con ello la forma de comunicarnos, hace tan solo unos años los diarios, la televisión y la radio eran los medios donde se difundía la información, pero con la llegada de la </w:t>
      </w:r>
      <w:r w:rsidR="009711BD">
        <w:t>W</w:t>
      </w:r>
      <w:r>
        <w:t xml:space="preserve">eb y su rápida evolución, los medios digitales se han vuelto un medio indispensable y eficiente para </w:t>
      </w:r>
      <w:r w:rsidR="009711BD">
        <w:t>la intercomunicación.</w:t>
      </w:r>
      <w:r>
        <w:t xml:space="preserve"> </w:t>
      </w:r>
    </w:p>
    <w:p w14:paraId="19A94F3E" w14:textId="181AD771" w:rsidR="00127825" w:rsidRDefault="009711BD" w:rsidP="006D076E">
      <w:pPr>
        <w:spacing w:line="360" w:lineRule="auto"/>
      </w:pPr>
      <w:r>
        <w:t>Al inicio de la era Web</w:t>
      </w:r>
      <w:r w:rsidR="006D076E">
        <w:t>,</w:t>
      </w:r>
      <w:r>
        <w:t xml:space="preserve"> era común las </w:t>
      </w:r>
      <w:r w:rsidR="00127825" w:rsidRPr="00127825">
        <w:t>páginas sencillas</w:t>
      </w:r>
      <w:r>
        <w:t xml:space="preserve"> </w:t>
      </w:r>
      <w:r w:rsidRPr="009711BD">
        <w:t>con pocas imágenes y contenidos estáticos</w:t>
      </w:r>
      <w:r>
        <w:t>,</w:t>
      </w:r>
      <w:r w:rsidR="006D076E">
        <w:t xml:space="preserve"> la web eran básicamente de solo lectura la que permitía una interacción con el usuario prácticamente nula,</w:t>
      </w:r>
      <w:r>
        <w:t xml:space="preserve"> que rápidamente evoluciono </w:t>
      </w:r>
      <w:r w:rsidRPr="009711BD">
        <w:t>a páginas complejas con contenidos dinámicos</w:t>
      </w:r>
      <w:r>
        <w:t xml:space="preserve"> </w:t>
      </w:r>
      <w:r w:rsidR="00127825" w:rsidRPr="00127825">
        <w:t xml:space="preserve">que provienen de base de datos, lo que </w:t>
      </w:r>
      <w:r>
        <w:t xml:space="preserve">ha </w:t>
      </w:r>
      <w:r w:rsidR="00127825" w:rsidRPr="00127825">
        <w:t>permit</w:t>
      </w:r>
      <w:r>
        <w:t>ido</w:t>
      </w:r>
      <w:r w:rsidR="00127825" w:rsidRPr="00127825">
        <w:t xml:space="preserve"> la creación de </w:t>
      </w:r>
      <w:r w:rsidR="006D076E">
        <w:t>diversas aplicaciones</w:t>
      </w:r>
      <w:r w:rsidR="00127825" w:rsidRPr="00127825">
        <w:t xml:space="preserve"> web</w:t>
      </w:r>
      <w:r w:rsidR="00CC3DAE">
        <w:t>, para su consulta, descarga o manipulación</w:t>
      </w:r>
      <w:r>
        <w:t xml:space="preserve">. </w:t>
      </w:r>
      <w:r w:rsidR="006D076E">
        <w:t>U</w:t>
      </w:r>
      <w:r w:rsidRPr="009711BD">
        <w:t xml:space="preserve">na aplicación web puede </w:t>
      </w:r>
      <w:r w:rsidR="006D076E">
        <w:t xml:space="preserve">ser </w:t>
      </w:r>
      <w:r w:rsidRPr="009711BD">
        <w:t>defini</w:t>
      </w:r>
      <w:r w:rsidR="006D076E">
        <w:t>da</w:t>
      </w:r>
      <w:r w:rsidRPr="009711BD">
        <w:t xml:space="preserve"> </w:t>
      </w:r>
      <w:r w:rsidR="006D076E">
        <w:t xml:space="preserve">de forma sencilla </w:t>
      </w:r>
      <w:r w:rsidRPr="009711BD">
        <w:t>como una aplicación en la cual un usuario por medio de un navegador realiza peticiones a una aplicación remota accesible a través de Internet (o a través de una intranet) y que recibe una respuesta que se muestra en el propio navegador</w:t>
      </w:r>
      <w:r>
        <w:t xml:space="preserve"> </w:t>
      </w:r>
      <w:r>
        <w:rPr>
          <w:noProof/>
        </w:rPr>
        <w:t>(Luján, 2002)</w:t>
      </w:r>
      <w:r w:rsidRPr="009711BD">
        <w:t>.</w:t>
      </w:r>
    </w:p>
    <w:p w14:paraId="1084F97C" w14:textId="1126EF55" w:rsidR="009711BD" w:rsidRDefault="006D076E" w:rsidP="006D076E">
      <w:pPr>
        <w:spacing w:line="360" w:lineRule="auto"/>
      </w:pPr>
      <w:r>
        <w:t xml:space="preserve">Las aplicaciones web </w:t>
      </w:r>
      <w:r w:rsidR="00533BE6">
        <w:t>son</w:t>
      </w:r>
      <w:r w:rsidRPr="006D076E">
        <w:t xml:space="preserve"> una </w:t>
      </w:r>
      <w:r w:rsidR="0092597B" w:rsidRPr="006D076E">
        <w:t>interfaz</w:t>
      </w:r>
      <w:r w:rsidRPr="006D076E">
        <w:t xml:space="preserve"> entre un formulario diseñado específicamente para cubrir con las necesidades</w:t>
      </w:r>
      <w:r w:rsidR="0092597B">
        <w:t xml:space="preserve"> de un cliente, permitiendo </w:t>
      </w:r>
      <w:r>
        <w:t>la creación de páginas personalizadas. Además</w:t>
      </w:r>
      <w:r w:rsidR="00CC3DAE">
        <w:t xml:space="preserve"> de</w:t>
      </w:r>
      <w:r>
        <w:t xml:space="preserve"> permit</w:t>
      </w:r>
      <w:r w:rsidR="00CC3DAE">
        <w:t>ir</w:t>
      </w:r>
      <w:r>
        <w:t xml:space="preserve"> interactuar con los sistemas informáticos de gestión de una empresa, como puede ser </w:t>
      </w:r>
      <w:r w:rsidR="0092597B" w:rsidRPr="0092597B">
        <w:t>sistemas administrativos</w:t>
      </w:r>
      <w:r>
        <w:t xml:space="preserve">, </w:t>
      </w:r>
      <w:r w:rsidR="0092597B">
        <w:t>contabilidad, inventario</w:t>
      </w:r>
      <w:r>
        <w:t>,</w:t>
      </w:r>
      <w:r w:rsidR="0092597B">
        <w:t xml:space="preserve"> </w:t>
      </w:r>
      <w:r w:rsidR="0092597B" w:rsidRPr="0092597B">
        <w:t>facturación</w:t>
      </w:r>
      <w:r w:rsidR="00E0306C">
        <w:t>, etc.</w:t>
      </w:r>
      <w:r>
        <w:t xml:space="preserve"> a través de una página web.</w:t>
      </w:r>
    </w:p>
    <w:p w14:paraId="3867AE1B" w14:textId="5BA1C324" w:rsidR="001F6764" w:rsidRDefault="001F6764" w:rsidP="001F6764">
      <w:pPr>
        <w:spacing w:line="360" w:lineRule="auto"/>
      </w:pPr>
      <w:r>
        <w:t>Al igual que Internet, el desarrollo de la Web no se debe a una única persona</w:t>
      </w:r>
      <w:r w:rsidR="00CC3DAE">
        <w:t xml:space="preserve">, </w:t>
      </w:r>
      <w:r w:rsidR="00CC3DAE">
        <w:rPr>
          <w:noProof/>
        </w:rPr>
        <w:t>Luján (2002)</w:t>
      </w:r>
      <w:r>
        <w:t xml:space="preserve"> </w:t>
      </w:r>
      <w:r w:rsidR="00CC3DAE">
        <w:t xml:space="preserve">resume que es </w:t>
      </w:r>
      <w:r>
        <w:t xml:space="preserve">Tim </w:t>
      </w:r>
      <w:proofErr w:type="spellStart"/>
      <w:r>
        <w:t>Bernes</w:t>
      </w:r>
      <w:proofErr w:type="spellEnd"/>
      <w:r>
        <w:t>-Lee</w:t>
      </w:r>
      <w:r w:rsidR="00CC3DAE">
        <w:t xml:space="preserve"> a quien se le deben</w:t>
      </w:r>
      <w:r>
        <w:t xml:space="preserve"> los tres elementos que fueron clave en el nacimiento de la Web</w:t>
      </w:r>
      <w:r w:rsidR="00CC3DAE">
        <w:t xml:space="preserve"> que son</w:t>
      </w:r>
      <w:r>
        <w:t>:</w:t>
      </w:r>
    </w:p>
    <w:p w14:paraId="18D4049A" w14:textId="0DE4E51F" w:rsidR="001F6764" w:rsidRDefault="001F6764" w:rsidP="00CC3DAE">
      <w:pPr>
        <w:pStyle w:val="Prrafodelista"/>
        <w:numPr>
          <w:ilvl w:val="0"/>
          <w:numId w:val="3"/>
        </w:numPr>
        <w:spacing w:line="360" w:lineRule="auto"/>
      </w:pPr>
      <w:r>
        <w:t xml:space="preserve">HTML como lenguaje para crear los contenidos de la Web, basado en Standard </w:t>
      </w:r>
      <w:proofErr w:type="spellStart"/>
      <w:r>
        <w:t>Generalized</w:t>
      </w:r>
      <w:proofErr w:type="spellEnd"/>
      <w:r>
        <w:t xml:space="preserve"> </w:t>
      </w:r>
      <w:proofErr w:type="spellStart"/>
      <w:r>
        <w:t>Markup</w:t>
      </w:r>
      <w:proofErr w:type="spellEnd"/>
      <w:r>
        <w:t xml:space="preserve"> </w:t>
      </w:r>
      <w:proofErr w:type="spellStart"/>
      <w:r>
        <w:t>Language</w:t>
      </w:r>
      <w:proofErr w:type="spellEnd"/>
      <w:r>
        <w:t xml:space="preserve"> (SGML).</w:t>
      </w:r>
    </w:p>
    <w:p w14:paraId="18C13B6C" w14:textId="255055A3" w:rsidR="001F6764" w:rsidRDefault="001F6764" w:rsidP="00CC3DAE">
      <w:pPr>
        <w:pStyle w:val="Prrafodelista"/>
        <w:numPr>
          <w:ilvl w:val="0"/>
          <w:numId w:val="3"/>
        </w:numPr>
        <w:spacing w:line="360" w:lineRule="auto"/>
      </w:pPr>
      <w:r>
        <w:t>HTTP como protocolo de comunicación entre los ordenadores de la Web, encargado de la transferencia de las páginas web y demás recursos.</w:t>
      </w:r>
    </w:p>
    <w:p w14:paraId="66EAD863" w14:textId="7ED1399F" w:rsidR="001F6764" w:rsidRDefault="001F6764" w:rsidP="00CC3DAE">
      <w:pPr>
        <w:pStyle w:val="Prrafodelista"/>
        <w:numPr>
          <w:ilvl w:val="0"/>
          <w:numId w:val="3"/>
        </w:numPr>
        <w:spacing w:line="360" w:lineRule="auto"/>
      </w:pPr>
      <w:r>
        <w:t>URL como medio de localización (direccionamiento) de los distintos recursos en Internet</w:t>
      </w:r>
    </w:p>
    <w:p w14:paraId="4A592ED4" w14:textId="77777777" w:rsidR="006D076E" w:rsidRDefault="006D076E" w:rsidP="006D076E">
      <w:pPr>
        <w:spacing w:line="360" w:lineRule="auto"/>
      </w:pPr>
    </w:p>
    <w:p w14:paraId="6979710F" w14:textId="188DB257" w:rsidR="00CC3DAE" w:rsidRDefault="00533BE6" w:rsidP="00CC3DAE">
      <w:pPr>
        <w:spacing w:line="360" w:lineRule="auto"/>
      </w:pPr>
      <w:r>
        <w:lastRenderedPageBreak/>
        <w:t>De esta forma l</w:t>
      </w:r>
      <w:r w:rsidR="00CC3DAE" w:rsidRPr="00CC3DAE">
        <w:t>as aplicaciones web se encuadran dentro de las arquitecturas cliente/servidor: un ordenador solicita servicios (el cliente) y otro está a la espera de recibir solicitudes y las responde (el servidor).</w:t>
      </w:r>
      <w:r w:rsidR="00CC3DAE">
        <w:t xml:space="preserve"> Son los formularios la herramienta que ofrece HTML para poder obtener información de un usuario que visita una página HTML y enviarla al servidor web para su procesamiento</w:t>
      </w:r>
    </w:p>
    <w:p w14:paraId="38A3047A" w14:textId="47283B92" w:rsidR="00644151" w:rsidRDefault="00425878" w:rsidP="00127825">
      <w:pPr>
        <w:spacing w:before="240" w:after="240" w:line="360" w:lineRule="auto"/>
      </w:pPr>
      <w:r>
        <w:t>WMS proporciona una sencilla interfaz http para solicitar imágenes de mapas desde una o más archivos o bases de datos geoespaciales distribuidas. Una petición WMS define la capa(s) geográficas y área de interés para ser procesados. La respuesta a la solicitud es una o más imágenes de mapas (devuelto como JPEG, PNG, etc.) que se puede mostrar en una aplicación de navegador.</w:t>
      </w:r>
    </w:p>
    <w:p w14:paraId="4F7F1F5A" w14:textId="66214BB3" w:rsidR="006D076E" w:rsidRDefault="006D076E" w:rsidP="00127825">
      <w:pPr>
        <w:spacing w:before="240" w:after="240" w:line="360" w:lineRule="auto"/>
      </w:pPr>
    </w:p>
    <w:p w14:paraId="26621155" w14:textId="1B3FB4A9" w:rsidR="00CF2DBC" w:rsidRDefault="00CF2DBC" w:rsidP="00127825">
      <w:pPr>
        <w:spacing w:before="240" w:after="240" w:line="360" w:lineRule="auto"/>
      </w:pPr>
    </w:p>
    <w:p w14:paraId="76027582" w14:textId="5762EC51" w:rsidR="00CF2DBC" w:rsidRDefault="00CF2DBC" w:rsidP="00127825">
      <w:pPr>
        <w:spacing w:before="240" w:after="240" w:line="360" w:lineRule="auto"/>
      </w:pPr>
    </w:p>
    <w:p w14:paraId="0910D571" w14:textId="65D906BF" w:rsidR="00CF2DBC" w:rsidRDefault="00CF2DBC" w:rsidP="00127825">
      <w:pPr>
        <w:spacing w:before="240" w:after="240" w:line="360" w:lineRule="auto"/>
      </w:pPr>
    </w:p>
    <w:p w14:paraId="51E4BE27" w14:textId="4F5FC62B" w:rsidR="00CF2DBC" w:rsidRDefault="00CF2DBC" w:rsidP="00127825">
      <w:pPr>
        <w:spacing w:before="240" w:after="240" w:line="360" w:lineRule="auto"/>
      </w:pPr>
    </w:p>
    <w:p w14:paraId="28423DF5" w14:textId="104FADC8" w:rsidR="00CF2DBC" w:rsidRDefault="00CF2DBC" w:rsidP="00127825">
      <w:pPr>
        <w:spacing w:before="240" w:after="240" w:line="360" w:lineRule="auto"/>
      </w:pPr>
    </w:p>
    <w:p w14:paraId="5BCA99F6" w14:textId="06815713" w:rsidR="00CF2DBC" w:rsidRDefault="00CF2DBC" w:rsidP="00127825">
      <w:pPr>
        <w:spacing w:before="240" w:after="240" w:line="360" w:lineRule="auto"/>
      </w:pPr>
    </w:p>
    <w:p w14:paraId="2AF62C2D" w14:textId="41097DA2" w:rsidR="00CF2DBC" w:rsidRDefault="00CF2DBC" w:rsidP="00127825">
      <w:pPr>
        <w:spacing w:before="240" w:after="240" w:line="360" w:lineRule="auto"/>
      </w:pPr>
    </w:p>
    <w:p w14:paraId="24258E0A" w14:textId="77777777" w:rsidR="00CF2DBC" w:rsidRDefault="00CF2DBC" w:rsidP="00127825">
      <w:pPr>
        <w:spacing w:before="240" w:after="240" w:line="360" w:lineRule="auto"/>
      </w:pPr>
    </w:p>
    <w:p w14:paraId="445C5518" w14:textId="25395103" w:rsidR="006D076E" w:rsidRDefault="006D076E" w:rsidP="00127825">
      <w:pPr>
        <w:spacing w:before="240" w:after="240" w:line="360" w:lineRule="auto"/>
      </w:pPr>
    </w:p>
    <w:p w14:paraId="22E5AB05" w14:textId="5FDEAADE" w:rsidR="006D076E" w:rsidRDefault="006D076E" w:rsidP="00127825">
      <w:pPr>
        <w:spacing w:before="240" w:after="240" w:line="360" w:lineRule="auto"/>
      </w:pPr>
    </w:p>
    <w:p w14:paraId="7C4DEE7F" w14:textId="54C374E6" w:rsidR="006D076E" w:rsidRDefault="006D076E" w:rsidP="00127825">
      <w:pPr>
        <w:spacing w:before="240" w:after="240" w:line="360" w:lineRule="auto"/>
      </w:pPr>
    </w:p>
    <w:p w14:paraId="696871A5" w14:textId="66DCBBD4" w:rsidR="006D076E" w:rsidRDefault="006D076E" w:rsidP="00127825">
      <w:pPr>
        <w:spacing w:before="240" w:after="240" w:line="360" w:lineRule="auto"/>
      </w:pPr>
    </w:p>
    <w:p w14:paraId="3D1E9BA4" w14:textId="5A45C46F" w:rsidR="006D076E" w:rsidRDefault="006D076E" w:rsidP="00127825">
      <w:pPr>
        <w:spacing w:before="240" w:after="240" w:line="360" w:lineRule="auto"/>
      </w:pPr>
    </w:p>
    <w:p w14:paraId="418DB8B5" w14:textId="77777777" w:rsidR="006D076E" w:rsidRDefault="006D076E" w:rsidP="00127825">
      <w:pPr>
        <w:spacing w:before="240" w:after="240" w:line="360" w:lineRule="auto"/>
      </w:pPr>
    </w:p>
    <w:p w14:paraId="464B2A4C" w14:textId="4CA28D16" w:rsidR="00F363E7" w:rsidRDefault="00F363E7">
      <w:pPr>
        <w:spacing w:before="240" w:after="240" w:line="360" w:lineRule="auto"/>
      </w:pPr>
    </w:p>
    <w:p w14:paraId="130B58EA" w14:textId="77777777" w:rsidR="00F363E7" w:rsidRDefault="00F363E7">
      <w:pPr>
        <w:spacing w:before="240" w:after="240" w:line="360" w:lineRule="auto"/>
      </w:pPr>
    </w:p>
    <w:p w14:paraId="60EF92F0" w14:textId="77777777" w:rsidR="00644151" w:rsidRDefault="00644151">
      <w:pPr>
        <w:spacing w:line="360" w:lineRule="auto"/>
      </w:pPr>
    </w:p>
    <w:p w14:paraId="61E4DA20" w14:textId="77777777" w:rsidR="00644151" w:rsidRDefault="00644151">
      <w:pPr>
        <w:spacing w:line="360" w:lineRule="auto"/>
      </w:pPr>
    </w:p>
    <w:p w14:paraId="2390EEC5" w14:textId="77777777" w:rsidR="00644151" w:rsidRDefault="00644151">
      <w:pPr>
        <w:spacing w:line="360" w:lineRule="auto"/>
      </w:pPr>
    </w:p>
    <w:p w14:paraId="0A24B9B0" w14:textId="77777777" w:rsidR="00644151" w:rsidRDefault="00644151">
      <w:pPr>
        <w:spacing w:line="360" w:lineRule="auto"/>
      </w:pPr>
    </w:p>
    <w:p w14:paraId="5D20D7FC" w14:textId="77777777" w:rsidR="00644151" w:rsidRDefault="00644151">
      <w:pPr>
        <w:spacing w:line="360" w:lineRule="auto"/>
      </w:pPr>
    </w:p>
    <w:p w14:paraId="500ABB9B" w14:textId="77777777" w:rsidR="00644151" w:rsidRDefault="00644151">
      <w:pPr>
        <w:spacing w:line="360" w:lineRule="auto"/>
      </w:pPr>
    </w:p>
    <w:p w14:paraId="46CC1A13" w14:textId="77777777" w:rsidR="00644151" w:rsidRDefault="00644151">
      <w:pPr>
        <w:spacing w:line="360" w:lineRule="auto"/>
      </w:pPr>
    </w:p>
    <w:p w14:paraId="1F1132E8" w14:textId="77777777" w:rsidR="00644151" w:rsidRDefault="00644151">
      <w:pPr>
        <w:spacing w:line="360" w:lineRule="auto"/>
      </w:pPr>
    </w:p>
    <w:p w14:paraId="71DAA640" w14:textId="77777777" w:rsidR="00644151" w:rsidRDefault="00644151">
      <w:pPr>
        <w:spacing w:line="360" w:lineRule="auto"/>
      </w:pPr>
    </w:p>
    <w:p w14:paraId="6C28D963" w14:textId="77777777" w:rsidR="00644151" w:rsidRDefault="00644151">
      <w:pPr>
        <w:spacing w:line="360" w:lineRule="auto"/>
      </w:pPr>
    </w:p>
    <w:p w14:paraId="762899C8" w14:textId="77777777" w:rsidR="00644151" w:rsidRDefault="00644151">
      <w:pPr>
        <w:spacing w:line="360" w:lineRule="auto"/>
      </w:pPr>
    </w:p>
    <w:p w14:paraId="0EA08060" w14:textId="77777777" w:rsidR="00644151" w:rsidRDefault="00425878">
      <w:pPr>
        <w:spacing w:line="360" w:lineRule="auto"/>
      </w:pPr>
      <w:r>
        <w:rPr>
          <w:noProof/>
        </w:rPr>
        <mc:AlternateContent>
          <mc:Choice Requires="wpg">
            <w:drawing>
              <wp:anchor distT="0" distB="0" distL="0" distR="0" simplePos="0" relativeHeight="251658240" behindDoc="1" locked="0" layoutInCell="1" hidden="0" allowOverlap="1" wp14:anchorId="79E38D78" wp14:editId="29B71D45">
                <wp:simplePos x="0" y="0"/>
                <wp:positionH relativeFrom="page">
                  <wp:posOffset>492438</wp:posOffset>
                </wp:positionH>
                <wp:positionV relativeFrom="page">
                  <wp:posOffset>242570</wp:posOffset>
                </wp:positionV>
                <wp:extent cx="2194560" cy="9125712"/>
                <wp:effectExtent l="0" t="0" r="0" b="0"/>
                <wp:wrapNone/>
                <wp:docPr id="297" name="Grupo 297"/>
                <wp:cNvGraphicFramePr/>
                <a:graphic xmlns:a="http://schemas.openxmlformats.org/drawingml/2006/main">
                  <a:graphicData uri="http://schemas.microsoft.com/office/word/2010/wordprocessingGroup">
                    <wpg:wgp>
                      <wpg:cNvGrpSpPr/>
                      <wpg:grpSpPr>
                        <a:xfrm>
                          <a:off x="0" y="0"/>
                          <a:ext cx="2194560" cy="9125712"/>
                          <a:chOff x="4248720" y="0"/>
                          <a:chExt cx="2194560" cy="7560000"/>
                        </a:xfrm>
                      </wpg:grpSpPr>
                      <wpg:grpSp>
                        <wpg:cNvPr id="1" name="Grupo 1"/>
                        <wpg:cNvGrpSpPr/>
                        <wpg:grpSpPr>
                          <a:xfrm>
                            <a:off x="4248720" y="0"/>
                            <a:ext cx="2194560" cy="7560000"/>
                            <a:chOff x="4248720" y="0"/>
                            <a:chExt cx="2194560" cy="7560000"/>
                          </a:xfrm>
                        </wpg:grpSpPr>
                        <wps:wsp>
                          <wps:cNvPr id="2" name="Rectángulo 2"/>
                          <wps:cNvSpPr/>
                          <wps:spPr>
                            <a:xfrm>
                              <a:off x="4248720" y="0"/>
                              <a:ext cx="2194550" cy="7560000"/>
                            </a:xfrm>
                            <a:prstGeom prst="rect">
                              <a:avLst/>
                            </a:prstGeom>
                            <a:noFill/>
                            <a:ln>
                              <a:noFill/>
                            </a:ln>
                          </wps:spPr>
                          <wps:txbx>
                            <w:txbxContent>
                              <w:p w14:paraId="3BBA4138"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3" name="Grupo 3"/>
                          <wpg:cNvGrpSpPr/>
                          <wpg:grpSpPr>
                            <a:xfrm>
                              <a:off x="4248720" y="0"/>
                              <a:ext cx="2194560" cy="7560000"/>
                              <a:chOff x="4248720" y="0"/>
                              <a:chExt cx="2194560" cy="7560000"/>
                            </a:xfrm>
                          </wpg:grpSpPr>
                          <wps:wsp>
                            <wps:cNvPr id="4" name="Rectángulo 4"/>
                            <wps:cNvSpPr/>
                            <wps:spPr>
                              <a:xfrm>
                                <a:off x="4248720" y="0"/>
                                <a:ext cx="2194550" cy="7560000"/>
                              </a:xfrm>
                              <a:prstGeom prst="rect">
                                <a:avLst/>
                              </a:prstGeom>
                              <a:noFill/>
                              <a:ln>
                                <a:noFill/>
                              </a:ln>
                            </wps:spPr>
                            <wps:txbx>
                              <w:txbxContent>
                                <w:p w14:paraId="7BF4F160"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5" name="Grupo 5"/>
                            <wpg:cNvGrpSpPr/>
                            <wpg:grpSpPr>
                              <a:xfrm>
                                <a:off x="4248720" y="0"/>
                                <a:ext cx="2194560" cy="7560000"/>
                                <a:chOff x="0" y="0"/>
                                <a:chExt cx="2194560" cy="9125712"/>
                              </a:xfrm>
                            </wpg:grpSpPr>
                            <wps:wsp>
                              <wps:cNvPr id="6" name="Rectángulo 6"/>
                              <wps:cNvSpPr/>
                              <wps:spPr>
                                <a:xfrm>
                                  <a:off x="0" y="0"/>
                                  <a:ext cx="2194550" cy="9125700"/>
                                </a:xfrm>
                                <a:prstGeom prst="rect">
                                  <a:avLst/>
                                </a:prstGeom>
                                <a:noFill/>
                                <a:ln>
                                  <a:noFill/>
                                </a:ln>
                              </wps:spPr>
                              <wps:txbx>
                                <w:txbxContent>
                                  <w:p w14:paraId="7E62F075"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7" name="Rectángulo 7"/>
                              <wps:cNvSpPr/>
                              <wps:spPr>
                                <a:xfrm>
                                  <a:off x="0" y="0"/>
                                  <a:ext cx="194535" cy="9125712"/>
                                </a:xfrm>
                                <a:prstGeom prst="rect">
                                  <a:avLst/>
                                </a:prstGeom>
                                <a:solidFill>
                                  <a:schemeClr val="dk2"/>
                                </a:solidFill>
                                <a:ln>
                                  <a:noFill/>
                                </a:ln>
                              </wps:spPr>
                              <wps:txbx>
                                <w:txbxContent>
                                  <w:p w14:paraId="50FAEFC8"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8" name="Flecha: pentágono 8"/>
                              <wps:cNvSpPr/>
                              <wps:spPr>
                                <a:xfrm>
                                  <a:off x="0" y="1466850"/>
                                  <a:ext cx="2194560" cy="552055"/>
                                </a:xfrm>
                                <a:prstGeom prst="homePlate">
                                  <a:avLst>
                                    <a:gd name="adj" fmla="val 50000"/>
                                  </a:avLst>
                                </a:prstGeom>
                                <a:solidFill>
                                  <a:schemeClr val="accent1"/>
                                </a:solidFill>
                                <a:ln>
                                  <a:noFill/>
                                </a:ln>
                              </wps:spPr>
                              <wps:txbx>
                                <w:txbxContent>
                                  <w:p w14:paraId="7D21ED01" w14:textId="32813A5A" w:rsidR="001076C8" w:rsidRDefault="001076C8">
                                    <w:pPr>
                                      <w:spacing w:after="0" w:line="240" w:lineRule="auto"/>
                                      <w:jc w:val="right"/>
                                      <w:textDirection w:val="btLr"/>
                                    </w:pPr>
                                    <w:r>
                                      <w:rPr>
                                        <w:rFonts w:ascii="Arial" w:eastAsia="Arial" w:hAnsi="Arial" w:cs="Arial"/>
                                        <w:color w:val="FFFFFF"/>
                                        <w:sz w:val="28"/>
                                      </w:rPr>
                                      <w:t>Capítulo 1.</w:t>
                                    </w:r>
                                  </w:p>
                                </w:txbxContent>
                              </wps:txbx>
                              <wps:bodyPr spcFirstLastPara="1" wrap="square" lIns="91425" tIns="0" rIns="182875" bIns="0" anchor="ctr" anchorCtr="0">
                                <a:noAutofit/>
                              </wps:bodyPr>
                            </wps:wsp>
                            <wpg:grpSp>
                              <wpg:cNvPr id="9" name="Grupo 9"/>
                              <wpg:cNvGrpSpPr/>
                              <wpg:grpSpPr>
                                <a:xfrm>
                                  <a:off x="76200" y="4210050"/>
                                  <a:ext cx="2057400" cy="4910328"/>
                                  <a:chOff x="80645" y="4211812"/>
                                  <a:chExt cx="1306273" cy="3121026"/>
                                </a:xfrm>
                              </wpg:grpSpPr>
                              <wpg:grpSp>
                                <wpg:cNvPr id="10" name="Grupo 10"/>
                                <wpg:cNvGrpSpPr/>
                                <wpg:grpSpPr>
                                  <a:xfrm>
                                    <a:off x="141062" y="4211812"/>
                                    <a:ext cx="1047750" cy="3121026"/>
                                    <a:chOff x="141062" y="4211812"/>
                                    <a:chExt cx="1047750" cy="3121026"/>
                                  </a:xfrm>
                                </wpg:grpSpPr>
                                <wps:wsp>
                                  <wps:cNvPr id="11" name="Forma libre: forma 11"/>
                                  <wps:cNvSpPr/>
                                  <wps:spPr>
                                    <a:xfrm>
                                      <a:off x="369662" y="6216825"/>
                                      <a:ext cx="193675" cy="698500"/>
                                    </a:xfrm>
                                    <a:custGeom>
                                      <a:avLst/>
                                      <a:gdLst/>
                                      <a:ahLst/>
                                      <a:cxnLst/>
                                      <a:rect l="l" t="t" r="r" b="b"/>
                                      <a:pathLst>
                                        <a:path w="122" h="440" extrusionOk="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2" name="Forma libre: forma 12"/>
                                  <wps:cNvSpPr/>
                                  <wps:spPr>
                                    <a:xfrm>
                                      <a:off x="572862" y="6905800"/>
                                      <a:ext cx="184150" cy="427038"/>
                                    </a:xfrm>
                                    <a:custGeom>
                                      <a:avLst/>
                                      <a:gdLst/>
                                      <a:ahLst/>
                                      <a:cxnLst/>
                                      <a:rect l="l" t="t" r="r" b="b"/>
                                      <a:pathLst>
                                        <a:path w="116" h="269" extrusionOk="0">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3" name="Forma libre: forma 13"/>
                                  <wps:cNvSpPr/>
                                  <wps:spPr>
                                    <a:xfrm>
                                      <a:off x="141062" y="4211812"/>
                                      <a:ext cx="222250" cy="2019300"/>
                                    </a:xfrm>
                                    <a:custGeom>
                                      <a:avLst/>
                                      <a:gdLst/>
                                      <a:ahLst/>
                                      <a:cxnLst/>
                                      <a:rect l="l" t="t" r="r" b="b"/>
                                      <a:pathLst>
                                        <a:path w="140" h="1272" extrusionOk="0">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4" name="Forma libre: forma 14"/>
                                  <wps:cNvSpPr/>
                                  <wps:spPr>
                                    <a:xfrm>
                                      <a:off x="341087" y="4861100"/>
                                      <a:ext cx="71438" cy="1355725"/>
                                    </a:xfrm>
                                    <a:custGeom>
                                      <a:avLst/>
                                      <a:gdLst/>
                                      <a:ahLst/>
                                      <a:cxnLst/>
                                      <a:rect l="l" t="t" r="r" b="b"/>
                                      <a:pathLst>
                                        <a:path w="45" h="854" extrusionOk="0">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5" name="Forma libre: forma 15"/>
                                  <wps:cNvSpPr/>
                                  <wps:spPr>
                                    <a:xfrm>
                                      <a:off x="363312" y="6231112"/>
                                      <a:ext cx="244475" cy="998538"/>
                                    </a:xfrm>
                                    <a:custGeom>
                                      <a:avLst/>
                                      <a:gdLst/>
                                      <a:ahLst/>
                                      <a:cxnLst/>
                                      <a:rect l="l" t="t" r="r" b="b"/>
                                      <a:pathLst>
                                        <a:path w="154" h="629" extrusionOk="0">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6" name="Forma libre: forma 16"/>
                                  <wps:cNvSpPr/>
                                  <wps:spPr>
                                    <a:xfrm>
                                      <a:off x="620487" y="7223300"/>
                                      <a:ext cx="52388" cy="109538"/>
                                    </a:xfrm>
                                    <a:custGeom>
                                      <a:avLst/>
                                      <a:gdLst/>
                                      <a:ahLst/>
                                      <a:cxnLst/>
                                      <a:rect l="l" t="t" r="r" b="b"/>
                                      <a:pathLst>
                                        <a:path w="33" h="69" extrusionOk="0">
                                          <a:moveTo>
                                            <a:pt x="0" y="0"/>
                                          </a:moveTo>
                                          <a:lnTo>
                                            <a:pt x="33" y="69"/>
                                          </a:lnTo>
                                          <a:lnTo>
                                            <a:pt x="24" y="69"/>
                                          </a:lnTo>
                                          <a:lnTo>
                                            <a:pt x="12" y="3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7" name="Forma libre: forma 17"/>
                                  <wps:cNvSpPr/>
                                  <wps:spPr>
                                    <a:xfrm>
                                      <a:off x="355374" y="6153325"/>
                                      <a:ext cx="23813" cy="147638"/>
                                    </a:xfrm>
                                    <a:custGeom>
                                      <a:avLst/>
                                      <a:gdLst/>
                                      <a:ahLst/>
                                      <a:cxnLst/>
                                      <a:rect l="l" t="t" r="r" b="b"/>
                                      <a:pathLst>
                                        <a:path w="15" h="93" extrusionOk="0">
                                          <a:moveTo>
                                            <a:pt x="0" y="0"/>
                                          </a:moveTo>
                                          <a:lnTo>
                                            <a:pt x="9" y="37"/>
                                          </a:lnTo>
                                          <a:lnTo>
                                            <a:pt x="9" y="40"/>
                                          </a:lnTo>
                                          <a:lnTo>
                                            <a:pt x="15" y="93"/>
                                          </a:lnTo>
                                          <a:lnTo>
                                            <a:pt x="5" y="4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8" name="Forma libre: forma 18"/>
                                  <wps:cNvSpPr/>
                                  <wps:spPr>
                                    <a:xfrm>
                                      <a:off x="563337" y="5689775"/>
                                      <a:ext cx="625475" cy="1216025"/>
                                    </a:xfrm>
                                    <a:custGeom>
                                      <a:avLst/>
                                      <a:gdLst/>
                                      <a:ahLst/>
                                      <a:cxnLst/>
                                      <a:rect l="l" t="t" r="r" b="b"/>
                                      <a:pathLst>
                                        <a:path w="394" h="766" extrusionOk="0">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19" name="Forma libre: forma 19"/>
                                  <wps:cNvSpPr/>
                                  <wps:spPr>
                                    <a:xfrm>
                                      <a:off x="563337" y="6915325"/>
                                      <a:ext cx="57150" cy="307975"/>
                                    </a:xfrm>
                                    <a:custGeom>
                                      <a:avLst/>
                                      <a:gdLst/>
                                      <a:ahLst/>
                                      <a:cxnLst/>
                                      <a:rect l="l" t="t" r="r" b="b"/>
                                      <a:pathLst>
                                        <a:path w="36" h="194" extrusionOk="0">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0" name="Forma libre: forma 20"/>
                                  <wps:cNvSpPr/>
                                  <wps:spPr>
                                    <a:xfrm>
                                      <a:off x="607787" y="7229650"/>
                                      <a:ext cx="49213" cy="103188"/>
                                    </a:xfrm>
                                    <a:custGeom>
                                      <a:avLst/>
                                      <a:gdLst/>
                                      <a:ahLst/>
                                      <a:cxnLst/>
                                      <a:rect l="l" t="t" r="r" b="b"/>
                                      <a:pathLst>
                                        <a:path w="31" h="65" extrusionOk="0">
                                          <a:moveTo>
                                            <a:pt x="0" y="0"/>
                                          </a:moveTo>
                                          <a:lnTo>
                                            <a:pt x="31" y="65"/>
                                          </a:lnTo>
                                          <a:lnTo>
                                            <a:pt x="23" y="6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1" name="Forma libre: forma 21"/>
                                  <wps:cNvSpPr/>
                                  <wps:spPr>
                                    <a:xfrm>
                                      <a:off x="563337" y="6878812"/>
                                      <a:ext cx="11113" cy="66675"/>
                                    </a:xfrm>
                                    <a:custGeom>
                                      <a:avLst/>
                                      <a:gdLst/>
                                      <a:ahLst/>
                                      <a:cxnLst/>
                                      <a:rect l="l" t="t" r="r" b="b"/>
                                      <a:pathLst>
                                        <a:path w="7" h="42" extrusionOk="0">
                                          <a:moveTo>
                                            <a:pt x="0" y="0"/>
                                          </a:moveTo>
                                          <a:lnTo>
                                            <a:pt x="6" y="17"/>
                                          </a:lnTo>
                                          <a:lnTo>
                                            <a:pt x="7" y="42"/>
                                          </a:lnTo>
                                          <a:lnTo>
                                            <a:pt x="6" y="39"/>
                                          </a:lnTo>
                                          <a:lnTo>
                                            <a:pt x="0" y="2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2" name="Forma libre: forma 22"/>
                                  <wps:cNvSpPr/>
                                  <wps:spPr>
                                    <a:xfrm>
                                      <a:off x="587149" y="7145512"/>
                                      <a:ext cx="71438" cy="187325"/>
                                    </a:xfrm>
                                    <a:custGeom>
                                      <a:avLst/>
                                      <a:gdLst/>
                                      <a:ahLst/>
                                      <a:cxnLst/>
                                      <a:rect l="l" t="t" r="r" b="b"/>
                                      <a:pathLst>
                                        <a:path w="45" h="118" extrusionOk="0">
                                          <a:moveTo>
                                            <a:pt x="0" y="0"/>
                                          </a:moveTo>
                                          <a:lnTo>
                                            <a:pt x="6" y="16"/>
                                          </a:lnTo>
                                          <a:lnTo>
                                            <a:pt x="21" y="49"/>
                                          </a:lnTo>
                                          <a:lnTo>
                                            <a:pt x="33" y="84"/>
                                          </a:lnTo>
                                          <a:lnTo>
                                            <a:pt x="45" y="118"/>
                                          </a:lnTo>
                                          <a:lnTo>
                                            <a:pt x="44" y="118"/>
                                          </a:lnTo>
                                          <a:lnTo>
                                            <a:pt x="13" y="53"/>
                                          </a:lnTo>
                                          <a:lnTo>
                                            <a:pt x="11" y="42"/>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g:grpSp>
                              <wpg:grpSp>
                                <wpg:cNvPr id="23" name="Grupo 23"/>
                                <wpg:cNvGrpSpPr/>
                                <wpg:grpSpPr>
                                  <a:xfrm>
                                    <a:off x="80645" y="4826972"/>
                                    <a:ext cx="1306273" cy="2505863"/>
                                    <a:chOff x="80645" y="4649964"/>
                                    <a:chExt cx="874712" cy="1677988"/>
                                  </a:xfrm>
                                </wpg:grpSpPr>
                                <wps:wsp>
                                  <wps:cNvPr id="24" name="Forma libre: forma 24"/>
                                  <wps:cNvSpPr/>
                                  <wps:spPr>
                                    <a:xfrm>
                                      <a:off x="118745" y="5189714"/>
                                      <a:ext cx="198438" cy="714375"/>
                                    </a:xfrm>
                                    <a:custGeom>
                                      <a:avLst/>
                                      <a:gdLst/>
                                      <a:ahLst/>
                                      <a:cxnLst/>
                                      <a:rect l="l" t="t" r="r" b="b"/>
                                      <a:pathLst>
                                        <a:path w="125" h="450" extrusionOk="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5" name="Forma libre: forma 25"/>
                                  <wps:cNvSpPr/>
                                  <wps:spPr>
                                    <a:xfrm>
                                      <a:off x="328295" y="5891389"/>
                                      <a:ext cx="187325" cy="436563"/>
                                    </a:xfrm>
                                    <a:custGeom>
                                      <a:avLst/>
                                      <a:gdLst/>
                                      <a:ahLst/>
                                      <a:cxnLst/>
                                      <a:rect l="l" t="t" r="r" b="b"/>
                                      <a:pathLst>
                                        <a:path w="118" h="275" extrusionOk="0">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6" name="Forma libre: forma 26"/>
                                  <wps:cNvSpPr/>
                                  <wps:spPr>
                                    <a:xfrm>
                                      <a:off x="80645" y="5010327"/>
                                      <a:ext cx="31750" cy="192088"/>
                                    </a:xfrm>
                                    <a:custGeom>
                                      <a:avLst/>
                                      <a:gdLst/>
                                      <a:ahLst/>
                                      <a:cxnLst/>
                                      <a:rect l="l" t="t" r="r" b="b"/>
                                      <a:pathLst>
                                        <a:path w="20" h="121" extrusionOk="0">
                                          <a:moveTo>
                                            <a:pt x="0" y="0"/>
                                          </a:moveTo>
                                          <a:lnTo>
                                            <a:pt x="16" y="72"/>
                                          </a:lnTo>
                                          <a:lnTo>
                                            <a:pt x="20" y="121"/>
                                          </a:lnTo>
                                          <a:lnTo>
                                            <a:pt x="18" y="112"/>
                                          </a:lnTo>
                                          <a:lnTo>
                                            <a:pt x="0" y="31"/>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7" name="Forma libre: forma 27"/>
                                  <wps:cNvSpPr/>
                                  <wps:spPr>
                                    <a:xfrm>
                                      <a:off x="112395" y="5202414"/>
                                      <a:ext cx="250825" cy="1020763"/>
                                    </a:xfrm>
                                    <a:custGeom>
                                      <a:avLst/>
                                      <a:gdLst/>
                                      <a:ahLst/>
                                      <a:cxnLst/>
                                      <a:rect l="l" t="t" r="r" b="b"/>
                                      <a:pathLst>
                                        <a:path w="158" h="643" extrusionOk="0">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8" name="Forma libre: forma 28"/>
                                  <wps:cNvSpPr/>
                                  <wps:spPr>
                                    <a:xfrm>
                                      <a:off x="375920" y="6215239"/>
                                      <a:ext cx="52388" cy="112713"/>
                                    </a:xfrm>
                                    <a:custGeom>
                                      <a:avLst/>
                                      <a:gdLst/>
                                      <a:ahLst/>
                                      <a:cxnLst/>
                                      <a:rect l="l" t="t" r="r" b="b"/>
                                      <a:pathLst>
                                        <a:path w="33" h="71" extrusionOk="0">
                                          <a:moveTo>
                                            <a:pt x="0" y="0"/>
                                          </a:moveTo>
                                          <a:lnTo>
                                            <a:pt x="33" y="71"/>
                                          </a:lnTo>
                                          <a:lnTo>
                                            <a:pt x="24" y="71"/>
                                          </a:lnTo>
                                          <a:lnTo>
                                            <a:pt x="11" y="3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9" name="Forma libre: forma 29"/>
                                  <wps:cNvSpPr/>
                                  <wps:spPr>
                                    <a:xfrm>
                                      <a:off x="106045" y="5124627"/>
                                      <a:ext cx="23813" cy="150813"/>
                                    </a:xfrm>
                                    <a:custGeom>
                                      <a:avLst/>
                                      <a:gdLst/>
                                      <a:ahLst/>
                                      <a:cxnLst/>
                                      <a:rect l="l" t="t" r="r" b="b"/>
                                      <a:pathLst>
                                        <a:path w="15" h="95" extrusionOk="0">
                                          <a:moveTo>
                                            <a:pt x="0" y="0"/>
                                          </a:moveTo>
                                          <a:lnTo>
                                            <a:pt x="8" y="37"/>
                                          </a:lnTo>
                                          <a:lnTo>
                                            <a:pt x="8" y="41"/>
                                          </a:lnTo>
                                          <a:lnTo>
                                            <a:pt x="15" y="95"/>
                                          </a:lnTo>
                                          <a:lnTo>
                                            <a:pt x="4" y="49"/>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 name="Forma libre: forma 30"/>
                                  <wps:cNvSpPr/>
                                  <wps:spPr>
                                    <a:xfrm>
                                      <a:off x="317182" y="4649964"/>
                                      <a:ext cx="638175" cy="1241425"/>
                                    </a:xfrm>
                                    <a:custGeom>
                                      <a:avLst/>
                                      <a:gdLst/>
                                      <a:ahLst/>
                                      <a:cxnLst/>
                                      <a:rect l="l" t="t" r="r" b="b"/>
                                      <a:pathLst>
                                        <a:path w="402" h="782" extrusionOk="0">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1" name="Forma libre: forma 31"/>
                                  <wps:cNvSpPr/>
                                  <wps:spPr>
                                    <a:xfrm>
                                      <a:off x="317182" y="5904089"/>
                                      <a:ext cx="58738" cy="311150"/>
                                    </a:xfrm>
                                    <a:custGeom>
                                      <a:avLst/>
                                      <a:gdLst/>
                                      <a:ahLst/>
                                      <a:cxnLst/>
                                      <a:rect l="l" t="t" r="r" b="b"/>
                                      <a:pathLst>
                                        <a:path w="37" h="196" extrusionOk="0">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2" name="Forma libre: forma 32"/>
                                  <wps:cNvSpPr/>
                                  <wps:spPr>
                                    <a:xfrm>
                                      <a:off x="363220" y="6223177"/>
                                      <a:ext cx="49213" cy="104775"/>
                                    </a:xfrm>
                                    <a:custGeom>
                                      <a:avLst/>
                                      <a:gdLst/>
                                      <a:ahLst/>
                                      <a:cxnLst/>
                                      <a:rect l="l" t="t" r="r" b="b"/>
                                      <a:pathLst>
                                        <a:path w="31" h="66" extrusionOk="0">
                                          <a:moveTo>
                                            <a:pt x="0" y="0"/>
                                          </a:moveTo>
                                          <a:lnTo>
                                            <a:pt x="31" y="66"/>
                                          </a:lnTo>
                                          <a:lnTo>
                                            <a:pt x="24" y="6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3" name="Forma libre: forma 33"/>
                                  <wps:cNvSpPr/>
                                  <wps:spPr>
                                    <a:xfrm>
                                      <a:off x="317182" y="5864402"/>
                                      <a:ext cx="11113" cy="68263"/>
                                    </a:xfrm>
                                    <a:custGeom>
                                      <a:avLst/>
                                      <a:gdLst/>
                                      <a:ahLst/>
                                      <a:cxnLst/>
                                      <a:rect l="l" t="t" r="r" b="b"/>
                                      <a:pathLst>
                                        <a:path w="7" h="43" extrusionOk="0">
                                          <a:moveTo>
                                            <a:pt x="0" y="0"/>
                                          </a:moveTo>
                                          <a:lnTo>
                                            <a:pt x="7" y="17"/>
                                          </a:lnTo>
                                          <a:lnTo>
                                            <a:pt x="7" y="43"/>
                                          </a:lnTo>
                                          <a:lnTo>
                                            <a:pt x="6" y="40"/>
                                          </a:lnTo>
                                          <a:lnTo>
                                            <a:pt x="0" y="25"/>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4" name="Forma libre: forma 34"/>
                                  <wps:cNvSpPr/>
                                  <wps:spPr>
                                    <a:xfrm>
                                      <a:off x="340995" y="6135864"/>
                                      <a:ext cx="73025" cy="192088"/>
                                    </a:xfrm>
                                    <a:custGeom>
                                      <a:avLst/>
                                      <a:gdLst/>
                                      <a:ahLst/>
                                      <a:cxnLst/>
                                      <a:rect l="l" t="t" r="r" b="b"/>
                                      <a:pathLst>
                                        <a:path w="46" h="121" extrusionOk="0">
                                          <a:moveTo>
                                            <a:pt x="0" y="0"/>
                                          </a:moveTo>
                                          <a:lnTo>
                                            <a:pt x="7" y="16"/>
                                          </a:lnTo>
                                          <a:lnTo>
                                            <a:pt x="22" y="50"/>
                                          </a:lnTo>
                                          <a:lnTo>
                                            <a:pt x="33" y="86"/>
                                          </a:lnTo>
                                          <a:lnTo>
                                            <a:pt x="46" y="121"/>
                                          </a:lnTo>
                                          <a:lnTo>
                                            <a:pt x="45" y="121"/>
                                          </a:lnTo>
                                          <a:lnTo>
                                            <a:pt x="14" y="55"/>
                                          </a:lnTo>
                                          <a:lnTo>
                                            <a:pt x="11" y="4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anchor>
            </w:drawing>
          </mc:Choice>
          <mc:Fallback>
            <w:pict>
              <v:group w14:anchorId="79E38D78" id="Grupo 297" o:spid="_x0000_s1026" style="position:absolute;left:0;text-align:left;margin-left:38.75pt;margin-top:19.1pt;width:172.8pt;height:718.55pt;z-index:-251658240;mso-wrap-distance-left:0;mso-wrap-distance-right:0;mso-position-horizontal-relative:page;mso-position-vertical-relative:page" coordorigin="42487" coordsize="21945,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">
                <v:group id="Grupo 1" o:spid="_x0000_s1027"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ángulo 2" o:spid="_x0000_s1028"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" filled="f" stroked="f">
                    <v:textbox inset="2.53958mm,2.53958mm,2.53958mm,2.53958mm">
                      <w:txbxContent>
                        <w:p w14:paraId="3BBA4138" w14:textId="77777777" w:rsidR="001076C8" w:rsidRDefault="001076C8">
                          <w:pPr>
                            <w:spacing w:after="0" w:line="240" w:lineRule="auto"/>
                            <w:jc w:val="left"/>
                            <w:textDirection w:val="btLr"/>
                          </w:pPr>
                        </w:p>
                      </w:txbxContent>
                    </v:textbox>
                  </v:rect>
                  <v:group id="Grupo 3" o:spid="_x0000_s1029"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rect id="Rectángulo 4" o:spid="_x0000_s1030"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" filled="f" stroked="f">
                      <v:textbox inset="2.53958mm,2.53958mm,2.53958mm,2.53958mm">
                        <w:txbxContent>
                          <w:p w14:paraId="7BF4F160" w14:textId="77777777" w:rsidR="001076C8" w:rsidRDefault="001076C8">
                            <w:pPr>
                              <w:spacing w:after="0" w:line="240" w:lineRule="auto"/>
                              <w:jc w:val="left"/>
                              <w:textDirection w:val="btLr"/>
                            </w:pPr>
                          </w:p>
                        </w:txbxContent>
                      </v:textbox>
                    </v:rect>
                    <v:group id="Grupo 5" o:spid="_x0000_s1031" style="position:absolute;left:42487;width:21945;height:75600" coordsize="21945,91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Rectángulo 6" o:spid="_x0000_s1032" style="position:absolute;width:2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" filled="f" stroked="f">
                        <v:textbox inset="2.53958mm,2.53958mm,2.53958mm,2.53958mm">
                          <w:txbxContent>
                            <w:p w14:paraId="7E62F075" w14:textId="77777777" w:rsidR="001076C8" w:rsidRDefault="001076C8">
                              <w:pPr>
                                <w:spacing w:after="0" w:line="240" w:lineRule="auto"/>
                                <w:jc w:val="left"/>
                                <w:textDirection w:val="btLr"/>
                              </w:pPr>
                            </w:p>
                          </w:txbxContent>
                        </v:textbox>
                      </v:rect>
                      <v:rect id="Rectángulo 7" o:spid="_x0000_s1033"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" fillcolor="#44546a [3202]" stroked="f">
                        <v:textbox inset="2.53958mm,2.53958mm,2.53958mm,2.53958mm">
                          <w:txbxContent>
                            <w:p w14:paraId="50FAEFC8" w14:textId="77777777" w:rsidR="001076C8" w:rsidRDefault="001076C8">
                              <w:pPr>
                                <w:spacing w:after="0" w:line="240" w:lineRule="auto"/>
                                <w:jc w:val="left"/>
                                <w:textDirection w:val="btLr"/>
                              </w:pP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Flecha: pentágono 8" o:spid="_x0000_s1034"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" adj="18883" fillcolor="#4472c4 [3204]" stroked="f">
                        <v:textbox inset="2.53958mm,0,5.07986mm,0">
                          <w:txbxContent>
                            <w:p w14:paraId="7D21ED01" w14:textId="32813A5A" w:rsidR="001076C8" w:rsidRDefault="001076C8">
                              <w:pPr>
                                <w:spacing w:after="0" w:line="240" w:lineRule="auto"/>
                                <w:jc w:val="right"/>
                                <w:textDirection w:val="btLr"/>
                              </w:pPr>
                              <w:r>
                                <w:rPr>
                                  <w:rFonts w:ascii="Arial" w:eastAsia="Arial" w:hAnsi="Arial" w:cs="Arial"/>
                                  <w:color w:val="FFFFFF"/>
                                  <w:sz w:val="28"/>
                                </w:rPr>
                                <w:t>Capítulo 1.</w:t>
                              </w:r>
                            </w:p>
                          </w:txbxContent>
                        </v:textbox>
                      </v:shape>
                      <v:group id="Grupo 9" o:spid="_x0000_s1035"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Grupo 10" o:spid="_x0000_s1036"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orma libre: forma 11" o:spid="_x0000_s1037" style="position:absolute;left:3696;top:62168;width:1937;height:6985;visibility:visible;mso-wrap-style:square;v-text-anchor:middle"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" path="m,l39,152,84,304r38,113l122,440,76,306,39,180,6,53,,xe" fillcolor="#44546a [3202]" strokecolor="#44546a [3202]">
                            <v:stroke startarrowwidth="narrow" startarrowlength="short" endarrowwidth="narrow" endarrowlength="short"/>
                            <v:path arrowok="t" o:extrusionok="f"/>
                          </v:shape>
                          <v:shape id="Forma libre: forma 12" o:spid="_x0000_s1038" style="position:absolute;left:5728;top:69058;width:1842;height:4270;visibility:visible;mso-wrap-style:square;v-text-anchor:middle"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" path="m,l8,19,37,93r30,74l116,269r-8,l60,169,30,98,1,25,,xe" fillcolor="#44546a [3202]" strokecolor="#44546a [3202]">
                            <v:stroke startarrowwidth="narrow" startarrowlength="short" endarrowwidth="narrow" endarrowlength="short"/>
                            <v:path arrowok="t" o:extrusionok="f"/>
                          </v:shape>
                          <v:shape id="Forma libre: forma 13" o:spid="_x0000_s1039" style="position:absolute;left:1410;top:42118;width:2223;height:20193;visibility:visible;mso-wrap-style:square;v-text-anchor:middle"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" path="m,l,,1,79r2,80l12,317,23,476,39,634,58,792,83,948r24,138l135,1223r5,49l138,1262,105,1106,77,949,53,792,35,634,20,476,9,317,2,159,,79,,xe" fillcolor="#44546a [3202]" strokecolor="#44546a [3202]">
                            <v:stroke startarrowwidth="narrow" startarrowlength="short" endarrowwidth="narrow" endarrowlength="short"/>
                            <v:path arrowok="t" o:extrusionok="f"/>
                          </v:shape>
                          <v:shape id="Forma libre: forma 14" o:spid="_x0000_s1040" style="position:absolute;left:3410;top:48611;width:715;height:13557;visibility:visible;mso-wrap-style:square;v-text-anchor:middle"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" path="m45,r,l35,66r-9,67l14,267,6,401,3,534,6,669r8,134l18,854r,-3l9,814,8,803,1,669,,534,3,401,12,267,25,132,34,66,45,xe" fillcolor="#44546a [3202]" strokecolor="#44546a [3202]">
                            <v:stroke startarrowwidth="narrow" startarrowlength="short" endarrowwidth="narrow" endarrowlength="short"/>
                            <v:path arrowok="t" o:extrusionok="f"/>
                          </v:shape>
                          <v:shape id="Forma libre: forma 15" o:spid="_x0000_s1041" style="position:absolute;left:3633;top:62311;width:2444;height:9985;visibility:visible;mso-wrap-style:square;v-text-anchor:middle"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" path="m,l10,44r11,82l34,207r19,86l75,380r25,86l120,521r21,55l152,618r2,11l140,595,115,532,93,468,67,383,47,295,28,207,12,104,,xe" fillcolor="#44546a [3202]" strokecolor="#44546a [3202]">
                            <v:stroke startarrowwidth="narrow" startarrowlength="short" endarrowwidth="narrow" endarrowlength="short"/>
                            <v:path arrowok="t" o:extrusionok="f"/>
                          </v:shape>
                          <v:shape id="Forma libre: forma 16" o:spid="_x0000_s1042" style="position:absolute;left:6204;top:72233;width:524;height:1095;visibility:visible;mso-wrap-style:square;v-text-anchor:middle"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" path="m,l33,69r-9,l12,35,,xe" fillcolor="#44546a [3202]" strokecolor="#44546a [3202]">
                            <v:stroke startarrowwidth="narrow" startarrowlength="short" endarrowwidth="narrow" endarrowlength="short"/>
                            <v:path arrowok="t" o:extrusionok="f"/>
                          </v:shape>
                          <v:shape id="Forma libre: forma 17" o:spid="_x0000_s1043" style="position:absolute;left:3553;top:61533;width:238;height:1476;visibility:visible;mso-wrap-style:square;v-text-anchor:middle"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" path="m,l9,37r,3l15,93,5,49,,xe" fillcolor="#44546a [3202]" strokecolor="#44546a [3202]">
                            <v:stroke startarrowwidth="narrow" startarrowlength="short" endarrowwidth="narrow" endarrowlength="short"/>
                            <v:path arrowok="t" o:extrusionok="f"/>
                          </v:shape>
                          <v:shape id="Forma libre: forma 18" o:spid="_x0000_s1044" style="position:absolute;left:5633;top:56897;width:6255;height:12161;visibility:visible;mso-wrap-style:square;v-text-anchor:middle"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" path="m394,r,l356,38,319,77r-35,40l249,160r-42,58l168,276r-37,63l98,402,69,467,45,535,26,604,14,673,7,746,6,766,,749r1,-5l7,673,21,603,40,533,65,466,94,400r33,-64l164,275r40,-60l248,158r34,-42l318,76,354,37,394,xe" fillcolor="#44546a [3202]" strokecolor="#44546a [3202]">
                            <v:stroke startarrowwidth="narrow" startarrowlength="short" endarrowwidth="narrow" endarrowlength="short"/>
                            <v:path arrowok="t" o:extrusionok="f"/>
                          </v:shape>
                          <v:shape id="Forma libre: forma 19" o:spid="_x0000_s1045" style="position:absolute;left:5633;top:69153;width:571;height:3080;visibility:visible;mso-wrap-style:square;v-text-anchor:middle"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" path="m,l6,16r1,3l11,80r9,52l33,185r3,9l21,161,15,145,5,81,1,41,,xe" fillcolor="#44546a [3202]" strokecolor="#44546a [3202]">
                            <v:stroke startarrowwidth="narrow" startarrowlength="short" endarrowwidth="narrow" endarrowlength="short"/>
                            <v:path arrowok="t" o:extrusionok="f"/>
                          </v:shape>
                          <v:shape id="Forma libre: forma 20" o:spid="_x0000_s1046" style="position:absolute;left:6077;top:72296;width:493;height:1032;visibility:visible;mso-wrap-style:square;v-text-anchor:middle"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" path="m,l31,65r-8,l,xe" fillcolor="#44546a [3202]" strokecolor="#44546a [3202]">
                            <v:stroke startarrowwidth="narrow" startarrowlength="short" endarrowwidth="narrow" endarrowlength="short"/>
                            <v:path arrowok="t" o:extrusionok="f"/>
                          </v:shape>
                          <v:shape id="Forma libre: forma 21" o:spid="_x0000_s1047" style="position:absolute;left:5633;top:68788;width:111;height:666;visibility:visible;mso-wrap-style:square;v-text-anchor:middle"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" path="m,l6,17,7,42,6,39,,23,,xe" fillcolor="#44546a [3202]" strokecolor="#44546a [3202]">
                            <v:stroke startarrowwidth="narrow" startarrowlength="short" endarrowwidth="narrow" endarrowlength="short"/>
                            <v:path arrowok="t" o:extrusionok="f"/>
                          </v:shape>
                          <v:shape id="Forma libre: forma 22" o:spid="_x0000_s1048" style="position:absolute;left:5871;top:71455;width:714;height:1873;visibility:visible;mso-wrap-style:square;v-text-anchor:middle"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" path="m,l6,16,21,49,33,84r12,34l44,118,13,53,11,42,,xe" fillcolor="#44546a [3202]" strokecolor="#44546a [3202]">
                            <v:stroke startarrowwidth="narrow" startarrowlength="short" endarrowwidth="narrow" endarrowlength="short"/>
                            <v:path arrowok="t" o:extrusionok="f"/>
                          </v:shape>
                        </v:group>
                        <v:group id="Grupo 23" o:spid="_x0000_s1049"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Forma libre: forma 24" o:spid="_x0000_s1050" style="position:absolute;left:1187;top:51897;width:1984;height:7143;visibility:visible;mso-wrap-style:square;v-text-anchor:middle"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" path="m,l41,155,86,309r39,116l125,450,79,311,41,183,7,54,,xe" fillcolor="#44546a [3202]" strokecolor="#44546a [3202]">
                            <v:fill opacity="13107f"/>
                            <v:stroke startarrowwidth="narrow" startarrowlength="short" endarrowwidth="narrow" endarrowlength="short" opacity="13107f"/>
                            <v:path arrowok="t" o:extrusionok="f"/>
                          </v:shape>
                          <v:shape id="Forma libre: forma 25" o:spid="_x0000_s1051" style="position:absolute;left:3282;top:58913;width:1874;height:4366;visibility:visible;mso-wrap-style:square;v-text-anchor:middle"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" path="m,l8,20,37,96r32,74l118,275r-9,l61,174,30,100,,26,,xe" fillcolor="#44546a [3202]" strokecolor="#44546a [3202]">
                            <v:fill opacity="13107f"/>
                            <v:stroke startarrowwidth="narrow" startarrowlength="short" endarrowwidth="narrow" endarrowlength="short" opacity="13107f"/>
                            <v:path arrowok="t" o:extrusionok="f"/>
                          </v:shape>
                          <v:shape id="Forma libre: forma 26" o:spid="_x0000_s1052" style="position:absolute;left:806;top:50103;width:317;height:1921;visibility:visible;mso-wrap-style:square;v-text-anchor:middle"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" path="m,l16,72r4,49l18,112,,31,,xe" fillcolor="#44546a [3202]" strokecolor="#44546a [3202]">
                            <v:fill opacity="13107f"/>
                            <v:stroke startarrowwidth="narrow" startarrowlength="short" endarrowwidth="narrow" endarrowlength="short" opacity="13107f"/>
                            <v:path arrowok="t" o:extrusionok="f"/>
                          </v:shape>
                          <v:shape id="Forma libre: forma 27" o:spid="_x0000_s1053" style="position:absolute;left:1123;top:52024;width:2509;height:10207;visibility:visible;mso-wrap-style:square;v-text-anchor:middle"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" path="m,l11,46r11,83l36,211r19,90l76,389r27,87l123,533r21,55l155,632r3,11l142,608,118,544,95,478,69,391,47,302,29,212,13,107,,xe" fillcolor="#44546a [3202]" strokecolor="#44546a [3202]">
                            <v:fill opacity="13107f"/>
                            <v:stroke startarrowwidth="narrow" startarrowlength="short" endarrowwidth="narrow" endarrowlength="short" opacity="13107f"/>
                            <v:path arrowok="t" o:extrusionok="f"/>
                          </v:shape>
                          <v:shape id="Forma libre: forma 28" o:spid="_x0000_s1054" style="position:absolute;left:3759;top:62152;width:524;height:1127;visibility:visible;mso-wrap-style:square;v-text-anchor:middle"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" path="m,l33,71r-9,l11,36,,xe" fillcolor="#44546a [3202]" strokecolor="#44546a [3202]">
                            <v:fill opacity="13107f"/>
                            <v:stroke startarrowwidth="narrow" startarrowlength="short" endarrowwidth="narrow" endarrowlength="short" opacity="13107f"/>
                            <v:path arrowok="t" o:extrusionok="f"/>
                          </v:shape>
                          <v:shape id="Forma libre: forma 29" o:spid="_x0000_s1055" style="position:absolute;left:1060;top:51246;width:238;height:1508;visibility:visible;mso-wrap-style:square;v-text-anchor:middle"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" path="m,l8,37r,4l15,95,4,49,,xe" fillcolor="#44546a [3202]" strokecolor="#44546a [3202]">
                            <v:fill opacity="13107f"/>
                            <v:stroke startarrowwidth="narrow" startarrowlength="short" endarrowwidth="narrow" endarrowlength="short" opacity="13107f"/>
                            <v:path arrowok="t" o:extrusionok="f"/>
                          </v:shape>
                          <v:shape id="Forma libre: forma 30" o:spid="_x0000_s1056" style="position:absolute;left:3171;top:46499;width:6382;height:12414;visibility:visible;mso-wrap-style:square;v-text-anchor:middle"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" path="m402,r,1l363,39,325,79r-35,42l255,164r-44,58l171,284r-38,62l100,411,71,478,45,546,27,617,13,689,7,761r,21l,765r1,-4l7,688,21,616,40,545,66,475,95,409r35,-66l167,281r42,-61l253,163r34,-43l324,78,362,38,402,xe" fillcolor="#44546a [3202]" strokecolor="#44546a [3202]">
                            <v:fill opacity="13107f"/>
                            <v:stroke startarrowwidth="narrow" startarrowlength="short" endarrowwidth="narrow" endarrowlength="short" opacity="13107f"/>
                            <v:path arrowok="t" o:extrusionok="f"/>
                          </v:shape>
                          <v:shape id="Forma libre: forma 31" o:spid="_x0000_s1057" style="position:absolute;left:3171;top:59040;width:588;height:3112;visibility:visible;mso-wrap-style:square;v-text-anchor:middle"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" path="m,l6,15r1,3l12,80r9,54l33,188r4,8l22,162,15,146,5,81,1,40,,xe" fillcolor="#44546a [3202]" strokecolor="#44546a [3202]">
                            <v:fill opacity="13107f"/>
                            <v:stroke startarrowwidth="narrow" startarrowlength="short" endarrowwidth="narrow" endarrowlength="short" opacity="13107f"/>
                            <v:path arrowok="t" o:extrusionok="f"/>
                          </v:shape>
                          <v:shape id="Forma libre: forma 32" o:spid="_x0000_s1058" style="position:absolute;left:3632;top:62231;width:492;height:1048;visibility:visible;mso-wrap-style:square;v-text-anchor:middle"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" path="m,l31,66r-7,l,xe" fillcolor="#44546a [3202]" strokecolor="#44546a [3202]">
                            <v:fill opacity="13107f"/>
                            <v:stroke startarrowwidth="narrow" startarrowlength="short" endarrowwidth="narrow" endarrowlength="short" opacity="13107f"/>
                            <v:path arrowok="t" o:extrusionok="f"/>
                          </v:shape>
                          <v:shape id="Forma libre: forma 33" o:spid="_x0000_s1059" style="position:absolute;left:3171;top:58644;width:111;height:682;visibility:visible;mso-wrap-style:square;v-text-anchor:middle"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" path="m,l7,17r,26l6,40,,25,,xe" fillcolor="#44546a [3202]" strokecolor="#44546a [3202]">
                            <v:fill opacity="13107f"/>
                            <v:stroke startarrowwidth="narrow" startarrowlength="short" endarrowwidth="narrow" endarrowlength="short" opacity="13107f"/>
                            <v:path arrowok="t" o:extrusionok="f"/>
                          </v:shape>
                          <v:shape id="Forma libre: forma 34" o:spid="_x0000_s1060" style="position:absolute;left:3409;top:61358;width:731;height:1921;visibility:visible;mso-wrap-style:square;v-text-anchor:middle"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" path="m,l7,16,22,50,33,86r13,35l45,121,14,55,11,44,,xe" fillcolor="#44546a [3202]" strokecolor="#44546a [3202]">
                            <v:fill opacity="13107f"/>
                            <v:stroke startarrowwidth="narrow" startarrowlength="short" endarrowwidth="narrow" endarrowlength="short" opacity="13107f"/>
                            <v:path arrowok="t" o:extrusionok="f"/>
                          </v:shape>
                        </v:group>
                      </v:group>
                    </v:group>
                  </v:group>
                </v:group>
                <w10:wrap anchorx="page" anchory="page"/>
              </v:group>
            </w:pict>
          </mc:Fallback>
        </mc:AlternateContent>
      </w:r>
    </w:p>
    <w:p w14:paraId="3E6999F3" w14:textId="77777777" w:rsidR="00644151" w:rsidRDefault="00644151">
      <w:pPr>
        <w:spacing w:line="360" w:lineRule="auto"/>
      </w:pPr>
    </w:p>
    <w:p w14:paraId="7443C628" w14:textId="77777777" w:rsidR="00644151" w:rsidRDefault="00425878">
      <w:pPr>
        <w:spacing w:line="360" w:lineRule="auto"/>
      </w:pPr>
      <w:r>
        <w:rPr>
          <w:noProof/>
        </w:rPr>
        <mc:AlternateContent>
          <mc:Choice Requires="wps">
            <w:drawing>
              <wp:anchor distT="0" distB="0" distL="114300" distR="114300" simplePos="0" relativeHeight="251659264" behindDoc="0" locked="0" layoutInCell="1" hidden="0" allowOverlap="1" wp14:anchorId="70EAB076" wp14:editId="76809B3F">
                <wp:simplePos x="0" y="0"/>
                <wp:positionH relativeFrom="page">
                  <wp:posOffset>3431537</wp:posOffset>
                </wp:positionH>
                <wp:positionV relativeFrom="page">
                  <wp:posOffset>1737042</wp:posOffset>
                </wp:positionV>
                <wp:extent cx="3686175" cy="1097915"/>
                <wp:effectExtent l="0" t="0" r="0" b="0"/>
                <wp:wrapNone/>
                <wp:docPr id="294" name="Rectángulo 294"/>
                <wp:cNvGraphicFramePr/>
                <a:graphic xmlns:a="http://schemas.openxmlformats.org/drawingml/2006/main">
                  <a:graphicData uri="http://schemas.microsoft.com/office/word/2010/wordprocessingShape">
                    <wps:wsp>
                      <wps:cNvSpPr/>
                      <wps:spPr>
                        <a:xfrm>
                          <a:off x="3517200" y="3245330"/>
                          <a:ext cx="3657600" cy="1069340"/>
                        </a:xfrm>
                        <a:prstGeom prst="rect">
                          <a:avLst/>
                        </a:prstGeom>
                        <a:noFill/>
                        <a:ln>
                          <a:noFill/>
                        </a:ln>
                      </wps:spPr>
                      <wps:txbx>
                        <w:txbxContent>
                          <w:p w14:paraId="00185BA3" w14:textId="77777777" w:rsidR="001076C8" w:rsidRDefault="001076C8">
                            <w:pPr>
                              <w:spacing w:after="0" w:line="240" w:lineRule="auto"/>
                              <w:jc w:val="left"/>
                              <w:textDirection w:val="btLr"/>
                            </w:pPr>
                            <w:r>
                              <w:rPr>
                                <w:rFonts w:ascii="Calibri" w:eastAsia="Calibri" w:hAnsi="Calibri" w:cs="Calibri"/>
                                <w:color w:val="262626"/>
                                <w:sz w:val="72"/>
                              </w:rPr>
                              <w:t>Marco teórico</w:t>
                            </w:r>
                          </w:p>
                          <w:p w14:paraId="4180371C" w14:textId="77777777" w:rsidR="001076C8" w:rsidRDefault="001076C8">
                            <w:pPr>
                              <w:spacing w:before="120" w:line="258" w:lineRule="auto"/>
                              <w:textDirection w:val="btLr"/>
                            </w:pPr>
                            <w:r>
                              <w:rPr>
                                <w:color w:val="404040"/>
                                <w:sz w:val="36"/>
                              </w:rPr>
                              <w:t>Alcaldía de Iztapalapa</w:t>
                            </w:r>
                          </w:p>
                        </w:txbxContent>
                      </wps:txbx>
                      <wps:bodyPr spcFirstLastPara="1" wrap="square" lIns="0" tIns="0" rIns="0" bIns="0" anchor="t" anchorCtr="0">
                        <a:noAutofit/>
                      </wps:bodyPr>
                    </wps:wsp>
                  </a:graphicData>
                </a:graphic>
              </wp:anchor>
            </w:drawing>
          </mc:Choice>
          <mc:Fallback>
            <w:pict>
              <v:rect w14:anchorId="70EAB076" id="Rectángulo 294" o:spid="_x0000_s1061" style="position:absolute;left:0;text-align:left;margin-left:270.2pt;margin-top:136.75pt;width:290.25pt;height:86.4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" filled="f" stroked="f">
                <v:textbox inset="0,0,0,0">
                  <w:txbxContent>
                    <w:p w14:paraId="00185BA3" w14:textId="77777777" w:rsidR="001076C8" w:rsidRDefault="001076C8">
                      <w:pPr>
                        <w:spacing w:after="0" w:line="240" w:lineRule="auto"/>
                        <w:jc w:val="left"/>
                        <w:textDirection w:val="btLr"/>
                      </w:pPr>
                      <w:r>
                        <w:rPr>
                          <w:rFonts w:ascii="Calibri" w:eastAsia="Calibri" w:hAnsi="Calibri" w:cs="Calibri"/>
                          <w:color w:val="262626"/>
                          <w:sz w:val="72"/>
                        </w:rPr>
                        <w:t>Marco teórico</w:t>
                      </w:r>
                    </w:p>
                    <w:p w14:paraId="4180371C" w14:textId="77777777" w:rsidR="001076C8" w:rsidRDefault="001076C8">
                      <w:pPr>
                        <w:spacing w:before="120" w:line="258" w:lineRule="auto"/>
                        <w:textDirection w:val="btLr"/>
                      </w:pPr>
                      <w:r>
                        <w:rPr>
                          <w:color w:val="404040"/>
                          <w:sz w:val="36"/>
                        </w:rPr>
                        <w:t>Alcaldía de Iztapalapa</w:t>
                      </w:r>
                    </w:p>
                  </w:txbxContent>
                </v:textbox>
                <w10:wrap anchorx="page" anchory="page"/>
              </v:rect>
            </w:pict>
          </mc:Fallback>
        </mc:AlternateContent>
      </w:r>
    </w:p>
    <w:p w14:paraId="6715E64A" w14:textId="77777777" w:rsidR="00644151" w:rsidRDefault="00644151">
      <w:pPr>
        <w:spacing w:line="360" w:lineRule="auto"/>
      </w:pPr>
    </w:p>
    <w:p w14:paraId="4E30852A" w14:textId="77777777" w:rsidR="00644151" w:rsidRDefault="00644151">
      <w:pPr>
        <w:spacing w:line="360" w:lineRule="auto"/>
      </w:pPr>
    </w:p>
    <w:p w14:paraId="367185C2" w14:textId="77777777" w:rsidR="00644151" w:rsidRDefault="00644151">
      <w:pPr>
        <w:spacing w:line="360" w:lineRule="auto"/>
      </w:pPr>
    </w:p>
    <w:p w14:paraId="67349543" w14:textId="6ABCB0C5" w:rsidR="00644151" w:rsidRDefault="00644151">
      <w:pPr>
        <w:spacing w:line="360" w:lineRule="auto"/>
      </w:pPr>
    </w:p>
    <w:p w14:paraId="674F0926" w14:textId="77777777" w:rsidR="00644151" w:rsidRDefault="00425878">
      <w:pPr>
        <w:pStyle w:val="Ttulo1"/>
      </w:pPr>
      <w:bookmarkStart w:id="14" w:name="_Toc89075367"/>
      <w:r>
        <w:lastRenderedPageBreak/>
        <w:t>Capítulo 1. Marco teórico</w:t>
      </w:r>
      <w:bookmarkEnd w:id="14"/>
    </w:p>
    <w:p w14:paraId="5E1EE087" w14:textId="40606D07" w:rsidR="00644151" w:rsidRDefault="00425878">
      <w:pPr>
        <w:spacing w:line="360" w:lineRule="auto"/>
      </w:pPr>
      <w:r>
        <w:t>El presente capítulo tiene como objetivo desarrollar un marco teórico-conceptual que permita dar un panorama general de los factores que determinan la mortalidad de la población, así como las tendencias demográficas que predominan en una sociedad. Para lo cual, se abordan las teorías de la transición demográfica y epidemiológica, la teoría de la localización que da sustento a diversos modelos, como el modelo de interacción espacial con la finalidad de obtener fundamentos teóricos que faciliten analizar los factores y la tendencia importantes en la población de la Alcaldía Iztapalapa para generar los diferentes escenarios tendenciales.</w:t>
      </w:r>
    </w:p>
    <w:p w14:paraId="61988032" w14:textId="77777777" w:rsidR="00644151" w:rsidRDefault="00644151">
      <w:pPr>
        <w:spacing w:line="360" w:lineRule="auto"/>
      </w:pPr>
    </w:p>
    <w:p w14:paraId="327AE03F" w14:textId="4B08704E" w:rsidR="00644151" w:rsidRDefault="00201587">
      <w:pPr>
        <w:pStyle w:val="Ttulo2"/>
      </w:pPr>
      <w:bookmarkStart w:id="15" w:name="_Toc89075368"/>
      <w:r>
        <w:t xml:space="preserve">1.1 </w:t>
      </w:r>
      <w:r w:rsidR="00425878">
        <w:t>Teoría de la transición demográfica</w:t>
      </w:r>
      <w:bookmarkEnd w:id="15"/>
    </w:p>
    <w:p w14:paraId="2EF9A1D0" w14:textId="77777777" w:rsidR="00644151" w:rsidRDefault="00425878">
      <w:pPr>
        <w:spacing w:line="360" w:lineRule="auto"/>
      </w:pPr>
      <w:r>
        <w:t>A lo largo del siglo XX la población a nivel mundial aumentó a diferentes tasas de crecimiento en las distintas regiones del mundo, se estima que en el año 1950 la población mundial era de 2.6 mil millones de personas, alcanzando los cinco mil millones en 1987 y para octubre de 2011, los siete mil millones de habitantes (ONU, 2019).</w:t>
      </w:r>
    </w:p>
    <w:p w14:paraId="39C162A2" w14:textId="77777777" w:rsidR="00644151" w:rsidRDefault="00425878">
      <w:pPr>
        <w:spacing w:line="360" w:lineRule="auto"/>
      </w:pPr>
      <w:r>
        <w:t xml:space="preserve">Este crecimiento demográfico puede ser explicado a través de la teoría de la transición demográfica que describe la evolución de la población a través del tiempo, a partir de la evolución de sus tasas de natalidad, mortalidad y el crecimiento natural o vegetativo, es decir, la diferencia entre el número de nacidos y fallecidos. La teoría de transición demográfico fue planteada por Warren. S. Thompson en 1929 y más tarde por Frank W. </w:t>
      </w:r>
      <w:proofErr w:type="spellStart"/>
      <w:r>
        <w:t>Notestein</w:t>
      </w:r>
      <w:proofErr w:type="spellEnd"/>
      <w:r>
        <w:t xml:space="preserve"> (1945), la cual describe las transformaciones que se producen en la dinámica demográfica durante la transición de una sociedad tradicional a una moderna, y su efecto sobre el crecimiento y la estructura por edades de la población. El modelo establece la relación entre crecimiento demográfico y económico, por lo que la duración y sucesión de sus etapas es distinta, según el grado de desarrollo socioeconómico del país que se analice. (Pizarro, 2010). El modelo parte de cuatro fases: </w:t>
      </w:r>
    </w:p>
    <w:p w14:paraId="4AF1B1EC" w14:textId="77777777" w:rsidR="00644151" w:rsidRDefault="00425878">
      <w:pPr>
        <w:spacing w:line="360" w:lineRule="auto"/>
      </w:pPr>
      <w:bookmarkStart w:id="16" w:name="_heading=h.44sinio" w:colFirst="0" w:colLast="0"/>
      <w:bookmarkEnd w:id="16"/>
      <w:r>
        <w:t xml:space="preserve">La primera fase, exhibe los elevados índices de mortalidad y fecundidad poblacional que pueden causar un crecimiento bajo, lento y variable, característico de la edad media y la edad moderna. Donde, muchas personas nacen, pero al mismo tiempo muchas mueren, entonces no hay un crecimiento destacado poblacional. Esta fase es la que ha caracterizado la historia de la humanidad desde sus orígenes hasta el siglo XVIII. La segunda fase se inicia con un </w:t>
      </w:r>
      <w:r>
        <w:lastRenderedPageBreak/>
        <w:t>descenso de la mortalidad, lo cual permite que exista un aumento en el ritmo de crecimiento de la población, esta fase es propio de países en vías de desarrollo donde los índices de mortalidad bajan debido a las mejoras en las tecnologías en general, avances en medicina y la mejora en la calidad de vida; consecuencia del crecimiento de la población urbana. En la tercera fase los índices de natalidad inician un importante descenso debido al acceso a los sistemas anticonceptivos, la incorporación de la mujer en la educación y al mercado laboral, entre otros. La mortalidad continúa su tendencia a la baja, iniciada en la fase anterior, lo que va a resultar en una joven estructura poblacional, por esta razón el crecimiento demográfico en esta tercera fase continúa siendo relativamente alto. Al final de esta etapa, la tasa de natalidad y la tasa de mortalidad comienzan a tener cifras relativamente bajas por lo que el crecimiento se ralentiza. La cuarta etapa, se dice que es característico de los países postindustriales, en esta etapa, la tasa de natalidad y la tasa de mortalidad disminuyen, el crecimiento de la población tiende a cero, e inclusive puede llegar a ser negativo, debido a que la tasa de natalidad puede ser menor que la tasa de mortalidad, lo que resulta en una disminución neta de la población (</w:t>
      </w:r>
      <w:proofErr w:type="spellStart"/>
      <w:r>
        <w:t>Salil</w:t>
      </w:r>
      <w:proofErr w:type="spellEnd"/>
      <w:r>
        <w:t>, 2020).</w:t>
      </w:r>
    </w:p>
    <w:p w14:paraId="3543991B" w14:textId="0C1C1F91" w:rsidR="00644151" w:rsidRDefault="00425878">
      <w:pPr>
        <w:pBdr>
          <w:top w:val="nil"/>
          <w:left w:val="nil"/>
          <w:bottom w:val="nil"/>
          <w:right w:val="nil"/>
          <w:between w:val="nil"/>
        </w:pBdr>
        <w:spacing w:after="200" w:line="240" w:lineRule="auto"/>
        <w:rPr>
          <w:color w:val="000000"/>
        </w:rPr>
      </w:pPr>
      <w:bookmarkStart w:id="17" w:name="_heading=h.1ksv4uv" w:colFirst="0" w:colLast="0"/>
      <w:bookmarkEnd w:id="17"/>
      <w:r>
        <w:rPr>
          <w:i/>
          <w:color w:val="44546A"/>
          <w:sz w:val="18"/>
          <w:szCs w:val="18"/>
        </w:rPr>
        <w:t xml:space="preserve">Tabla 1. </w:t>
      </w:r>
      <w:r w:rsidR="00A87006">
        <w:rPr>
          <w:i/>
          <w:color w:val="44546A"/>
          <w:sz w:val="18"/>
          <w:szCs w:val="18"/>
        </w:rPr>
        <w:t>F</w:t>
      </w:r>
      <w:r>
        <w:rPr>
          <w:i/>
          <w:color w:val="44546A"/>
          <w:sz w:val="18"/>
          <w:szCs w:val="18"/>
        </w:rPr>
        <w:t>ases de la transición demográfica en los países desarrollados</w:t>
      </w:r>
    </w:p>
    <w:tbl>
      <w:tblPr>
        <w:tblStyle w:val="af9"/>
        <w:tblW w:w="8828"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312"/>
        <w:gridCol w:w="1868"/>
        <w:gridCol w:w="1988"/>
        <w:gridCol w:w="1997"/>
        <w:gridCol w:w="1663"/>
      </w:tblGrid>
      <w:tr w:rsidR="00644151" w14:paraId="7F036520" w14:textId="77777777">
        <w:tc>
          <w:tcPr>
            <w:tcW w:w="1312" w:type="dxa"/>
            <w:vAlign w:val="center"/>
          </w:tcPr>
          <w:p w14:paraId="7D5569A3" w14:textId="77777777" w:rsidR="00644151" w:rsidRDefault="00644151">
            <w:pPr>
              <w:spacing w:line="360" w:lineRule="auto"/>
              <w:rPr>
                <w:sz w:val="16"/>
                <w:szCs w:val="16"/>
              </w:rPr>
            </w:pPr>
          </w:p>
        </w:tc>
        <w:tc>
          <w:tcPr>
            <w:tcW w:w="1868" w:type="dxa"/>
            <w:vAlign w:val="center"/>
          </w:tcPr>
          <w:p w14:paraId="50C28155" w14:textId="77777777" w:rsidR="00644151" w:rsidRDefault="00425878">
            <w:pPr>
              <w:spacing w:line="360" w:lineRule="auto"/>
              <w:jc w:val="center"/>
              <w:rPr>
                <w:b/>
                <w:sz w:val="16"/>
                <w:szCs w:val="16"/>
              </w:rPr>
            </w:pPr>
            <w:r>
              <w:rPr>
                <w:b/>
                <w:sz w:val="16"/>
                <w:szCs w:val="16"/>
              </w:rPr>
              <w:t>Régimen demográfico antiguo</w:t>
            </w:r>
          </w:p>
        </w:tc>
        <w:tc>
          <w:tcPr>
            <w:tcW w:w="1988" w:type="dxa"/>
            <w:vAlign w:val="center"/>
          </w:tcPr>
          <w:p w14:paraId="50E8821A" w14:textId="77777777" w:rsidR="00644151" w:rsidRDefault="00425878">
            <w:pPr>
              <w:spacing w:line="360" w:lineRule="auto"/>
              <w:jc w:val="center"/>
              <w:rPr>
                <w:b/>
                <w:sz w:val="16"/>
                <w:szCs w:val="16"/>
              </w:rPr>
            </w:pPr>
            <w:r>
              <w:rPr>
                <w:b/>
                <w:sz w:val="16"/>
                <w:szCs w:val="16"/>
              </w:rPr>
              <w:t>Primera fase de la transición demográfica</w:t>
            </w:r>
          </w:p>
        </w:tc>
        <w:tc>
          <w:tcPr>
            <w:tcW w:w="1997" w:type="dxa"/>
            <w:vAlign w:val="center"/>
          </w:tcPr>
          <w:p w14:paraId="02D412B0" w14:textId="77777777" w:rsidR="00644151" w:rsidRDefault="00425878">
            <w:pPr>
              <w:spacing w:line="360" w:lineRule="auto"/>
              <w:jc w:val="center"/>
              <w:rPr>
                <w:b/>
                <w:sz w:val="16"/>
                <w:szCs w:val="16"/>
              </w:rPr>
            </w:pPr>
            <w:r>
              <w:rPr>
                <w:b/>
                <w:sz w:val="16"/>
                <w:szCs w:val="16"/>
              </w:rPr>
              <w:t>Segunda fase de la transición demográfica</w:t>
            </w:r>
          </w:p>
        </w:tc>
        <w:tc>
          <w:tcPr>
            <w:tcW w:w="1663" w:type="dxa"/>
            <w:vAlign w:val="center"/>
          </w:tcPr>
          <w:p w14:paraId="1CDDAB5A" w14:textId="77777777" w:rsidR="00644151" w:rsidRDefault="00425878">
            <w:pPr>
              <w:spacing w:line="360" w:lineRule="auto"/>
              <w:jc w:val="center"/>
              <w:rPr>
                <w:b/>
                <w:sz w:val="16"/>
                <w:szCs w:val="16"/>
              </w:rPr>
            </w:pPr>
            <w:r>
              <w:rPr>
                <w:b/>
                <w:sz w:val="16"/>
                <w:szCs w:val="16"/>
              </w:rPr>
              <w:t>Régimen demográfico moderno</w:t>
            </w:r>
          </w:p>
        </w:tc>
      </w:tr>
      <w:tr w:rsidR="00644151" w14:paraId="33FE0B04" w14:textId="77777777">
        <w:tc>
          <w:tcPr>
            <w:tcW w:w="1312" w:type="dxa"/>
            <w:vAlign w:val="center"/>
          </w:tcPr>
          <w:p w14:paraId="404B6DC4" w14:textId="77777777" w:rsidR="00644151" w:rsidRDefault="00425878">
            <w:pPr>
              <w:spacing w:line="360" w:lineRule="auto"/>
              <w:rPr>
                <w:b/>
                <w:sz w:val="16"/>
                <w:szCs w:val="16"/>
              </w:rPr>
            </w:pPr>
            <w:r>
              <w:rPr>
                <w:b/>
                <w:sz w:val="16"/>
                <w:szCs w:val="16"/>
              </w:rPr>
              <w:t>Cronología</w:t>
            </w:r>
          </w:p>
        </w:tc>
        <w:tc>
          <w:tcPr>
            <w:tcW w:w="1868" w:type="dxa"/>
            <w:vAlign w:val="center"/>
          </w:tcPr>
          <w:p w14:paraId="28BEDCD5" w14:textId="77777777" w:rsidR="00644151" w:rsidRDefault="00425878">
            <w:pPr>
              <w:spacing w:line="360" w:lineRule="auto"/>
              <w:rPr>
                <w:sz w:val="16"/>
                <w:szCs w:val="16"/>
              </w:rPr>
            </w:pPr>
            <w:r>
              <w:rPr>
                <w:sz w:val="16"/>
                <w:szCs w:val="16"/>
              </w:rPr>
              <w:t>Desde la Prehistoria hasta el siglo XVIII</w:t>
            </w:r>
          </w:p>
        </w:tc>
        <w:tc>
          <w:tcPr>
            <w:tcW w:w="3985" w:type="dxa"/>
            <w:gridSpan w:val="2"/>
            <w:vAlign w:val="center"/>
          </w:tcPr>
          <w:p w14:paraId="3D2AAF0C" w14:textId="77777777" w:rsidR="00644151" w:rsidRDefault="00425878">
            <w:pPr>
              <w:spacing w:line="360" w:lineRule="auto"/>
              <w:rPr>
                <w:sz w:val="16"/>
                <w:szCs w:val="16"/>
              </w:rPr>
            </w:pPr>
            <w:r>
              <w:rPr>
                <w:sz w:val="16"/>
                <w:szCs w:val="16"/>
              </w:rPr>
              <w:t>Desde principios o mediados del XVIII hasta 1950</w:t>
            </w:r>
          </w:p>
        </w:tc>
        <w:tc>
          <w:tcPr>
            <w:tcW w:w="1663" w:type="dxa"/>
            <w:vAlign w:val="center"/>
          </w:tcPr>
          <w:p w14:paraId="298A26C5" w14:textId="77777777" w:rsidR="00644151" w:rsidRDefault="00425878">
            <w:pPr>
              <w:spacing w:line="360" w:lineRule="auto"/>
              <w:rPr>
                <w:sz w:val="16"/>
                <w:szCs w:val="16"/>
              </w:rPr>
            </w:pPr>
            <w:r>
              <w:rPr>
                <w:sz w:val="16"/>
                <w:szCs w:val="16"/>
              </w:rPr>
              <w:t>Desde 1950 hasta la actualidad</w:t>
            </w:r>
          </w:p>
        </w:tc>
      </w:tr>
      <w:tr w:rsidR="00644151" w14:paraId="0F8557AE" w14:textId="77777777">
        <w:tc>
          <w:tcPr>
            <w:tcW w:w="1312" w:type="dxa"/>
            <w:vAlign w:val="center"/>
          </w:tcPr>
          <w:p w14:paraId="33F95BD1" w14:textId="77777777" w:rsidR="00644151" w:rsidRDefault="00425878">
            <w:pPr>
              <w:spacing w:line="360" w:lineRule="auto"/>
              <w:rPr>
                <w:b/>
                <w:sz w:val="16"/>
                <w:szCs w:val="16"/>
              </w:rPr>
            </w:pPr>
            <w:r>
              <w:rPr>
                <w:b/>
                <w:sz w:val="16"/>
                <w:szCs w:val="16"/>
              </w:rPr>
              <w:t>Natalidad</w:t>
            </w:r>
          </w:p>
        </w:tc>
        <w:tc>
          <w:tcPr>
            <w:tcW w:w="1868" w:type="dxa"/>
            <w:vAlign w:val="center"/>
          </w:tcPr>
          <w:p w14:paraId="00441FB8" w14:textId="77777777" w:rsidR="00644151" w:rsidRDefault="00425878">
            <w:pPr>
              <w:spacing w:line="360" w:lineRule="auto"/>
              <w:rPr>
                <w:sz w:val="16"/>
                <w:szCs w:val="16"/>
              </w:rPr>
            </w:pPr>
            <w:r>
              <w:rPr>
                <w:sz w:val="16"/>
                <w:szCs w:val="16"/>
              </w:rPr>
              <w:t>Alta</w:t>
            </w:r>
          </w:p>
        </w:tc>
        <w:tc>
          <w:tcPr>
            <w:tcW w:w="1988" w:type="dxa"/>
            <w:vAlign w:val="center"/>
          </w:tcPr>
          <w:p w14:paraId="50819190" w14:textId="77777777" w:rsidR="00644151" w:rsidRDefault="00425878">
            <w:pPr>
              <w:spacing w:line="360" w:lineRule="auto"/>
              <w:rPr>
                <w:sz w:val="16"/>
                <w:szCs w:val="16"/>
              </w:rPr>
            </w:pPr>
            <w:r>
              <w:rPr>
                <w:sz w:val="16"/>
                <w:szCs w:val="16"/>
              </w:rPr>
              <w:t>Se mantienen elevada</w:t>
            </w:r>
          </w:p>
        </w:tc>
        <w:tc>
          <w:tcPr>
            <w:tcW w:w="1997" w:type="dxa"/>
            <w:vAlign w:val="center"/>
          </w:tcPr>
          <w:p w14:paraId="15BA123D" w14:textId="77777777" w:rsidR="00644151" w:rsidRDefault="00425878">
            <w:pPr>
              <w:spacing w:line="360" w:lineRule="auto"/>
              <w:rPr>
                <w:sz w:val="16"/>
                <w:szCs w:val="16"/>
              </w:rPr>
            </w:pPr>
            <w:r>
              <w:rPr>
                <w:sz w:val="16"/>
                <w:szCs w:val="16"/>
              </w:rPr>
              <w:t>Desciende</w:t>
            </w:r>
          </w:p>
        </w:tc>
        <w:tc>
          <w:tcPr>
            <w:tcW w:w="1663" w:type="dxa"/>
            <w:vAlign w:val="center"/>
          </w:tcPr>
          <w:p w14:paraId="1E5A769E" w14:textId="77777777" w:rsidR="00644151" w:rsidRDefault="00425878">
            <w:pPr>
              <w:spacing w:line="360" w:lineRule="auto"/>
              <w:rPr>
                <w:sz w:val="16"/>
                <w:szCs w:val="16"/>
              </w:rPr>
            </w:pPr>
            <w:r>
              <w:rPr>
                <w:sz w:val="16"/>
                <w:szCs w:val="16"/>
              </w:rPr>
              <w:t>Se reduce (baja)</w:t>
            </w:r>
          </w:p>
        </w:tc>
      </w:tr>
      <w:tr w:rsidR="00644151" w14:paraId="41209F3F" w14:textId="77777777">
        <w:tc>
          <w:tcPr>
            <w:tcW w:w="1312" w:type="dxa"/>
            <w:vAlign w:val="center"/>
          </w:tcPr>
          <w:p w14:paraId="09815E3E" w14:textId="77777777" w:rsidR="00644151" w:rsidRDefault="00425878">
            <w:pPr>
              <w:spacing w:line="360" w:lineRule="auto"/>
              <w:rPr>
                <w:b/>
                <w:sz w:val="16"/>
                <w:szCs w:val="16"/>
              </w:rPr>
            </w:pPr>
            <w:r>
              <w:rPr>
                <w:b/>
                <w:sz w:val="16"/>
                <w:szCs w:val="16"/>
              </w:rPr>
              <w:t>Mortalidad</w:t>
            </w:r>
          </w:p>
        </w:tc>
        <w:tc>
          <w:tcPr>
            <w:tcW w:w="1868" w:type="dxa"/>
            <w:vAlign w:val="center"/>
          </w:tcPr>
          <w:p w14:paraId="4309348F" w14:textId="77777777" w:rsidR="00644151" w:rsidRDefault="00425878">
            <w:pPr>
              <w:spacing w:line="360" w:lineRule="auto"/>
              <w:rPr>
                <w:sz w:val="16"/>
                <w:szCs w:val="16"/>
              </w:rPr>
            </w:pPr>
            <w:r>
              <w:rPr>
                <w:sz w:val="16"/>
                <w:szCs w:val="16"/>
              </w:rPr>
              <w:t>Alta, sobre todo infantil</w:t>
            </w:r>
          </w:p>
        </w:tc>
        <w:tc>
          <w:tcPr>
            <w:tcW w:w="1988" w:type="dxa"/>
            <w:vAlign w:val="center"/>
          </w:tcPr>
          <w:p w14:paraId="53322917" w14:textId="77777777" w:rsidR="00644151" w:rsidRDefault="00425878">
            <w:pPr>
              <w:spacing w:line="360" w:lineRule="auto"/>
              <w:rPr>
                <w:sz w:val="16"/>
                <w:szCs w:val="16"/>
              </w:rPr>
            </w:pPr>
            <w:r>
              <w:rPr>
                <w:sz w:val="16"/>
                <w:szCs w:val="16"/>
              </w:rPr>
              <w:t xml:space="preserve">Desciende bruscamente </w:t>
            </w:r>
          </w:p>
        </w:tc>
        <w:tc>
          <w:tcPr>
            <w:tcW w:w="1997" w:type="dxa"/>
            <w:vAlign w:val="center"/>
          </w:tcPr>
          <w:p w14:paraId="465F3AB6" w14:textId="77777777" w:rsidR="00644151" w:rsidRDefault="00425878">
            <w:pPr>
              <w:spacing w:line="360" w:lineRule="auto"/>
              <w:rPr>
                <w:sz w:val="16"/>
                <w:szCs w:val="16"/>
              </w:rPr>
            </w:pPr>
            <w:r>
              <w:rPr>
                <w:sz w:val="16"/>
                <w:szCs w:val="16"/>
              </w:rPr>
              <w:t>Desciende, pero ya muy lentamente</w:t>
            </w:r>
          </w:p>
        </w:tc>
        <w:tc>
          <w:tcPr>
            <w:tcW w:w="1663" w:type="dxa"/>
            <w:vAlign w:val="center"/>
          </w:tcPr>
          <w:p w14:paraId="4E5C2C69" w14:textId="77777777" w:rsidR="00644151" w:rsidRDefault="00425878">
            <w:pPr>
              <w:spacing w:line="360" w:lineRule="auto"/>
              <w:rPr>
                <w:sz w:val="16"/>
                <w:szCs w:val="16"/>
              </w:rPr>
            </w:pPr>
            <w:r>
              <w:rPr>
                <w:sz w:val="16"/>
                <w:szCs w:val="16"/>
              </w:rPr>
              <w:t>Se reduce (baja)</w:t>
            </w:r>
          </w:p>
        </w:tc>
      </w:tr>
      <w:tr w:rsidR="00644151" w14:paraId="3FE2E532" w14:textId="77777777">
        <w:tc>
          <w:tcPr>
            <w:tcW w:w="1312" w:type="dxa"/>
            <w:vAlign w:val="center"/>
          </w:tcPr>
          <w:p w14:paraId="1B8A0B55" w14:textId="77777777" w:rsidR="00644151" w:rsidRDefault="00425878">
            <w:pPr>
              <w:spacing w:line="360" w:lineRule="auto"/>
              <w:rPr>
                <w:b/>
                <w:sz w:val="16"/>
                <w:szCs w:val="16"/>
              </w:rPr>
            </w:pPr>
            <w:r>
              <w:rPr>
                <w:b/>
                <w:sz w:val="16"/>
                <w:szCs w:val="16"/>
              </w:rPr>
              <w:t>Crecimiento natural</w:t>
            </w:r>
          </w:p>
        </w:tc>
        <w:tc>
          <w:tcPr>
            <w:tcW w:w="1868" w:type="dxa"/>
            <w:vAlign w:val="center"/>
          </w:tcPr>
          <w:p w14:paraId="19E16E62" w14:textId="77777777" w:rsidR="00644151" w:rsidRDefault="00425878">
            <w:pPr>
              <w:spacing w:line="360" w:lineRule="auto"/>
              <w:rPr>
                <w:sz w:val="16"/>
                <w:szCs w:val="16"/>
              </w:rPr>
            </w:pPr>
            <w:r>
              <w:rPr>
                <w:sz w:val="16"/>
                <w:szCs w:val="16"/>
              </w:rPr>
              <w:t>Lento, bajo o nulo.</w:t>
            </w:r>
          </w:p>
        </w:tc>
        <w:tc>
          <w:tcPr>
            <w:tcW w:w="1988" w:type="dxa"/>
            <w:vAlign w:val="center"/>
          </w:tcPr>
          <w:p w14:paraId="78546969" w14:textId="77777777" w:rsidR="00644151" w:rsidRDefault="00425878">
            <w:pPr>
              <w:spacing w:line="360" w:lineRule="auto"/>
              <w:rPr>
                <w:sz w:val="16"/>
                <w:szCs w:val="16"/>
              </w:rPr>
            </w:pPr>
            <w:r>
              <w:rPr>
                <w:sz w:val="16"/>
                <w:szCs w:val="16"/>
              </w:rPr>
              <w:t>Fuerte (revolución demográfica)</w:t>
            </w:r>
          </w:p>
        </w:tc>
        <w:tc>
          <w:tcPr>
            <w:tcW w:w="1997" w:type="dxa"/>
            <w:vAlign w:val="center"/>
          </w:tcPr>
          <w:p w14:paraId="595CC9BE" w14:textId="77777777" w:rsidR="00644151" w:rsidRDefault="00425878">
            <w:pPr>
              <w:spacing w:line="360" w:lineRule="auto"/>
              <w:rPr>
                <w:sz w:val="16"/>
                <w:szCs w:val="16"/>
              </w:rPr>
            </w:pPr>
            <w:r>
              <w:rPr>
                <w:sz w:val="16"/>
                <w:szCs w:val="16"/>
              </w:rPr>
              <w:t>Débil.</w:t>
            </w:r>
          </w:p>
        </w:tc>
        <w:tc>
          <w:tcPr>
            <w:tcW w:w="1663" w:type="dxa"/>
            <w:vAlign w:val="center"/>
          </w:tcPr>
          <w:p w14:paraId="57B46DBE" w14:textId="77777777" w:rsidR="00644151" w:rsidRDefault="00425878">
            <w:pPr>
              <w:spacing w:line="360" w:lineRule="auto"/>
              <w:rPr>
                <w:sz w:val="16"/>
                <w:szCs w:val="16"/>
              </w:rPr>
            </w:pPr>
            <w:r>
              <w:rPr>
                <w:sz w:val="16"/>
                <w:szCs w:val="16"/>
              </w:rPr>
              <w:t>Débil e incluso negativo.</w:t>
            </w:r>
          </w:p>
        </w:tc>
      </w:tr>
      <w:tr w:rsidR="00644151" w14:paraId="695239DF" w14:textId="77777777">
        <w:tc>
          <w:tcPr>
            <w:tcW w:w="1312" w:type="dxa"/>
            <w:vAlign w:val="center"/>
          </w:tcPr>
          <w:p w14:paraId="7E7F7A77" w14:textId="77777777" w:rsidR="00644151" w:rsidRDefault="00425878">
            <w:pPr>
              <w:spacing w:line="360" w:lineRule="auto"/>
              <w:rPr>
                <w:b/>
                <w:sz w:val="16"/>
                <w:szCs w:val="16"/>
              </w:rPr>
            </w:pPr>
            <w:r>
              <w:rPr>
                <w:b/>
                <w:sz w:val="16"/>
                <w:szCs w:val="16"/>
              </w:rPr>
              <w:t>Esperanza de vida</w:t>
            </w:r>
          </w:p>
        </w:tc>
        <w:tc>
          <w:tcPr>
            <w:tcW w:w="1868" w:type="dxa"/>
            <w:vAlign w:val="center"/>
          </w:tcPr>
          <w:p w14:paraId="7B8A161F" w14:textId="77777777" w:rsidR="00644151" w:rsidRDefault="00425878">
            <w:pPr>
              <w:spacing w:line="360" w:lineRule="auto"/>
              <w:rPr>
                <w:sz w:val="16"/>
                <w:szCs w:val="16"/>
              </w:rPr>
            </w:pPr>
            <w:r>
              <w:rPr>
                <w:sz w:val="16"/>
                <w:szCs w:val="16"/>
              </w:rPr>
              <w:t>Entre los veinticinco y cuarenta años.</w:t>
            </w:r>
          </w:p>
        </w:tc>
        <w:tc>
          <w:tcPr>
            <w:tcW w:w="3985" w:type="dxa"/>
            <w:gridSpan w:val="2"/>
            <w:vAlign w:val="center"/>
          </w:tcPr>
          <w:p w14:paraId="7B7F9CDE" w14:textId="77777777" w:rsidR="00644151" w:rsidRDefault="00425878">
            <w:pPr>
              <w:spacing w:line="360" w:lineRule="auto"/>
              <w:rPr>
                <w:sz w:val="16"/>
                <w:szCs w:val="16"/>
              </w:rPr>
            </w:pPr>
            <w:r>
              <w:rPr>
                <w:sz w:val="16"/>
                <w:szCs w:val="16"/>
              </w:rPr>
              <w:t>Entre los cuarenta y cinco y cincuenta años</w:t>
            </w:r>
          </w:p>
        </w:tc>
        <w:tc>
          <w:tcPr>
            <w:tcW w:w="1663" w:type="dxa"/>
            <w:vAlign w:val="center"/>
          </w:tcPr>
          <w:p w14:paraId="69B1E95B" w14:textId="77777777" w:rsidR="00644151" w:rsidRDefault="00425878">
            <w:pPr>
              <w:spacing w:line="360" w:lineRule="auto"/>
              <w:rPr>
                <w:sz w:val="16"/>
                <w:szCs w:val="16"/>
              </w:rPr>
            </w:pPr>
            <w:r>
              <w:rPr>
                <w:sz w:val="16"/>
                <w:szCs w:val="16"/>
              </w:rPr>
              <w:t>Más de setenta años.</w:t>
            </w:r>
          </w:p>
        </w:tc>
      </w:tr>
    </w:tbl>
    <w:p w14:paraId="12831CD8" w14:textId="77777777" w:rsidR="00644151" w:rsidRDefault="00425878">
      <w:pPr>
        <w:rPr>
          <w:sz w:val="22"/>
          <w:szCs w:val="22"/>
        </w:rPr>
      </w:pPr>
      <w:r>
        <w:rPr>
          <w:sz w:val="22"/>
          <w:szCs w:val="22"/>
        </w:rPr>
        <w:t xml:space="preserve">Fuente: Elaborado sobre la base de Pizarro F. (2010). </w:t>
      </w:r>
    </w:p>
    <w:p w14:paraId="4AF65579" w14:textId="77777777" w:rsidR="00644151" w:rsidRDefault="00644151">
      <w:pPr>
        <w:spacing w:line="360" w:lineRule="auto"/>
      </w:pPr>
    </w:p>
    <w:p w14:paraId="6739D5FA" w14:textId="77777777" w:rsidR="00644151" w:rsidRDefault="00425878">
      <w:pPr>
        <w:spacing w:line="360" w:lineRule="auto"/>
      </w:pPr>
      <w:r>
        <w:t xml:space="preserve">En este contexto la demografía de nuestro país en el último siglo presentó dos grandes etapas demográficas, que corresponden a dos diferentes evoluciones de la dinámica poblacional, y dos formas de actuar en materia de política de población. En la primera etapa se reconoce que el país necesita poblarse. Esta etapa abarca de 1900 hasta 1974 (proceso de urbanización) </w:t>
      </w:r>
      <w:r>
        <w:lastRenderedPageBreak/>
        <w:t>con una población de 13.6 millones y una tasa de crecimiento demográfico de 1.1 por ciento anual. En la segunda etapa, se reconoce que hay demasiada población en México. Esta etapa se inicia en 1974 y continúa hasta la actualidad, con una tasa de crecimiento de la población de 1.4 por ciento anual (Ordorica, 2006).</w:t>
      </w:r>
    </w:p>
    <w:p w14:paraId="30D2BB8D" w14:textId="77777777" w:rsidR="00644151" w:rsidRDefault="00425878">
      <w:pPr>
        <w:spacing w:line="360" w:lineRule="auto"/>
      </w:pPr>
      <w:r>
        <w:t>El futuro demográfico se puede prever siempre que la dinámica poblacional mantenga su inercia actual y no ocurran algún evento que modifique está dinámica como puede ser guerras, epidemias, cataclismos u otros hechos aleatorios que modifiquen el mundo, un claro ejemplo es la pandemia que se ha presentado a lo largo de 2020, que ha causado miles de muerte en todo el mundo.</w:t>
      </w:r>
    </w:p>
    <w:p w14:paraId="1F71E0FF" w14:textId="77777777" w:rsidR="00644151" w:rsidRDefault="00425878">
      <w:pPr>
        <w:spacing w:line="360" w:lineRule="auto"/>
      </w:pPr>
      <w:r>
        <w:t>El cambio demográfico a escala mundial ha tomado gran interés en estudios poblacionales, económicos, epidemiológicos y políticos; ya que tienen implicaciones en áreas como servicios de salud, sistema de pensiones, esquemas de seguridad social, y desarrollo económico, por mencionar algunos, tanto en países desarrollados como emergentes.</w:t>
      </w:r>
    </w:p>
    <w:p w14:paraId="6ED16921" w14:textId="77777777" w:rsidR="00644151" w:rsidRDefault="00644151">
      <w:pPr>
        <w:spacing w:line="360" w:lineRule="auto"/>
      </w:pPr>
    </w:p>
    <w:p w14:paraId="72BB16AA" w14:textId="4E1FC8E0" w:rsidR="00644151" w:rsidRDefault="00201587">
      <w:pPr>
        <w:pStyle w:val="Ttulo2"/>
      </w:pPr>
      <w:bookmarkStart w:id="18" w:name="_Toc89075369"/>
      <w:r>
        <w:t xml:space="preserve">1.2 </w:t>
      </w:r>
      <w:r w:rsidR="00425878">
        <w:t>Teoría de la transición epidemiológica clásica</w:t>
      </w:r>
      <w:bookmarkEnd w:id="18"/>
    </w:p>
    <w:p w14:paraId="0E616562" w14:textId="743F49A0" w:rsidR="00644151" w:rsidRDefault="00425878">
      <w:pPr>
        <w:spacing w:line="360" w:lineRule="auto"/>
      </w:pPr>
      <w:r>
        <w:t xml:space="preserve">A lo largo del siglo XX las causas de mortalidad han cambiado y es en este punto donde es posible vincular las teorías de la transición demográfica con la epidemiológica. La teoría de la transición epidemiológica permite comprender los patrones de enfermedad y las causas de muerte en la población. El concepto de transición epidemiológica va más allá del de transición demográfica porque intenta explicar los cambios en la morbilidad, basando el proceso de transición, en la enfermedad, que implica un cambio contundente. Se entiende por transición epidemiológica a los cambios a largo plazo en los patrones de muerte, enfermedad e invalidez que caracterizan a una población específica y que por lo general se presentan junto con transformaciones demográficas, sociales y económicas más amplias (Frenk, </w:t>
      </w:r>
      <w:r w:rsidR="00AE74BE" w:rsidRPr="00AE74BE">
        <w:t>et al</w:t>
      </w:r>
      <w:r w:rsidR="00AE74BE">
        <w:t>.</w:t>
      </w:r>
      <w:r>
        <w:t>, 1991).</w:t>
      </w:r>
    </w:p>
    <w:p w14:paraId="497B0A30" w14:textId="77777777" w:rsidR="00644151" w:rsidRDefault="00425878">
      <w:pPr>
        <w:spacing w:line="360" w:lineRule="auto"/>
      </w:pPr>
      <w:r>
        <w:t xml:space="preserve">En 1971, Abdel R. </w:t>
      </w:r>
      <w:proofErr w:type="spellStart"/>
      <w:r>
        <w:t>Omran</w:t>
      </w:r>
      <w:proofErr w:type="spellEnd"/>
      <w:r>
        <w:t xml:space="preserve"> publicó su artículo la teoría de la transición epidemiológica, el estudio se centra en los patrones cambiantes de la distribución de la población en relación con los patrones cambiantes de mortalidad, fertilidad, esperanza de vida y las principales causas de muerte. La teoría de la transición epidemiológica tiene sus orígenes en la </w:t>
      </w:r>
      <w:r>
        <w:lastRenderedPageBreak/>
        <w:t>demografía y concluye que las poblaciones pasan de una etapa donde los niveles de mortalidad son elevados, especialmente por acción de las enfermedades infecciosas, a otra etapa donde la mortalidad se reduce notablemente y las enfermedades degenerativas son la principal causa de muerte (</w:t>
      </w:r>
      <w:proofErr w:type="spellStart"/>
      <w:r>
        <w:t>McKeown</w:t>
      </w:r>
      <w:proofErr w:type="spellEnd"/>
      <w:r>
        <w:t xml:space="preserve">, 2009). </w:t>
      </w:r>
    </w:p>
    <w:p w14:paraId="1042A603" w14:textId="77777777" w:rsidR="00644151" w:rsidRDefault="00425878">
      <w:pPr>
        <w:spacing w:line="360" w:lineRule="auto"/>
      </w:pPr>
      <w:r>
        <w:t>Un punto esencial es que la prioridad de las muertes y enfermedades se desplaza de los grupos de edad más jóvenes a los de edad más avanzada, y en este contexto el aumento o disminución en términos relativos y absolutos de cada grupo por edad de la población en un país pueden repercutir de cierta forma en los patrones de mortalidad. caracterizado por tres fases, las cuales reciben el nombre de la causa de muerte dominante, las fases son: edad de la peste y el hambre, edad del deceso de las pandemias y edad de enfermedades degenerativas y producidas por el hombre (</w:t>
      </w:r>
      <w:proofErr w:type="spellStart"/>
      <w:r>
        <w:t>Omran</w:t>
      </w:r>
      <w:proofErr w:type="spellEnd"/>
      <w:r>
        <w:t xml:space="preserve"> 1971 citado por Vera, 2000)</w:t>
      </w:r>
    </w:p>
    <w:p w14:paraId="67E77B02" w14:textId="77777777" w:rsidR="00644151" w:rsidRDefault="00425878">
      <w:pPr>
        <w:spacing w:line="360" w:lineRule="auto"/>
      </w:pPr>
      <w:r>
        <w:t xml:space="preserve">La primera etapa se denomina de la edad de la peste y el hambre, se caracteriza por una mortalidad elevada sujeta a fuertes fluctuaciones, fecundidad alta y esperanza de vida baja. Esta etapa se observa en poblaciones en que las hambrunas son comunes y la desnutrición severa; las epidemias son frecuentes. La segunda etapa se le conoce como la </w:t>
      </w:r>
      <w:r>
        <w:rPr>
          <w:i/>
        </w:rPr>
        <w:t>del descenso de las pandemias</w:t>
      </w:r>
      <w:r>
        <w:t xml:space="preserve">, en esta etapa, la desnutrición es menor, desaparecen progresivamente las enfermedades transmisibles y predominan los niveles endémicos elevados de enfermedades parasitarias y deficitarias.  La mortalidad disminuye debido a la reducción y desaparición de las epidemias; aumenta la esperanza de vida; y ocurre crecimiento poblacional debido tanto a la reducción de la mortalidad como a la elevada fecundidad. La tercera etapa es la de </w:t>
      </w:r>
      <w:r>
        <w:rPr>
          <w:i/>
        </w:rPr>
        <w:t>enfermedades degenerativas y producidas por el hombre</w:t>
      </w:r>
      <w:r>
        <w:t>, donde las enfermedades cardiovasculares y el cáncer predominan sobre las infecciosas. Aumenta la prevalencia de enfermedades mentales, adicciones y problemas de contaminación. Esta etapa presenta las siguientes características: la mortalidad continúa descendiendo y se estabiliza en niveles bajos; la esperanza de vida al nacer aumenta y supera los 50 años; y el crecimiento poblacional se hace más dependiente de la fecundidad que de la mortalidad (Gómez, 2001).</w:t>
      </w:r>
    </w:p>
    <w:p w14:paraId="3666E53A" w14:textId="77777777" w:rsidR="00644151" w:rsidRDefault="00425878">
      <w:pPr>
        <w:spacing w:line="360" w:lineRule="auto"/>
      </w:pPr>
      <w:r>
        <w:t xml:space="preserve">En 1986, </w:t>
      </w:r>
      <w:proofErr w:type="spellStart"/>
      <w:r>
        <w:t>Olshansky</w:t>
      </w:r>
      <w:proofErr w:type="spellEnd"/>
      <w:r>
        <w:t xml:space="preserve"> y </w:t>
      </w:r>
      <w:proofErr w:type="spellStart"/>
      <w:r>
        <w:t>Ault</w:t>
      </w:r>
      <w:proofErr w:type="spellEnd"/>
      <w:r>
        <w:t xml:space="preserve"> propusieron una cuarta etapa a la teoría de la transición epidemiológica: la etapa de las </w:t>
      </w:r>
      <w:r>
        <w:rPr>
          <w:i/>
        </w:rPr>
        <w:t>enfermedades degenerativas tardías</w:t>
      </w:r>
      <w:r>
        <w:t>, caracterizada por un aumento en la esperanza de vida que beneficia a las edades más avanzadas.</w:t>
      </w:r>
    </w:p>
    <w:p w14:paraId="2474B252" w14:textId="77777777" w:rsidR="00644151" w:rsidRDefault="00425878">
      <w:pPr>
        <w:spacing w:line="360" w:lineRule="auto"/>
      </w:pPr>
      <w:r>
        <w:lastRenderedPageBreak/>
        <w:t>La propuesta final esboza tres modelos básicos de la transición epidemiológica que son: el modelo clásico u occidental, el modelo acelerado y el modelo contemporáneo o retrasado, que perteneces a países desarrollados, años más tarde Frenk 1991 postularía la teoría de la transición epidemiológica para los países menos desarrollados.</w:t>
      </w:r>
    </w:p>
    <w:p w14:paraId="2BE9BBDF" w14:textId="77777777" w:rsidR="00644151" w:rsidRDefault="00644151">
      <w:pPr>
        <w:spacing w:line="360" w:lineRule="auto"/>
      </w:pPr>
    </w:p>
    <w:p w14:paraId="40D929D0" w14:textId="60F53753" w:rsidR="00644151" w:rsidRDefault="00201587">
      <w:pPr>
        <w:pStyle w:val="Ttulo2"/>
      </w:pPr>
      <w:bookmarkStart w:id="19" w:name="_Toc89075370"/>
      <w:r>
        <w:t xml:space="preserve">1.3 </w:t>
      </w:r>
      <w:r w:rsidR="00425878">
        <w:t>Teoría de la transición epidemiológica en América Latina</w:t>
      </w:r>
      <w:bookmarkEnd w:id="19"/>
    </w:p>
    <w:p w14:paraId="6625D532" w14:textId="77777777" w:rsidR="00644151" w:rsidRDefault="00425878">
      <w:pPr>
        <w:spacing w:line="360" w:lineRule="auto"/>
      </w:pPr>
      <w:r>
        <w:t>Según estadísticas de algunos países menos desarrollados, el cambio o transición demográfica sucedió de forma más rápida; un factor que incidió fue la importación de tecnología médico-sanitaria que llevó a la reducción significativa de la mortalidad, en comparación con la reducción ocurrida en los países más desarrollados, todo ello independientemente del nivel de desarrollo económico (Martínez, 2013). En este sentido, la teoría de la transición demográfica y la teoría de la transición epidemiológica tiene un comportamiento atípico en los países menos desarrollados.</w:t>
      </w:r>
    </w:p>
    <w:p w14:paraId="5470C7B0" w14:textId="00074AFA" w:rsidR="00644151" w:rsidRDefault="00425878">
      <w:pPr>
        <w:spacing w:line="360" w:lineRule="auto"/>
      </w:pPr>
      <w:r>
        <w:t>En América Latina se observa un perfil de salud de gran diversidad en el que los distintos países se encuentran en diferentes etapas de transición epidemiológica. No obstante, la mayor parte, a diferencia de los países desarrollados pueden estar atravesando por una nueva experiencia de transición caracterizada por: Alta incidencia simultánea de enfermedades de ambas etapas pre y post transicionales, resurgimiento de algunas enfermedades infecciosas que ya habían sido controladas, irresolución del proceso de transición de manera que los países parecen estancados en un estado de morbilidad mixta y desarrollo de una polarización epidemiológica peculiar, no solo entre los países sino dentro de ellos en distintas zonas geográficas y entre las diferentes clases sociales (Delgado et al., 2003)</w:t>
      </w:r>
      <w:r w:rsidR="001743AC">
        <w:t xml:space="preserve"> he aquí la importancia de la incorporación de la geografía en diferentes áreas del conocimiento</w:t>
      </w:r>
      <w:r>
        <w:t>.</w:t>
      </w:r>
    </w:p>
    <w:p w14:paraId="05A993B1" w14:textId="77777777" w:rsidR="00644151" w:rsidRDefault="00644151"/>
    <w:p w14:paraId="55939E3A" w14:textId="1AC482F1" w:rsidR="00644151" w:rsidRDefault="00201587">
      <w:pPr>
        <w:pStyle w:val="Ttulo2"/>
      </w:pPr>
      <w:bookmarkStart w:id="20" w:name="_Toc89075371"/>
      <w:r>
        <w:t xml:space="preserve">1.4 </w:t>
      </w:r>
      <w:r w:rsidR="00425878">
        <w:t>De la Geografía a la Geoinformática</w:t>
      </w:r>
      <w:bookmarkEnd w:id="20"/>
    </w:p>
    <w:p w14:paraId="1B2A085D" w14:textId="77777777" w:rsidR="00644151" w:rsidRDefault="00425878">
      <w:pPr>
        <w:spacing w:line="360" w:lineRule="auto"/>
      </w:pPr>
      <w:r>
        <w:t xml:space="preserve">La geografía, como toda ciencia, ha mantenido un proceso dinámico desde su origen, la cual, ha experimentado avances y transformaciones. Existen diferentes definiciones de geografía, cuya acepciones y características, se orientan de acuerdo con sus paradigmas científicos y temáticos, las orientaciones disciplinarias o tipos de geografías y los enfoques metodológicos que se asumen para el análisis de su objeto de estudio (Carreto &amp; González, 2014). </w:t>
      </w:r>
    </w:p>
    <w:p w14:paraId="368FA3D7" w14:textId="77777777" w:rsidR="00644151" w:rsidRDefault="00425878">
      <w:pPr>
        <w:spacing w:line="360" w:lineRule="auto"/>
      </w:pPr>
      <w:r>
        <w:lastRenderedPageBreak/>
        <w:t>Los periodos más relevantes de la historia del pensamiento geográfico son: edad antigua, edad media, y edad moderna. La edad antigua (s. VII a.C. - s. II a. C.), se destaca por la descripción y acumulación de datos de la tierra, su objetivo fue conocer el territorio, destacan pensadores de la antigua Grecia como: Anaximandro, Aristóteles, Heródoto, Pitágoras, Tales de Mileto, Platón entre otros. Conocimientos del mundo, teorías espaciales y observaciones astronómicas fueron los grandes aportes de los representantes de este período (Cuadra, 2014).</w:t>
      </w:r>
    </w:p>
    <w:p w14:paraId="3F8D3098" w14:textId="77777777" w:rsidR="00644151" w:rsidRDefault="00425878">
      <w:pPr>
        <w:spacing w:line="360" w:lineRule="auto"/>
      </w:pPr>
      <w:r>
        <w:t>En la edad media (s. V d. C. - s. XI d. C.) la geografía mantiene su carácter descriptivo, se da comienzo al relato de viajes, destacan algunos autores como Martín Capella, Ambrosio Teodosio y Marco Polo.  La edad media es caracterizada por descubrimientos que trajeron consigo importantes avances, tales como el desarrollo de la cartografía, la comprobación de la redondez de la tierra, establecimiento de la ley de gravedad y las leyes del movimiento de los planetas, entre otras (Oropeza &amp; Díaz, 2007).</w:t>
      </w:r>
    </w:p>
    <w:p w14:paraId="268E079E" w14:textId="77777777" w:rsidR="00644151" w:rsidRDefault="00425878">
      <w:pPr>
        <w:spacing w:line="360" w:lineRule="auto"/>
      </w:pPr>
      <w:r>
        <w:t>En la edad moderna (s. XIX d. C.), la geografía, sin dejar de ser descriptiva, adquiere un carácter explicativo, al comenzar a preguntarse sobre las causas, procesos y efectos de los fenómenos geográficos. Sus máximos representantes fueron Alejandro de Humboldt (1769-1859) y Carl Ritter (1779-1859), el primero relacionando los fenómenos físico-naturales con factores como la geología, clima, suelos, vegetación, hidrografía y fauna; el segundo relacionando los aspectos físico-naturales con la sociedad (Oropeza &amp; Díaz, 2007).</w:t>
      </w:r>
    </w:p>
    <w:p w14:paraId="31C70E6B" w14:textId="77777777" w:rsidR="00644151" w:rsidRDefault="00425878">
      <w:pPr>
        <w:spacing w:line="360" w:lineRule="auto"/>
      </w:pPr>
      <w:r>
        <w:t xml:space="preserve">A finales del siglo XIX, el geógrafo alemán Friedrich Ratzel (1844-1904), incluyó definitivamente al hombre en una relación </w:t>
      </w:r>
      <w:r>
        <w:rPr>
          <w:i/>
        </w:rPr>
        <w:t>hombre y naturaleza</w:t>
      </w:r>
      <w:r>
        <w:t xml:space="preserve">, estableciendo la Geografía humana, posteriormente en Francia, Vidal de la Blanche (1845-1918), asumió la región como objeto de estudio de la Geografía. A inicios del siglo XX Richard </w:t>
      </w:r>
      <w:proofErr w:type="spellStart"/>
      <w:r>
        <w:t>Hartshorne</w:t>
      </w:r>
      <w:proofErr w:type="spellEnd"/>
      <w:r>
        <w:t xml:space="preserve"> (1939-1959) y algunos geógrafos estadounidenses adoptaron el enfoque regional dándole un sentido racionalista, abordando la región como fragmentos de tierra delimitados arbitrariamente, cuyos límites definidos en el espacio son producto de la racionalidad humana. La preocupación por las relaciones existentes entre elementos físicos y humanos llevaron a la cuantificación de gran volumen de información. Los datos se convirtieron en la esencia de la geografía y ésta se convierte en cuantitativa, influenciada por el desarrollo de las matemáticas y la informática. El paradigma cuantitativo definía el espacio a través de aspectos teóricos y </w:t>
      </w:r>
      <w:r>
        <w:lastRenderedPageBreak/>
        <w:t>de la cuantificación de los fenómenos, lo que desembocará en la geografía cuantitativa y en la elaboración de modelos teóricos que explicaran los procesos espaciales (</w:t>
      </w:r>
      <w:proofErr w:type="spellStart"/>
      <w:r>
        <w:t>Buzai</w:t>
      </w:r>
      <w:proofErr w:type="spellEnd"/>
      <w:r>
        <w:t>, 2004).</w:t>
      </w:r>
    </w:p>
    <w:p w14:paraId="3C80E66E" w14:textId="77777777" w:rsidR="00644151" w:rsidRDefault="00425878">
      <w:pPr>
        <w:spacing w:line="360" w:lineRule="auto"/>
      </w:pPr>
      <w:r>
        <w:t xml:space="preserve">A mediados del siglo veinte, la delimitación espacial de áreas pasó a ser producto de procedimientos provenientes del paradigma de la Geografía Cuantitativa. La cuantificación en Geografía coincidía en que la delimitación de los espacios geográficos se construye, pero no coincidía en la existencia de una metodología única para realizarlo. Con la crítica al </w:t>
      </w:r>
      <w:proofErr w:type="spellStart"/>
      <w:r>
        <w:t>cuantitativismo</w:t>
      </w:r>
      <w:proofErr w:type="spellEnd"/>
      <w:r>
        <w:t>, los límites puestos sobre el espacio geográfico con el fin de delimitar áreas tendientes hacia la planificación y gestión pasan a segundo plano (</w:t>
      </w:r>
      <w:proofErr w:type="spellStart"/>
      <w:r>
        <w:t>Buzai</w:t>
      </w:r>
      <w:proofErr w:type="spellEnd"/>
      <w:r>
        <w:t xml:space="preserve">, 2001). </w:t>
      </w:r>
    </w:p>
    <w:p w14:paraId="3814CF58" w14:textId="77777777" w:rsidR="00644151" w:rsidRDefault="00425878">
      <w:pPr>
        <w:spacing w:line="360" w:lineRule="auto"/>
      </w:pPr>
      <w:r>
        <w:t xml:space="preserve">A principios de los setenta una serie de geógrafos se distancian de los lineamientos que conforman el paradigma cuantitativo y se presentan radicalmente opuestos a él, de esta manera aparece la que sería denominada Geografía Radical, destacando pensadores como William Bunge (1928-2013) y David Harvey (1935), que toman en cuenta algunos tópicos que se habían menospreciado: la pobreza, la marginación, los inmigrantes, entre otros; estos investigadores realizan estudios concretos, enfocados a un lugar, recuperando así los estudios particulares y regionales, las monografías y la perspectiva histórica (Gómez 1979, </w:t>
      </w:r>
      <w:proofErr w:type="spellStart"/>
      <w:r>
        <w:t>Bertoncello</w:t>
      </w:r>
      <w:proofErr w:type="spellEnd"/>
      <w:r>
        <w:t xml:space="preserve"> 2003, citado por Oropeza &amp; Díaz, 2007).</w:t>
      </w:r>
    </w:p>
    <w:p w14:paraId="11634474" w14:textId="276CC522" w:rsidR="00644151" w:rsidRDefault="00425878">
      <w:pPr>
        <w:spacing w:line="360" w:lineRule="auto"/>
      </w:pPr>
      <w:r>
        <w:t>En los siguientes años (1970-1980) existe un papel activo que lleva a la Geografía hacia una apertura multidisciplinaria y a finales del siglo XX (1980-2000) se apoya claramente en la construcción de la Geografía automatizada, que incorpora al análisis espacial nuevas posibilidades de resolución a partir de las tecnologías digitales que presentan una gran variedad de posibilidades de aplicación y los SIG (Sistemas de Información Geográfica), como tecnología de integración (</w:t>
      </w:r>
      <w:proofErr w:type="spellStart"/>
      <w:r>
        <w:t>Buzai</w:t>
      </w:r>
      <w:proofErr w:type="spellEnd"/>
      <w:r>
        <w:t xml:space="preserve">, </w:t>
      </w:r>
      <w:r w:rsidR="002F0F47">
        <w:t xml:space="preserve">et. </w:t>
      </w:r>
      <w:proofErr w:type="spellStart"/>
      <w:r w:rsidR="002F0F47">
        <w:t>al</w:t>
      </w:r>
      <w:proofErr w:type="spellEnd"/>
      <w:r w:rsidR="002F0F47">
        <w:t>.</w:t>
      </w:r>
      <w:r>
        <w:t>, 2016)</w:t>
      </w:r>
    </w:p>
    <w:p w14:paraId="2845D5AE" w14:textId="77777777" w:rsidR="00644151" w:rsidRDefault="00425878">
      <w:pPr>
        <w:spacing w:line="360" w:lineRule="auto"/>
      </w:pPr>
      <w:r>
        <w:t>Desde 1980 se viene acelerando e intensificando la carrera por la automatización de los procedimientos de análisis espacial, produciéndose un salto en la revalorización de la dimensión espacial de forma generalizada, con alto impacto en el resto de las disciplinas científicas, motivo por el cual se habla de la geografía global (Oropeza y Díaz 2007 citado por Cuadra, 2014).</w:t>
      </w:r>
    </w:p>
    <w:p w14:paraId="1A234F40" w14:textId="77777777" w:rsidR="00644151" w:rsidRDefault="00425878">
      <w:pPr>
        <w:spacing w:line="360" w:lineRule="auto"/>
      </w:pPr>
      <w:r>
        <w:t xml:space="preserve">La Geografía como ciencia humana de finales del siglo XIX, ha permitido la transformación del mundo real en un modelo digital con posibilidades de ser trabajado mediante </w:t>
      </w:r>
      <w:r>
        <w:lastRenderedPageBreak/>
        <w:t xml:space="preserve">procedimientos computacionales mediante procedimientos tecnológicos o geotecnológicos, </w:t>
      </w:r>
      <w:proofErr w:type="spellStart"/>
      <w:r>
        <w:t>Buzai</w:t>
      </w:r>
      <w:proofErr w:type="spellEnd"/>
      <w:r>
        <w:t xml:space="preserve"> 1998 menciona que la geotecnología presenta una nueva forma de ver el mundo, una nueva forma de ver la realidad que la Geografía le provee al resto de las disciplinas. Bajo estas consideraciones el paradigma geotecnológico tiene existencia, pero no como paradigma de la Geografía, sino como paradigma geográfico de alcance interdisciplinario y al servicio total del hombre.</w:t>
      </w:r>
    </w:p>
    <w:p w14:paraId="57A41853" w14:textId="77119615" w:rsidR="00644151" w:rsidRDefault="001743AC">
      <w:pPr>
        <w:spacing w:line="360" w:lineRule="auto"/>
      </w:pPr>
      <w:r>
        <w:t xml:space="preserve">En la actualidad nos encontramos </w:t>
      </w:r>
      <w:r w:rsidR="00425878">
        <w:t>experimentando un período histórico de gran importancia en el desarrollo de la Geografía, en el cual los Sistemas de Información Geográfica (SIG) han adquirido un papel central en el análisis de los procesos socioespaciales para su mejor comprensión. La Geografía como ciencia muestra hoy más que nunca su utilidad para el desarrollo de la ciencia y el bienestar de la sociedad</w:t>
      </w:r>
      <w:r>
        <w:t xml:space="preserve"> al </w:t>
      </w:r>
      <w:r w:rsidR="008F10EE">
        <w:t xml:space="preserve">dar respuesta no solo a la localización de fenómenos, </w:t>
      </w:r>
      <w:r w:rsidR="008F10EE" w:rsidRPr="008F10EE">
        <w:t>sino que también estudia cómo son y cómo han cambiado para llegar a ser lo que son.</w:t>
      </w:r>
    </w:p>
    <w:p w14:paraId="4D460C55" w14:textId="77777777" w:rsidR="00644151" w:rsidRDefault="00644151">
      <w:pPr>
        <w:spacing w:line="360" w:lineRule="auto"/>
      </w:pPr>
    </w:p>
    <w:p w14:paraId="1353ED1A" w14:textId="35009099" w:rsidR="00644151" w:rsidRDefault="00201587">
      <w:pPr>
        <w:pStyle w:val="Ttulo2"/>
      </w:pPr>
      <w:bookmarkStart w:id="21" w:name="_Toc89075372"/>
      <w:r>
        <w:t xml:space="preserve">1.5 </w:t>
      </w:r>
      <w:r w:rsidR="00425878">
        <w:t>La Geoinformática como base para la modelación</w:t>
      </w:r>
      <w:bookmarkEnd w:id="21"/>
    </w:p>
    <w:p w14:paraId="15BBB838" w14:textId="77777777" w:rsidR="00644151" w:rsidRDefault="00425878">
      <w:pPr>
        <w:spacing w:line="360" w:lineRule="auto"/>
      </w:pPr>
      <w:r>
        <w:t>La geografía global ha tomado gran relevancia ya que ha permitido que la geografía se expanda hacia el resto de las ciencias a través de la geotecnologías (</w:t>
      </w:r>
      <w:proofErr w:type="spellStart"/>
      <w:r>
        <w:t>Buzai</w:t>
      </w:r>
      <w:proofErr w:type="spellEnd"/>
      <w:r>
        <w:t xml:space="preserve">, 2001). Los avances de la informática han permitido automatizar la mayoría de los procesos de análisis espacial mediante la creación de diversas herramientas a través de la programación. </w:t>
      </w:r>
    </w:p>
    <w:p w14:paraId="5D96F18B" w14:textId="26BAEE46" w:rsidR="00644151" w:rsidRDefault="00425878">
      <w:pPr>
        <w:spacing w:line="360" w:lineRule="auto"/>
      </w:pPr>
      <w:r>
        <w:t>La Geografía como ciencia encuentra un importante apoyo en las TIG (Tecnologías de la Información Geográfica). Como integrantes de estas tecnologías, los SIG (Sistemas de Información Geográfica) han favorecido el surgimiento de dos notables revoluciones, una tecnológica, relacionada con las posibilidades de aplicación técnico-metodológicas, y otra intelectual, vinculada a la forma en la que puede ser pensada la realidad (</w:t>
      </w:r>
      <w:proofErr w:type="spellStart"/>
      <w:r>
        <w:t>Buzai</w:t>
      </w:r>
      <w:proofErr w:type="spellEnd"/>
      <w:r>
        <w:t>, 2015</w:t>
      </w:r>
      <w:r w:rsidR="00D114FF">
        <w:t>b</w:t>
      </w:r>
      <w:r>
        <w:t>)</w:t>
      </w:r>
    </w:p>
    <w:p w14:paraId="02BD39FE" w14:textId="77777777" w:rsidR="00644151" w:rsidRDefault="00425878">
      <w:pPr>
        <w:spacing w:line="360" w:lineRule="auto"/>
      </w:pPr>
      <w:r>
        <w:t>En la última década han ido en ascenso notables avances digitales realizados por las TIG, principalmente los SIG como herramienta fundamental de apoyo a las actuales aplicaciones. Los SIG han permitido la incorporación del análisis espacial en el medio digital y la continua convergencia de diferente software bajo el concepto de Geoinformática (</w:t>
      </w:r>
      <w:proofErr w:type="spellStart"/>
      <w:r>
        <w:t>Buzai</w:t>
      </w:r>
      <w:proofErr w:type="spellEnd"/>
      <w:r>
        <w:t xml:space="preserve">, 2014). </w:t>
      </w:r>
    </w:p>
    <w:p w14:paraId="3066663E" w14:textId="2AC852D7" w:rsidR="00644151" w:rsidRDefault="00425878">
      <w:pPr>
        <w:spacing w:line="360" w:lineRule="auto"/>
      </w:pPr>
      <w:r>
        <w:lastRenderedPageBreak/>
        <w:t>La Geoinformática, puede ser concebida como una disciplina o rama del conocimiento que se aboca al estudio de la naturaleza y estructura de los datos e información geográfica o espacial, al desarrollo y aplicación de procedimientos, métodos y técnicas para su captura o levantamiento, almacenamiento, procesamiento, graficación y comunicación de diversa información espacial, todo ello enmarcado en las llamadas TIC (Tecnologías de la Información y la Comunicación), la cual se sustenta en el acelerado desarrollo de la Informática y de la Electrónica (Groot, 1984, Flores, 1996</w:t>
      </w:r>
      <w:r w:rsidR="00D114FF">
        <w:t xml:space="preserve"> citado por Flores, 2004</w:t>
      </w:r>
      <w:r>
        <w:t>).</w:t>
      </w:r>
    </w:p>
    <w:p w14:paraId="636D2F5E" w14:textId="1234B2F4" w:rsidR="00644151" w:rsidRDefault="00425878">
      <w:pPr>
        <w:spacing w:line="360" w:lineRule="auto"/>
      </w:pPr>
      <w:r>
        <w:t xml:space="preserve">La necesidad </w:t>
      </w:r>
      <w:r w:rsidR="00D81955">
        <w:t xml:space="preserve">de </w:t>
      </w:r>
      <w:r>
        <w:t xml:space="preserve">planificar el aprovechamiento de los recursos naturales, la expansión urbana, el uso y ocupación del suelo, el monitoreo del medio ambiente </w:t>
      </w:r>
      <w:r w:rsidR="00D81955">
        <w:t xml:space="preserve">entre otros </w:t>
      </w:r>
      <w:r>
        <w:t>ha impulsado el desarrollo científico de disciplinas especializadas en sofisticadas herramientas tecnológicas que aporten soluciones a los problemas de un mundo globalizado y en frágil equilibrio ambiental, económico y social. La geoinformática nos puede permitir representar el mundo real a partir de una base cualitativa centrada en aspectos numéricos, hasta llegar a la simulación de nuevos espacios de la percepción humana permitiéndonos visualizar el futuro mediante las simulaciones de situaciones futuras.</w:t>
      </w:r>
    </w:p>
    <w:p w14:paraId="6EBF07A1" w14:textId="77777777" w:rsidR="00644151" w:rsidRDefault="00644151">
      <w:pPr>
        <w:spacing w:line="360" w:lineRule="auto"/>
      </w:pPr>
    </w:p>
    <w:p w14:paraId="3194AD91" w14:textId="5426217B" w:rsidR="00644151" w:rsidRDefault="00201587">
      <w:pPr>
        <w:pStyle w:val="Ttulo2"/>
      </w:pPr>
      <w:bookmarkStart w:id="22" w:name="_Toc89075373"/>
      <w:r>
        <w:t xml:space="preserve">1.6 </w:t>
      </w:r>
      <w:r w:rsidR="00425878">
        <w:t>Teoría de la localización</w:t>
      </w:r>
      <w:bookmarkEnd w:id="22"/>
    </w:p>
    <w:p w14:paraId="2FD353BE" w14:textId="77777777" w:rsidR="00644151" w:rsidRDefault="00425878">
      <w:pPr>
        <w:spacing w:line="360" w:lineRule="auto"/>
      </w:pPr>
      <w:r>
        <w:t xml:space="preserve">Muchas de las teorías acerca de la localización tienen antecedentes remotos en ideas que fueron desarrolladas primero por los economistas alemanes </w:t>
      </w:r>
      <w:proofErr w:type="spellStart"/>
      <w:r>
        <w:t>Thünen</w:t>
      </w:r>
      <w:proofErr w:type="spellEnd"/>
      <w:r>
        <w:t xml:space="preserve">, Weber y </w:t>
      </w:r>
      <w:proofErr w:type="spellStart"/>
      <w:r>
        <w:t>Losch</w:t>
      </w:r>
      <w:proofErr w:type="spellEnd"/>
      <w:r>
        <w:t xml:space="preserve">, quienes se interesaron por una teoría económica con fundamentos espaciales. La otra fuente importante del nuevo discurso fue la teoría de los lugares centrales desarrollada por el geógrafo alemán Walter </w:t>
      </w:r>
      <w:proofErr w:type="spellStart"/>
      <w:r>
        <w:t>Christaller</w:t>
      </w:r>
      <w:proofErr w:type="spellEnd"/>
      <w:r>
        <w:t>. Por ser de gran importancia para la comprensión del discurso de la teoría locacional (Delgado, 2003).</w:t>
      </w:r>
    </w:p>
    <w:p w14:paraId="59405F1D" w14:textId="4E2ED72E" w:rsidR="00644151" w:rsidRDefault="00425878">
      <w:pPr>
        <w:spacing w:line="360" w:lineRule="auto"/>
      </w:pPr>
      <w:r>
        <w:t xml:space="preserve">Johann Heinrich </w:t>
      </w:r>
      <w:proofErr w:type="spellStart"/>
      <w:r>
        <w:t>Von</w:t>
      </w:r>
      <w:proofErr w:type="spellEnd"/>
      <w:r>
        <w:t xml:space="preserve"> </w:t>
      </w:r>
      <w:proofErr w:type="spellStart"/>
      <w:r>
        <w:t>Tühnen</w:t>
      </w:r>
      <w:proofErr w:type="spellEnd"/>
      <w:r>
        <w:t xml:space="preserve"> es considerado el iniciador de la teoría de la localización clásica, combinó el conocimiento teórico de las matemáticas con la experiencia práctica para abordar la renta de suelo con respecto al mercado en términos económicos. </w:t>
      </w:r>
      <w:proofErr w:type="spellStart"/>
      <w:r>
        <w:t>Von</w:t>
      </w:r>
      <w:proofErr w:type="spellEnd"/>
      <w:r>
        <w:t xml:space="preserve"> </w:t>
      </w:r>
      <w:proofErr w:type="spellStart"/>
      <w:r>
        <w:t>Thünen</w:t>
      </w:r>
      <w:proofErr w:type="spellEnd"/>
      <w:r>
        <w:t xml:space="preserve"> (1826) supone que la renta cambia con la distancia con respecto al mercado, en un espacio isótropo y aislado. A este tipo de renta se le llama renta de localización o renta de ubicación. </w:t>
      </w:r>
      <w:proofErr w:type="spellStart"/>
      <w:r w:rsidR="00D81955">
        <w:t>V</w:t>
      </w:r>
      <w:r>
        <w:t>on</w:t>
      </w:r>
      <w:proofErr w:type="spellEnd"/>
      <w:r>
        <w:t xml:space="preserve"> </w:t>
      </w:r>
      <w:proofErr w:type="spellStart"/>
      <w:r>
        <w:t>Thünen</w:t>
      </w:r>
      <w:proofErr w:type="spellEnd"/>
      <w:r>
        <w:t xml:space="preserve"> reconoció que el hombre trata de resolver sus necesidades económicas en el entorno inmediato, reduciendo sus desplazamientos al mínimo.</w:t>
      </w:r>
    </w:p>
    <w:p w14:paraId="158DB321" w14:textId="77777777" w:rsidR="00644151" w:rsidRDefault="00425878">
      <w:pPr>
        <w:spacing w:line="360" w:lineRule="auto"/>
      </w:pPr>
      <w:r>
        <w:lastRenderedPageBreak/>
        <w:t xml:space="preserve">Alfred Weber (1909), formuló la teoría de la localización industrial mediante la solución del costo mínimo, tomó la distancia como variable clave para explicar la variación espacial en la renta económica respecto de la oferta y la demanda. El modelo de Weber utiliza los costos de la distancia y el transporte como la variable principal, y asume los centros de mercado como fijos en el espacio. A diferencia del modelo de </w:t>
      </w:r>
      <w:proofErr w:type="spellStart"/>
      <w:r>
        <w:t>Thünen</w:t>
      </w:r>
      <w:proofErr w:type="spellEnd"/>
      <w:r>
        <w:t>, sus supuestos de partida no consideran un espacio o ambiente natural homogéneo, sino uno en el que algunos recursos, están localizados espacialmente en forma irregular, en tanto que otros, son ubicuos (Delgado, 2003).</w:t>
      </w:r>
    </w:p>
    <w:p w14:paraId="781DB96C" w14:textId="77777777" w:rsidR="00644151" w:rsidRDefault="00425878">
      <w:pPr>
        <w:spacing w:line="360" w:lineRule="auto"/>
      </w:pPr>
      <w:bookmarkStart w:id="23" w:name="_heading=h.2xcytpi" w:colFirst="0" w:colLast="0"/>
      <w:bookmarkEnd w:id="23"/>
      <w:r>
        <w:t xml:space="preserve">La TCL (Teoría del Lugar Central), elaborada por Walter </w:t>
      </w:r>
      <w:proofErr w:type="spellStart"/>
      <w:r>
        <w:t>Chistaller</w:t>
      </w:r>
      <w:proofErr w:type="spellEnd"/>
      <w:r>
        <w:t xml:space="preserve">, fue propuesta en los años treinta, y modificada por August </w:t>
      </w:r>
      <w:proofErr w:type="spellStart"/>
      <w:r>
        <w:t>Losch</w:t>
      </w:r>
      <w:proofErr w:type="spellEnd"/>
      <w:r>
        <w:t xml:space="preserve"> a fines de la misma década, la cual explica el número, distribución espacial y tamaño de los asentamientos, a partir de la lógica de localización de las actividades terciarias. La TCL supone que los asentamientos actúan como centros que producen y exportan los bienes y servicios que requieren tanto la población de la localidad como la de su región circundante (Garrocho, 1992).</w:t>
      </w:r>
    </w:p>
    <w:p w14:paraId="275F6C88" w14:textId="77777777" w:rsidR="00644151" w:rsidRDefault="00425878">
      <w:pPr>
        <w:spacing w:line="360" w:lineRule="auto"/>
      </w:pPr>
      <w:proofErr w:type="spellStart"/>
      <w:r>
        <w:t>Christaller</w:t>
      </w:r>
      <w:proofErr w:type="spellEnd"/>
      <w:r>
        <w:t xml:space="preserve"> (1993) formuló dos conceptos básicos, umbral y alcance (también denominado rango). Denominó umbral, a la cantidad mínima de demanda que se requiere en un área determinada para hacer viable la oferta de un bien o servicio y alcance a la distancia máxima que un consumidor está dispuesto a recorrer para adquirir un bien o servicio. La teoría reconoce que, aún en una superficie isotrópica, algunos centros tendrán ciertas ventajas locacionales que les permitirán acceder a un umbral de población mayor, lo que animará su producción de bienes y servicios más especializados y de mayor rango (Garrocho, 1992).</w:t>
      </w:r>
    </w:p>
    <w:p w14:paraId="12D36078" w14:textId="2C7682EA" w:rsidR="00644151" w:rsidRDefault="00425878">
      <w:pPr>
        <w:spacing w:line="360" w:lineRule="auto"/>
      </w:pPr>
      <w:r>
        <w:t xml:space="preserve">Los Modelos de </w:t>
      </w:r>
      <w:proofErr w:type="spellStart"/>
      <w:r w:rsidR="00A915B8">
        <w:t>V</w:t>
      </w:r>
      <w:r>
        <w:t>on</w:t>
      </w:r>
      <w:proofErr w:type="spellEnd"/>
      <w:r>
        <w:t xml:space="preserve"> </w:t>
      </w:r>
      <w:proofErr w:type="spellStart"/>
      <w:r>
        <w:t>Thünen</w:t>
      </w:r>
      <w:proofErr w:type="spellEnd"/>
      <w:r>
        <w:t xml:space="preserve"> (1826) sobre el uso de la tierra agrícola, de Weber (1909) sobre la localización industrial y de </w:t>
      </w:r>
      <w:proofErr w:type="spellStart"/>
      <w:r>
        <w:t>Christaller</w:t>
      </w:r>
      <w:proofErr w:type="spellEnd"/>
      <w:r>
        <w:t xml:space="preserve"> (1933) sobre la teoría de los lugares centrales, han sido tomados como base para generar nuevos modelos normativos mediante procedimientos de razonamiento deductivo y no a partir de la observación empírica (Delgado, 2003).</w:t>
      </w:r>
    </w:p>
    <w:p w14:paraId="5228A4DF" w14:textId="7A40EE11" w:rsidR="00644151" w:rsidRDefault="00425878">
      <w:pPr>
        <w:spacing w:line="360" w:lineRule="auto"/>
      </w:pPr>
      <w:r>
        <w:t xml:space="preserve">La teoría de la localización proporciona los fundamentos deductivos de la mayor parte de las teorías que pretenden explicar el comportamiento económico en el espacio. El saber en qué actividades y en qué lugares hay que localizar los recursos, según sea el propósito de planificación, permite influir en los niveles de productividad regional al poner a la población en contacto con servicios necesarios para su desarrollo. Por lo tanto, la ubicación espacial de </w:t>
      </w:r>
      <w:r>
        <w:lastRenderedPageBreak/>
        <w:t>los servicios (salud, educación, comunicaciones, transporte, recreativos, culturales, etc.)</w:t>
      </w:r>
      <w:r w:rsidR="00A915B8">
        <w:t>,</w:t>
      </w:r>
      <w:r>
        <w:t xml:space="preserve"> resulta ser de gran importancia en muchos aspectos y, particularmente, en el ámbito de los servicios públicos apunta a mejorar los niveles de equidad espacial para la población (</w:t>
      </w:r>
      <w:proofErr w:type="spellStart"/>
      <w:r>
        <w:t>Buzai</w:t>
      </w:r>
      <w:proofErr w:type="spellEnd"/>
      <w:r>
        <w:t>, 2011).</w:t>
      </w:r>
    </w:p>
    <w:p w14:paraId="7C49F193" w14:textId="77777777" w:rsidR="00644151" w:rsidRDefault="00644151">
      <w:pPr>
        <w:spacing w:line="360" w:lineRule="auto"/>
      </w:pPr>
    </w:p>
    <w:p w14:paraId="3BC58A31" w14:textId="3135B0B2" w:rsidR="00644151" w:rsidRDefault="00201587">
      <w:pPr>
        <w:pStyle w:val="Ttulo2"/>
      </w:pPr>
      <w:bookmarkStart w:id="24" w:name="_Toc89075374"/>
      <w:r>
        <w:t xml:space="preserve">1.7 </w:t>
      </w:r>
      <w:r w:rsidR="00425878">
        <w:t>Modelos de localización y su aplicación en los servicios públicos</w:t>
      </w:r>
      <w:bookmarkEnd w:id="24"/>
    </w:p>
    <w:p w14:paraId="245341F5" w14:textId="77777777" w:rsidR="00644151" w:rsidRDefault="00425878">
      <w:pPr>
        <w:spacing w:line="360" w:lineRule="auto"/>
      </w:pPr>
      <w:r>
        <w:t>La localización constituye una de las decisiones de planificación estratégica más importantes en las redes logísticas. La localización de equipamientos es un requerimiento que nace con la existencia de asentamientos humanos, que necesitan de estas infraestructuras para contar con un funcionamiento adecuado y brindar una buena calidad de vida a sus habitantes. De esta manera, la teoría de la localización comienza a contemplar problemáticas en las instalaciones de servicios y genera un doble objetivo en los estudios: por un lado, encontrar la localización óptima, y por otro, determinar la asignación de demanda a dichos centros. A partir de esta doble necesidad de resolución se desarrollan los modelos de localización-asignación (</w:t>
      </w:r>
      <w:proofErr w:type="spellStart"/>
      <w:r>
        <w:t>Buzai</w:t>
      </w:r>
      <w:proofErr w:type="spellEnd"/>
      <w:r>
        <w:t>, 2011).</w:t>
      </w:r>
    </w:p>
    <w:p w14:paraId="29162AC6" w14:textId="77777777" w:rsidR="00644151" w:rsidRDefault="00425878">
      <w:pPr>
        <w:spacing w:line="360" w:lineRule="auto"/>
      </w:pPr>
      <w:r>
        <w:t>De acuerdo con Lee, 1978, citado por Montesinos, 2011, un modelo, es una representación de la realidad, una expresión simplificada y generalizada de las características principales de una situación del mundo real. Es decir, es una abstracción de la realidad, que se utiliza para obtener una imagen conceptual a fin de reducir la variedad y complejidad del mundo real a un nivel que podamos entender y especificar. Los modelos de localización asignación son un conjunto de procedimientos matemáticos que intentan buscar soluciones al problema de donde situar diversos tipos de instalaciones de manera que se optimicen ciertos valores considerados importantes a la hora de que los usuarios utilicen dichos servicios. La mayoría de los modelos han sido diseñados para determinar la localización óptima de instalaciones deseables, de tal manera que se obtenga su mejor distribución espacial a partir de minimizar los costos o tiempos totales de transporte (Bosque y Moreno, 1990).</w:t>
      </w:r>
    </w:p>
    <w:p w14:paraId="5273AE71" w14:textId="77777777" w:rsidR="00644151" w:rsidRDefault="00425878">
      <w:pPr>
        <w:spacing w:line="360" w:lineRule="auto"/>
      </w:pPr>
      <w:r>
        <w:t xml:space="preserve">Los modelos de localización se emplean para distintas aplicaciones, desde identificar la ubicación óptima, hasta determinar un sitio idóneo, Bosques Sendra (2000), distingue diferentes tipos de modelos de localización-asignación basados en tres tipos de instalaciones denominadas, deseables, no deseables y centros comerciales. </w:t>
      </w:r>
    </w:p>
    <w:p w14:paraId="3AF80DF3" w14:textId="77777777" w:rsidR="00644151" w:rsidRDefault="00425878">
      <w:pPr>
        <w:spacing w:line="360" w:lineRule="auto"/>
      </w:pPr>
      <w:r>
        <w:lastRenderedPageBreak/>
        <w:t>Las instalaciones deseables pertenecen al grupo de servicios que son aceptadas por la población, ya que producen un efecto beneficioso a su alrededor como son: hospitales, escuelas, centros comerciales, por citar algunos. Las instalaciones no deseables son negativamente percibidas, su existencia produce un efecto perjudicial en sus alrededores por las externalidades que pueden ocasionar como son: reactores nucleares, tiraderos, cárceles, panteones entre otros. Dentro de los equipamientos deseables diferencia aquellos de carácter público que, deben ser disfrutados por todas las personas en las mismas condiciones de acceso y las de propiedad privada cuya principal finalidad es proporcionar beneficios a los propietarios a través de su utilización por la población.</w:t>
      </w:r>
    </w:p>
    <w:p w14:paraId="593C0881" w14:textId="77777777" w:rsidR="00644151" w:rsidRDefault="00644151">
      <w:pPr>
        <w:spacing w:line="360" w:lineRule="auto"/>
      </w:pPr>
    </w:p>
    <w:p w14:paraId="6F1F25E9" w14:textId="2F8378CD" w:rsidR="00644151" w:rsidRDefault="00201587">
      <w:pPr>
        <w:pStyle w:val="Ttulo2"/>
      </w:pPr>
      <w:bookmarkStart w:id="25" w:name="_Toc89075375"/>
      <w:r>
        <w:t xml:space="preserve">1.8 </w:t>
      </w:r>
      <w:r w:rsidR="00425878">
        <w:t>Modelos de interacción espacial</w:t>
      </w:r>
      <w:bookmarkEnd w:id="25"/>
    </w:p>
    <w:p w14:paraId="18FE4ED0" w14:textId="17C6820E" w:rsidR="00644151" w:rsidRDefault="00425878">
      <w:pPr>
        <w:spacing w:line="360" w:lineRule="auto"/>
      </w:pPr>
      <w:r>
        <w:t>Los modelos gravitatorios o de interacción espacial fueron introducidos en la Geografía desde la escuela de la física social, sobre la analogía que parecía existir entre la interacción de los grupos humanos y la atracción de las masas (</w:t>
      </w:r>
      <w:proofErr w:type="spellStart"/>
      <w:r>
        <w:t>Geertman</w:t>
      </w:r>
      <w:proofErr w:type="spellEnd"/>
      <w:r>
        <w:t xml:space="preserve"> </w:t>
      </w:r>
      <w:r w:rsidR="006046AC">
        <w:t>&amp;</w:t>
      </w:r>
      <w:r>
        <w:t xml:space="preserve"> </w:t>
      </w:r>
      <w:proofErr w:type="spellStart"/>
      <w:r>
        <w:t>Ritsema</w:t>
      </w:r>
      <w:proofErr w:type="spellEnd"/>
      <w:r>
        <w:t>, 1995). En ciencias sociales ha sido utilizado para explicar muchas de las variaciones espaciales de los movimientos de personas, bienes e información. Es una representación de hechos acerca de la interacción espacial, y sus bases lógicas establecen que dos lugares interactúan entre sí, en proporción directa al producto de sus masas e inversamente de acuerdo con alguna función de la distancia entre ellos (Delgado, 2003).</w:t>
      </w:r>
    </w:p>
    <w:p w14:paraId="6F223C14" w14:textId="77777777" w:rsidR="00644151" w:rsidRDefault="00425878">
      <w:pPr>
        <w:spacing w:line="360" w:lineRule="auto"/>
      </w:pPr>
      <w:r>
        <w:t>La interacción espacial puede ser definida como las relaciones de movimiento de personas, bienes, comunicación, ideas e información que tienen lugar en el espacio, como consecuencia de un complejo proceso de toma de decisiones (</w:t>
      </w:r>
      <w:proofErr w:type="spellStart"/>
      <w:r>
        <w:t>Fotheringhan</w:t>
      </w:r>
      <w:proofErr w:type="spellEnd"/>
      <w:r>
        <w:t xml:space="preserve"> &amp; </w:t>
      </w:r>
      <w:proofErr w:type="spellStart"/>
      <w:r>
        <w:t>O'Kelly</w:t>
      </w:r>
      <w:proofErr w:type="spellEnd"/>
      <w:r>
        <w:t xml:space="preserve"> 1987 citado por Santos, 1994). La principal diferencia entre los modelos gravitacionales y los modelos de localización asignación radica en que, mientras los primeros se ocupan de encontrar la mejor localización para un equipamiento, los segundos abordan el problema de la localización simultánea de múltiples establecimientos, al tiempo que buscan optimizar la asignación de la demanda a los puntos de oferta (Montejano &amp; Cruz, 2018).</w:t>
      </w:r>
    </w:p>
    <w:p w14:paraId="0F67C627" w14:textId="7DA29C54" w:rsidR="00644151" w:rsidRDefault="00425878">
      <w:pPr>
        <w:spacing w:line="360" w:lineRule="auto"/>
      </w:pPr>
      <w:r>
        <w:t xml:space="preserve">Los modelos de </w:t>
      </w:r>
      <w:r w:rsidR="006046AC">
        <w:t>interacción</w:t>
      </w:r>
      <w:r>
        <w:t xml:space="preserve"> espacial se apoyan en los conceptos básicos de la teoría de lugar central. Conforme a ésta, los flujos entre los asentamientos están relacionados positivamente con la centralidad de cada lugar y negativamente con la distancia que exista entre ellos. La </w:t>
      </w:r>
      <w:r>
        <w:lastRenderedPageBreak/>
        <w:t>centralidad puede tomarse a través del tamaño poblacional como síntesis de atracción espacial o bien considerando otros valores de ponderación, generalmente vinculados a las actividades económicas. Entre más centralidad de un lugar, mayor será su capacidad de atraer a la población que busca adquirir bienes y servicios. Pero si la centralidad anima la existencia de flujos y relaciones, la distancia que separa a los asentamientos la inhibe. Este es, en términos esquemáticos, el razonamiento que sustenta los modelos de interacción espacial. (Garrocho, 1992)</w:t>
      </w:r>
      <w:r w:rsidR="006046AC">
        <w:t>.</w:t>
      </w:r>
    </w:p>
    <w:p w14:paraId="1B297573" w14:textId="652DC1CE" w:rsidR="00644151" w:rsidRDefault="00425878">
      <w:pPr>
        <w:spacing w:line="360" w:lineRule="auto"/>
      </w:pPr>
      <w:r>
        <w:t xml:space="preserve">De acuerdo con Berry, 1971, citado </w:t>
      </w:r>
      <w:proofErr w:type="spellStart"/>
      <w:r>
        <w:t>Buzai</w:t>
      </w:r>
      <w:proofErr w:type="spellEnd"/>
      <w:r>
        <w:t xml:space="preserve"> </w:t>
      </w:r>
      <w:r w:rsidR="006046AC">
        <w:t>(</w:t>
      </w:r>
      <w:r>
        <w:t>2015</w:t>
      </w:r>
      <w:r w:rsidR="006046AC">
        <w:t>a),</w:t>
      </w:r>
      <w:r>
        <w:t xml:space="preserve"> los avances en cuanto al estudio de la interacción espacial proporcionaron las bases para el surgimiento de una geografía de los servicios en la búsqueda de regularidades empíricas que permitan la aplicación de procedimientos y toma de decisiones en planificación urbana y regional con bases de racionalidad científica.</w:t>
      </w:r>
    </w:p>
    <w:p w14:paraId="208B87DC" w14:textId="77777777" w:rsidR="00644151" w:rsidRDefault="00644151">
      <w:pPr>
        <w:spacing w:line="360" w:lineRule="auto"/>
      </w:pPr>
    </w:p>
    <w:p w14:paraId="23E7B68D" w14:textId="77777777" w:rsidR="00644151" w:rsidRDefault="00644151">
      <w:pPr>
        <w:spacing w:line="360" w:lineRule="auto"/>
      </w:pPr>
    </w:p>
    <w:p w14:paraId="0B52F879" w14:textId="77777777" w:rsidR="00644151" w:rsidRDefault="00644151">
      <w:pPr>
        <w:spacing w:line="360" w:lineRule="auto"/>
      </w:pPr>
    </w:p>
    <w:p w14:paraId="0912E4BF" w14:textId="77777777" w:rsidR="00644151" w:rsidRDefault="00644151">
      <w:pPr>
        <w:spacing w:line="360" w:lineRule="auto"/>
      </w:pPr>
    </w:p>
    <w:p w14:paraId="34DE1C00" w14:textId="77777777" w:rsidR="00644151" w:rsidRDefault="00644151">
      <w:pPr>
        <w:spacing w:line="360" w:lineRule="auto"/>
      </w:pPr>
    </w:p>
    <w:p w14:paraId="47E4F0B6" w14:textId="77777777" w:rsidR="00644151" w:rsidRDefault="00644151">
      <w:pPr>
        <w:spacing w:line="360" w:lineRule="auto"/>
      </w:pPr>
    </w:p>
    <w:p w14:paraId="34F33F40" w14:textId="77777777" w:rsidR="00644151" w:rsidRDefault="00644151">
      <w:pPr>
        <w:spacing w:line="360" w:lineRule="auto"/>
      </w:pPr>
    </w:p>
    <w:p w14:paraId="72CE3883" w14:textId="77777777" w:rsidR="00644151" w:rsidRDefault="00644151">
      <w:pPr>
        <w:spacing w:line="360" w:lineRule="auto"/>
      </w:pPr>
    </w:p>
    <w:p w14:paraId="6C5AF79E" w14:textId="77777777" w:rsidR="00644151" w:rsidRDefault="00644151">
      <w:pPr>
        <w:spacing w:line="360" w:lineRule="auto"/>
      </w:pPr>
    </w:p>
    <w:p w14:paraId="78DA5651" w14:textId="77777777" w:rsidR="00644151" w:rsidRDefault="00644151">
      <w:pPr>
        <w:spacing w:line="360" w:lineRule="auto"/>
      </w:pPr>
    </w:p>
    <w:p w14:paraId="6B2E4D3F" w14:textId="77777777" w:rsidR="00644151" w:rsidRDefault="00644151">
      <w:pPr>
        <w:spacing w:line="360" w:lineRule="auto"/>
      </w:pPr>
    </w:p>
    <w:p w14:paraId="6A565269" w14:textId="77777777" w:rsidR="00644151" w:rsidRDefault="00644151">
      <w:pPr>
        <w:spacing w:line="360" w:lineRule="auto"/>
      </w:pPr>
    </w:p>
    <w:p w14:paraId="0CA46EF9" w14:textId="77777777" w:rsidR="00644151" w:rsidRDefault="00644151">
      <w:pPr>
        <w:spacing w:line="360" w:lineRule="auto"/>
      </w:pPr>
    </w:p>
    <w:p w14:paraId="1B41FE5B" w14:textId="77777777" w:rsidR="00644151" w:rsidRDefault="00644151">
      <w:pPr>
        <w:spacing w:line="360" w:lineRule="auto"/>
      </w:pPr>
    </w:p>
    <w:p w14:paraId="4DC7AFDE" w14:textId="77777777" w:rsidR="00644151" w:rsidRDefault="00644151">
      <w:pPr>
        <w:spacing w:line="360" w:lineRule="auto"/>
      </w:pPr>
    </w:p>
    <w:p w14:paraId="00B2A414" w14:textId="77777777" w:rsidR="00644151" w:rsidRDefault="00644151">
      <w:pPr>
        <w:spacing w:line="360" w:lineRule="auto"/>
      </w:pPr>
    </w:p>
    <w:p w14:paraId="604D513B" w14:textId="77777777" w:rsidR="00644151" w:rsidRDefault="00425878">
      <w:pPr>
        <w:spacing w:line="360" w:lineRule="auto"/>
      </w:pPr>
      <w:r>
        <w:rPr>
          <w:noProof/>
        </w:rPr>
        <mc:AlternateContent>
          <mc:Choice Requires="wpg">
            <w:drawing>
              <wp:anchor distT="0" distB="0" distL="0" distR="0" simplePos="0" relativeHeight="251661312" behindDoc="1" locked="0" layoutInCell="1" hidden="0" allowOverlap="1" wp14:anchorId="6E9B4C7B" wp14:editId="56D1EC77">
                <wp:simplePos x="0" y="0"/>
                <wp:positionH relativeFrom="page">
                  <wp:posOffset>492438</wp:posOffset>
                </wp:positionH>
                <wp:positionV relativeFrom="page">
                  <wp:posOffset>242570</wp:posOffset>
                </wp:positionV>
                <wp:extent cx="2194560" cy="9125712"/>
                <wp:effectExtent l="0" t="0" r="0" b="0"/>
                <wp:wrapNone/>
                <wp:docPr id="295" name="Grupo 295"/>
                <wp:cNvGraphicFramePr/>
                <a:graphic xmlns:a="http://schemas.openxmlformats.org/drawingml/2006/main">
                  <a:graphicData uri="http://schemas.microsoft.com/office/word/2010/wordprocessingGroup">
                    <wpg:wgp>
                      <wpg:cNvGrpSpPr/>
                      <wpg:grpSpPr>
                        <a:xfrm>
                          <a:off x="0" y="0"/>
                          <a:ext cx="2194560" cy="9125712"/>
                          <a:chOff x="4248720" y="0"/>
                          <a:chExt cx="2194560" cy="7560000"/>
                        </a:xfrm>
                      </wpg:grpSpPr>
                      <wpg:grpSp>
                        <wpg:cNvPr id="35" name="Grupo 35"/>
                        <wpg:cNvGrpSpPr/>
                        <wpg:grpSpPr>
                          <a:xfrm>
                            <a:off x="4248720" y="0"/>
                            <a:ext cx="2194560" cy="7560000"/>
                            <a:chOff x="4248720" y="0"/>
                            <a:chExt cx="2194560" cy="7560000"/>
                          </a:xfrm>
                        </wpg:grpSpPr>
                        <wps:wsp>
                          <wps:cNvPr id="36" name="Rectángulo 36"/>
                          <wps:cNvSpPr/>
                          <wps:spPr>
                            <a:xfrm>
                              <a:off x="4248720" y="0"/>
                              <a:ext cx="2194550" cy="7560000"/>
                            </a:xfrm>
                            <a:prstGeom prst="rect">
                              <a:avLst/>
                            </a:prstGeom>
                            <a:noFill/>
                            <a:ln>
                              <a:noFill/>
                            </a:ln>
                          </wps:spPr>
                          <wps:txbx>
                            <w:txbxContent>
                              <w:p w14:paraId="33B5D04B"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37" name="Grupo 37"/>
                          <wpg:cNvGrpSpPr/>
                          <wpg:grpSpPr>
                            <a:xfrm>
                              <a:off x="4248720" y="0"/>
                              <a:ext cx="2194560" cy="7560000"/>
                              <a:chOff x="4248720" y="0"/>
                              <a:chExt cx="2194560" cy="7560000"/>
                            </a:xfrm>
                          </wpg:grpSpPr>
                          <wps:wsp>
                            <wps:cNvPr id="38" name="Rectángulo 38"/>
                            <wps:cNvSpPr/>
                            <wps:spPr>
                              <a:xfrm>
                                <a:off x="4248720" y="0"/>
                                <a:ext cx="2194550" cy="7560000"/>
                              </a:xfrm>
                              <a:prstGeom prst="rect">
                                <a:avLst/>
                              </a:prstGeom>
                              <a:noFill/>
                              <a:ln>
                                <a:noFill/>
                              </a:ln>
                            </wps:spPr>
                            <wps:txbx>
                              <w:txbxContent>
                                <w:p w14:paraId="06B0D507"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39" name="Grupo 39"/>
                            <wpg:cNvGrpSpPr/>
                            <wpg:grpSpPr>
                              <a:xfrm>
                                <a:off x="4248720" y="0"/>
                                <a:ext cx="2194560" cy="7560000"/>
                                <a:chOff x="0" y="0"/>
                                <a:chExt cx="2194560" cy="9125712"/>
                              </a:xfrm>
                            </wpg:grpSpPr>
                            <wps:wsp>
                              <wps:cNvPr id="40" name="Rectángulo 40"/>
                              <wps:cNvSpPr/>
                              <wps:spPr>
                                <a:xfrm>
                                  <a:off x="0" y="0"/>
                                  <a:ext cx="2194550" cy="9125700"/>
                                </a:xfrm>
                                <a:prstGeom prst="rect">
                                  <a:avLst/>
                                </a:prstGeom>
                                <a:noFill/>
                                <a:ln>
                                  <a:noFill/>
                                </a:ln>
                              </wps:spPr>
                              <wps:txbx>
                                <w:txbxContent>
                                  <w:p w14:paraId="31B0397B"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41" name="Rectángulo 41"/>
                              <wps:cNvSpPr/>
                              <wps:spPr>
                                <a:xfrm>
                                  <a:off x="0" y="0"/>
                                  <a:ext cx="194535" cy="9125712"/>
                                </a:xfrm>
                                <a:prstGeom prst="rect">
                                  <a:avLst/>
                                </a:prstGeom>
                                <a:solidFill>
                                  <a:schemeClr val="dk2"/>
                                </a:solidFill>
                                <a:ln>
                                  <a:noFill/>
                                </a:ln>
                              </wps:spPr>
                              <wps:txbx>
                                <w:txbxContent>
                                  <w:p w14:paraId="3F4F2777"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42" name="Flecha: pentágono 42"/>
                              <wps:cNvSpPr/>
                              <wps:spPr>
                                <a:xfrm>
                                  <a:off x="0" y="1466850"/>
                                  <a:ext cx="2194560" cy="552055"/>
                                </a:xfrm>
                                <a:prstGeom prst="homePlate">
                                  <a:avLst>
                                    <a:gd name="adj" fmla="val 50000"/>
                                  </a:avLst>
                                </a:prstGeom>
                                <a:solidFill>
                                  <a:schemeClr val="accent1"/>
                                </a:solidFill>
                                <a:ln>
                                  <a:noFill/>
                                </a:ln>
                              </wps:spPr>
                              <wps:txbx>
                                <w:txbxContent>
                                  <w:p w14:paraId="3DE0FB96" w14:textId="57DD0B8F" w:rsidR="001076C8" w:rsidRDefault="001076C8">
                                    <w:pPr>
                                      <w:spacing w:after="0" w:line="240" w:lineRule="auto"/>
                                      <w:jc w:val="right"/>
                                      <w:textDirection w:val="btLr"/>
                                    </w:pPr>
                                    <w:r>
                                      <w:rPr>
                                        <w:rFonts w:ascii="Arial" w:eastAsia="Arial" w:hAnsi="Arial" w:cs="Arial"/>
                                        <w:color w:val="FFFFFF"/>
                                        <w:sz w:val="28"/>
                                      </w:rPr>
                                      <w:t>Capítulo 2.</w:t>
                                    </w:r>
                                  </w:p>
                                </w:txbxContent>
                              </wps:txbx>
                              <wps:bodyPr spcFirstLastPara="1" wrap="square" lIns="91425" tIns="0" rIns="182875" bIns="0" anchor="ctr" anchorCtr="0">
                                <a:noAutofit/>
                              </wps:bodyPr>
                            </wps:wsp>
                            <wpg:grpSp>
                              <wpg:cNvPr id="43" name="Grupo 43"/>
                              <wpg:cNvGrpSpPr/>
                              <wpg:grpSpPr>
                                <a:xfrm>
                                  <a:off x="76200" y="4210050"/>
                                  <a:ext cx="2057400" cy="4910328"/>
                                  <a:chOff x="80645" y="4211812"/>
                                  <a:chExt cx="1306273" cy="3121026"/>
                                </a:xfrm>
                              </wpg:grpSpPr>
                              <wpg:grpSp>
                                <wpg:cNvPr id="44" name="Grupo 44"/>
                                <wpg:cNvGrpSpPr/>
                                <wpg:grpSpPr>
                                  <a:xfrm>
                                    <a:off x="141062" y="4211812"/>
                                    <a:ext cx="1047750" cy="3121026"/>
                                    <a:chOff x="141062" y="4211812"/>
                                    <a:chExt cx="1047750" cy="3121026"/>
                                  </a:xfrm>
                                </wpg:grpSpPr>
                                <wps:wsp>
                                  <wps:cNvPr id="45" name="Forma libre: forma 45"/>
                                  <wps:cNvSpPr/>
                                  <wps:spPr>
                                    <a:xfrm>
                                      <a:off x="369662" y="6216825"/>
                                      <a:ext cx="193675" cy="698500"/>
                                    </a:xfrm>
                                    <a:custGeom>
                                      <a:avLst/>
                                      <a:gdLst/>
                                      <a:ahLst/>
                                      <a:cxnLst/>
                                      <a:rect l="l" t="t" r="r" b="b"/>
                                      <a:pathLst>
                                        <a:path w="122" h="440" extrusionOk="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46" name="Forma libre: forma 46"/>
                                  <wps:cNvSpPr/>
                                  <wps:spPr>
                                    <a:xfrm>
                                      <a:off x="572862" y="6905800"/>
                                      <a:ext cx="184150" cy="427038"/>
                                    </a:xfrm>
                                    <a:custGeom>
                                      <a:avLst/>
                                      <a:gdLst/>
                                      <a:ahLst/>
                                      <a:cxnLst/>
                                      <a:rect l="l" t="t" r="r" b="b"/>
                                      <a:pathLst>
                                        <a:path w="116" h="269" extrusionOk="0">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47" name="Forma libre: forma 47"/>
                                  <wps:cNvSpPr/>
                                  <wps:spPr>
                                    <a:xfrm>
                                      <a:off x="141062" y="4211812"/>
                                      <a:ext cx="222250" cy="2019300"/>
                                    </a:xfrm>
                                    <a:custGeom>
                                      <a:avLst/>
                                      <a:gdLst/>
                                      <a:ahLst/>
                                      <a:cxnLst/>
                                      <a:rect l="l" t="t" r="r" b="b"/>
                                      <a:pathLst>
                                        <a:path w="140" h="1272" extrusionOk="0">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48" name="Forma libre: forma 48"/>
                                  <wps:cNvSpPr/>
                                  <wps:spPr>
                                    <a:xfrm>
                                      <a:off x="341087" y="4861100"/>
                                      <a:ext cx="71438" cy="1355725"/>
                                    </a:xfrm>
                                    <a:custGeom>
                                      <a:avLst/>
                                      <a:gdLst/>
                                      <a:ahLst/>
                                      <a:cxnLst/>
                                      <a:rect l="l" t="t" r="r" b="b"/>
                                      <a:pathLst>
                                        <a:path w="45" h="854" extrusionOk="0">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49" name="Forma libre: forma 49"/>
                                  <wps:cNvSpPr/>
                                  <wps:spPr>
                                    <a:xfrm>
                                      <a:off x="363312" y="6231112"/>
                                      <a:ext cx="244475" cy="998538"/>
                                    </a:xfrm>
                                    <a:custGeom>
                                      <a:avLst/>
                                      <a:gdLst/>
                                      <a:ahLst/>
                                      <a:cxnLst/>
                                      <a:rect l="l" t="t" r="r" b="b"/>
                                      <a:pathLst>
                                        <a:path w="154" h="629" extrusionOk="0">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0" name="Forma libre: forma 50"/>
                                  <wps:cNvSpPr/>
                                  <wps:spPr>
                                    <a:xfrm>
                                      <a:off x="620487" y="7223300"/>
                                      <a:ext cx="52388" cy="109538"/>
                                    </a:xfrm>
                                    <a:custGeom>
                                      <a:avLst/>
                                      <a:gdLst/>
                                      <a:ahLst/>
                                      <a:cxnLst/>
                                      <a:rect l="l" t="t" r="r" b="b"/>
                                      <a:pathLst>
                                        <a:path w="33" h="69" extrusionOk="0">
                                          <a:moveTo>
                                            <a:pt x="0" y="0"/>
                                          </a:moveTo>
                                          <a:lnTo>
                                            <a:pt x="33" y="69"/>
                                          </a:lnTo>
                                          <a:lnTo>
                                            <a:pt x="24" y="69"/>
                                          </a:lnTo>
                                          <a:lnTo>
                                            <a:pt x="12" y="3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1" name="Forma libre: forma 51"/>
                                  <wps:cNvSpPr/>
                                  <wps:spPr>
                                    <a:xfrm>
                                      <a:off x="355374" y="6153325"/>
                                      <a:ext cx="23813" cy="147638"/>
                                    </a:xfrm>
                                    <a:custGeom>
                                      <a:avLst/>
                                      <a:gdLst/>
                                      <a:ahLst/>
                                      <a:cxnLst/>
                                      <a:rect l="l" t="t" r="r" b="b"/>
                                      <a:pathLst>
                                        <a:path w="15" h="93" extrusionOk="0">
                                          <a:moveTo>
                                            <a:pt x="0" y="0"/>
                                          </a:moveTo>
                                          <a:lnTo>
                                            <a:pt x="9" y="37"/>
                                          </a:lnTo>
                                          <a:lnTo>
                                            <a:pt x="9" y="40"/>
                                          </a:lnTo>
                                          <a:lnTo>
                                            <a:pt x="15" y="93"/>
                                          </a:lnTo>
                                          <a:lnTo>
                                            <a:pt x="5" y="4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2" name="Forma libre: forma 52"/>
                                  <wps:cNvSpPr/>
                                  <wps:spPr>
                                    <a:xfrm>
                                      <a:off x="563337" y="5689775"/>
                                      <a:ext cx="625475" cy="1216025"/>
                                    </a:xfrm>
                                    <a:custGeom>
                                      <a:avLst/>
                                      <a:gdLst/>
                                      <a:ahLst/>
                                      <a:cxnLst/>
                                      <a:rect l="l" t="t" r="r" b="b"/>
                                      <a:pathLst>
                                        <a:path w="394" h="766" extrusionOk="0">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3" name="Forma libre: forma 53"/>
                                  <wps:cNvSpPr/>
                                  <wps:spPr>
                                    <a:xfrm>
                                      <a:off x="563337" y="6915325"/>
                                      <a:ext cx="57150" cy="307975"/>
                                    </a:xfrm>
                                    <a:custGeom>
                                      <a:avLst/>
                                      <a:gdLst/>
                                      <a:ahLst/>
                                      <a:cxnLst/>
                                      <a:rect l="l" t="t" r="r" b="b"/>
                                      <a:pathLst>
                                        <a:path w="36" h="194" extrusionOk="0">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4" name="Forma libre: forma 54"/>
                                  <wps:cNvSpPr/>
                                  <wps:spPr>
                                    <a:xfrm>
                                      <a:off x="607787" y="7229650"/>
                                      <a:ext cx="49213" cy="103188"/>
                                    </a:xfrm>
                                    <a:custGeom>
                                      <a:avLst/>
                                      <a:gdLst/>
                                      <a:ahLst/>
                                      <a:cxnLst/>
                                      <a:rect l="l" t="t" r="r" b="b"/>
                                      <a:pathLst>
                                        <a:path w="31" h="65" extrusionOk="0">
                                          <a:moveTo>
                                            <a:pt x="0" y="0"/>
                                          </a:moveTo>
                                          <a:lnTo>
                                            <a:pt x="31" y="65"/>
                                          </a:lnTo>
                                          <a:lnTo>
                                            <a:pt x="23" y="6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5" name="Forma libre: forma 55"/>
                                  <wps:cNvSpPr/>
                                  <wps:spPr>
                                    <a:xfrm>
                                      <a:off x="563337" y="6878812"/>
                                      <a:ext cx="11113" cy="66675"/>
                                    </a:xfrm>
                                    <a:custGeom>
                                      <a:avLst/>
                                      <a:gdLst/>
                                      <a:ahLst/>
                                      <a:cxnLst/>
                                      <a:rect l="l" t="t" r="r" b="b"/>
                                      <a:pathLst>
                                        <a:path w="7" h="42" extrusionOk="0">
                                          <a:moveTo>
                                            <a:pt x="0" y="0"/>
                                          </a:moveTo>
                                          <a:lnTo>
                                            <a:pt x="6" y="17"/>
                                          </a:lnTo>
                                          <a:lnTo>
                                            <a:pt x="7" y="42"/>
                                          </a:lnTo>
                                          <a:lnTo>
                                            <a:pt x="6" y="39"/>
                                          </a:lnTo>
                                          <a:lnTo>
                                            <a:pt x="0" y="2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56" name="Forma libre: forma 56"/>
                                  <wps:cNvSpPr/>
                                  <wps:spPr>
                                    <a:xfrm>
                                      <a:off x="587149" y="7145512"/>
                                      <a:ext cx="71438" cy="187325"/>
                                    </a:xfrm>
                                    <a:custGeom>
                                      <a:avLst/>
                                      <a:gdLst/>
                                      <a:ahLst/>
                                      <a:cxnLst/>
                                      <a:rect l="l" t="t" r="r" b="b"/>
                                      <a:pathLst>
                                        <a:path w="45" h="118" extrusionOk="0">
                                          <a:moveTo>
                                            <a:pt x="0" y="0"/>
                                          </a:moveTo>
                                          <a:lnTo>
                                            <a:pt x="6" y="16"/>
                                          </a:lnTo>
                                          <a:lnTo>
                                            <a:pt x="21" y="49"/>
                                          </a:lnTo>
                                          <a:lnTo>
                                            <a:pt x="33" y="84"/>
                                          </a:lnTo>
                                          <a:lnTo>
                                            <a:pt x="45" y="118"/>
                                          </a:lnTo>
                                          <a:lnTo>
                                            <a:pt x="44" y="118"/>
                                          </a:lnTo>
                                          <a:lnTo>
                                            <a:pt x="13" y="53"/>
                                          </a:lnTo>
                                          <a:lnTo>
                                            <a:pt x="11" y="42"/>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g:grpSp>
                              <wpg:grpSp>
                                <wpg:cNvPr id="57" name="Grupo 57"/>
                                <wpg:cNvGrpSpPr/>
                                <wpg:grpSpPr>
                                  <a:xfrm>
                                    <a:off x="80645" y="4826972"/>
                                    <a:ext cx="1306273" cy="2505863"/>
                                    <a:chOff x="80645" y="4649964"/>
                                    <a:chExt cx="874712" cy="1677988"/>
                                  </a:xfrm>
                                </wpg:grpSpPr>
                                <wps:wsp>
                                  <wps:cNvPr id="58" name="Forma libre: forma 58"/>
                                  <wps:cNvSpPr/>
                                  <wps:spPr>
                                    <a:xfrm>
                                      <a:off x="118745" y="5189714"/>
                                      <a:ext cx="198438" cy="714375"/>
                                    </a:xfrm>
                                    <a:custGeom>
                                      <a:avLst/>
                                      <a:gdLst/>
                                      <a:ahLst/>
                                      <a:cxnLst/>
                                      <a:rect l="l" t="t" r="r" b="b"/>
                                      <a:pathLst>
                                        <a:path w="125" h="450" extrusionOk="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59" name="Forma libre: forma 59"/>
                                  <wps:cNvSpPr/>
                                  <wps:spPr>
                                    <a:xfrm>
                                      <a:off x="328295" y="5891389"/>
                                      <a:ext cx="187325" cy="436563"/>
                                    </a:xfrm>
                                    <a:custGeom>
                                      <a:avLst/>
                                      <a:gdLst/>
                                      <a:ahLst/>
                                      <a:cxnLst/>
                                      <a:rect l="l" t="t" r="r" b="b"/>
                                      <a:pathLst>
                                        <a:path w="118" h="275" extrusionOk="0">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60" name="Forma libre: forma 60"/>
                                  <wps:cNvSpPr/>
                                  <wps:spPr>
                                    <a:xfrm>
                                      <a:off x="80645" y="5010327"/>
                                      <a:ext cx="31750" cy="192088"/>
                                    </a:xfrm>
                                    <a:custGeom>
                                      <a:avLst/>
                                      <a:gdLst/>
                                      <a:ahLst/>
                                      <a:cxnLst/>
                                      <a:rect l="l" t="t" r="r" b="b"/>
                                      <a:pathLst>
                                        <a:path w="20" h="121" extrusionOk="0">
                                          <a:moveTo>
                                            <a:pt x="0" y="0"/>
                                          </a:moveTo>
                                          <a:lnTo>
                                            <a:pt x="16" y="72"/>
                                          </a:lnTo>
                                          <a:lnTo>
                                            <a:pt x="20" y="121"/>
                                          </a:lnTo>
                                          <a:lnTo>
                                            <a:pt x="18" y="112"/>
                                          </a:lnTo>
                                          <a:lnTo>
                                            <a:pt x="0" y="31"/>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61" name="Forma libre: forma 61"/>
                                  <wps:cNvSpPr/>
                                  <wps:spPr>
                                    <a:xfrm>
                                      <a:off x="112395" y="5202414"/>
                                      <a:ext cx="250825" cy="1020763"/>
                                    </a:xfrm>
                                    <a:custGeom>
                                      <a:avLst/>
                                      <a:gdLst/>
                                      <a:ahLst/>
                                      <a:cxnLst/>
                                      <a:rect l="l" t="t" r="r" b="b"/>
                                      <a:pathLst>
                                        <a:path w="158" h="643" extrusionOk="0">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62" name="Forma libre: forma 62"/>
                                  <wps:cNvSpPr/>
                                  <wps:spPr>
                                    <a:xfrm>
                                      <a:off x="375920" y="6215239"/>
                                      <a:ext cx="52388" cy="112713"/>
                                    </a:xfrm>
                                    <a:custGeom>
                                      <a:avLst/>
                                      <a:gdLst/>
                                      <a:ahLst/>
                                      <a:cxnLst/>
                                      <a:rect l="l" t="t" r="r" b="b"/>
                                      <a:pathLst>
                                        <a:path w="33" h="71" extrusionOk="0">
                                          <a:moveTo>
                                            <a:pt x="0" y="0"/>
                                          </a:moveTo>
                                          <a:lnTo>
                                            <a:pt x="33" y="71"/>
                                          </a:lnTo>
                                          <a:lnTo>
                                            <a:pt x="24" y="71"/>
                                          </a:lnTo>
                                          <a:lnTo>
                                            <a:pt x="11" y="3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63" name="Forma libre: forma 63"/>
                                  <wps:cNvSpPr/>
                                  <wps:spPr>
                                    <a:xfrm>
                                      <a:off x="106045" y="5124627"/>
                                      <a:ext cx="23813" cy="150813"/>
                                    </a:xfrm>
                                    <a:custGeom>
                                      <a:avLst/>
                                      <a:gdLst/>
                                      <a:ahLst/>
                                      <a:cxnLst/>
                                      <a:rect l="l" t="t" r="r" b="b"/>
                                      <a:pathLst>
                                        <a:path w="15" h="95" extrusionOk="0">
                                          <a:moveTo>
                                            <a:pt x="0" y="0"/>
                                          </a:moveTo>
                                          <a:lnTo>
                                            <a:pt x="8" y="37"/>
                                          </a:lnTo>
                                          <a:lnTo>
                                            <a:pt x="8" y="41"/>
                                          </a:lnTo>
                                          <a:lnTo>
                                            <a:pt x="15" y="95"/>
                                          </a:lnTo>
                                          <a:lnTo>
                                            <a:pt x="4" y="49"/>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56" name="Forma libre: forma 256"/>
                                  <wps:cNvSpPr/>
                                  <wps:spPr>
                                    <a:xfrm>
                                      <a:off x="317182" y="4649964"/>
                                      <a:ext cx="638175" cy="1241425"/>
                                    </a:xfrm>
                                    <a:custGeom>
                                      <a:avLst/>
                                      <a:gdLst/>
                                      <a:ahLst/>
                                      <a:cxnLst/>
                                      <a:rect l="l" t="t" r="r" b="b"/>
                                      <a:pathLst>
                                        <a:path w="402" h="782" extrusionOk="0">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57" name="Forma libre: forma 257"/>
                                  <wps:cNvSpPr/>
                                  <wps:spPr>
                                    <a:xfrm>
                                      <a:off x="317182" y="5904089"/>
                                      <a:ext cx="58738" cy="311150"/>
                                    </a:xfrm>
                                    <a:custGeom>
                                      <a:avLst/>
                                      <a:gdLst/>
                                      <a:ahLst/>
                                      <a:cxnLst/>
                                      <a:rect l="l" t="t" r="r" b="b"/>
                                      <a:pathLst>
                                        <a:path w="37" h="196" extrusionOk="0">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58" name="Forma libre: forma 258"/>
                                  <wps:cNvSpPr/>
                                  <wps:spPr>
                                    <a:xfrm>
                                      <a:off x="363220" y="6223177"/>
                                      <a:ext cx="49213" cy="104775"/>
                                    </a:xfrm>
                                    <a:custGeom>
                                      <a:avLst/>
                                      <a:gdLst/>
                                      <a:ahLst/>
                                      <a:cxnLst/>
                                      <a:rect l="l" t="t" r="r" b="b"/>
                                      <a:pathLst>
                                        <a:path w="31" h="66" extrusionOk="0">
                                          <a:moveTo>
                                            <a:pt x="0" y="0"/>
                                          </a:moveTo>
                                          <a:lnTo>
                                            <a:pt x="31" y="66"/>
                                          </a:lnTo>
                                          <a:lnTo>
                                            <a:pt x="24" y="6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59" name="Forma libre: forma 259"/>
                                  <wps:cNvSpPr/>
                                  <wps:spPr>
                                    <a:xfrm>
                                      <a:off x="317182" y="5864402"/>
                                      <a:ext cx="11113" cy="68263"/>
                                    </a:xfrm>
                                    <a:custGeom>
                                      <a:avLst/>
                                      <a:gdLst/>
                                      <a:ahLst/>
                                      <a:cxnLst/>
                                      <a:rect l="l" t="t" r="r" b="b"/>
                                      <a:pathLst>
                                        <a:path w="7" h="43" extrusionOk="0">
                                          <a:moveTo>
                                            <a:pt x="0" y="0"/>
                                          </a:moveTo>
                                          <a:lnTo>
                                            <a:pt x="7" y="17"/>
                                          </a:lnTo>
                                          <a:lnTo>
                                            <a:pt x="7" y="43"/>
                                          </a:lnTo>
                                          <a:lnTo>
                                            <a:pt x="6" y="40"/>
                                          </a:lnTo>
                                          <a:lnTo>
                                            <a:pt x="0" y="25"/>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60" name="Forma libre: forma 260"/>
                                  <wps:cNvSpPr/>
                                  <wps:spPr>
                                    <a:xfrm>
                                      <a:off x="340995" y="6135864"/>
                                      <a:ext cx="73025" cy="192088"/>
                                    </a:xfrm>
                                    <a:custGeom>
                                      <a:avLst/>
                                      <a:gdLst/>
                                      <a:ahLst/>
                                      <a:cxnLst/>
                                      <a:rect l="l" t="t" r="r" b="b"/>
                                      <a:pathLst>
                                        <a:path w="46" h="121" extrusionOk="0">
                                          <a:moveTo>
                                            <a:pt x="0" y="0"/>
                                          </a:moveTo>
                                          <a:lnTo>
                                            <a:pt x="7" y="16"/>
                                          </a:lnTo>
                                          <a:lnTo>
                                            <a:pt x="22" y="50"/>
                                          </a:lnTo>
                                          <a:lnTo>
                                            <a:pt x="33" y="86"/>
                                          </a:lnTo>
                                          <a:lnTo>
                                            <a:pt x="46" y="121"/>
                                          </a:lnTo>
                                          <a:lnTo>
                                            <a:pt x="45" y="121"/>
                                          </a:lnTo>
                                          <a:lnTo>
                                            <a:pt x="14" y="55"/>
                                          </a:lnTo>
                                          <a:lnTo>
                                            <a:pt x="11" y="4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anchor>
            </w:drawing>
          </mc:Choice>
          <mc:Fallback>
            <w:pict>
              <v:group w14:anchorId="6E9B4C7B" id="Grupo 295" o:spid="_x0000_s1062" style="position:absolute;left:0;text-align:left;margin-left:38.75pt;margin-top:19.1pt;width:172.8pt;height:718.55pt;z-index:-251655168;mso-wrap-distance-left:0;mso-wrap-distance-right:0;mso-position-horizontal-relative:page;mso-position-vertical-relative:page" coordorigin="42487" coordsize="21945,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">
                <v:group id="Grupo 35" o:spid="_x0000_s1063"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ángulo 36" o:spid="_x0000_s1064"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" filled="f" stroked="f">
                    <v:textbox inset="2.53958mm,2.53958mm,2.53958mm,2.53958mm">
                      <w:txbxContent>
                        <w:p w14:paraId="33B5D04B" w14:textId="77777777" w:rsidR="001076C8" w:rsidRDefault="001076C8">
                          <w:pPr>
                            <w:spacing w:after="0" w:line="240" w:lineRule="auto"/>
                            <w:jc w:val="left"/>
                            <w:textDirection w:val="btLr"/>
                          </w:pPr>
                        </w:p>
                      </w:txbxContent>
                    </v:textbox>
                  </v:rect>
                  <v:group id="Grupo 37" o:spid="_x0000_s1065"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ángulo 38" o:spid="_x0000_s1066"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" filled="f" stroked="f">
                      <v:textbox inset="2.53958mm,2.53958mm,2.53958mm,2.53958mm">
                        <w:txbxContent>
                          <w:p w14:paraId="06B0D507" w14:textId="77777777" w:rsidR="001076C8" w:rsidRDefault="001076C8">
                            <w:pPr>
                              <w:spacing w:after="0" w:line="240" w:lineRule="auto"/>
                              <w:jc w:val="left"/>
                              <w:textDirection w:val="btLr"/>
                            </w:pPr>
                          </w:p>
                        </w:txbxContent>
                      </v:textbox>
                    </v:rect>
                    <v:group id="Grupo 39" o:spid="_x0000_s1067" style="position:absolute;left:42487;width:21945;height:75600" coordsize="21945,91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rect id="Rectángulo 40" o:spid="_x0000_s1068" style="position:absolute;width:2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" filled="f" stroked="f">
                        <v:textbox inset="2.53958mm,2.53958mm,2.53958mm,2.53958mm">
                          <w:txbxContent>
                            <w:p w14:paraId="31B0397B" w14:textId="77777777" w:rsidR="001076C8" w:rsidRDefault="001076C8">
                              <w:pPr>
                                <w:spacing w:after="0" w:line="240" w:lineRule="auto"/>
                                <w:jc w:val="left"/>
                                <w:textDirection w:val="btLr"/>
                              </w:pPr>
                            </w:p>
                          </w:txbxContent>
                        </v:textbox>
                      </v:rect>
                      <v:rect id="Rectángulo 41" o:spid="_x0000_s1069"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" fillcolor="#44546a [3202]" stroked="f">
                        <v:textbox inset="2.53958mm,2.53958mm,2.53958mm,2.53958mm">
                          <w:txbxContent>
                            <w:p w14:paraId="3F4F2777" w14:textId="77777777" w:rsidR="001076C8" w:rsidRDefault="001076C8">
                              <w:pPr>
                                <w:spacing w:after="0" w:line="240" w:lineRule="auto"/>
                                <w:jc w:val="left"/>
                                <w:textDirection w:val="btLr"/>
                              </w:pPr>
                            </w:p>
                          </w:txbxContent>
                        </v:textbox>
                      </v:rect>
                      <v:shape id="Flecha: pentágono 42" o:spid="_x0000_s1070"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" adj="18883" fillcolor="#4472c4 [3204]" stroked="f">
                        <v:textbox inset="2.53958mm,0,5.07986mm,0">
                          <w:txbxContent>
                            <w:p w14:paraId="3DE0FB96" w14:textId="57DD0B8F" w:rsidR="001076C8" w:rsidRDefault="001076C8">
                              <w:pPr>
                                <w:spacing w:after="0" w:line="240" w:lineRule="auto"/>
                                <w:jc w:val="right"/>
                                <w:textDirection w:val="btLr"/>
                              </w:pPr>
                              <w:r>
                                <w:rPr>
                                  <w:rFonts w:ascii="Arial" w:eastAsia="Arial" w:hAnsi="Arial" w:cs="Arial"/>
                                  <w:color w:val="FFFFFF"/>
                                  <w:sz w:val="28"/>
                                </w:rPr>
                                <w:t>Capítulo 2.</w:t>
                              </w:r>
                            </w:p>
                          </w:txbxContent>
                        </v:textbox>
                      </v:shape>
                      <v:group id="Grupo 43" o:spid="_x0000_s1071"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group id="Grupo 44" o:spid="_x0000_s1072"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Forma libre: forma 45" o:spid="_x0000_s1073" style="position:absolute;left:3696;top:62168;width:1937;height:6985;visibility:visible;mso-wrap-style:square;v-text-anchor:middle"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" path="m,l39,152,84,304r38,113l122,440,76,306,39,180,6,53,,xe" fillcolor="#44546a [3202]" strokecolor="#44546a [3202]">
                            <v:stroke startarrowwidth="narrow" startarrowlength="short" endarrowwidth="narrow" endarrowlength="short"/>
                            <v:path arrowok="t" o:extrusionok="f"/>
                          </v:shape>
                          <v:shape id="Forma libre: forma 46" o:spid="_x0000_s1074" style="position:absolute;left:5728;top:69058;width:1842;height:4270;visibility:visible;mso-wrap-style:square;v-text-anchor:middle"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" path="m,l8,19,37,93r30,74l116,269r-8,l60,169,30,98,1,25,,xe" fillcolor="#44546a [3202]" strokecolor="#44546a [3202]">
                            <v:stroke startarrowwidth="narrow" startarrowlength="short" endarrowwidth="narrow" endarrowlength="short"/>
                            <v:path arrowok="t" o:extrusionok="f"/>
                          </v:shape>
                          <v:shape id="Forma libre: forma 47" o:spid="_x0000_s1075" style="position:absolute;left:1410;top:42118;width:2223;height:20193;visibility:visible;mso-wrap-style:square;v-text-anchor:middle"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" path="m,l,,1,79r2,80l12,317,23,476,39,634,58,792,83,948r24,138l135,1223r5,49l138,1262,105,1106,77,949,53,792,35,634,20,476,9,317,2,159,,79,,xe" fillcolor="#44546a [3202]" strokecolor="#44546a [3202]">
                            <v:stroke startarrowwidth="narrow" startarrowlength="short" endarrowwidth="narrow" endarrowlength="short"/>
                            <v:path arrowok="t" o:extrusionok="f"/>
                          </v:shape>
                          <v:shape id="Forma libre: forma 48" o:spid="_x0000_s1076" style="position:absolute;left:3410;top:48611;width:715;height:13557;visibility:visible;mso-wrap-style:square;v-text-anchor:middle"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" path="m45,r,l35,66r-9,67l14,267,6,401,3,534,6,669r8,134l18,854r,-3l9,814,8,803,1,669,,534,3,401,12,267,25,132,34,66,45,xe" fillcolor="#44546a [3202]" strokecolor="#44546a [3202]">
                            <v:stroke startarrowwidth="narrow" startarrowlength="short" endarrowwidth="narrow" endarrowlength="short"/>
                            <v:path arrowok="t" o:extrusionok="f"/>
                          </v:shape>
                          <v:shape id="Forma libre: forma 49" o:spid="_x0000_s1077" style="position:absolute;left:3633;top:62311;width:2444;height:9985;visibility:visible;mso-wrap-style:square;v-text-anchor:middle"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" path="m,l10,44r11,82l34,207r19,86l75,380r25,86l120,521r21,55l152,618r2,11l140,595,115,532,93,468,67,383,47,295,28,207,12,104,,xe" fillcolor="#44546a [3202]" strokecolor="#44546a [3202]">
                            <v:stroke startarrowwidth="narrow" startarrowlength="short" endarrowwidth="narrow" endarrowlength="short"/>
                            <v:path arrowok="t" o:extrusionok="f"/>
                          </v:shape>
                          <v:shape id="Forma libre: forma 50" o:spid="_x0000_s1078" style="position:absolute;left:6204;top:72233;width:524;height:1095;visibility:visible;mso-wrap-style:square;v-text-anchor:middle"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" path="m,l33,69r-9,l12,35,,xe" fillcolor="#44546a [3202]" strokecolor="#44546a [3202]">
                            <v:stroke startarrowwidth="narrow" startarrowlength="short" endarrowwidth="narrow" endarrowlength="short"/>
                            <v:path arrowok="t" o:extrusionok="f"/>
                          </v:shape>
                          <v:shape id="Forma libre: forma 51" o:spid="_x0000_s1079" style="position:absolute;left:3553;top:61533;width:238;height:1476;visibility:visible;mso-wrap-style:square;v-text-anchor:middle"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" path="m,l9,37r,3l15,93,5,49,,xe" fillcolor="#44546a [3202]" strokecolor="#44546a [3202]">
                            <v:stroke startarrowwidth="narrow" startarrowlength="short" endarrowwidth="narrow" endarrowlength="short"/>
                            <v:path arrowok="t" o:extrusionok="f"/>
                          </v:shape>
                          <v:shape id="Forma libre: forma 52" o:spid="_x0000_s1080" style="position:absolute;left:5633;top:56897;width:6255;height:12161;visibility:visible;mso-wrap-style:square;v-text-anchor:middle"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" path="m394,r,l356,38,319,77r-35,40l249,160r-42,58l168,276r-37,63l98,402,69,467,45,535,26,604,14,673,7,746,6,766,,749r1,-5l7,673,21,603,40,533,65,466,94,400r33,-64l164,275r40,-60l248,158r34,-42l318,76,354,37,394,xe" fillcolor="#44546a [3202]" strokecolor="#44546a [3202]">
                            <v:stroke startarrowwidth="narrow" startarrowlength="short" endarrowwidth="narrow" endarrowlength="short"/>
                            <v:path arrowok="t" o:extrusionok="f"/>
                          </v:shape>
                          <v:shape id="Forma libre: forma 53" o:spid="_x0000_s1081" style="position:absolute;left:5633;top:69153;width:571;height:3080;visibility:visible;mso-wrap-style:square;v-text-anchor:middle"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" path="m,l6,16r1,3l11,80r9,52l33,185r3,9l21,161,15,145,5,81,1,41,,xe" fillcolor="#44546a [3202]" strokecolor="#44546a [3202]">
                            <v:stroke startarrowwidth="narrow" startarrowlength="short" endarrowwidth="narrow" endarrowlength="short"/>
                            <v:path arrowok="t" o:extrusionok="f"/>
                          </v:shape>
                          <v:shape id="Forma libre: forma 54" o:spid="_x0000_s1082" style="position:absolute;left:6077;top:72296;width:493;height:1032;visibility:visible;mso-wrap-style:square;v-text-anchor:middle"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" path="m,l31,65r-8,l,xe" fillcolor="#44546a [3202]" strokecolor="#44546a [3202]">
                            <v:stroke startarrowwidth="narrow" startarrowlength="short" endarrowwidth="narrow" endarrowlength="short"/>
                            <v:path arrowok="t" o:extrusionok="f"/>
                          </v:shape>
                          <v:shape id="Forma libre: forma 55" o:spid="_x0000_s1083" style="position:absolute;left:5633;top:68788;width:111;height:666;visibility:visible;mso-wrap-style:square;v-text-anchor:middle"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" path="m,l6,17,7,42,6,39,,23,,xe" fillcolor="#44546a [3202]" strokecolor="#44546a [3202]">
                            <v:stroke startarrowwidth="narrow" startarrowlength="short" endarrowwidth="narrow" endarrowlength="short"/>
                            <v:path arrowok="t" o:extrusionok="f"/>
                          </v:shape>
                          <v:shape id="Forma libre: forma 56" o:spid="_x0000_s1084" style="position:absolute;left:5871;top:71455;width:714;height:1873;visibility:visible;mso-wrap-style:square;v-text-anchor:middle"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" path="m,l6,16,21,49,33,84r12,34l44,118,13,53,11,42,,xe" fillcolor="#44546a [3202]" strokecolor="#44546a [3202]">
                            <v:stroke startarrowwidth="narrow" startarrowlength="short" endarrowwidth="narrow" endarrowlength="short"/>
                            <v:path arrowok="t" o:extrusionok="f"/>
                          </v:shape>
                        </v:group>
                        <v:group id="Grupo 57" o:spid="_x0000_s1085"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Forma libre: forma 58" o:spid="_x0000_s1086" style="position:absolute;left:1187;top:51897;width:1984;height:7143;visibility:visible;mso-wrap-style:square;v-text-anchor:middle"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" path="m,l41,155,86,309r39,116l125,450,79,311,41,183,7,54,,xe" fillcolor="#44546a [3202]" strokecolor="#44546a [3202]">
                            <v:fill opacity="13107f"/>
                            <v:stroke startarrowwidth="narrow" startarrowlength="short" endarrowwidth="narrow" endarrowlength="short" opacity="13107f"/>
                            <v:path arrowok="t" o:extrusionok="f"/>
                          </v:shape>
                          <v:shape id="Forma libre: forma 59" o:spid="_x0000_s1087" style="position:absolute;left:3282;top:58913;width:1874;height:4366;visibility:visible;mso-wrap-style:square;v-text-anchor:middle"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" path="m,l8,20,37,96r32,74l118,275r-9,l61,174,30,100,,26,,xe" fillcolor="#44546a [3202]" strokecolor="#44546a [3202]">
                            <v:fill opacity="13107f"/>
                            <v:stroke startarrowwidth="narrow" startarrowlength="short" endarrowwidth="narrow" endarrowlength="short" opacity="13107f"/>
                            <v:path arrowok="t" o:extrusionok="f"/>
                          </v:shape>
                          <v:shape id="Forma libre: forma 60" o:spid="_x0000_s1088" style="position:absolute;left:806;top:50103;width:317;height:1921;visibility:visible;mso-wrap-style:square;v-text-anchor:middle"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" path="m,l16,72r4,49l18,112,,31,,xe" fillcolor="#44546a [3202]" strokecolor="#44546a [3202]">
                            <v:fill opacity="13107f"/>
                            <v:stroke startarrowwidth="narrow" startarrowlength="short" endarrowwidth="narrow" endarrowlength="short" opacity="13107f"/>
                            <v:path arrowok="t" o:extrusionok="f"/>
                          </v:shape>
                          <v:shape id="Forma libre: forma 61" o:spid="_x0000_s1089" style="position:absolute;left:1123;top:52024;width:2509;height:10207;visibility:visible;mso-wrap-style:square;v-text-anchor:middle"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" path="m,l11,46r11,83l36,211r19,90l76,389r27,87l123,533r21,55l155,632r3,11l142,608,118,544,95,478,69,391,47,302,29,212,13,107,,xe" fillcolor="#44546a [3202]" strokecolor="#44546a [3202]">
                            <v:fill opacity="13107f"/>
                            <v:stroke startarrowwidth="narrow" startarrowlength="short" endarrowwidth="narrow" endarrowlength="short" opacity="13107f"/>
                            <v:path arrowok="t" o:extrusionok="f"/>
                          </v:shape>
                          <v:shape id="Forma libre: forma 62" o:spid="_x0000_s1090" style="position:absolute;left:3759;top:62152;width:524;height:1127;visibility:visible;mso-wrap-style:square;v-text-anchor:middle"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" path="m,l33,71r-9,l11,36,,xe" fillcolor="#44546a [3202]" strokecolor="#44546a [3202]">
                            <v:fill opacity="13107f"/>
                            <v:stroke startarrowwidth="narrow" startarrowlength="short" endarrowwidth="narrow" endarrowlength="short" opacity="13107f"/>
                            <v:path arrowok="t" o:extrusionok="f"/>
                          </v:shape>
                          <v:shape id="Forma libre: forma 63" o:spid="_x0000_s1091" style="position:absolute;left:1060;top:51246;width:238;height:1508;visibility:visible;mso-wrap-style:square;v-text-anchor:middle"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" path="m,l8,37r,4l15,95,4,49,,xe" fillcolor="#44546a [3202]" strokecolor="#44546a [3202]">
                            <v:fill opacity="13107f"/>
                            <v:stroke startarrowwidth="narrow" startarrowlength="short" endarrowwidth="narrow" endarrowlength="short" opacity="13107f"/>
                            <v:path arrowok="t" o:extrusionok="f"/>
                          </v:shape>
                          <v:shape id="Forma libre: forma 256" o:spid="_x0000_s1092" style="position:absolute;left:3171;top:46499;width:6382;height:12414;visibility:visible;mso-wrap-style:square;v-text-anchor:middle"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" path="m402,r,1l363,39,325,79r-35,42l255,164r-44,58l171,284r-38,62l100,411,71,478,45,546,27,617,13,689,7,761r,21l,765r1,-4l7,688,21,616,40,545,66,475,95,409r35,-66l167,281r42,-61l253,163r34,-43l324,78,362,38,402,xe" fillcolor="#44546a [3202]" strokecolor="#44546a [3202]">
                            <v:fill opacity="13107f"/>
                            <v:stroke startarrowwidth="narrow" startarrowlength="short" endarrowwidth="narrow" endarrowlength="short" opacity="13107f"/>
                            <v:path arrowok="t" o:extrusionok="f"/>
                          </v:shape>
                          <v:shape id="Forma libre: forma 257" o:spid="_x0000_s1093" style="position:absolute;left:3171;top:59040;width:588;height:3112;visibility:visible;mso-wrap-style:square;v-text-anchor:middle"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" path="m,l6,15r1,3l12,80r9,54l33,188r4,8l22,162,15,146,5,81,1,40,,xe" fillcolor="#44546a [3202]" strokecolor="#44546a [3202]">
                            <v:fill opacity="13107f"/>
                            <v:stroke startarrowwidth="narrow" startarrowlength="short" endarrowwidth="narrow" endarrowlength="short" opacity="13107f"/>
                            <v:path arrowok="t" o:extrusionok="f"/>
                          </v:shape>
                          <v:shape id="Forma libre: forma 258" o:spid="_x0000_s1094" style="position:absolute;left:3632;top:62231;width:492;height:1048;visibility:visible;mso-wrap-style:square;v-text-anchor:middle"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" path="m,l31,66r-7,l,xe" fillcolor="#44546a [3202]" strokecolor="#44546a [3202]">
                            <v:fill opacity="13107f"/>
                            <v:stroke startarrowwidth="narrow" startarrowlength="short" endarrowwidth="narrow" endarrowlength="short" opacity="13107f"/>
                            <v:path arrowok="t" o:extrusionok="f"/>
                          </v:shape>
                          <v:shape id="Forma libre: forma 259" o:spid="_x0000_s1095" style="position:absolute;left:3171;top:58644;width:111;height:682;visibility:visible;mso-wrap-style:square;v-text-anchor:middle"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" path="m,l7,17r,26l6,40,,25,,xe" fillcolor="#44546a [3202]" strokecolor="#44546a [3202]">
                            <v:fill opacity="13107f"/>
                            <v:stroke startarrowwidth="narrow" startarrowlength="short" endarrowwidth="narrow" endarrowlength="short" opacity="13107f"/>
                            <v:path arrowok="t" o:extrusionok="f"/>
                          </v:shape>
                          <v:shape id="Forma libre: forma 260" o:spid="_x0000_s1096" style="position:absolute;left:3409;top:61358;width:731;height:1921;visibility:visible;mso-wrap-style:square;v-text-anchor:middle"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" path="m,l7,16,22,50,33,86r13,35l45,121,14,55,11,44,,xe" fillcolor="#44546a [3202]" strokecolor="#44546a [3202]">
                            <v:fill opacity="13107f"/>
                            <v:stroke startarrowwidth="narrow" startarrowlength="short" endarrowwidth="narrow" endarrowlength="short" opacity="13107f"/>
                            <v:path arrowok="t" o:extrusionok="f"/>
                          </v:shape>
                        </v:group>
                      </v:group>
                    </v:group>
                  </v:group>
                </v:group>
                <w10:wrap anchorx="page" anchory="page"/>
              </v:group>
            </w:pict>
          </mc:Fallback>
        </mc:AlternateContent>
      </w:r>
    </w:p>
    <w:p w14:paraId="11322698" w14:textId="77777777" w:rsidR="00644151" w:rsidRDefault="00644151">
      <w:pPr>
        <w:spacing w:line="360" w:lineRule="auto"/>
      </w:pPr>
    </w:p>
    <w:p w14:paraId="4BFF5236" w14:textId="77777777" w:rsidR="00644151" w:rsidRDefault="00425878">
      <w:pPr>
        <w:spacing w:line="360" w:lineRule="auto"/>
      </w:pPr>
      <w:r>
        <w:rPr>
          <w:noProof/>
        </w:rPr>
        <mc:AlternateContent>
          <mc:Choice Requires="wps">
            <w:drawing>
              <wp:anchor distT="0" distB="0" distL="114300" distR="114300" simplePos="0" relativeHeight="251662336" behindDoc="0" locked="0" layoutInCell="1" hidden="0" allowOverlap="1" wp14:anchorId="4E696CB8" wp14:editId="3D7CA05E">
                <wp:simplePos x="0" y="0"/>
                <wp:positionH relativeFrom="page">
                  <wp:posOffset>3431537</wp:posOffset>
                </wp:positionH>
                <wp:positionV relativeFrom="page">
                  <wp:posOffset>1737042</wp:posOffset>
                </wp:positionV>
                <wp:extent cx="3686175" cy="1097915"/>
                <wp:effectExtent l="0" t="0" r="0" b="0"/>
                <wp:wrapNone/>
                <wp:docPr id="296" name="Rectángulo 296"/>
                <wp:cNvGraphicFramePr/>
                <a:graphic xmlns:a="http://schemas.openxmlformats.org/drawingml/2006/main">
                  <a:graphicData uri="http://schemas.microsoft.com/office/word/2010/wordprocessingShape">
                    <wps:wsp>
                      <wps:cNvSpPr/>
                      <wps:spPr>
                        <a:xfrm>
                          <a:off x="3517200" y="3245330"/>
                          <a:ext cx="3657600" cy="1069340"/>
                        </a:xfrm>
                        <a:prstGeom prst="rect">
                          <a:avLst/>
                        </a:prstGeom>
                        <a:noFill/>
                        <a:ln>
                          <a:noFill/>
                        </a:ln>
                      </wps:spPr>
                      <wps:txbx>
                        <w:txbxContent>
                          <w:p w14:paraId="298C035B" w14:textId="77777777" w:rsidR="001076C8" w:rsidRDefault="001076C8">
                            <w:pPr>
                              <w:spacing w:after="0" w:line="240" w:lineRule="auto"/>
                              <w:jc w:val="left"/>
                              <w:textDirection w:val="btLr"/>
                            </w:pPr>
                            <w:r>
                              <w:rPr>
                                <w:rFonts w:ascii="Calibri" w:eastAsia="Calibri" w:hAnsi="Calibri" w:cs="Calibri"/>
                                <w:color w:val="262626"/>
                                <w:sz w:val="72"/>
                              </w:rPr>
                              <w:t>Caracterización</w:t>
                            </w:r>
                          </w:p>
                          <w:p w14:paraId="7B6973D3" w14:textId="77777777" w:rsidR="001076C8" w:rsidRDefault="001076C8">
                            <w:pPr>
                              <w:spacing w:after="0" w:line="240" w:lineRule="auto"/>
                              <w:jc w:val="left"/>
                              <w:textDirection w:val="btLr"/>
                            </w:pPr>
                            <w:r>
                              <w:rPr>
                                <w:rFonts w:ascii="Arial" w:eastAsia="Arial" w:hAnsi="Arial" w:cs="Arial"/>
                                <w:color w:val="404040"/>
                                <w:sz w:val="36"/>
                              </w:rPr>
                              <w:t>Alcaldía de Iztapalapa</w:t>
                            </w:r>
                          </w:p>
                        </w:txbxContent>
                      </wps:txbx>
                      <wps:bodyPr spcFirstLastPara="1" wrap="square" lIns="0" tIns="0" rIns="0" bIns="0" anchor="t" anchorCtr="0">
                        <a:noAutofit/>
                      </wps:bodyPr>
                    </wps:wsp>
                  </a:graphicData>
                </a:graphic>
              </wp:anchor>
            </w:drawing>
          </mc:Choice>
          <mc:Fallback>
            <w:pict>
              <v:rect w14:anchorId="4E696CB8" id="Rectángulo 296" o:spid="_x0000_s1097" style="position:absolute;left:0;text-align:left;margin-left:270.2pt;margin-top:136.75pt;width:290.25pt;height:86.45pt;z-index:25166233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" filled="f" stroked="f">
                <v:textbox inset="0,0,0,0">
                  <w:txbxContent>
                    <w:p w14:paraId="298C035B" w14:textId="77777777" w:rsidR="001076C8" w:rsidRDefault="001076C8">
                      <w:pPr>
                        <w:spacing w:after="0" w:line="240" w:lineRule="auto"/>
                        <w:jc w:val="left"/>
                        <w:textDirection w:val="btLr"/>
                      </w:pPr>
                      <w:r>
                        <w:rPr>
                          <w:rFonts w:ascii="Calibri" w:eastAsia="Calibri" w:hAnsi="Calibri" w:cs="Calibri"/>
                          <w:color w:val="262626"/>
                          <w:sz w:val="72"/>
                        </w:rPr>
                        <w:t>Caracterización</w:t>
                      </w:r>
                    </w:p>
                    <w:p w14:paraId="7B6973D3" w14:textId="77777777" w:rsidR="001076C8" w:rsidRDefault="001076C8">
                      <w:pPr>
                        <w:spacing w:after="0" w:line="240" w:lineRule="auto"/>
                        <w:jc w:val="left"/>
                        <w:textDirection w:val="btLr"/>
                      </w:pPr>
                      <w:r>
                        <w:rPr>
                          <w:rFonts w:ascii="Arial" w:eastAsia="Arial" w:hAnsi="Arial" w:cs="Arial"/>
                          <w:color w:val="404040"/>
                          <w:sz w:val="36"/>
                        </w:rPr>
                        <w:t>Alcaldía de Iztapalapa</w:t>
                      </w:r>
                    </w:p>
                  </w:txbxContent>
                </v:textbox>
                <w10:wrap anchorx="page" anchory="page"/>
              </v:rect>
            </w:pict>
          </mc:Fallback>
        </mc:AlternateContent>
      </w:r>
    </w:p>
    <w:p w14:paraId="1D01B5EA" w14:textId="77777777" w:rsidR="00644151" w:rsidRDefault="00644151">
      <w:pPr>
        <w:spacing w:line="360" w:lineRule="auto"/>
      </w:pPr>
    </w:p>
    <w:p w14:paraId="65AC92BE" w14:textId="77777777" w:rsidR="00644151" w:rsidRDefault="00644151">
      <w:pPr>
        <w:spacing w:line="360" w:lineRule="auto"/>
      </w:pPr>
    </w:p>
    <w:p w14:paraId="288680D4" w14:textId="77777777" w:rsidR="00644151" w:rsidRDefault="00644151">
      <w:pPr>
        <w:spacing w:line="360" w:lineRule="auto"/>
      </w:pPr>
    </w:p>
    <w:p w14:paraId="4B091DE1" w14:textId="77777777" w:rsidR="00644151" w:rsidRDefault="00644151">
      <w:pPr>
        <w:spacing w:line="360" w:lineRule="auto"/>
      </w:pPr>
    </w:p>
    <w:p w14:paraId="37CC2AEA" w14:textId="77777777" w:rsidR="00644151" w:rsidRDefault="00644151">
      <w:pPr>
        <w:spacing w:line="360" w:lineRule="auto"/>
      </w:pPr>
    </w:p>
    <w:p w14:paraId="2E97153F" w14:textId="77777777" w:rsidR="00644151" w:rsidRDefault="00644151">
      <w:pPr>
        <w:spacing w:line="360" w:lineRule="auto"/>
      </w:pPr>
    </w:p>
    <w:p w14:paraId="7516DB3D" w14:textId="77777777" w:rsidR="00644151" w:rsidRDefault="00644151">
      <w:pPr>
        <w:spacing w:line="360" w:lineRule="auto"/>
      </w:pPr>
    </w:p>
    <w:p w14:paraId="08E5ACB3" w14:textId="77777777" w:rsidR="00644151" w:rsidRDefault="00644151">
      <w:pPr>
        <w:spacing w:line="360" w:lineRule="auto"/>
      </w:pPr>
    </w:p>
    <w:p w14:paraId="6E1EF41D" w14:textId="77777777" w:rsidR="00644151" w:rsidRDefault="00644151">
      <w:pPr>
        <w:spacing w:line="360" w:lineRule="auto"/>
      </w:pPr>
    </w:p>
    <w:p w14:paraId="3487F95E" w14:textId="77777777" w:rsidR="00644151" w:rsidRDefault="00644151">
      <w:pPr>
        <w:spacing w:line="360" w:lineRule="auto"/>
      </w:pPr>
    </w:p>
    <w:p w14:paraId="5F76564D" w14:textId="77777777" w:rsidR="00644151" w:rsidRDefault="00644151">
      <w:pPr>
        <w:spacing w:line="360" w:lineRule="auto"/>
      </w:pPr>
    </w:p>
    <w:p w14:paraId="59D9A8EE" w14:textId="77777777" w:rsidR="00644151" w:rsidRDefault="00644151">
      <w:pPr>
        <w:spacing w:line="360" w:lineRule="auto"/>
      </w:pPr>
    </w:p>
    <w:p w14:paraId="0E328DF4" w14:textId="77777777" w:rsidR="00644151" w:rsidRDefault="00644151">
      <w:pPr>
        <w:spacing w:line="360" w:lineRule="auto"/>
      </w:pPr>
    </w:p>
    <w:p w14:paraId="447C74CD" w14:textId="77777777" w:rsidR="00644151" w:rsidRDefault="00644151">
      <w:pPr>
        <w:spacing w:line="360" w:lineRule="auto"/>
      </w:pPr>
    </w:p>
    <w:p w14:paraId="7599A7EC" w14:textId="77777777" w:rsidR="00644151" w:rsidRDefault="00644151">
      <w:pPr>
        <w:spacing w:line="360" w:lineRule="auto"/>
      </w:pPr>
    </w:p>
    <w:p w14:paraId="22CC0591" w14:textId="77777777" w:rsidR="00644151" w:rsidRDefault="00644151">
      <w:pPr>
        <w:spacing w:line="360" w:lineRule="auto"/>
      </w:pPr>
    </w:p>
    <w:p w14:paraId="07FE56D5" w14:textId="73CF1745" w:rsidR="00644151" w:rsidRDefault="00644151">
      <w:pPr>
        <w:spacing w:line="360" w:lineRule="auto"/>
      </w:pPr>
    </w:p>
    <w:p w14:paraId="4355E3F9" w14:textId="77777777" w:rsidR="00644151" w:rsidRDefault="00425878">
      <w:pPr>
        <w:pStyle w:val="Ttulo1"/>
      </w:pPr>
      <w:bookmarkStart w:id="26" w:name="_Toc89075376"/>
      <w:r>
        <w:lastRenderedPageBreak/>
        <w:t>Capítulo 2. Caracterización de la Alcaldía de Iztapalapa</w:t>
      </w:r>
      <w:bookmarkEnd w:id="26"/>
    </w:p>
    <w:p w14:paraId="5117A2F2" w14:textId="6218D0D3" w:rsidR="00644151" w:rsidRDefault="00425878">
      <w:pPr>
        <w:tabs>
          <w:tab w:val="left" w:pos="1500"/>
        </w:tabs>
        <w:spacing w:line="360" w:lineRule="auto"/>
      </w:pPr>
      <w:r>
        <w:t xml:space="preserve">La Alcaldía de Iztapalapa es una de 16 Alcaldías que conforman la Ciudad de México, se ubica al oriente de esta, y las coordenadas extremas son: al Norte 19° 21´32, al Sur 19° 17´ de latitud Norte; y al Este </w:t>
      </w:r>
      <w:r w:rsidR="00EF5294">
        <w:t>-</w:t>
      </w:r>
      <w:r>
        <w:t xml:space="preserve">98° 58´, al Oeste </w:t>
      </w:r>
      <w:r w:rsidR="00EF5294">
        <w:t>-</w:t>
      </w:r>
      <w:r>
        <w:t>99° 08´ de longitud Oeste. La superficie estimada es de 113.01 km</w:t>
      </w:r>
      <w:r>
        <w:rPr>
          <w:vertAlign w:val="superscript"/>
        </w:rPr>
        <w:t>2</w:t>
      </w:r>
      <w:r>
        <w:t xml:space="preserve"> lo que la hace la cuarta alcaldía más grande de la Ciudad de México tan solo por detrás de las Alcaldías Tlalpan (314.2 km</w:t>
      </w:r>
      <w:r>
        <w:rPr>
          <w:vertAlign w:val="superscript"/>
        </w:rPr>
        <w:t>2</w:t>
      </w:r>
      <w:r>
        <w:t>), Milpa Alta (298 km</w:t>
      </w:r>
      <w:r>
        <w:rPr>
          <w:vertAlign w:val="superscript"/>
        </w:rPr>
        <w:t>2</w:t>
      </w:r>
      <w:r>
        <w:t>), y Xochimilco (114 km</w:t>
      </w:r>
      <w:r>
        <w:rPr>
          <w:vertAlign w:val="superscript"/>
        </w:rPr>
        <w:t>2</w:t>
      </w:r>
      <w:r>
        <w:t xml:space="preserve">). </w:t>
      </w:r>
    </w:p>
    <w:p w14:paraId="12D2EF70" w14:textId="7DDD2BC2" w:rsidR="00644151" w:rsidRDefault="00425878">
      <w:pPr>
        <w:tabs>
          <w:tab w:val="left" w:pos="1500"/>
        </w:tabs>
        <w:spacing w:line="360" w:lineRule="auto"/>
      </w:pPr>
      <w:r>
        <w:t>Sin embargo, la Alcaldía Iztapalapa cuenta 112.98 km</w:t>
      </w:r>
      <w:r>
        <w:rPr>
          <w:vertAlign w:val="superscript"/>
        </w:rPr>
        <w:t>2</w:t>
      </w:r>
      <w:r>
        <w:t xml:space="preserve"> de área destinada a uso urbano, esta característica la convierte en la Alcaldía con mayor superficie urbana de la Ciudad de México, seguida por la Alcaldía Tlalpan con 98.0 km</w:t>
      </w:r>
      <w:r>
        <w:rPr>
          <w:vertAlign w:val="superscript"/>
        </w:rPr>
        <w:t>2</w:t>
      </w:r>
      <w:r>
        <w:t>, Gustavo A. Madero 87.8 km</w:t>
      </w:r>
      <w:r>
        <w:rPr>
          <w:vertAlign w:val="superscript"/>
        </w:rPr>
        <w:t>2</w:t>
      </w:r>
      <w:r>
        <w:t xml:space="preserve"> y Álvaro Obregón 69.7 km</w:t>
      </w:r>
      <w:r>
        <w:rPr>
          <w:vertAlign w:val="superscript"/>
        </w:rPr>
        <w:t>2</w:t>
      </w:r>
      <w:r>
        <w:t xml:space="preserve">. </w:t>
      </w:r>
    </w:p>
    <w:p w14:paraId="41386724" w14:textId="77777777" w:rsidR="00644151" w:rsidRDefault="00425878">
      <w:pPr>
        <w:spacing w:after="0" w:line="360" w:lineRule="auto"/>
      </w:pPr>
      <w:r>
        <w:rPr>
          <w:noProof/>
        </w:rPr>
        <w:drawing>
          <wp:inline distT="0" distB="0" distL="0" distR="0" wp14:anchorId="3B8B78A9" wp14:editId="70A0CC59">
            <wp:extent cx="5612130" cy="3968115"/>
            <wp:effectExtent l="0" t="0" r="0" b="0"/>
            <wp:docPr id="30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5612130" cy="3968115"/>
                    </a:xfrm>
                    <a:prstGeom prst="rect">
                      <a:avLst/>
                    </a:prstGeom>
                    <a:ln/>
                  </pic:spPr>
                </pic:pic>
              </a:graphicData>
            </a:graphic>
          </wp:inline>
        </w:drawing>
      </w:r>
    </w:p>
    <w:p w14:paraId="2BD9A68C" w14:textId="77777777" w:rsidR="00644151" w:rsidRDefault="00425878">
      <w:pPr>
        <w:pBdr>
          <w:top w:val="nil"/>
          <w:left w:val="nil"/>
          <w:bottom w:val="nil"/>
          <w:right w:val="nil"/>
          <w:between w:val="nil"/>
        </w:pBdr>
        <w:spacing w:after="200" w:line="240" w:lineRule="auto"/>
        <w:jc w:val="center"/>
        <w:rPr>
          <w:i/>
          <w:color w:val="44546A"/>
          <w:sz w:val="22"/>
          <w:szCs w:val="22"/>
        </w:rPr>
      </w:pPr>
      <w:bookmarkStart w:id="27" w:name="_heading=h.qsh70q" w:colFirst="0" w:colLast="0"/>
      <w:bookmarkEnd w:id="27"/>
      <w:r>
        <w:rPr>
          <w:i/>
          <w:color w:val="44546A"/>
          <w:sz w:val="18"/>
          <w:szCs w:val="18"/>
        </w:rPr>
        <w:t>Figura 1. Ubicación de la Alcaldía Iztapalapa, CDMX.</w:t>
      </w:r>
    </w:p>
    <w:p w14:paraId="57D713DD" w14:textId="77777777" w:rsidR="00644151" w:rsidRDefault="00425878">
      <w:pPr>
        <w:rPr>
          <w:sz w:val="22"/>
          <w:szCs w:val="22"/>
        </w:rPr>
      </w:pPr>
      <w:r>
        <w:rPr>
          <w:sz w:val="22"/>
          <w:szCs w:val="22"/>
        </w:rPr>
        <w:t>Fuente: Elaboración propia con base a datos abiertos del marco Geoestadístico, 2019 de INEGI.</w:t>
      </w:r>
    </w:p>
    <w:p w14:paraId="7121D84E" w14:textId="77777777" w:rsidR="00644151" w:rsidRDefault="00644151">
      <w:pPr>
        <w:rPr>
          <w:sz w:val="22"/>
          <w:szCs w:val="22"/>
        </w:rPr>
      </w:pPr>
    </w:p>
    <w:p w14:paraId="3A740C11" w14:textId="07620046" w:rsidR="00644151" w:rsidRDefault="00425878">
      <w:pPr>
        <w:spacing w:line="360" w:lineRule="auto"/>
      </w:pPr>
      <w:r>
        <w:lastRenderedPageBreak/>
        <w:t xml:space="preserve">La altitud media </w:t>
      </w:r>
      <w:r w:rsidR="00EE189A">
        <w:t xml:space="preserve">de la alcaldía </w:t>
      </w:r>
      <w:r>
        <w:t xml:space="preserve">es de 2 240 m.s.n.m., la mayor parte de la superficie es plana a excepción de la Sierra de Santa Catarina, Cerro de la Estrella y El Peñón del Marqués, conocido popularmente como Peñón Viejo. La Alcaldía se encuentra delimitada al norte por la Alcaldía de Iztacalco y el </w:t>
      </w:r>
      <w:r w:rsidR="00EE189A">
        <w:t>m</w:t>
      </w:r>
      <w:r>
        <w:t xml:space="preserve">unicipio de Nezahualcóyotl. Al este </w:t>
      </w:r>
      <w:r w:rsidR="00EE189A">
        <w:t>por los m</w:t>
      </w:r>
      <w:r>
        <w:t>unicipio</w:t>
      </w:r>
      <w:r w:rsidR="00EE189A">
        <w:t>s</w:t>
      </w:r>
      <w:r>
        <w:t xml:space="preserve"> de La Paz y Chalco Solidaridad, que pertenece al Estado de México, al sur colinda con las Alcaldías de Tláhuac y Xochimilco, y al oeste con las Alcaldías de Coyoacán y Benito Juárez.</w:t>
      </w:r>
    </w:p>
    <w:p w14:paraId="3D69F4A5" w14:textId="0A18EF81" w:rsidR="00644151" w:rsidRDefault="00EF5294">
      <w:pPr>
        <w:pStyle w:val="Ttulo3"/>
      </w:pPr>
      <w:bookmarkStart w:id="28" w:name="_Toc89075377"/>
      <w:r>
        <w:t xml:space="preserve">2.1 </w:t>
      </w:r>
      <w:r w:rsidR="00425878">
        <w:t xml:space="preserve">Dinámica </w:t>
      </w:r>
      <w:r w:rsidR="00644A75">
        <w:t>demográfica</w:t>
      </w:r>
      <w:r w:rsidR="00425878">
        <w:t xml:space="preserve"> de la Alcaldía</w:t>
      </w:r>
      <w:bookmarkEnd w:id="28"/>
    </w:p>
    <w:p w14:paraId="24DB3323" w14:textId="2D9E39EA" w:rsidR="00644151" w:rsidRDefault="00425878">
      <w:pPr>
        <w:spacing w:line="360" w:lineRule="auto"/>
      </w:pPr>
      <w:r>
        <w:t xml:space="preserve">En el periodo 1990-2020 la alcaldía Iztapalapa presentó un crecimiento poblacional del 23.1%, pasó de tener 1.4 millones de habitantes en 1990, a 1.8 millones habitantes en 2020, presentando el mayor crecimiento en el periodo 1990-1995 con el 13.83%, en el periodo 2005-2010 presentó un ligero decrecimiento del -2.68% y en los últimos 10 años (2010-2020), el crecimiento se ha mantenido por debajo del 1%. </w:t>
      </w:r>
    </w:p>
    <w:p w14:paraId="08458D5A" w14:textId="77777777" w:rsidR="00644151" w:rsidRDefault="00425878">
      <w:pPr>
        <w:spacing w:line="360" w:lineRule="auto"/>
      </w:pPr>
      <w:r>
        <w:t xml:space="preserve">Cabe destacar que de los 2 465 municipios que conforman los 32 estados de la República Mexicana en 2020, la alcaldía Iztapalapa concentra el 1.45% de la población a nivel nacional y el 19.9% de la población de la Ciudad de México, hecho que la convierte en el segundo municipio con más habitantes, solo por detrás de Tijuana, con una diferencia de 87 037 habitantes (INEGI, 2020).  </w:t>
      </w:r>
    </w:p>
    <w:p w14:paraId="6F4C5BAE" w14:textId="77777777" w:rsidR="00644151" w:rsidRDefault="00425878">
      <w:pPr>
        <w:spacing w:line="360" w:lineRule="auto"/>
        <w:ind w:left="360"/>
      </w:pPr>
      <w:r>
        <w:rPr>
          <w:noProof/>
        </w:rPr>
        <w:drawing>
          <wp:inline distT="0" distB="0" distL="0" distR="0" wp14:anchorId="63CC742E" wp14:editId="359200AC">
            <wp:extent cx="5612130" cy="2822575"/>
            <wp:effectExtent l="0" t="0" r="0" b="0"/>
            <wp:docPr id="287" name="Gráfico 2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F6625EF"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29" w:name="_heading=h.1pxezwc" w:colFirst="0" w:colLast="0"/>
      <w:bookmarkEnd w:id="29"/>
      <w:r>
        <w:rPr>
          <w:i/>
          <w:color w:val="44546A"/>
          <w:sz w:val="18"/>
          <w:szCs w:val="18"/>
        </w:rPr>
        <w:t>Figura 2. Alcaldía Iztapalapa, Ciudad de México, población y crecimiento neto para el periodo 1990-2010.</w:t>
      </w:r>
    </w:p>
    <w:p w14:paraId="227704B4" w14:textId="2A209968" w:rsidR="00644151" w:rsidRDefault="00425878">
      <w:pPr>
        <w:rPr>
          <w:sz w:val="22"/>
          <w:szCs w:val="22"/>
        </w:rPr>
      </w:pPr>
      <w:r>
        <w:rPr>
          <w:sz w:val="22"/>
          <w:szCs w:val="22"/>
        </w:rPr>
        <w:t>Fuente: Elaboración propia con base a las estadísticas vitales de población de INEGI.</w:t>
      </w:r>
    </w:p>
    <w:p w14:paraId="4AFC4522" w14:textId="2770E470" w:rsidR="00644151" w:rsidRDefault="00425878">
      <w:pPr>
        <w:spacing w:line="360" w:lineRule="auto"/>
      </w:pPr>
      <w:r>
        <w:lastRenderedPageBreak/>
        <w:t>De acuerdo con el censo de población y vivienda 2020, la Alcaldía Iztapalapa cuenta con un estimado de 1 835 486 habitantes de los cuales el 51.6% de su estructura poblacional se encuentra conformado por mujeres (947 835) y el restante 48.4% son hombres (887 651). El grueso poblacional está compuesto por la población de cinco años y hasta los 54 años, que representa el 74.7% de la población total, la cual, empieza a disminuir a partir de los 55 años en adelante, por lo que es evidente que la población de la Alcaldía se trata en su mayoría, de una población relativamente adulta, con una edad media estimada de 33 años (INEGI, 2020</w:t>
      </w:r>
      <w:r w:rsidR="006046AC">
        <w:t>a</w:t>
      </w:r>
      <w:r>
        <w:t xml:space="preserve">). </w:t>
      </w:r>
    </w:p>
    <w:p w14:paraId="4AF4F7BA" w14:textId="77777777" w:rsidR="00644151" w:rsidRDefault="00425878">
      <w:pPr>
        <w:spacing w:line="360" w:lineRule="auto"/>
      </w:pPr>
      <w:r>
        <w:t>La Figura 3 muestra la pirámide poblacional por grupos quinquenales, donde los valores con mayor población pertenecen al grupo de 25 a 29 años concentrando el 8.3% de los habitantes totales, seguida por la población del grupo de 20 a 24 años con el 8.2% de la población. A partir del grupo de 45 años en adelante es notable un ligero aumento porcentual de mujeres respecto al de hombres.</w:t>
      </w:r>
    </w:p>
    <w:p w14:paraId="32D07443" w14:textId="77777777" w:rsidR="00644151" w:rsidRDefault="00425878">
      <w:r>
        <w:rPr>
          <w:noProof/>
        </w:rPr>
        <w:drawing>
          <wp:inline distT="0" distB="0" distL="0" distR="0" wp14:anchorId="3D3098E8" wp14:editId="0C66CEA2">
            <wp:extent cx="5612130" cy="3941445"/>
            <wp:effectExtent l="0" t="0" r="0" b="0"/>
            <wp:docPr id="286" name="Gráfico 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208F214"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30" w:name="_heading=h.49x2ik5" w:colFirst="0" w:colLast="0"/>
      <w:bookmarkEnd w:id="30"/>
      <w:r>
        <w:rPr>
          <w:i/>
          <w:color w:val="44546A"/>
          <w:sz w:val="18"/>
          <w:szCs w:val="18"/>
        </w:rPr>
        <w:t>Figura 3. Alcaldía Iztapalapa, Ciudad de México, pirámide poblacional por sexo y edad para el año 2020.</w:t>
      </w:r>
    </w:p>
    <w:p w14:paraId="2C3BA489" w14:textId="77777777" w:rsidR="00644151" w:rsidRDefault="00425878">
      <w:pPr>
        <w:rPr>
          <w:sz w:val="22"/>
          <w:szCs w:val="22"/>
        </w:rPr>
      </w:pPr>
      <w:r>
        <w:rPr>
          <w:sz w:val="22"/>
          <w:szCs w:val="22"/>
        </w:rPr>
        <w:t>Fuente: Elaboración propia con base al censo de población y vivienda 2020 de INEGI.</w:t>
      </w:r>
    </w:p>
    <w:p w14:paraId="07B7FFB0" w14:textId="77777777" w:rsidR="00644151" w:rsidRDefault="00425878">
      <w:pPr>
        <w:spacing w:line="360" w:lineRule="auto"/>
      </w:pPr>
      <w:r>
        <w:lastRenderedPageBreak/>
        <w:t>En términos porcentuales los menores de 15 años (0-14 años) representan el 20% de la población total de la alcaldía, mientras que la población de edad avanzada (65 años y más) representan el 9.5%, esto muestra un índice de envejecimiento del 47.5% lo que sugiere, una sociedad que tiende al envejecimiento. El porcentaje de jóvenes (15 a 24 años) representa el 16%, mientras que los adultos jóvenes (25 a 39 años) comprende el 23.6% y el de los adultos mayores (40 a 64 años) representan el 30.9% de la población.</w:t>
      </w:r>
    </w:p>
    <w:p w14:paraId="38D8C8B2" w14:textId="77777777" w:rsidR="00644151" w:rsidRDefault="00425878">
      <w:pPr>
        <w:pBdr>
          <w:top w:val="nil"/>
          <w:left w:val="nil"/>
          <w:bottom w:val="nil"/>
          <w:right w:val="nil"/>
          <w:between w:val="nil"/>
        </w:pBdr>
        <w:spacing w:after="200" w:line="240" w:lineRule="auto"/>
        <w:rPr>
          <w:color w:val="44546A"/>
          <w:sz w:val="18"/>
          <w:szCs w:val="18"/>
        </w:rPr>
      </w:pPr>
      <w:bookmarkStart w:id="31" w:name="_heading=h.2p2csry" w:colFirst="0" w:colLast="0"/>
      <w:bookmarkEnd w:id="31"/>
      <w:r>
        <w:rPr>
          <w:i/>
          <w:color w:val="44546A"/>
          <w:sz w:val="18"/>
          <w:szCs w:val="18"/>
        </w:rPr>
        <w:t>Tabla 2. Población y porcentaje poblacional por grupos de edades</w:t>
      </w:r>
    </w:p>
    <w:tbl>
      <w:tblPr>
        <w:tblStyle w:val="afa"/>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19"/>
        <w:gridCol w:w="1220"/>
        <w:gridCol w:w="1337"/>
        <w:gridCol w:w="1769"/>
        <w:gridCol w:w="1819"/>
        <w:gridCol w:w="1464"/>
      </w:tblGrid>
      <w:tr w:rsidR="00644151" w14:paraId="7FA816FA" w14:textId="77777777">
        <w:trPr>
          <w:trHeight w:val="465"/>
        </w:trPr>
        <w:tc>
          <w:tcPr>
            <w:tcW w:w="1219" w:type="dxa"/>
          </w:tcPr>
          <w:p w14:paraId="6F98329F" w14:textId="77777777" w:rsidR="00644151" w:rsidRDefault="00644151">
            <w:pPr>
              <w:jc w:val="center"/>
              <w:rPr>
                <w:rFonts w:ascii="Calibri" w:eastAsia="Calibri" w:hAnsi="Calibri" w:cs="Calibri"/>
                <w:color w:val="000000"/>
                <w:sz w:val="18"/>
                <w:szCs w:val="18"/>
              </w:rPr>
            </w:pPr>
          </w:p>
        </w:tc>
        <w:tc>
          <w:tcPr>
            <w:tcW w:w="1220" w:type="dxa"/>
            <w:shd w:val="clear" w:color="auto" w:fill="auto"/>
            <w:vAlign w:val="center"/>
          </w:tcPr>
          <w:p w14:paraId="3CDAF56C"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Niños </w:t>
            </w:r>
          </w:p>
          <w:p w14:paraId="37060D39"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(00 a 14 años)</w:t>
            </w:r>
          </w:p>
        </w:tc>
        <w:tc>
          <w:tcPr>
            <w:tcW w:w="1337" w:type="dxa"/>
            <w:shd w:val="clear" w:color="auto" w:fill="auto"/>
            <w:vAlign w:val="center"/>
          </w:tcPr>
          <w:p w14:paraId="7E360724"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Jóvenes</w:t>
            </w:r>
          </w:p>
          <w:p w14:paraId="79BCDC32"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 (15 a 24 años)</w:t>
            </w:r>
          </w:p>
        </w:tc>
        <w:tc>
          <w:tcPr>
            <w:tcW w:w="1769" w:type="dxa"/>
            <w:shd w:val="clear" w:color="auto" w:fill="auto"/>
            <w:vAlign w:val="center"/>
          </w:tcPr>
          <w:p w14:paraId="5D586E90"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Adultos jóvenes </w:t>
            </w:r>
          </w:p>
          <w:p w14:paraId="249662A8"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(25 a 39 años)</w:t>
            </w:r>
          </w:p>
        </w:tc>
        <w:tc>
          <w:tcPr>
            <w:tcW w:w="1819" w:type="dxa"/>
            <w:shd w:val="clear" w:color="auto" w:fill="auto"/>
            <w:vAlign w:val="center"/>
          </w:tcPr>
          <w:p w14:paraId="3853806D"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Adultos mayores </w:t>
            </w:r>
          </w:p>
          <w:p w14:paraId="7672B4AE"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(40 a 64 años)</w:t>
            </w:r>
          </w:p>
        </w:tc>
        <w:tc>
          <w:tcPr>
            <w:tcW w:w="1464" w:type="dxa"/>
            <w:shd w:val="clear" w:color="auto" w:fill="auto"/>
            <w:vAlign w:val="center"/>
          </w:tcPr>
          <w:p w14:paraId="298A644F"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Mayores </w:t>
            </w:r>
          </w:p>
          <w:p w14:paraId="3D36F029"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(65 años y más)</w:t>
            </w:r>
          </w:p>
        </w:tc>
      </w:tr>
      <w:tr w:rsidR="00644151" w14:paraId="0FC6007C" w14:textId="77777777">
        <w:trPr>
          <w:trHeight w:val="465"/>
        </w:trPr>
        <w:tc>
          <w:tcPr>
            <w:tcW w:w="1219" w:type="dxa"/>
            <w:vAlign w:val="center"/>
          </w:tcPr>
          <w:p w14:paraId="6E867CF6"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Población</w:t>
            </w:r>
          </w:p>
        </w:tc>
        <w:tc>
          <w:tcPr>
            <w:tcW w:w="1220" w:type="dxa"/>
            <w:shd w:val="clear" w:color="auto" w:fill="auto"/>
            <w:vAlign w:val="center"/>
          </w:tcPr>
          <w:p w14:paraId="3874EB38"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366 914</w:t>
            </w:r>
          </w:p>
        </w:tc>
        <w:tc>
          <w:tcPr>
            <w:tcW w:w="1337" w:type="dxa"/>
            <w:shd w:val="clear" w:color="auto" w:fill="auto"/>
            <w:vAlign w:val="center"/>
          </w:tcPr>
          <w:p w14:paraId="787094F0"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293 996</w:t>
            </w:r>
          </w:p>
        </w:tc>
        <w:tc>
          <w:tcPr>
            <w:tcW w:w="1769" w:type="dxa"/>
            <w:shd w:val="clear" w:color="auto" w:fill="auto"/>
            <w:vAlign w:val="center"/>
          </w:tcPr>
          <w:p w14:paraId="120EB3FA"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433 483</w:t>
            </w:r>
          </w:p>
        </w:tc>
        <w:tc>
          <w:tcPr>
            <w:tcW w:w="1819" w:type="dxa"/>
            <w:shd w:val="clear" w:color="auto" w:fill="auto"/>
            <w:vAlign w:val="center"/>
          </w:tcPr>
          <w:p w14:paraId="591B29CD"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566 743</w:t>
            </w:r>
          </w:p>
        </w:tc>
        <w:tc>
          <w:tcPr>
            <w:tcW w:w="1464" w:type="dxa"/>
            <w:shd w:val="clear" w:color="auto" w:fill="auto"/>
            <w:vAlign w:val="center"/>
          </w:tcPr>
          <w:p w14:paraId="021F8F38"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174 350</w:t>
            </w:r>
          </w:p>
        </w:tc>
      </w:tr>
      <w:tr w:rsidR="00644151" w14:paraId="29B4E387" w14:textId="77777777">
        <w:trPr>
          <w:trHeight w:val="465"/>
        </w:trPr>
        <w:tc>
          <w:tcPr>
            <w:tcW w:w="1219" w:type="dxa"/>
            <w:vAlign w:val="center"/>
          </w:tcPr>
          <w:p w14:paraId="3A0D3DD0"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Porcentaje poblacional</w:t>
            </w:r>
          </w:p>
        </w:tc>
        <w:tc>
          <w:tcPr>
            <w:tcW w:w="1220" w:type="dxa"/>
            <w:shd w:val="clear" w:color="auto" w:fill="auto"/>
            <w:vAlign w:val="center"/>
          </w:tcPr>
          <w:p w14:paraId="290917DA"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20%</w:t>
            </w:r>
          </w:p>
        </w:tc>
        <w:tc>
          <w:tcPr>
            <w:tcW w:w="1337" w:type="dxa"/>
            <w:shd w:val="clear" w:color="auto" w:fill="auto"/>
            <w:vAlign w:val="center"/>
          </w:tcPr>
          <w:p w14:paraId="5CE4BE04"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16%</w:t>
            </w:r>
          </w:p>
        </w:tc>
        <w:tc>
          <w:tcPr>
            <w:tcW w:w="1769" w:type="dxa"/>
            <w:shd w:val="clear" w:color="auto" w:fill="auto"/>
            <w:vAlign w:val="center"/>
          </w:tcPr>
          <w:p w14:paraId="4E5A85A8"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23%</w:t>
            </w:r>
          </w:p>
        </w:tc>
        <w:tc>
          <w:tcPr>
            <w:tcW w:w="1819" w:type="dxa"/>
            <w:shd w:val="clear" w:color="auto" w:fill="auto"/>
            <w:vAlign w:val="center"/>
          </w:tcPr>
          <w:p w14:paraId="01C64E95"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30.9%</w:t>
            </w:r>
          </w:p>
        </w:tc>
        <w:tc>
          <w:tcPr>
            <w:tcW w:w="1464" w:type="dxa"/>
            <w:shd w:val="clear" w:color="auto" w:fill="auto"/>
            <w:vAlign w:val="center"/>
          </w:tcPr>
          <w:p w14:paraId="2FC167B9"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9.5%</w:t>
            </w:r>
          </w:p>
        </w:tc>
      </w:tr>
    </w:tbl>
    <w:p w14:paraId="1B8968D1" w14:textId="77777777" w:rsidR="00644151" w:rsidRDefault="00425878">
      <w:pPr>
        <w:spacing w:line="360" w:lineRule="auto"/>
        <w:rPr>
          <w:sz w:val="22"/>
          <w:szCs w:val="22"/>
        </w:rPr>
      </w:pPr>
      <w:r>
        <w:t xml:space="preserve"> </w:t>
      </w:r>
      <w:r>
        <w:rPr>
          <w:sz w:val="22"/>
          <w:szCs w:val="22"/>
        </w:rPr>
        <w:t>Fuente: Elaboración propia con base al censo de población y vivienda 2020 de INEGI</w:t>
      </w:r>
    </w:p>
    <w:p w14:paraId="0186EB4D" w14:textId="77777777" w:rsidR="00644151" w:rsidRDefault="00644151">
      <w:pPr>
        <w:spacing w:line="360" w:lineRule="auto"/>
      </w:pPr>
    </w:p>
    <w:p w14:paraId="2FFDA67D" w14:textId="0FD37DE3" w:rsidR="00644151" w:rsidRDefault="00EF5294">
      <w:pPr>
        <w:pStyle w:val="Ttulo3"/>
      </w:pPr>
      <w:bookmarkStart w:id="32" w:name="_Toc89075378"/>
      <w:r>
        <w:t xml:space="preserve">2.2 </w:t>
      </w:r>
      <w:r w:rsidR="00425878">
        <w:t>Natalidad en la Alcaldía</w:t>
      </w:r>
      <w:bookmarkEnd w:id="32"/>
    </w:p>
    <w:p w14:paraId="30E8E81F" w14:textId="30F8660B" w:rsidR="00644151" w:rsidRDefault="00425878">
      <w:pPr>
        <w:spacing w:line="360" w:lineRule="auto"/>
      </w:pPr>
      <w:r>
        <w:t>De acuerdo con las estadísticas vitales de natalidad del INEGI, en el año 2000 se registraban 35 702 nacimientos en la Alcaldía Iztapalapa cifra que representa el mayor número de nacimientos en el periodo 2000-2019, que representa un total de 201 nacidos por cada 10 000 habitantes. En términos absolutos los nacimientos oscilaban entre los 31 y los 36 mil nacimientos anuales hasta el año 2010, a partir de este año y hasta 2019 se observa un claro descenso en el número de nacimiento pasando de los 34 576 nacimientos hasta los 22 088 equivalente a 118 nacimientos por cada 10 000 habitantes (INEGI, 2019</w:t>
      </w:r>
      <w:r w:rsidR="006046AC">
        <w:t>b</w:t>
      </w:r>
      <w:r>
        <w:t>).</w:t>
      </w:r>
    </w:p>
    <w:p w14:paraId="721DC304" w14:textId="77777777" w:rsidR="00644151" w:rsidRDefault="00425878">
      <w:pPr>
        <w:spacing w:line="360" w:lineRule="auto"/>
      </w:pPr>
      <w:r>
        <w:t>La figura 4 muestra los nacimientos reportados en la Alcaldía Iztapalapa y su respectiva tasa de natalidad por cada 10 000 habitantes durante el periodo 2000-2019, a diferencia de los registros de nacimientos, la tasa de mortalidad permite observar una disminución de nacimientos con respecto a la población, no solo se ha visto reducida desde el año 2010, sino desde el año el año 2000, la cual, se ha visto reducida prácticamente a la mitad, pasando de 201 a 118 nacimientos por cada 10 000 habitantes en la alcaldía.</w:t>
      </w:r>
    </w:p>
    <w:p w14:paraId="7ACF592A" w14:textId="77777777" w:rsidR="00644151" w:rsidRDefault="00425878">
      <w:pPr>
        <w:pBdr>
          <w:top w:val="nil"/>
          <w:left w:val="nil"/>
          <w:bottom w:val="nil"/>
          <w:right w:val="nil"/>
          <w:between w:val="nil"/>
        </w:pBdr>
        <w:spacing w:after="200" w:line="240" w:lineRule="auto"/>
        <w:jc w:val="center"/>
        <w:rPr>
          <w:i/>
          <w:color w:val="44546A"/>
          <w:sz w:val="18"/>
          <w:szCs w:val="18"/>
        </w:rPr>
      </w:pPr>
      <w:r>
        <w:rPr>
          <w:i/>
          <w:noProof/>
          <w:color w:val="44546A"/>
          <w:sz w:val="18"/>
          <w:szCs w:val="18"/>
        </w:rPr>
        <w:lastRenderedPageBreak/>
        <w:drawing>
          <wp:inline distT="0" distB="0" distL="0" distR="0" wp14:anchorId="5F11C1DD" wp14:editId="47473126">
            <wp:extent cx="5612130" cy="3272155"/>
            <wp:effectExtent l="0" t="0" r="0" b="0"/>
            <wp:docPr id="289" name="Gráfico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i/>
          <w:color w:val="44546A"/>
          <w:sz w:val="18"/>
          <w:szCs w:val="18"/>
        </w:rPr>
        <w:t xml:space="preserve"> </w:t>
      </w:r>
    </w:p>
    <w:p w14:paraId="7F9C8748"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33" w:name="_heading=h.147n2zr" w:colFirst="0" w:colLast="0"/>
      <w:bookmarkEnd w:id="33"/>
      <w:r>
        <w:rPr>
          <w:i/>
          <w:color w:val="44546A"/>
          <w:sz w:val="18"/>
          <w:szCs w:val="18"/>
        </w:rPr>
        <w:t>Figura 4. Alcaldía Iztapalapa, Ciudad de México, natalidad y tasa de natalidad para el periodo 2000-2019.</w:t>
      </w:r>
    </w:p>
    <w:p w14:paraId="32FECC12" w14:textId="77777777" w:rsidR="00644151" w:rsidRDefault="00425878">
      <w:pPr>
        <w:rPr>
          <w:sz w:val="22"/>
          <w:szCs w:val="22"/>
        </w:rPr>
      </w:pPr>
      <w:r>
        <w:rPr>
          <w:sz w:val="22"/>
          <w:szCs w:val="22"/>
        </w:rPr>
        <w:t>Fuente: Elaboración propia con base a las estadísticas vitales de natalidad de INEGI.</w:t>
      </w:r>
    </w:p>
    <w:p w14:paraId="73E78C34" w14:textId="77777777" w:rsidR="00644151" w:rsidRDefault="00644151">
      <w:pPr>
        <w:spacing w:line="360" w:lineRule="auto"/>
      </w:pPr>
    </w:p>
    <w:p w14:paraId="14FA938A" w14:textId="0FCAB215" w:rsidR="00644151" w:rsidRDefault="00EF5294">
      <w:pPr>
        <w:pStyle w:val="Ttulo3"/>
      </w:pPr>
      <w:bookmarkStart w:id="34" w:name="_Toc89075379"/>
      <w:r>
        <w:t xml:space="preserve">2.3 </w:t>
      </w:r>
      <w:r w:rsidR="00425878">
        <w:t>Mortalidad de la Alcaldía</w:t>
      </w:r>
      <w:bookmarkEnd w:id="34"/>
    </w:p>
    <w:p w14:paraId="6BFAD74B" w14:textId="68A90880" w:rsidR="00644151" w:rsidRDefault="00425878">
      <w:pPr>
        <w:spacing w:line="360" w:lineRule="auto"/>
      </w:pPr>
      <w:r>
        <w:t>De acuerdo con las estadísticas vitales de mortalidad de INEGI el número de defunciones registradas en la Alcaldía Iztapalapa para el año 2000 fue de 7 361 las cuales han presentado un constante aumento a través de los años, llegando casi a duplicarse para 2019, con un total de 11 733 defunciones, cifra que representan el 18.5% del total de las defunciones de toda la ciudad de México (INEGI, 2019</w:t>
      </w:r>
      <w:r w:rsidR="008729E8">
        <w:t>a</w:t>
      </w:r>
      <w:r>
        <w:t>).</w:t>
      </w:r>
    </w:p>
    <w:p w14:paraId="11224100" w14:textId="37B80C96" w:rsidR="00644151" w:rsidRDefault="00425878">
      <w:pPr>
        <w:spacing w:line="360" w:lineRule="auto"/>
      </w:pPr>
      <w:r>
        <w:t>Respecto a la tasa de defunción por cada 10 000 habitantes entre el año 2010 y 2019 la tasa de mortalidad ascendió de 42 a 63, que representa 21 defunciones más que en 2010 por cada 10 000 habitantes. La tasa de mortalidad media nacional reportada en 2019 corresponde a 59 defunciones por cada 10 000 habitantes, por lo que la tasa de mortalidad de la alcaldía en 2019 se encuentra sobre la media nacional, pero por debajo de la media de la Ciudad de México que reporta para ese mismo año una tasa de 85 defunciones por cada 10 000 (INEGI, Mortalidad, 2019</w:t>
      </w:r>
      <w:r w:rsidR="008729E8">
        <w:t>a</w:t>
      </w:r>
      <w:r>
        <w:t>).</w:t>
      </w:r>
    </w:p>
    <w:p w14:paraId="6A244E13" w14:textId="77777777" w:rsidR="00644151" w:rsidRDefault="00425878">
      <w:pPr>
        <w:jc w:val="center"/>
      </w:pPr>
      <w:r>
        <w:rPr>
          <w:noProof/>
        </w:rPr>
        <w:lastRenderedPageBreak/>
        <w:drawing>
          <wp:inline distT="0" distB="0" distL="0" distR="0" wp14:anchorId="11354DEF" wp14:editId="44FB761B">
            <wp:extent cx="5080958" cy="2863970"/>
            <wp:effectExtent l="0" t="0" r="0" b="0"/>
            <wp:docPr id="288" name="Gráfico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DD42E22"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35" w:name="_heading=h.23ckvvd" w:colFirst="0" w:colLast="0"/>
      <w:bookmarkEnd w:id="35"/>
      <w:r>
        <w:rPr>
          <w:i/>
          <w:color w:val="44546A"/>
          <w:sz w:val="18"/>
          <w:szCs w:val="18"/>
        </w:rPr>
        <w:t>Figura 5. Alcaldía Iztapalapa, Ciudad de México, mortalidad y tasa de mortalidad para el periodo 2000-2019.</w:t>
      </w:r>
    </w:p>
    <w:p w14:paraId="1FFA922A" w14:textId="47FF8131" w:rsidR="00644151" w:rsidRDefault="00425878">
      <w:pPr>
        <w:rPr>
          <w:sz w:val="22"/>
          <w:szCs w:val="22"/>
        </w:rPr>
      </w:pPr>
      <w:r>
        <w:rPr>
          <w:sz w:val="22"/>
          <w:szCs w:val="22"/>
        </w:rPr>
        <w:t>Fuente: Elaboración propia con base a las estadísticas vitales de mortalidad de INEGI.</w:t>
      </w:r>
    </w:p>
    <w:p w14:paraId="300C1AEE" w14:textId="77777777" w:rsidR="00CE4286" w:rsidRDefault="00CE4286"/>
    <w:p w14:paraId="6AC6177E" w14:textId="77777777" w:rsidR="00644151" w:rsidRDefault="00425878">
      <w:pPr>
        <w:pStyle w:val="Ttulo4"/>
      </w:pPr>
      <w:bookmarkStart w:id="36" w:name="_Toc89075380"/>
      <w:r>
        <w:t>Mortalidad por grupos quinquenales</w:t>
      </w:r>
      <w:bookmarkEnd w:id="36"/>
    </w:p>
    <w:p w14:paraId="4C802C7E" w14:textId="77777777" w:rsidR="00644151" w:rsidRDefault="00425878">
      <w:pPr>
        <w:spacing w:line="360" w:lineRule="auto"/>
      </w:pPr>
      <w:r>
        <w:t>De las 11 733 defunciones reportadas en 2019 en la Alcaldía el 53.9% pertenecen a hombres (6 328) y el 46.1% a mujeres (5 405). Cabe destacar que el 58.3% de las defunciones se encuentran concentradas en la población que ronda los 60 a 89 años. Los grupos que concentran el mayor número de defunciones son los habitantes mayores de 65 años y más con el 56.8% y los adultos mayores (40 a 64 años) con el 30.6%, ambos grupos concentran hasta el 87.4% de las defunciones totales reportadas en 2019.</w:t>
      </w:r>
    </w:p>
    <w:p w14:paraId="6C37B104" w14:textId="77777777" w:rsidR="00644151" w:rsidRDefault="00425878">
      <w:pPr>
        <w:spacing w:line="360" w:lineRule="auto"/>
      </w:pPr>
      <w:r>
        <w:t xml:space="preserve">La Figura 6 muestra la mortalidad por sexo y por grupos quinquenales en el  año 2019, en la cual se registran 271 defunciones pertenecientes a menores de un año, de las cuales se observa un mayor número de fallecimientos pertenecientes a hombres, tendencia que se mantiene hasta el grupo de 70-74 años, a partir del grupo de 75 a 79 años se observa un cambio repentino, y son las defunciones pertenecientes a mujeres las que empiezan a predominar, tendencia que se mantiene hasta el grupo de los cien años y más, lo que podría sugerir una mayor esperanza de vida en la población femenina de la alcaldía. </w:t>
      </w:r>
    </w:p>
    <w:p w14:paraId="2F8EDF17" w14:textId="77777777" w:rsidR="00644151" w:rsidRDefault="00425878">
      <w:r>
        <w:rPr>
          <w:noProof/>
        </w:rPr>
        <w:lastRenderedPageBreak/>
        <w:drawing>
          <wp:inline distT="0" distB="0" distL="0" distR="0" wp14:anchorId="7DEED10E" wp14:editId="4DD711D4">
            <wp:extent cx="5612130" cy="3662680"/>
            <wp:effectExtent l="0" t="0" r="0" b="0"/>
            <wp:docPr id="291" name="Gráfico 2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71139EB" w14:textId="5B71E60A" w:rsidR="00644151" w:rsidRDefault="00425878">
      <w:pPr>
        <w:pBdr>
          <w:top w:val="nil"/>
          <w:left w:val="nil"/>
          <w:bottom w:val="nil"/>
          <w:right w:val="nil"/>
          <w:between w:val="nil"/>
        </w:pBdr>
        <w:spacing w:after="200" w:line="240" w:lineRule="auto"/>
        <w:jc w:val="center"/>
        <w:rPr>
          <w:color w:val="44546A"/>
          <w:sz w:val="18"/>
          <w:szCs w:val="18"/>
        </w:rPr>
      </w:pPr>
      <w:bookmarkStart w:id="37" w:name="_heading=h.ihv636" w:colFirst="0" w:colLast="0"/>
      <w:bookmarkEnd w:id="37"/>
      <w:r>
        <w:rPr>
          <w:i/>
          <w:color w:val="44546A"/>
          <w:sz w:val="18"/>
          <w:szCs w:val="18"/>
        </w:rPr>
        <w:t>Figura 6.</w:t>
      </w:r>
      <w:r w:rsidR="00CE4286">
        <w:rPr>
          <w:i/>
          <w:color w:val="44546A"/>
          <w:sz w:val="18"/>
          <w:szCs w:val="18"/>
        </w:rPr>
        <w:t xml:space="preserve"> </w:t>
      </w:r>
      <w:r>
        <w:rPr>
          <w:i/>
          <w:color w:val="44546A"/>
          <w:sz w:val="18"/>
          <w:szCs w:val="18"/>
        </w:rPr>
        <w:t>Alcaldía Iztapalapa, Ciudad de México, mortalidad por grupos quinquenales para el año 2019.</w:t>
      </w:r>
    </w:p>
    <w:p w14:paraId="0AE7A791" w14:textId="77777777" w:rsidR="00644151" w:rsidRDefault="00425878">
      <w:pPr>
        <w:rPr>
          <w:sz w:val="22"/>
          <w:szCs w:val="22"/>
        </w:rPr>
      </w:pPr>
      <w:r>
        <w:rPr>
          <w:sz w:val="22"/>
          <w:szCs w:val="22"/>
        </w:rPr>
        <w:t>Fuente: Elaboración propia con base a las estadísticas vitales de mortalidad de INEGI.</w:t>
      </w:r>
    </w:p>
    <w:p w14:paraId="74142C2E" w14:textId="77777777" w:rsidR="00644151" w:rsidRDefault="00644151"/>
    <w:p w14:paraId="44EFDDFE" w14:textId="77777777" w:rsidR="00644151" w:rsidRDefault="00425878">
      <w:pPr>
        <w:pStyle w:val="Ttulo4"/>
      </w:pPr>
      <w:bookmarkStart w:id="38" w:name="_Toc89075381"/>
      <w:r>
        <w:t>Causas de muerte</w:t>
      </w:r>
      <w:bookmarkEnd w:id="38"/>
    </w:p>
    <w:p w14:paraId="412427B9" w14:textId="77777777" w:rsidR="00644151" w:rsidRDefault="00425878">
      <w:pPr>
        <w:spacing w:line="360" w:lineRule="auto"/>
      </w:pPr>
      <w:r>
        <w:t xml:space="preserve">Las causas por las que fallece la población de la alcaldía son diversas, sin embargo, los registros generados a partir de los certificados de defunción del Registro Civil, los Servicios Médicos Forenses y de los cuadernos estadísticos suministrados por las Agencias del Ministerio Público, muestran que las dos principales causas de muerte tanto en hombres como en mujeres en 2019 son: por diabetes mellitus (17.9%) e infarto agudo de miocardio (12.6%). </w:t>
      </w:r>
    </w:p>
    <w:p w14:paraId="2314C4DE" w14:textId="77777777" w:rsidR="00644151" w:rsidRDefault="00425878">
      <w:pPr>
        <w:spacing w:line="360" w:lineRule="auto"/>
      </w:pPr>
      <w:r>
        <w:t>La neumonía es la tercera causa de defunción en la población de la alcaldía (4.5%) y la tercera causa de muerte en mujeres (258), mientras la enfermedad alcohólica del hígado es la cuarta causa de muerte con el 3% de las defunciones totales y la cuarta causa de muerte en hombres (338). Cabe destacar que en esta última el mayor número de defunciones pertenecen a hombres con el 95% del total, casos similares ocurren con la séptima y octava causa de defunción que corresponden a causa de eventos de intención no determinada con el 80.3% y homicidios con hasta el 88.2%.</w:t>
      </w:r>
    </w:p>
    <w:p w14:paraId="6ED13843" w14:textId="77777777" w:rsidR="00644151" w:rsidRDefault="00425878">
      <w:pPr>
        <w:spacing w:line="360" w:lineRule="auto"/>
      </w:pPr>
      <w:r>
        <w:lastRenderedPageBreak/>
        <w:t xml:space="preserve">La figura 7 muestra las 10 principales causas de muerte en 2019 registradas en la alcaldía Iztapalapa, así como el porcentaje que representa cada una de estas. </w:t>
      </w:r>
    </w:p>
    <w:p w14:paraId="6B684458" w14:textId="77777777" w:rsidR="00644151" w:rsidRDefault="00425878">
      <w:pPr>
        <w:spacing w:after="0"/>
        <w:jc w:val="center"/>
      </w:pPr>
      <w:r>
        <w:rPr>
          <w:noProof/>
        </w:rPr>
        <w:drawing>
          <wp:inline distT="0" distB="0" distL="0" distR="0" wp14:anchorId="4ED3C2B6" wp14:editId="2CE1B202">
            <wp:extent cx="4800600" cy="2895600"/>
            <wp:effectExtent l="0" t="0" r="0" b="0"/>
            <wp:docPr id="290" name="Gráfico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A12D44A"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39" w:name="_heading=h.32hioqz" w:colFirst="0" w:colLast="0"/>
      <w:bookmarkEnd w:id="39"/>
      <w:r>
        <w:rPr>
          <w:i/>
          <w:color w:val="44546A"/>
          <w:sz w:val="18"/>
          <w:szCs w:val="18"/>
        </w:rPr>
        <w:t>Figura 7. Alcaldía Iztapalapa, Ciudad de México, 10 principales causas de defunción para el año 2019.</w:t>
      </w:r>
    </w:p>
    <w:p w14:paraId="5F66D926" w14:textId="77777777" w:rsidR="00644151" w:rsidRDefault="00425878">
      <w:pPr>
        <w:rPr>
          <w:sz w:val="22"/>
          <w:szCs w:val="22"/>
        </w:rPr>
      </w:pPr>
      <w:r>
        <w:rPr>
          <w:sz w:val="22"/>
          <w:szCs w:val="22"/>
        </w:rPr>
        <w:t>Fuente: Elaboración propia con base al registro de defunciones 2019 de la Secretaría de Salud.</w:t>
      </w:r>
    </w:p>
    <w:p w14:paraId="07A55E79" w14:textId="77777777" w:rsidR="00644151" w:rsidRDefault="00644151"/>
    <w:p w14:paraId="6E260F5C" w14:textId="77777777" w:rsidR="00644151" w:rsidRDefault="00425878">
      <w:pPr>
        <w:spacing w:line="360" w:lineRule="auto"/>
      </w:pPr>
      <w:r>
        <w:t xml:space="preserve">De acuerdo con el registro de defunciones de la Secretaría de Salud, durante 2019, el 77.3% (9 071) de las defunciones en la alcaldía, están relacionadas al grupo de enfermedades crónico-degenerativas, donde las tres principales causas de muerte son: diabetes mellitus (2 100), infarto agudo de miocardio (1 472) y enfermedad alcohólica del hígado (355). </w:t>
      </w:r>
    </w:p>
    <w:p w14:paraId="45284098" w14:textId="77777777" w:rsidR="00644151" w:rsidRDefault="00425878">
      <w:pPr>
        <w:spacing w:line="360" w:lineRule="auto"/>
      </w:pPr>
      <w:r>
        <w:t>El 12.1% (1 426) pertenecen al grupo de enfermedades infecciosas donde destacan la neumonía (523), enfermedades pulmonares obstructivas crónicas (340) y demás enfermedades del aparato respiratorio (120). El restante 10.5% (1 236) se encuentran relacionadas a defunciones causadas por el hombre las tres principales causas de muerte son: eventos de intención no determinada (335), homicidios (287) y accidentes de tráfico en vehículos de motor (89).</w:t>
      </w:r>
    </w:p>
    <w:p w14:paraId="3442F0F2" w14:textId="77777777" w:rsidR="00644151" w:rsidRDefault="00425878">
      <w:pPr>
        <w:pBdr>
          <w:top w:val="nil"/>
          <w:left w:val="nil"/>
          <w:bottom w:val="nil"/>
          <w:right w:val="nil"/>
          <w:between w:val="nil"/>
        </w:pBdr>
        <w:spacing w:after="200" w:line="240" w:lineRule="auto"/>
        <w:rPr>
          <w:color w:val="44546A"/>
          <w:sz w:val="18"/>
          <w:szCs w:val="18"/>
        </w:rPr>
      </w:pPr>
      <w:bookmarkStart w:id="40" w:name="_heading=h.3tbugp1" w:colFirst="0" w:colLast="0"/>
      <w:bookmarkEnd w:id="40"/>
      <w:r>
        <w:rPr>
          <w:i/>
          <w:color w:val="44546A"/>
          <w:sz w:val="18"/>
          <w:szCs w:val="18"/>
        </w:rPr>
        <w:t>Tabla 3. Principales causas de defunción por grupo de enfermedades.</w:t>
      </w:r>
    </w:p>
    <w:tbl>
      <w:tblPr>
        <w:tblStyle w:val="afb"/>
        <w:tblW w:w="8828"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04"/>
        <w:gridCol w:w="2412"/>
        <w:gridCol w:w="2839"/>
        <w:gridCol w:w="2873"/>
      </w:tblGrid>
      <w:tr w:rsidR="00644151" w14:paraId="186EBC0F" w14:textId="77777777" w:rsidTr="00CE4286">
        <w:trPr>
          <w:trHeight w:val="315"/>
          <w:tblHeader/>
        </w:trPr>
        <w:tc>
          <w:tcPr>
            <w:tcW w:w="704" w:type="dxa"/>
          </w:tcPr>
          <w:p w14:paraId="072232B5" w14:textId="77777777" w:rsidR="00644151" w:rsidRDefault="00644151">
            <w:pPr>
              <w:jc w:val="center"/>
              <w:rPr>
                <w:sz w:val="22"/>
                <w:szCs w:val="22"/>
              </w:rPr>
            </w:pPr>
          </w:p>
        </w:tc>
        <w:tc>
          <w:tcPr>
            <w:tcW w:w="2412" w:type="dxa"/>
          </w:tcPr>
          <w:p w14:paraId="46000579" w14:textId="77777777" w:rsidR="00644151" w:rsidRDefault="00425878">
            <w:pPr>
              <w:jc w:val="center"/>
              <w:rPr>
                <w:color w:val="000000"/>
                <w:sz w:val="20"/>
                <w:szCs w:val="20"/>
              </w:rPr>
            </w:pPr>
            <w:r>
              <w:rPr>
                <w:color w:val="000000"/>
                <w:sz w:val="20"/>
                <w:szCs w:val="20"/>
              </w:rPr>
              <w:t>Enfermedades crónico-degenerativas</w:t>
            </w:r>
          </w:p>
        </w:tc>
        <w:tc>
          <w:tcPr>
            <w:tcW w:w="2839" w:type="dxa"/>
          </w:tcPr>
          <w:p w14:paraId="09DEC3E2"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Infecciosas</w:t>
            </w:r>
          </w:p>
        </w:tc>
        <w:tc>
          <w:tcPr>
            <w:tcW w:w="2873" w:type="dxa"/>
          </w:tcPr>
          <w:p w14:paraId="420D6F2C"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Defunciones causadas por el hombre</w:t>
            </w:r>
          </w:p>
        </w:tc>
      </w:tr>
      <w:tr w:rsidR="00644151" w14:paraId="18208C72" w14:textId="77777777">
        <w:trPr>
          <w:trHeight w:val="315"/>
        </w:trPr>
        <w:tc>
          <w:tcPr>
            <w:tcW w:w="704" w:type="dxa"/>
            <w:vAlign w:val="center"/>
          </w:tcPr>
          <w:p w14:paraId="6B315374"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t>1°</w:t>
            </w:r>
          </w:p>
        </w:tc>
        <w:tc>
          <w:tcPr>
            <w:tcW w:w="2412" w:type="dxa"/>
          </w:tcPr>
          <w:p w14:paraId="5E5B7855"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xml:space="preserve">Diabetes mellitus </w:t>
            </w:r>
          </w:p>
        </w:tc>
        <w:tc>
          <w:tcPr>
            <w:tcW w:w="2839" w:type="dxa"/>
          </w:tcPr>
          <w:p w14:paraId="762443FF" w14:textId="77777777" w:rsidR="00644151" w:rsidRDefault="00425878">
            <w:pPr>
              <w:jc w:val="left"/>
              <w:rPr>
                <w:color w:val="000000"/>
                <w:sz w:val="22"/>
                <w:szCs w:val="22"/>
              </w:rPr>
            </w:pPr>
            <w:r>
              <w:rPr>
                <w:color w:val="000000"/>
                <w:sz w:val="22"/>
                <w:szCs w:val="22"/>
              </w:rPr>
              <w:t>Neumonía</w:t>
            </w:r>
          </w:p>
        </w:tc>
        <w:tc>
          <w:tcPr>
            <w:tcW w:w="2873" w:type="dxa"/>
          </w:tcPr>
          <w:p w14:paraId="685175C9"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xml:space="preserve">Eventos de intención no determinada </w:t>
            </w:r>
          </w:p>
        </w:tc>
      </w:tr>
      <w:tr w:rsidR="00644151" w14:paraId="5F832679" w14:textId="77777777">
        <w:trPr>
          <w:trHeight w:val="300"/>
        </w:trPr>
        <w:tc>
          <w:tcPr>
            <w:tcW w:w="704" w:type="dxa"/>
            <w:vAlign w:val="center"/>
          </w:tcPr>
          <w:p w14:paraId="33B89E86"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lastRenderedPageBreak/>
              <w:t>2°</w:t>
            </w:r>
          </w:p>
        </w:tc>
        <w:tc>
          <w:tcPr>
            <w:tcW w:w="2412" w:type="dxa"/>
          </w:tcPr>
          <w:p w14:paraId="4CA63B7E"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xml:space="preserve">Infarto agudo de miocardio </w:t>
            </w:r>
          </w:p>
        </w:tc>
        <w:tc>
          <w:tcPr>
            <w:tcW w:w="2839" w:type="dxa"/>
          </w:tcPr>
          <w:p w14:paraId="20452F2F"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Enfermedades pulmonares obstructivas crónicas</w:t>
            </w:r>
          </w:p>
        </w:tc>
        <w:tc>
          <w:tcPr>
            <w:tcW w:w="2873" w:type="dxa"/>
          </w:tcPr>
          <w:p w14:paraId="192FF2D2"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Homicidios</w:t>
            </w:r>
          </w:p>
        </w:tc>
      </w:tr>
      <w:tr w:rsidR="00644151" w14:paraId="2DFF5398" w14:textId="77777777">
        <w:trPr>
          <w:trHeight w:val="315"/>
        </w:trPr>
        <w:tc>
          <w:tcPr>
            <w:tcW w:w="704" w:type="dxa"/>
            <w:vAlign w:val="center"/>
          </w:tcPr>
          <w:p w14:paraId="4567D509"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t>3°</w:t>
            </w:r>
          </w:p>
        </w:tc>
        <w:tc>
          <w:tcPr>
            <w:tcW w:w="2412" w:type="dxa"/>
          </w:tcPr>
          <w:p w14:paraId="3B649562"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xml:space="preserve">Enfermedad alcohólica del hígado </w:t>
            </w:r>
          </w:p>
        </w:tc>
        <w:tc>
          <w:tcPr>
            <w:tcW w:w="2839" w:type="dxa"/>
          </w:tcPr>
          <w:p w14:paraId="1CC3A5A6" w14:textId="77777777" w:rsidR="00644151" w:rsidRDefault="00425878">
            <w:pPr>
              <w:jc w:val="left"/>
              <w:rPr>
                <w:color w:val="000000"/>
                <w:sz w:val="22"/>
                <w:szCs w:val="22"/>
              </w:rPr>
            </w:pPr>
            <w:r>
              <w:rPr>
                <w:color w:val="000000"/>
                <w:sz w:val="22"/>
                <w:szCs w:val="22"/>
              </w:rPr>
              <w:t xml:space="preserve">Demás enfermedades del aparato respiratorio </w:t>
            </w:r>
          </w:p>
        </w:tc>
        <w:tc>
          <w:tcPr>
            <w:tcW w:w="2873" w:type="dxa"/>
          </w:tcPr>
          <w:p w14:paraId="18B68B01"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xml:space="preserve">Accidentes de tráfico en vehículos de motor </w:t>
            </w:r>
          </w:p>
        </w:tc>
      </w:tr>
    </w:tbl>
    <w:p w14:paraId="3736CAD5" w14:textId="77777777" w:rsidR="00644151" w:rsidRDefault="00425878">
      <w:pPr>
        <w:rPr>
          <w:sz w:val="22"/>
          <w:szCs w:val="22"/>
        </w:rPr>
      </w:pPr>
      <w:r>
        <w:rPr>
          <w:sz w:val="22"/>
          <w:szCs w:val="22"/>
        </w:rPr>
        <w:t>Fuente: Elaboración propia con base al registro de defunciones 2019 de la Secretaría de Salud.</w:t>
      </w:r>
    </w:p>
    <w:p w14:paraId="4C101456" w14:textId="77777777" w:rsidR="00644151" w:rsidRDefault="00644151">
      <w:pPr>
        <w:rPr>
          <w:sz w:val="22"/>
          <w:szCs w:val="22"/>
        </w:rPr>
      </w:pPr>
    </w:p>
    <w:p w14:paraId="1FE9019C" w14:textId="521F6655" w:rsidR="00644151" w:rsidRDefault="00EF5294">
      <w:pPr>
        <w:pStyle w:val="Ttulo2"/>
      </w:pPr>
      <w:bookmarkStart w:id="41" w:name="_Toc89075382"/>
      <w:r>
        <w:t xml:space="preserve">2.4 </w:t>
      </w:r>
      <w:r w:rsidR="00425878">
        <w:t>Diagnóstico de los panteones en la Alcaldía</w:t>
      </w:r>
      <w:bookmarkEnd w:id="41"/>
    </w:p>
    <w:p w14:paraId="48EF7365" w14:textId="77777777" w:rsidR="00644151" w:rsidRDefault="00425878">
      <w:pPr>
        <w:spacing w:line="360" w:lineRule="auto"/>
      </w:pPr>
      <w:r>
        <w:t xml:space="preserve">De acuerdo con la unidad departamental de panteones de Iztapalapa, la alcaldía cuenta con diez panteones dentro de su administración de los cuales se clasifican de la siguiente forma: dos panteones civiles generales, un panteón civil delegacional y siete civiles vecinales. La Tabla 3 muestra los panteones de la alcaldía según su clasificación, nombre, superficie, número de fosas con las que cuenta y algunos datos relevantes. </w:t>
      </w:r>
    </w:p>
    <w:p w14:paraId="252ACC99" w14:textId="77777777" w:rsidR="00644151" w:rsidRDefault="00425878">
      <w:pPr>
        <w:pBdr>
          <w:top w:val="nil"/>
          <w:left w:val="nil"/>
          <w:bottom w:val="nil"/>
          <w:right w:val="nil"/>
          <w:between w:val="nil"/>
        </w:pBdr>
        <w:spacing w:after="200" w:line="240" w:lineRule="auto"/>
        <w:rPr>
          <w:color w:val="44546A"/>
          <w:sz w:val="18"/>
          <w:szCs w:val="18"/>
        </w:rPr>
      </w:pPr>
      <w:bookmarkStart w:id="42" w:name="_heading=h.41mghml" w:colFirst="0" w:colLast="0"/>
      <w:bookmarkEnd w:id="42"/>
      <w:r>
        <w:rPr>
          <w:i/>
          <w:color w:val="44546A"/>
          <w:sz w:val="18"/>
          <w:szCs w:val="18"/>
        </w:rPr>
        <w:t>Tabla 4. Panteones de la Alcaldía Iztapalapa</w:t>
      </w:r>
    </w:p>
    <w:tbl>
      <w:tblPr>
        <w:tblStyle w:val="afc"/>
        <w:tblW w:w="8818" w:type="dxa"/>
        <w:tblInd w:w="0" w:type="dxa"/>
        <w:tblLayout w:type="fixed"/>
        <w:tblLook w:val="0400" w:firstRow="0" w:lastRow="0" w:firstColumn="0" w:lastColumn="0" w:noHBand="0" w:noVBand="1"/>
      </w:tblPr>
      <w:tblGrid>
        <w:gridCol w:w="1257"/>
        <w:gridCol w:w="2109"/>
        <w:gridCol w:w="1132"/>
        <w:gridCol w:w="880"/>
        <w:gridCol w:w="849"/>
        <w:gridCol w:w="2591"/>
      </w:tblGrid>
      <w:tr w:rsidR="00644151" w14:paraId="2C7399FF" w14:textId="77777777">
        <w:trPr>
          <w:trHeight w:val="315"/>
        </w:trPr>
        <w:tc>
          <w:tcPr>
            <w:tcW w:w="125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5F7DA6D"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Tipo</w:t>
            </w:r>
          </w:p>
        </w:tc>
        <w:tc>
          <w:tcPr>
            <w:tcW w:w="2109" w:type="dxa"/>
            <w:tcBorders>
              <w:top w:val="single" w:sz="8" w:space="0" w:color="000000"/>
              <w:left w:val="nil"/>
              <w:bottom w:val="single" w:sz="8" w:space="0" w:color="000000"/>
              <w:right w:val="single" w:sz="8" w:space="0" w:color="000000"/>
            </w:tcBorders>
            <w:shd w:val="clear" w:color="auto" w:fill="auto"/>
            <w:vAlign w:val="center"/>
          </w:tcPr>
          <w:p w14:paraId="4083876D"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Nombre</w:t>
            </w:r>
          </w:p>
        </w:tc>
        <w:tc>
          <w:tcPr>
            <w:tcW w:w="1132" w:type="dxa"/>
            <w:tcBorders>
              <w:top w:val="single" w:sz="8" w:space="0" w:color="000000"/>
              <w:left w:val="nil"/>
              <w:bottom w:val="single" w:sz="8" w:space="0" w:color="000000"/>
              <w:right w:val="single" w:sz="8" w:space="0" w:color="000000"/>
            </w:tcBorders>
            <w:shd w:val="clear" w:color="auto" w:fill="auto"/>
            <w:vAlign w:val="center"/>
          </w:tcPr>
          <w:p w14:paraId="10EF35F2"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Superficie</w:t>
            </w:r>
          </w:p>
        </w:tc>
        <w:tc>
          <w:tcPr>
            <w:tcW w:w="880" w:type="dxa"/>
            <w:tcBorders>
              <w:top w:val="single" w:sz="8" w:space="0" w:color="000000"/>
              <w:left w:val="nil"/>
              <w:bottom w:val="single" w:sz="8" w:space="0" w:color="000000"/>
              <w:right w:val="single" w:sz="8" w:space="0" w:color="000000"/>
            </w:tcBorders>
            <w:shd w:val="clear" w:color="auto" w:fill="auto"/>
            <w:vAlign w:val="center"/>
          </w:tcPr>
          <w:p w14:paraId="43F5341E"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Fosas totales</w:t>
            </w:r>
          </w:p>
        </w:tc>
        <w:tc>
          <w:tcPr>
            <w:tcW w:w="849" w:type="dxa"/>
            <w:tcBorders>
              <w:top w:val="single" w:sz="8" w:space="0" w:color="000000"/>
              <w:left w:val="nil"/>
              <w:bottom w:val="single" w:sz="8" w:space="0" w:color="000000"/>
              <w:right w:val="single" w:sz="8" w:space="0" w:color="000000"/>
            </w:tcBorders>
            <w:shd w:val="clear" w:color="auto" w:fill="auto"/>
            <w:vAlign w:val="center"/>
          </w:tcPr>
          <w:p w14:paraId="30DD4D5F"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criptas</w:t>
            </w:r>
            <w:r>
              <w:rPr>
                <w:rFonts w:ascii="Calibri" w:eastAsia="Calibri" w:hAnsi="Calibri" w:cs="Calibri"/>
                <w:color w:val="000000"/>
                <w:sz w:val="22"/>
                <w:szCs w:val="22"/>
                <w:vertAlign w:val="superscript"/>
              </w:rPr>
              <w:footnoteReference w:id="7"/>
            </w:r>
          </w:p>
        </w:tc>
        <w:tc>
          <w:tcPr>
            <w:tcW w:w="2591" w:type="dxa"/>
            <w:tcBorders>
              <w:top w:val="single" w:sz="8" w:space="0" w:color="000000"/>
              <w:left w:val="nil"/>
              <w:bottom w:val="single" w:sz="8" w:space="0" w:color="000000"/>
              <w:right w:val="single" w:sz="8" w:space="0" w:color="000000"/>
            </w:tcBorders>
            <w:shd w:val="clear" w:color="auto" w:fill="auto"/>
            <w:vAlign w:val="center"/>
          </w:tcPr>
          <w:p w14:paraId="34EE139F" w14:textId="77777777" w:rsidR="00644151" w:rsidRDefault="00425878">
            <w:pPr>
              <w:jc w:val="center"/>
              <w:rPr>
                <w:rFonts w:ascii="Calibri" w:eastAsia="Calibri" w:hAnsi="Calibri" w:cs="Calibri"/>
                <w:color w:val="000000"/>
                <w:sz w:val="22"/>
                <w:szCs w:val="22"/>
              </w:rPr>
            </w:pPr>
            <w:r>
              <w:rPr>
                <w:rFonts w:ascii="Calibri" w:eastAsia="Calibri" w:hAnsi="Calibri" w:cs="Calibri"/>
                <w:color w:val="000000"/>
                <w:sz w:val="22"/>
                <w:szCs w:val="22"/>
              </w:rPr>
              <w:t>Datos relevantes</w:t>
            </w:r>
          </w:p>
        </w:tc>
      </w:tr>
      <w:tr w:rsidR="00644151" w14:paraId="3DAF8681" w14:textId="77777777">
        <w:trPr>
          <w:trHeight w:val="315"/>
        </w:trPr>
        <w:tc>
          <w:tcPr>
            <w:tcW w:w="1257" w:type="dxa"/>
            <w:vMerge w:val="restart"/>
            <w:tcBorders>
              <w:top w:val="nil"/>
              <w:left w:val="single" w:sz="8" w:space="0" w:color="000000"/>
              <w:bottom w:val="single" w:sz="8" w:space="0" w:color="000000"/>
              <w:right w:val="single" w:sz="8" w:space="0" w:color="000000"/>
            </w:tcBorders>
            <w:shd w:val="clear" w:color="auto" w:fill="auto"/>
            <w:vAlign w:val="center"/>
          </w:tcPr>
          <w:p w14:paraId="69E7A04E"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Civil general</w:t>
            </w:r>
          </w:p>
        </w:tc>
        <w:tc>
          <w:tcPr>
            <w:tcW w:w="2109" w:type="dxa"/>
            <w:tcBorders>
              <w:top w:val="nil"/>
              <w:left w:val="nil"/>
              <w:bottom w:val="single" w:sz="8" w:space="0" w:color="000000"/>
              <w:right w:val="single" w:sz="8" w:space="0" w:color="000000"/>
            </w:tcBorders>
            <w:shd w:val="clear" w:color="auto" w:fill="auto"/>
            <w:vAlign w:val="center"/>
          </w:tcPr>
          <w:p w14:paraId="75FDB3EA"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Panteón Civil San Nicolas Tolentino </w:t>
            </w:r>
          </w:p>
        </w:tc>
        <w:tc>
          <w:tcPr>
            <w:tcW w:w="1132" w:type="dxa"/>
            <w:tcBorders>
              <w:top w:val="nil"/>
              <w:left w:val="nil"/>
              <w:bottom w:val="single" w:sz="8" w:space="0" w:color="000000"/>
              <w:right w:val="single" w:sz="8" w:space="0" w:color="000000"/>
            </w:tcBorders>
            <w:shd w:val="clear" w:color="auto" w:fill="auto"/>
            <w:vAlign w:val="center"/>
          </w:tcPr>
          <w:p w14:paraId="20EC0136"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113 ha</w:t>
            </w:r>
          </w:p>
        </w:tc>
        <w:tc>
          <w:tcPr>
            <w:tcW w:w="880" w:type="dxa"/>
            <w:tcBorders>
              <w:top w:val="nil"/>
              <w:left w:val="nil"/>
              <w:bottom w:val="single" w:sz="8" w:space="0" w:color="000000"/>
              <w:right w:val="single" w:sz="8" w:space="0" w:color="000000"/>
            </w:tcBorders>
            <w:shd w:val="clear" w:color="auto" w:fill="auto"/>
            <w:vAlign w:val="center"/>
          </w:tcPr>
          <w:p w14:paraId="18F728FF"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205,922</w:t>
            </w:r>
          </w:p>
        </w:tc>
        <w:tc>
          <w:tcPr>
            <w:tcW w:w="849" w:type="dxa"/>
            <w:tcBorders>
              <w:top w:val="nil"/>
              <w:left w:val="nil"/>
              <w:bottom w:val="single" w:sz="8" w:space="0" w:color="000000"/>
              <w:right w:val="single" w:sz="8" w:space="0" w:color="000000"/>
            </w:tcBorders>
            <w:shd w:val="clear" w:color="auto" w:fill="auto"/>
            <w:vAlign w:val="center"/>
          </w:tcPr>
          <w:p w14:paraId="5CEC70D6"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5,148</w:t>
            </w:r>
          </w:p>
        </w:tc>
        <w:tc>
          <w:tcPr>
            <w:tcW w:w="2591" w:type="dxa"/>
            <w:tcBorders>
              <w:top w:val="nil"/>
              <w:left w:val="nil"/>
              <w:bottom w:val="single" w:sz="8" w:space="0" w:color="000000"/>
              <w:right w:val="single" w:sz="8" w:space="0" w:color="000000"/>
            </w:tcBorders>
            <w:shd w:val="clear" w:color="auto" w:fill="auto"/>
            <w:vAlign w:val="center"/>
          </w:tcPr>
          <w:p w14:paraId="75B1B667"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Cuenta con 4 hornos crematorios, 4 salas de velación, 1 capilla y 1,295 nichos y 42 nichos nuevos </w:t>
            </w:r>
          </w:p>
        </w:tc>
      </w:tr>
      <w:tr w:rsidR="00644151" w14:paraId="01B9B0C2" w14:textId="77777777">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11C7CAB9"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2109" w:type="dxa"/>
            <w:tcBorders>
              <w:top w:val="nil"/>
              <w:left w:val="nil"/>
              <w:bottom w:val="single" w:sz="8" w:space="0" w:color="000000"/>
              <w:right w:val="single" w:sz="8" w:space="0" w:color="000000"/>
            </w:tcBorders>
            <w:shd w:val="clear" w:color="auto" w:fill="auto"/>
            <w:vAlign w:val="center"/>
          </w:tcPr>
          <w:p w14:paraId="38B8D61A"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Panteón Civil San Lorenzo Tezonco </w:t>
            </w:r>
          </w:p>
        </w:tc>
        <w:tc>
          <w:tcPr>
            <w:tcW w:w="1132" w:type="dxa"/>
            <w:tcBorders>
              <w:top w:val="nil"/>
              <w:left w:val="nil"/>
              <w:bottom w:val="single" w:sz="8" w:space="0" w:color="000000"/>
              <w:right w:val="single" w:sz="8" w:space="0" w:color="000000"/>
            </w:tcBorders>
            <w:shd w:val="clear" w:color="auto" w:fill="auto"/>
            <w:vAlign w:val="center"/>
          </w:tcPr>
          <w:p w14:paraId="25FA7472"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48 ha</w:t>
            </w:r>
          </w:p>
        </w:tc>
        <w:tc>
          <w:tcPr>
            <w:tcW w:w="880" w:type="dxa"/>
            <w:tcBorders>
              <w:top w:val="nil"/>
              <w:left w:val="nil"/>
              <w:bottom w:val="single" w:sz="8" w:space="0" w:color="000000"/>
              <w:right w:val="single" w:sz="8" w:space="0" w:color="000000"/>
            </w:tcBorders>
            <w:shd w:val="clear" w:color="auto" w:fill="auto"/>
            <w:vAlign w:val="center"/>
          </w:tcPr>
          <w:p w14:paraId="1451FA74"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91,707</w:t>
            </w:r>
          </w:p>
        </w:tc>
        <w:tc>
          <w:tcPr>
            <w:tcW w:w="849" w:type="dxa"/>
            <w:tcBorders>
              <w:top w:val="nil"/>
              <w:left w:val="nil"/>
              <w:bottom w:val="single" w:sz="8" w:space="0" w:color="000000"/>
              <w:right w:val="single" w:sz="8" w:space="0" w:color="000000"/>
            </w:tcBorders>
            <w:shd w:val="clear" w:color="auto" w:fill="auto"/>
            <w:vAlign w:val="center"/>
          </w:tcPr>
          <w:p w14:paraId="28020118"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150</w:t>
            </w:r>
          </w:p>
        </w:tc>
        <w:tc>
          <w:tcPr>
            <w:tcW w:w="2591" w:type="dxa"/>
            <w:tcBorders>
              <w:top w:val="nil"/>
              <w:left w:val="nil"/>
              <w:bottom w:val="single" w:sz="8" w:space="0" w:color="000000"/>
              <w:right w:val="single" w:sz="8" w:space="0" w:color="000000"/>
            </w:tcBorders>
            <w:shd w:val="clear" w:color="auto" w:fill="auto"/>
            <w:vAlign w:val="center"/>
          </w:tcPr>
          <w:p w14:paraId="6FF0BE19"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En él se ubica la fosa común que sirve de reposo a los fallecidos en los sismos de 1985</w:t>
            </w:r>
          </w:p>
        </w:tc>
      </w:tr>
      <w:tr w:rsidR="00644151" w14:paraId="339DDF32" w14:textId="77777777" w:rsidTr="00CE4286">
        <w:trPr>
          <w:trHeight w:val="315"/>
        </w:trPr>
        <w:tc>
          <w:tcPr>
            <w:tcW w:w="1257" w:type="dxa"/>
            <w:tcBorders>
              <w:top w:val="nil"/>
              <w:left w:val="single" w:sz="8" w:space="0" w:color="000000"/>
              <w:bottom w:val="single" w:sz="8" w:space="0" w:color="000000"/>
              <w:right w:val="single" w:sz="8" w:space="0" w:color="000000"/>
            </w:tcBorders>
            <w:shd w:val="clear" w:color="auto" w:fill="auto"/>
            <w:vAlign w:val="center"/>
          </w:tcPr>
          <w:p w14:paraId="4BBEB6B4"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Civil delegacional</w:t>
            </w:r>
          </w:p>
        </w:tc>
        <w:tc>
          <w:tcPr>
            <w:tcW w:w="2109" w:type="dxa"/>
            <w:tcBorders>
              <w:top w:val="nil"/>
              <w:left w:val="nil"/>
              <w:bottom w:val="single" w:sz="8" w:space="0" w:color="000000"/>
              <w:right w:val="single" w:sz="8" w:space="0" w:color="000000"/>
            </w:tcBorders>
            <w:shd w:val="clear" w:color="auto" w:fill="auto"/>
            <w:vAlign w:val="center"/>
          </w:tcPr>
          <w:p w14:paraId="6E73E205"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Panteón Civil de Iztapalapa</w:t>
            </w:r>
          </w:p>
        </w:tc>
        <w:tc>
          <w:tcPr>
            <w:tcW w:w="1132" w:type="dxa"/>
            <w:tcBorders>
              <w:top w:val="nil"/>
              <w:left w:val="nil"/>
              <w:bottom w:val="single" w:sz="8" w:space="0" w:color="000000"/>
              <w:right w:val="single" w:sz="8" w:space="0" w:color="000000"/>
            </w:tcBorders>
            <w:shd w:val="clear" w:color="auto" w:fill="auto"/>
            <w:vAlign w:val="center"/>
          </w:tcPr>
          <w:p w14:paraId="6EB2C75C"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1.68 ha</w:t>
            </w:r>
          </w:p>
        </w:tc>
        <w:tc>
          <w:tcPr>
            <w:tcW w:w="880" w:type="dxa"/>
            <w:tcBorders>
              <w:top w:val="nil"/>
              <w:left w:val="nil"/>
              <w:bottom w:val="single" w:sz="8" w:space="0" w:color="000000"/>
              <w:right w:val="single" w:sz="8" w:space="0" w:color="000000"/>
            </w:tcBorders>
            <w:shd w:val="clear" w:color="auto" w:fill="auto"/>
            <w:vAlign w:val="center"/>
          </w:tcPr>
          <w:p w14:paraId="5B9703D7"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4,771</w:t>
            </w:r>
          </w:p>
        </w:tc>
        <w:tc>
          <w:tcPr>
            <w:tcW w:w="849" w:type="dxa"/>
            <w:tcBorders>
              <w:top w:val="nil"/>
              <w:left w:val="nil"/>
              <w:bottom w:val="single" w:sz="8" w:space="0" w:color="000000"/>
              <w:right w:val="single" w:sz="8" w:space="0" w:color="000000"/>
            </w:tcBorders>
            <w:shd w:val="clear" w:color="auto" w:fill="auto"/>
            <w:vAlign w:val="center"/>
          </w:tcPr>
          <w:p w14:paraId="4B7B2CD7" w14:textId="6276D2D6"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tcBorders>
              <w:top w:val="nil"/>
              <w:left w:val="nil"/>
              <w:bottom w:val="single" w:sz="8" w:space="0" w:color="000000"/>
              <w:right w:val="single" w:sz="8" w:space="0" w:color="000000"/>
            </w:tcBorders>
            <w:shd w:val="clear" w:color="auto" w:fill="auto"/>
            <w:vAlign w:val="center"/>
          </w:tcPr>
          <w:p w14:paraId="4F7416DC"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Brinda el servicio únicamente a personas fallecidas en los límites de la Delegación. </w:t>
            </w:r>
          </w:p>
        </w:tc>
      </w:tr>
      <w:tr w:rsidR="00644151" w14:paraId="52B52BF7" w14:textId="77777777" w:rsidTr="00CE4286">
        <w:trPr>
          <w:trHeight w:val="315"/>
        </w:trPr>
        <w:tc>
          <w:tcPr>
            <w:tcW w:w="1257" w:type="dxa"/>
            <w:vMerge w:val="restart"/>
            <w:tcBorders>
              <w:top w:val="nil"/>
              <w:left w:val="single" w:sz="8" w:space="0" w:color="000000"/>
              <w:bottom w:val="single" w:sz="8" w:space="0" w:color="000000"/>
              <w:right w:val="single" w:sz="8" w:space="0" w:color="000000"/>
            </w:tcBorders>
            <w:shd w:val="clear" w:color="auto" w:fill="auto"/>
            <w:vAlign w:val="center"/>
          </w:tcPr>
          <w:p w14:paraId="4A8862DF"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Civiles vecinales</w:t>
            </w:r>
          </w:p>
        </w:tc>
        <w:tc>
          <w:tcPr>
            <w:tcW w:w="2109" w:type="dxa"/>
            <w:tcBorders>
              <w:top w:val="nil"/>
              <w:left w:val="nil"/>
              <w:bottom w:val="single" w:sz="8" w:space="0" w:color="000000"/>
              <w:right w:val="single" w:sz="8" w:space="0" w:color="000000"/>
            </w:tcBorders>
            <w:shd w:val="clear" w:color="auto" w:fill="auto"/>
            <w:vAlign w:val="center"/>
          </w:tcPr>
          <w:p w14:paraId="6D45D974"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 José Aculco </w:t>
            </w:r>
          </w:p>
        </w:tc>
        <w:tc>
          <w:tcPr>
            <w:tcW w:w="1132" w:type="dxa"/>
            <w:tcBorders>
              <w:top w:val="nil"/>
              <w:left w:val="nil"/>
              <w:bottom w:val="single" w:sz="8" w:space="0" w:color="000000"/>
              <w:right w:val="single" w:sz="8" w:space="0" w:color="000000"/>
            </w:tcBorders>
            <w:shd w:val="clear" w:color="auto" w:fill="auto"/>
            <w:vAlign w:val="center"/>
          </w:tcPr>
          <w:p w14:paraId="2BB42C2E"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0.67 ha</w:t>
            </w:r>
          </w:p>
        </w:tc>
        <w:tc>
          <w:tcPr>
            <w:tcW w:w="880" w:type="dxa"/>
            <w:tcBorders>
              <w:top w:val="nil"/>
              <w:left w:val="nil"/>
              <w:bottom w:val="single" w:sz="8" w:space="0" w:color="000000"/>
              <w:right w:val="single" w:sz="8" w:space="0" w:color="000000"/>
            </w:tcBorders>
            <w:shd w:val="clear" w:color="auto" w:fill="auto"/>
            <w:vAlign w:val="center"/>
          </w:tcPr>
          <w:p w14:paraId="3A0FB010"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1,238</w:t>
            </w:r>
          </w:p>
        </w:tc>
        <w:tc>
          <w:tcPr>
            <w:tcW w:w="849" w:type="dxa"/>
            <w:tcBorders>
              <w:top w:val="nil"/>
              <w:left w:val="nil"/>
              <w:bottom w:val="single" w:sz="8" w:space="0" w:color="000000"/>
              <w:right w:val="single" w:sz="8" w:space="0" w:color="000000"/>
            </w:tcBorders>
            <w:shd w:val="clear" w:color="auto" w:fill="auto"/>
            <w:vAlign w:val="center"/>
          </w:tcPr>
          <w:p w14:paraId="06E21701" w14:textId="78F0C5A0"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val="restart"/>
            <w:tcBorders>
              <w:top w:val="nil"/>
              <w:left w:val="single" w:sz="8" w:space="0" w:color="000000"/>
              <w:bottom w:val="single" w:sz="8" w:space="0" w:color="000000"/>
              <w:right w:val="single" w:sz="8" w:space="0" w:color="000000"/>
            </w:tcBorders>
            <w:shd w:val="clear" w:color="auto" w:fill="auto"/>
            <w:vAlign w:val="center"/>
          </w:tcPr>
          <w:p w14:paraId="2A9935E4"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Brinda el servicio únicamente a personas fallecidas en la zona donde se encuentra ubicado dicho panteón.                                                                                                                                                          En estos panteones la comunidad nombra un patronato para que sirva como enlace entre la autoridad y el pueblo correspondiente. </w:t>
            </w:r>
          </w:p>
        </w:tc>
      </w:tr>
      <w:tr w:rsidR="00644151" w14:paraId="39CDF8CF"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0B648F28"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2109" w:type="dxa"/>
            <w:tcBorders>
              <w:top w:val="nil"/>
              <w:left w:val="nil"/>
              <w:bottom w:val="single" w:sz="8" w:space="0" w:color="000000"/>
              <w:right w:val="single" w:sz="8" w:space="0" w:color="000000"/>
            </w:tcBorders>
            <w:shd w:val="clear" w:color="auto" w:fill="auto"/>
            <w:vAlign w:val="center"/>
          </w:tcPr>
          <w:p w14:paraId="2BD49EA4"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Culhuacán </w:t>
            </w:r>
          </w:p>
        </w:tc>
        <w:tc>
          <w:tcPr>
            <w:tcW w:w="1132" w:type="dxa"/>
            <w:tcBorders>
              <w:top w:val="nil"/>
              <w:left w:val="nil"/>
              <w:bottom w:val="single" w:sz="8" w:space="0" w:color="000000"/>
              <w:right w:val="single" w:sz="8" w:space="0" w:color="000000"/>
            </w:tcBorders>
            <w:shd w:val="clear" w:color="auto" w:fill="auto"/>
            <w:vAlign w:val="center"/>
          </w:tcPr>
          <w:p w14:paraId="16D6BA65"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0.79 ha</w:t>
            </w:r>
          </w:p>
        </w:tc>
        <w:tc>
          <w:tcPr>
            <w:tcW w:w="880" w:type="dxa"/>
            <w:tcBorders>
              <w:top w:val="nil"/>
              <w:left w:val="nil"/>
              <w:bottom w:val="single" w:sz="8" w:space="0" w:color="000000"/>
              <w:right w:val="single" w:sz="8" w:space="0" w:color="000000"/>
            </w:tcBorders>
            <w:shd w:val="clear" w:color="auto" w:fill="auto"/>
            <w:vAlign w:val="center"/>
          </w:tcPr>
          <w:p w14:paraId="46B96CBD"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6,039</w:t>
            </w:r>
          </w:p>
        </w:tc>
        <w:tc>
          <w:tcPr>
            <w:tcW w:w="849" w:type="dxa"/>
            <w:tcBorders>
              <w:top w:val="nil"/>
              <w:left w:val="nil"/>
              <w:bottom w:val="single" w:sz="8" w:space="0" w:color="000000"/>
              <w:right w:val="single" w:sz="8" w:space="0" w:color="000000"/>
            </w:tcBorders>
            <w:shd w:val="clear" w:color="auto" w:fill="auto"/>
            <w:vAlign w:val="center"/>
          </w:tcPr>
          <w:p w14:paraId="528D6367" w14:textId="47DA83D6"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152B50F8"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r w:rsidR="00644151" w14:paraId="3F331525"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2DCEF850"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c>
          <w:tcPr>
            <w:tcW w:w="2109" w:type="dxa"/>
            <w:tcBorders>
              <w:top w:val="nil"/>
              <w:left w:val="nil"/>
              <w:bottom w:val="single" w:sz="8" w:space="0" w:color="000000"/>
              <w:right w:val="single" w:sz="8" w:space="0" w:color="000000"/>
            </w:tcBorders>
            <w:shd w:val="clear" w:color="auto" w:fill="auto"/>
            <w:vAlign w:val="center"/>
          </w:tcPr>
          <w:p w14:paraId="7818EA1A"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Santa Cruz Meyehualco </w:t>
            </w:r>
          </w:p>
        </w:tc>
        <w:tc>
          <w:tcPr>
            <w:tcW w:w="1132" w:type="dxa"/>
            <w:tcBorders>
              <w:top w:val="nil"/>
              <w:left w:val="nil"/>
              <w:bottom w:val="single" w:sz="8" w:space="0" w:color="000000"/>
              <w:right w:val="single" w:sz="8" w:space="0" w:color="000000"/>
            </w:tcBorders>
            <w:shd w:val="clear" w:color="auto" w:fill="auto"/>
            <w:vAlign w:val="center"/>
          </w:tcPr>
          <w:p w14:paraId="6ED9EDDD"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2.99 ha</w:t>
            </w:r>
          </w:p>
        </w:tc>
        <w:tc>
          <w:tcPr>
            <w:tcW w:w="880" w:type="dxa"/>
            <w:tcBorders>
              <w:top w:val="nil"/>
              <w:left w:val="nil"/>
              <w:bottom w:val="single" w:sz="8" w:space="0" w:color="000000"/>
              <w:right w:val="single" w:sz="8" w:space="0" w:color="000000"/>
            </w:tcBorders>
            <w:shd w:val="clear" w:color="auto" w:fill="auto"/>
            <w:vAlign w:val="center"/>
          </w:tcPr>
          <w:p w14:paraId="39873265"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3,903</w:t>
            </w:r>
          </w:p>
        </w:tc>
        <w:tc>
          <w:tcPr>
            <w:tcW w:w="849" w:type="dxa"/>
            <w:tcBorders>
              <w:top w:val="nil"/>
              <w:left w:val="nil"/>
              <w:bottom w:val="single" w:sz="8" w:space="0" w:color="000000"/>
              <w:right w:val="single" w:sz="8" w:space="0" w:color="000000"/>
            </w:tcBorders>
            <w:shd w:val="clear" w:color="auto" w:fill="auto"/>
            <w:vAlign w:val="center"/>
          </w:tcPr>
          <w:p w14:paraId="12A510F4" w14:textId="25007432"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61882652"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r w:rsidR="00644151" w14:paraId="5634DC3D"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25BF01DD"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c>
          <w:tcPr>
            <w:tcW w:w="2109" w:type="dxa"/>
            <w:tcBorders>
              <w:top w:val="nil"/>
              <w:left w:val="nil"/>
              <w:bottom w:val="single" w:sz="8" w:space="0" w:color="000000"/>
              <w:right w:val="single" w:sz="8" w:space="0" w:color="000000"/>
            </w:tcBorders>
            <w:shd w:val="clear" w:color="auto" w:fill="auto"/>
            <w:vAlign w:val="center"/>
          </w:tcPr>
          <w:p w14:paraId="2BB73176"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 Lorenzo Tezonco </w:t>
            </w:r>
          </w:p>
        </w:tc>
        <w:tc>
          <w:tcPr>
            <w:tcW w:w="1132" w:type="dxa"/>
            <w:tcBorders>
              <w:top w:val="nil"/>
              <w:left w:val="nil"/>
              <w:bottom w:val="single" w:sz="8" w:space="0" w:color="000000"/>
              <w:right w:val="single" w:sz="8" w:space="0" w:color="000000"/>
            </w:tcBorders>
            <w:shd w:val="clear" w:color="auto" w:fill="auto"/>
            <w:vAlign w:val="center"/>
          </w:tcPr>
          <w:p w14:paraId="2DF13BDB"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3.65 ha</w:t>
            </w:r>
          </w:p>
        </w:tc>
        <w:tc>
          <w:tcPr>
            <w:tcW w:w="880" w:type="dxa"/>
            <w:tcBorders>
              <w:top w:val="nil"/>
              <w:left w:val="nil"/>
              <w:bottom w:val="single" w:sz="8" w:space="0" w:color="000000"/>
              <w:right w:val="single" w:sz="8" w:space="0" w:color="000000"/>
            </w:tcBorders>
            <w:shd w:val="clear" w:color="auto" w:fill="auto"/>
            <w:vAlign w:val="center"/>
          </w:tcPr>
          <w:p w14:paraId="1A921F0C"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2,424</w:t>
            </w:r>
          </w:p>
        </w:tc>
        <w:tc>
          <w:tcPr>
            <w:tcW w:w="849" w:type="dxa"/>
            <w:tcBorders>
              <w:top w:val="nil"/>
              <w:left w:val="nil"/>
              <w:bottom w:val="single" w:sz="8" w:space="0" w:color="000000"/>
              <w:right w:val="single" w:sz="8" w:space="0" w:color="000000"/>
            </w:tcBorders>
            <w:shd w:val="clear" w:color="auto" w:fill="auto"/>
            <w:vAlign w:val="center"/>
          </w:tcPr>
          <w:p w14:paraId="72BDC4B5" w14:textId="1D7678A2"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75303A2E"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r w:rsidR="00644151" w14:paraId="4CC2EC21"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44F1EECB"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c>
          <w:tcPr>
            <w:tcW w:w="2109" w:type="dxa"/>
            <w:tcBorders>
              <w:top w:val="nil"/>
              <w:left w:val="nil"/>
              <w:bottom w:val="single" w:sz="8" w:space="0" w:color="000000"/>
              <w:right w:val="single" w:sz="8" w:space="0" w:color="000000"/>
            </w:tcBorders>
            <w:shd w:val="clear" w:color="auto" w:fill="auto"/>
            <w:vAlign w:val="center"/>
          </w:tcPr>
          <w:p w14:paraId="1062CB66"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Santa María Aztahuacan </w:t>
            </w:r>
          </w:p>
        </w:tc>
        <w:tc>
          <w:tcPr>
            <w:tcW w:w="1132" w:type="dxa"/>
            <w:tcBorders>
              <w:top w:val="nil"/>
              <w:left w:val="nil"/>
              <w:bottom w:val="single" w:sz="8" w:space="0" w:color="000000"/>
              <w:right w:val="single" w:sz="8" w:space="0" w:color="000000"/>
            </w:tcBorders>
            <w:shd w:val="clear" w:color="auto" w:fill="auto"/>
            <w:vAlign w:val="center"/>
          </w:tcPr>
          <w:p w14:paraId="3921BFE1"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1.64 ha</w:t>
            </w:r>
          </w:p>
        </w:tc>
        <w:tc>
          <w:tcPr>
            <w:tcW w:w="880" w:type="dxa"/>
            <w:tcBorders>
              <w:top w:val="nil"/>
              <w:left w:val="nil"/>
              <w:bottom w:val="single" w:sz="8" w:space="0" w:color="000000"/>
              <w:right w:val="single" w:sz="8" w:space="0" w:color="000000"/>
            </w:tcBorders>
            <w:shd w:val="clear" w:color="auto" w:fill="auto"/>
            <w:vAlign w:val="center"/>
          </w:tcPr>
          <w:p w14:paraId="5ECADA93"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4,360</w:t>
            </w:r>
          </w:p>
        </w:tc>
        <w:tc>
          <w:tcPr>
            <w:tcW w:w="849" w:type="dxa"/>
            <w:tcBorders>
              <w:top w:val="nil"/>
              <w:left w:val="nil"/>
              <w:bottom w:val="single" w:sz="8" w:space="0" w:color="000000"/>
              <w:right w:val="single" w:sz="8" w:space="0" w:color="000000"/>
            </w:tcBorders>
            <w:shd w:val="clear" w:color="auto" w:fill="auto"/>
            <w:vAlign w:val="center"/>
          </w:tcPr>
          <w:p w14:paraId="27303051" w14:textId="64FEA9DA"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7EBA5103"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r w:rsidR="00644151" w14:paraId="1CF20659"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6CE99A8F"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c>
          <w:tcPr>
            <w:tcW w:w="2109" w:type="dxa"/>
            <w:tcBorders>
              <w:top w:val="nil"/>
              <w:left w:val="nil"/>
              <w:bottom w:val="single" w:sz="8" w:space="0" w:color="000000"/>
              <w:right w:val="single" w:sz="8" w:space="0" w:color="000000"/>
            </w:tcBorders>
            <w:shd w:val="clear" w:color="auto" w:fill="auto"/>
            <w:vAlign w:val="center"/>
          </w:tcPr>
          <w:p w14:paraId="58DB415B"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Santiago Acahualtepec </w:t>
            </w:r>
          </w:p>
        </w:tc>
        <w:tc>
          <w:tcPr>
            <w:tcW w:w="1132" w:type="dxa"/>
            <w:tcBorders>
              <w:top w:val="nil"/>
              <w:left w:val="nil"/>
              <w:bottom w:val="single" w:sz="8" w:space="0" w:color="000000"/>
              <w:right w:val="single" w:sz="8" w:space="0" w:color="000000"/>
            </w:tcBorders>
            <w:shd w:val="clear" w:color="auto" w:fill="auto"/>
            <w:vAlign w:val="center"/>
          </w:tcPr>
          <w:p w14:paraId="6E671EFD"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0.95 ha</w:t>
            </w:r>
          </w:p>
        </w:tc>
        <w:tc>
          <w:tcPr>
            <w:tcW w:w="880" w:type="dxa"/>
            <w:tcBorders>
              <w:top w:val="nil"/>
              <w:left w:val="nil"/>
              <w:bottom w:val="single" w:sz="8" w:space="0" w:color="000000"/>
              <w:right w:val="single" w:sz="8" w:space="0" w:color="000000"/>
            </w:tcBorders>
            <w:shd w:val="clear" w:color="auto" w:fill="auto"/>
            <w:vAlign w:val="center"/>
          </w:tcPr>
          <w:p w14:paraId="051CD570"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1,077</w:t>
            </w:r>
          </w:p>
        </w:tc>
        <w:tc>
          <w:tcPr>
            <w:tcW w:w="849" w:type="dxa"/>
            <w:tcBorders>
              <w:top w:val="nil"/>
              <w:left w:val="nil"/>
              <w:bottom w:val="single" w:sz="8" w:space="0" w:color="000000"/>
              <w:right w:val="single" w:sz="8" w:space="0" w:color="000000"/>
            </w:tcBorders>
            <w:shd w:val="clear" w:color="auto" w:fill="auto"/>
            <w:vAlign w:val="center"/>
          </w:tcPr>
          <w:p w14:paraId="3E34D12D" w14:textId="18C70995"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0B497AA0"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r w:rsidR="00644151" w14:paraId="422D761E" w14:textId="77777777" w:rsidTr="00CE4286">
        <w:trPr>
          <w:trHeight w:val="315"/>
        </w:trPr>
        <w:tc>
          <w:tcPr>
            <w:tcW w:w="1257" w:type="dxa"/>
            <w:vMerge/>
            <w:tcBorders>
              <w:top w:val="nil"/>
              <w:left w:val="single" w:sz="8" w:space="0" w:color="000000"/>
              <w:bottom w:val="single" w:sz="8" w:space="0" w:color="000000"/>
              <w:right w:val="single" w:sz="8" w:space="0" w:color="000000"/>
            </w:tcBorders>
            <w:shd w:val="clear" w:color="auto" w:fill="auto"/>
            <w:vAlign w:val="center"/>
          </w:tcPr>
          <w:p w14:paraId="0BEA3CFB"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c>
          <w:tcPr>
            <w:tcW w:w="2109" w:type="dxa"/>
            <w:tcBorders>
              <w:top w:val="nil"/>
              <w:left w:val="nil"/>
              <w:bottom w:val="single" w:sz="8" w:space="0" w:color="000000"/>
              <w:right w:val="single" w:sz="8" w:space="0" w:color="000000"/>
            </w:tcBorders>
            <w:shd w:val="clear" w:color="auto" w:fill="auto"/>
            <w:vAlign w:val="center"/>
          </w:tcPr>
          <w:p w14:paraId="343228F3" w14:textId="77777777" w:rsidR="00644151" w:rsidRDefault="00425878">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Santa Martha Acatitla </w:t>
            </w:r>
          </w:p>
        </w:tc>
        <w:tc>
          <w:tcPr>
            <w:tcW w:w="1132" w:type="dxa"/>
            <w:tcBorders>
              <w:top w:val="nil"/>
              <w:left w:val="nil"/>
              <w:bottom w:val="single" w:sz="8" w:space="0" w:color="000000"/>
              <w:right w:val="single" w:sz="8" w:space="0" w:color="000000"/>
            </w:tcBorders>
            <w:shd w:val="clear" w:color="auto" w:fill="auto"/>
            <w:vAlign w:val="center"/>
          </w:tcPr>
          <w:p w14:paraId="0359BBDC"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3.43 ha</w:t>
            </w:r>
          </w:p>
        </w:tc>
        <w:tc>
          <w:tcPr>
            <w:tcW w:w="880" w:type="dxa"/>
            <w:tcBorders>
              <w:top w:val="nil"/>
              <w:left w:val="nil"/>
              <w:bottom w:val="single" w:sz="8" w:space="0" w:color="000000"/>
              <w:right w:val="single" w:sz="8" w:space="0" w:color="000000"/>
            </w:tcBorders>
            <w:shd w:val="clear" w:color="auto" w:fill="auto"/>
            <w:vAlign w:val="center"/>
          </w:tcPr>
          <w:p w14:paraId="2488A8A3"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3,750</w:t>
            </w:r>
          </w:p>
        </w:tc>
        <w:tc>
          <w:tcPr>
            <w:tcW w:w="849" w:type="dxa"/>
            <w:tcBorders>
              <w:top w:val="nil"/>
              <w:left w:val="nil"/>
              <w:bottom w:val="single" w:sz="8" w:space="0" w:color="000000"/>
              <w:right w:val="single" w:sz="8" w:space="0" w:color="000000"/>
            </w:tcBorders>
            <w:shd w:val="clear" w:color="auto" w:fill="auto"/>
            <w:vAlign w:val="center"/>
          </w:tcPr>
          <w:p w14:paraId="29BA3428" w14:textId="26C7567F" w:rsidR="00644151" w:rsidRDefault="00CE4286" w:rsidP="00CE4286">
            <w:pPr>
              <w:jc w:val="center"/>
              <w:rPr>
                <w:rFonts w:ascii="Calibri" w:eastAsia="Calibri" w:hAnsi="Calibri" w:cs="Calibri"/>
                <w:color w:val="000000"/>
                <w:sz w:val="22"/>
                <w:szCs w:val="22"/>
              </w:rPr>
            </w:pPr>
            <w:r>
              <w:rPr>
                <w:rFonts w:ascii="Calibri" w:eastAsia="Calibri" w:hAnsi="Calibri" w:cs="Calibri"/>
                <w:color w:val="000000"/>
                <w:sz w:val="22"/>
                <w:szCs w:val="22"/>
              </w:rPr>
              <w:t>-</w:t>
            </w:r>
          </w:p>
        </w:tc>
        <w:tc>
          <w:tcPr>
            <w:tcW w:w="2591" w:type="dxa"/>
            <w:vMerge/>
            <w:tcBorders>
              <w:top w:val="nil"/>
              <w:left w:val="single" w:sz="8" w:space="0" w:color="000000"/>
              <w:bottom w:val="single" w:sz="8" w:space="0" w:color="000000"/>
              <w:right w:val="single" w:sz="8" w:space="0" w:color="000000"/>
            </w:tcBorders>
            <w:shd w:val="clear" w:color="auto" w:fill="auto"/>
            <w:vAlign w:val="center"/>
          </w:tcPr>
          <w:p w14:paraId="676FAC2F"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2"/>
                <w:szCs w:val="22"/>
              </w:rPr>
            </w:pPr>
          </w:p>
        </w:tc>
      </w:tr>
    </w:tbl>
    <w:p w14:paraId="65193E14" w14:textId="77777777" w:rsidR="00644151" w:rsidRDefault="00425878">
      <w:pPr>
        <w:rPr>
          <w:sz w:val="22"/>
          <w:szCs w:val="22"/>
        </w:rPr>
      </w:pPr>
      <w:r>
        <w:rPr>
          <w:sz w:val="22"/>
          <w:szCs w:val="22"/>
        </w:rPr>
        <w:t>Fuente: Unidad Departamental de Panteones, Iztapalapa, 2016.</w:t>
      </w:r>
    </w:p>
    <w:p w14:paraId="1301998E" w14:textId="37267B2A" w:rsidR="00644151" w:rsidRDefault="00EF5294">
      <w:pPr>
        <w:pStyle w:val="Ttulo3"/>
      </w:pPr>
      <w:bookmarkStart w:id="43" w:name="_Toc89075383"/>
      <w:r>
        <w:lastRenderedPageBreak/>
        <w:t xml:space="preserve">2.4.1 </w:t>
      </w:r>
      <w:r w:rsidR="00425878">
        <w:t>Panteones generales</w:t>
      </w:r>
      <w:bookmarkEnd w:id="43"/>
    </w:p>
    <w:p w14:paraId="3F6CA92A" w14:textId="77777777" w:rsidR="00644151" w:rsidRDefault="00425878">
      <w:pPr>
        <w:spacing w:line="360" w:lineRule="auto"/>
      </w:pPr>
      <w:r>
        <w:t>Los panteones civiles generales son panteones donde se realiza todo tipo de inhumación de cadáveres, restos humanos y restos humanos áridos o cremados, sin importar la procedencia de estos. La alcaldía Iztapalapa cuenta con dos de los cinco panteones generales existentes en la ciudad de México que son el panteón San Nicolás Tolentino y el panteón San Lorenzo Tezonco.</w:t>
      </w:r>
    </w:p>
    <w:p w14:paraId="46A27C29" w14:textId="77777777" w:rsidR="00644151" w:rsidRDefault="00425878">
      <w:pPr>
        <w:spacing w:line="360" w:lineRule="auto"/>
      </w:pPr>
      <w:r>
        <w:t>El panteón San Nicolás Tolentino cuenta con una superficie estimada de 113 hectáreas, donde alberga alrededor de 205 922 fosas y 5 148 criptas. Brinda el servicio de inhumación a título de temporalidad por un lapso de siete años, mismo que puede ser refrendado por un lapso de siete años más y prorrogado hasta un segundo refrendo para alcanzar un total de 21 años, pasando este tiempo se debe de realizar la exhumación de los restos mortuorios existentes con la finalidad de aprovechar nuevamente el lugar para brindar un nuevo servicio a otro usuario. Caso similar ocurre con las criptas, sin embargo, estas no tienen un límite en los refrendos, los cuales pueden ser permanentes, siempre y cuando los familiares continúen realizando el pago en tiempo y forma, caso contrario, son desocupadas para ser reutilizadas.  El panteón San Nicolás Tolentino es el único panteón de la alcaldía que cuenta con cuatro hornos crematorios, tres salas de velación, y una sala de nichos, por lo que es el único en brindar el servicio de cremación.</w:t>
      </w:r>
    </w:p>
    <w:p w14:paraId="62820ACF" w14:textId="77777777" w:rsidR="00644151" w:rsidRDefault="00425878">
      <w:pPr>
        <w:spacing w:line="360" w:lineRule="auto"/>
      </w:pPr>
      <w:r>
        <w:t>El panteón San Lorenzo Tezonco cuenta con una superficie de 48 hectáreas, alberga un estimado de 91 707 fosas y 150 criptas, se diferencia del panteón San Nicolás Tolentino por brindar el servicio de inhumación únicamente a título de temporalidad mínima de siete años, sin la posibilidad de poder refrendar el servicio, además, dentro de sus instalaciones se encuentra ubicada la fosa común</w:t>
      </w:r>
      <w:r>
        <w:rPr>
          <w:vertAlign w:val="superscript"/>
        </w:rPr>
        <w:footnoteReference w:id="8"/>
      </w:r>
      <w:r>
        <w:t xml:space="preserve"> que alberga los restos de los caídos en el sismo ocurrido el 19 de septiembre de 1985.</w:t>
      </w:r>
    </w:p>
    <w:p w14:paraId="31E57FD7" w14:textId="77777777" w:rsidR="00644151" w:rsidRDefault="00644151">
      <w:pPr>
        <w:spacing w:line="360" w:lineRule="auto"/>
      </w:pPr>
    </w:p>
    <w:p w14:paraId="4C663060" w14:textId="47050F16" w:rsidR="00644151" w:rsidRDefault="00EF5294">
      <w:pPr>
        <w:pStyle w:val="Ttulo3"/>
      </w:pPr>
      <w:bookmarkStart w:id="44" w:name="_Toc89075384"/>
      <w:r>
        <w:t xml:space="preserve">2.4.2 </w:t>
      </w:r>
      <w:r w:rsidR="00425878">
        <w:t>Panteón delegacional</w:t>
      </w:r>
      <w:bookmarkEnd w:id="44"/>
    </w:p>
    <w:p w14:paraId="075AA17B" w14:textId="77777777" w:rsidR="00644151" w:rsidRDefault="00425878">
      <w:pPr>
        <w:spacing w:line="360" w:lineRule="auto"/>
      </w:pPr>
      <w:r>
        <w:t xml:space="preserve">El panteón civil delegacional Iztapalapa cuenta con tan solo 1.68 hectáreas de superficie, alberga alrededor de 4 771 fosas en su interior, brinda sus servicios para inhumar cadáveres, restos humanos y restos humanos áridos o cremados procedentes del área de la propia alcaldía </w:t>
      </w:r>
      <w:r>
        <w:lastRenderedPageBreak/>
        <w:t>los cuales son exclusivamente para uso de los residentes de la alcaldía. Brinda el servicio a título de temporalidad mínima de siete años con posibilidad a ser refrendado hasta alcanzar la temporalidad máxima de 21 años.</w:t>
      </w:r>
    </w:p>
    <w:p w14:paraId="3AF18D8D" w14:textId="77777777" w:rsidR="00644151" w:rsidRDefault="00644151">
      <w:pPr>
        <w:spacing w:line="360" w:lineRule="auto"/>
      </w:pPr>
    </w:p>
    <w:p w14:paraId="5FD037F5" w14:textId="4B3B18CA" w:rsidR="00644151" w:rsidRDefault="00EF5294">
      <w:pPr>
        <w:pStyle w:val="Ttulo3"/>
      </w:pPr>
      <w:bookmarkStart w:id="45" w:name="_Toc89075385"/>
      <w:r>
        <w:t xml:space="preserve">2.4.3 </w:t>
      </w:r>
      <w:r w:rsidR="00425878">
        <w:t>Panteones vecinales</w:t>
      </w:r>
      <w:bookmarkEnd w:id="45"/>
    </w:p>
    <w:p w14:paraId="51FF94C2" w14:textId="1274DCD2" w:rsidR="00644151" w:rsidRDefault="00425878">
      <w:pPr>
        <w:spacing w:line="360" w:lineRule="auto"/>
      </w:pPr>
      <w:r>
        <w:t>Dentro de los límites de la alcaldía se encuentran ubicados siete panteones vecinales que en conjunto conforman 14.12 hectáreas de superficie, albergan alrededor de 22 791 fosas, brindan el servicio de inhumación de cadáveres, restos humanos y restos humanos áridos o cremados procedentes sólo del área vecinal correspondiente.</w:t>
      </w:r>
    </w:p>
    <w:p w14:paraId="54FABFC0" w14:textId="77777777" w:rsidR="00644151" w:rsidRDefault="00425878">
      <w:pPr>
        <w:spacing w:line="360" w:lineRule="auto"/>
      </w:pPr>
      <w:r>
        <w:t>En estos panteones la comunidad nombra un patronato para que sirva como enlace entre la autoridad y el pueblo correspondiente ya que los panteones vecinales se rigen de forma independiente y la alcaldía solo se limita a la supervisión del servicio.</w:t>
      </w:r>
    </w:p>
    <w:p w14:paraId="329B0A75" w14:textId="14B5D3E0" w:rsidR="00644151" w:rsidRDefault="00425878" w:rsidP="00346F97">
      <w:pPr>
        <w:spacing w:line="360" w:lineRule="auto"/>
      </w:pPr>
      <w:bookmarkStart w:id="46" w:name="_heading=h.4iylrwe" w:colFirst="0" w:colLast="0"/>
      <w:bookmarkEnd w:id="46"/>
      <w:r>
        <w:t>La Figura 8 muestra el mapa de la distribución de los panteones dentro de la alcaldía, en color morado se representan los dos panteones generales, en forma de cruz color azul se muestra el panteón delegacional y en forma de cruz negra se representan los panteones vecinales</w:t>
      </w:r>
      <w:r w:rsidR="00D6413F">
        <w:t xml:space="preserve"> de los cuales se ha agregado una</w:t>
      </w:r>
      <w:r>
        <w:t xml:space="preserve"> elipse roja, enmarca</w:t>
      </w:r>
      <w:r w:rsidR="00D6413F">
        <w:t>ndo</w:t>
      </w:r>
      <w:r>
        <w:t xml:space="preserve"> los pueblos a los que brindan el servicio cada </w:t>
      </w:r>
      <w:r w:rsidR="00D6413F">
        <w:t>uno de estos</w:t>
      </w:r>
      <w:r>
        <w:t>.</w:t>
      </w:r>
      <w:r w:rsidR="00D6413F">
        <w:t xml:space="preserve"> De esta forma el panteón </w:t>
      </w:r>
      <w:r w:rsidR="00346F97">
        <w:t xml:space="preserve">San José Aculco brinda el servicio al poblado de Aculco, el </w:t>
      </w:r>
      <w:proofErr w:type="spellStart"/>
      <w:r w:rsidR="00346F97">
        <w:t>pateón</w:t>
      </w:r>
      <w:proofErr w:type="spellEnd"/>
      <w:r w:rsidR="00346F97">
        <w:t xml:space="preserve"> Culhuacán al poblado de Los Reyes Culhuacán, el de Santa Cruz Meyehualco al pueblo de Santa Cruz Meyehualco y así sucesivamente para cada uno de los 7 panteones vecinales.</w:t>
      </w:r>
    </w:p>
    <w:p w14:paraId="00ECFEF4" w14:textId="77777777" w:rsidR="00644151" w:rsidRDefault="00425878">
      <w:pPr>
        <w:spacing w:line="360" w:lineRule="auto"/>
      </w:pPr>
      <w:r>
        <w:rPr>
          <w:noProof/>
        </w:rPr>
        <w:lastRenderedPageBreak/>
        <w:drawing>
          <wp:inline distT="0" distB="0" distL="0" distR="0" wp14:anchorId="6976D429" wp14:editId="0EB61625">
            <wp:extent cx="5612130" cy="3968115"/>
            <wp:effectExtent l="0" t="0" r="0" b="0"/>
            <wp:docPr id="30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1"/>
                    <a:srcRect/>
                    <a:stretch>
                      <a:fillRect/>
                    </a:stretch>
                  </pic:blipFill>
                  <pic:spPr>
                    <a:xfrm>
                      <a:off x="0" y="0"/>
                      <a:ext cx="5612130" cy="3968115"/>
                    </a:xfrm>
                    <a:prstGeom prst="rect">
                      <a:avLst/>
                    </a:prstGeom>
                    <a:ln/>
                  </pic:spPr>
                </pic:pic>
              </a:graphicData>
            </a:graphic>
          </wp:inline>
        </w:drawing>
      </w:r>
    </w:p>
    <w:p w14:paraId="1EFD7EF4"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47" w:name="_heading=h.2grqrue" w:colFirst="0" w:colLast="0"/>
      <w:bookmarkEnd w:id="47"/>
      <w:r>
        <w:rPr>
          <w:i/>
          <w:color w:val="44546A"/>
          <w:sz w:val="18"/>
          <w:szCs w:val="18"/>
        </w:rPr>
        <w:t>Figura 8. Distribución de los panteones de la alcaldía Iztapalapa.</w:t>
      </w:r>
    </w:p>
    <w:p w14:paraId="7DFC25D6" w14:textId="77777777" w:rsidR="00644151" w:rsidRDefault="00425878">
      <w:pPr>
        <w:rPr>
          <w:sz w:val="22"/>
          <w:szCs w:val="22"/>
        </w:rPr>
      </w:pPr>
      <w:r>
        <w:rPr>
          <w:sz w:val="22"/>
          <w:szCs w:val="22"/>
        </w:rPr>
        <w:t>Fuente: Elaboración propia a partir de datos de la Unidad Departamental de Panteones, Iztapalapa, 2016.</w:t>
      </w:r>
    </w:p>
    <w:p w14:paraId="4D448E39" w14:textId="77777777" w:rsidR="00644151" w:rsidRDefault="00644151">
      <w:pPr>
        <w:rPr>
          <w:sz w:val="22"/>
          <w:szCs w:val="22"/>
        </w:rPr>
      </w:pPr>
    </w:p>
    <w:p w14:paraId="5A10EC29" w14:textId="6B5672FE" w:rsidR="00644151" w:rsidRDefault="00EF5294" w:rsidP="00644A75">
      <w:pPr>
        <w:pStyle w:val="Ttulo2"/>
      </w:pPr>
      <w:bookmarkStart w:id="48" w:name="_Toc89075386"/>
      <w:r>
        <w:t xml:space="preserve">2.5 </w:t>
      </w:r>
      <w:r w:rsidR="00425878">
        <w:t>Disponibilidad en los panteones de la Alcaldía</w:t>
      </w:r>
      <w:bookmarkEnd w:id="48"/>
      <w:r w:rsidR="00425878">
        <w:t xml:space="preserve"> </w:t>
      </w:r>
    </w:p>
    <w:p w14:paraId="5640B75C" w14:textId="0ABB7A8A" w:rsidR="00644151" w:rsidRDefault="00346F97">
      <w:pPr>
        <w:spacing w:line="360" w:lineRule="auto"/>
      </w:pPr>
      <w:r>
        <w:t xml:space="preserve">De acuerdo con </w:t>
      </w:r>
      <w:r w:rsidRPr="00346F97">
        <w:t xml:space="preserve">Unidad Departamental de Panteones </w:t>
      </w:r>
      <w:r>
        <w:t>(2016), t</w:t>
      </w:r>
      <w:r w:rsidR="00425878">
        <w:t xml:space="preserve">odos los panteones de la Alcaldía cuentan con fosas </w:t>
      </w:r>
      <w:r>
        <w:t>con régimen de</w:t>
      </w:r>
      <w:r w:rsidR="00425878">
        <w:t xml:space="preserve"> perpetuidad</w:t>
      </w:r>
      <w:r w:rsidR="00425878">
        <w:rPr>
          <w:vertAlign w:val="superscript"/>
        </w:rPr>
        <w:footnoteReference w:id="9"/>
      </w:r>
      <w:r w:rsidR="00425878">
        <w:t xml:space="preserve"> y temporalidad</w:t>
      </w:r>
      <w:r w:rsidR="00425878">
        <w:rPr>
          <w:vertAlign w:val="superscript"/>
        </w:rPr>
        <w:footnoteReference w:id="10"/>
      </w:r>
      <w:r w:rsidR="00425878">
        <w:t>, en total se estiman 325 191 fosas de las cuales el 66.6% pertenecen al régimen de temporalidad y el restante 33.4% pertenecen al régimen de perpetuidad.</w:t>
      </w:r>
    </w:p>
    <w:p w14:paraId="0BC735CB" w14:textId="77777777" w:rsidR="00644151" w:rsidRDefault="00425878">
      <w:pPr>
        <w:spacing w:line="360" w:lineRule="auto"/>
      </w:pPr>
      <w:r>
        <w:t xml:space="preserve">Respecto al número de fosas vacías o por utilizar la Jefatura de Unidad Departamental de panteones y servicios funerarios de la Alcaldía Iztapalapa, reporta para septiembre de 2019 un total de 23 171, cifra que se ve reducida para noviembre de 2020 con un total de 16 889 que representa el 5.1% de disponibilidad en toda la Alcaldía. El panteón San Lorenzo </w:t>
      </w:r>
      <w:r>
        <w:lastRenderedPageBreak/>
        <w:t xml:space="preserve">Tezonco destaca del resto de panteones, ya que concentra el 85% de la disponibilidad total de fosas para el mes de noviembre de 2020. La Tabla 4 muestra las fosas totales que cuenta cada uno de los panteones de la Alcaldía, así como la disponibilidad para septiembre de 2019 y noviembre de 2020. </w:t>
      </w:r>
    </w:p>
    <w:p w14:paraId="74675967" w14:textId="77777777" w:rsidR="00644151" w:rsidRDefault="00425878">
      <w:pPr>
        <w:spacing w:line="360" w:lineRule="auto"/>
      </w:pPr>
      <w:r>
        <w:t>Cabe resaltar que la gran mayoría de panteones vecinales han agotado su disponibilidad y son los panteones generales los que aún cuentan con disponibilidad, sin embargo, a pesar de su gran número de fosas que poseen, el número de fosas se han visto reducido significativamente.</w:t>
      </w:r>
    </w:p>
    <w:p w14:paraId="3BDDA826" w14:textId="77777777" w:rsidR="00644151" w:rsidRDefault="00425878">
      <w:pPr>
        <w:pBdr>
          <w:top w:val="nil"/>
          <w:left w:val="nil"/>
          <w:bottom w:val="nil"/>
          <w:right w:val="nil"/>
          <w:between w:val="nil"/>
        </w:pBdr>
        <w:spacing w:after="200" w:line="240" w:lineRule="auto"/>
        <w:rPr>
          <w:color w:val="44546A"/>
          <w:sz w:val="18"/>
          <w:szCs w:val="18"/>
        </w:rPr>
      </w:pPr>
      <w:bookmarkStart w:id="49" w:name="_heading=h.3fwokq0" w:colFirst="0" w:colLast="0"/>
      <w:bookmarkEnd w:id="49"/>
      <w:r>
        <w:rPr>
          <w:i/>
          <w:color w:val="44546A"/>
          <w:sz w:val="18"/>
          <w:szCs w:val="18"/>
        </w:rPr>
        <w:t>Tabla 5. Disponibilidad de fosas vacías o por utilizar de la Alcaldía Iztapalapa, para el periodo 2019-2020.</w:t>
      </w:r>
    </w:p>
    <w:tbl>
      <w:tblPr>
        <w:tblStyle w:val="afd"/>
        <w:tblW w:w="8819" w:type="dxa"/>
        <w:tblInd w:w="0" w:type="dxa"/>
        <w:tblLayout w:type="fixed"/>
        <w:tblLook w:val="0400" w:firstRow="0" w:lastRow="0" w:firstColumn="0" w:lastColumn="0" w:noHBand="0" w:noVBand="1"/>
      </w:tblPr>
      <w:tblGrid>
        <w:gridCol w:w="3510"/>
        <w:gridCol w:w="1380"/>
        <w:gridCol w:w="975"/>
        <w:gridCol w:w="1477"/>
        <w:gridCol w:w="1477"/>
      </w:tblGrid>
      <w:tr w:rsidR="00644151" w14:paraId="6FDB262A" w14:textId="77777777">
        <w:trPr>
          <w:trHeight w:val="615"/>
        </w:trPr>
        <w:tc>
          <w:tcPr>
            <w:tcW w:w="3510" w:type="dxa"/>
            <w:tcBorders>
              <w:top w:val="single" w:sz="8" w:space="0" w:color="000000"/>
              <w:left w:val="single" w:sz="8" w:space="0" w:color="000000"/>
              <w:bottom w:val="single" w:sz="8" w:space="0" w:color="000000"/>
              <w:right w:val="single" w:sz="4" w:space="0" w:color="000000"/>
            </w:tcBorders>
            <w:shd w:val="clear" w:color="auto" w:fill="auto"/>
            <w:vAlign w:val="center"/>
          </w:tcPr>
          <w:p w14:paraId="41888AA7" w14:textId="2FCD4DB7" w:rsidR="00644151" w:rsidRDefault="00346F97">
            <w:pPr>
              <w:jc w:val="center"/>
              <w:rPr>
                <w:rFonts w:ascii="Calibri" w:eastAsia="Calibri" w:hAnsi="Calibri" w:cs="Calibri"/>
                <w:color w:val="000000"/>
                <w:sz w:val="20"/>
                <w:szCs w:val="20"/>
              </w:rPr>
            </w:pPr>
            <w:r>
              <w:rPr>
                <w:rFonts w:ascii="Calibri" w:eastAsia="Calibri" w:hAnsi="Calibri" w:cs="Calibri"/>
                <w:color w:val="000000"/>
                <w:sz w:val="20"/>
                <w:szCs w:val="20"/>
              </w:rPr>
              <w:t>Nombre del panteón</w:t>
            </w:r>
          </w:p>
        </w:tc>
        <w:tc>
          <w:tcPr>
            <w:tcW w:w="1380" w:type="dxa"/>
            <w:tcBorders>
              <w:top w:val="single" w:sz="8" w:space="0" w:color="000000"/>
              <w:left w:val="nil"/>
              <w:bottom w:val="single" w:sz="8" w:space="0" w:color="000000"/>
              <w:right w:val="single" w:sz="4" w:space="0" w:color="000000"/>
            </w:tcBorders>
            <w:shd w:val="clear" w:color="auto" w:fill="auto"/>
            <w:vAlign w:val="center"/>
          </w:tcPr>
          <w:p w14:paraId="2E3C0222" w14:textId="7B85D3DF" w:rsidR="00644151" w:rsidRDefault="00346F97">
            <w:pPr>
              <w:jc w:val="center"/>
              <w:rPr>
                <w:rFonts w:ascii="Calibri" w:eastAsia="Calibri" w:hAnsi="Calibri" w:cs="Calibri"/>
                <w:color w:val="000000"/>
                <w:sz w:val="20"/>
                <w:szCs w:val="20"/>
              </w:rPr>
            </w:pPr>
            <w:r>
              <w:rPr>
                <w:rFonts w:ascii="Calibri" w:eastAsia="Calibri" w:hAnsi="Calibri" w:cs="Calibri"/>
                <w:color w:val="000000"/>
                <w:sz w:val="20"/>
                <w:szCs w:val="20"/>
              </w:rPr>
              <w:t xml:space="preserve">Tipo </w:t>
            </w:r>
          </w:p>
        </w:tc>
        <w:tc>
          <w:tcPr>
            <w:tcW w:w="975" w:type="dxa"/>
            <w:tcBorders>
              <w:top w:val="single" w:sz="8" w:space="0" w:color="000000"/>
              <w:left w:val="nil"/>
              <w:bottom w:val="single" w:sz="8" w:space="0" w:color="000000"/>
              <w:right w:val="single" w:sz="4" w:space="0" w:color="000000"/>
            </w:tcBorders>
            <w:shd w:val="clear" w:color="auto" w:fill="auto"/>
            <w:vAlign w:val="center"/>
          </w:tcPr>
          <w:p w14:paraId="4F2AA78B" w14:textId="10F90468" w:rsidR="00644151" w:rsidRDefault="00346F97">
            <w:pPr>
              <w:jc w:val="center"/>
              <w:rPr>
                <w:rFonts w:ascii="Calibri" w:eastAsia="Calibri" w:hAnsi="Calibri" w:cs="Calibri"/>
                <w:color w:val="000000"/>
                <w:sz w:val="20"/>
                <w:szCs w:val="20"/>
              </w:rPr>
            </w:pPr>
            <w:r>
              <w:rPr>
                <w:rFonts w:ascii="Calibri" w:eastAsia="Calibri" w:hAnsi="Calibri" w:cs="Calibri"/>
                <w:color w:val="000000"/>
                <w:sz w:val="20"/>
                <w:szCs w:val="20"/>
              </w:rPr>
              <w:t>Fosas totales</w:t>
            </w:r>
          </w:p>
        </w:tc>
        <w:tc>
          <w:tcPr>
            <w:tcW w:w="1477" w:type="dxa"/>
            <w:tcBorders>
              <w:top w:val="single" w:sz="8" w:space="0" w:color="000000"/>
              <w:left w:val="nil"/>
              <w:bottom w:val="single" w:sz="8" w:space="0" w:color="000000"/>
              <w:right w:val="single" w:sz="4" w:space="0" w:color="000000"/>
            </w:tcBorders>
            <w:shd w:val="clear" w:color="auto" w:fill="auto"/>
            <w:vAlign w:val="center"/>
          </w:tcPr>
          <w:p w14:paraId="326A6D7E" w14:textId="523A95A7" w:rsidR="00644151" w:rsidRDefault="00346F97">
            <w:pPr>
              <w:jc w:val="center"/>
              <w:rPr>
                <w:rFonts w:ascii="Calibri" w:eastAsia="Calibri" w:hAnsi="Calibri" w:cs="Calibri"/>
                <w:color w:val="000000"/>
                <w:sz w:val="18"/>
                <w:szCs w:val="18"/>
              </w:rPr>
            </w:pPr>
            <w:r>
              <w:rPr>
                <w:rFonts w:ascii="Calibri" w:eastAsia="Calibri" w:hAnsi="Calibri" w:cs="Calibri"/>
                <w:color w:val="000000"/>
                <w:sz w:val="18"/>
                <w:szCs w:val="18"/>
              </w:rPr>
              <w:t>Disponibilidad</w:t>
            </w:r>
          </w:p>
          <w:p w14:paraId="37F74720" w14:textId="2857D476" w:rsidR="00644151" w:rsidRDefault="00346F97">
            <w:pPr>
              <w:jc w:val="center"/>
              <w:rPr>
                <w:rFonts w:ascii="Calibri" w:eastAsia="Calibri" w:hAnsi="Calibri" w:cs="Calibri"/>
                <w:color w:val="000000"/>
                <w:sz w:val="20"/>
                <w:szCs w:val="20"/>
              </w:rPr>
            </w:pPr>
            <w:r>
              <w:rPr>
                <w:rFonts w:ascii="Calibri" w:eastAsia="Calibri" w:hAnsi="Calibri" w:cs="Calibri"/>
                <w:color w:val="000000"/>
                <w:sz w:val="20"/>
                <w:szCs w:val="20"/>
              </w:rPr>
              <w:t>sep-2019</w:t>
            </w:r>
          </w:p>
        </w:tc>
        <w:tc>
          <w:tcPr>
            <w:tcW w:w="1477" w:type="dxa"/>
            <w:tcBorders>
              <w:top w:val="single" w:sz="8" w:space="0" w:color="000000"/>
              <w:left w:val="nil"/>
              <w:bottom w:val="single" w:sz="8" w:space="0" w:color="000000"/>
              <w:right w:val="single" w:sz="8" w:space="0" w:color="000000"/>
            </w:tcBorders>
            <w:shd w:val="clear" w:color="auto" w:fill="auto"/>
            <w:vAlign w:val="center"/>
          </w:tcPr>
          <w:p w14:paraId="247073FD" w14:textId="11C3CE2B" w:rsidR="00644151" w:rsidRDefault="00346F97">
            <w:pPr>
              <w:jc w:val="center"/>
              <w:rPr>
                <w:rFonts w:ascii="Calibri" w:eastAsia="Calibri" w:hAnsi="Calibri" w:cs="Calibri"/>
                <w:color w:val="000000"/>
                <w:sz w:val="18"/>
                <w:szCs w:val="18"/>
              </w:rPr>
            </w:pPr>
            <w:r>
              <w:rPr>
                <w:rFonts w:ascii="Calibri" w:eastAsia="Calibri" w:hAnsi="Calibri" w:cs="Calibri"/>
                <w:color w:val="000000"/>
                <w:sz w:val="18"/>
                <w:szCs w:val="18"/>
              </w:rPr>
              <w:t>Disponibilidad</w:t>
            </w:r>
          </w:p>
          <w:p w14:paraId="091E70D4" w14:textId="77E0913C" w:rsidR="00644151" w:rsidRDefault="00346F97">
            <w:pPr>
              <w:jc w:val="center"/>
              <w:rPr>
                <w:rFonts w:ascii="Calibri" w:eastAsia="Calibri" w:hAnsi="Calibri" w:cs="Calibri"/>
                <w:color w:val="000000"/>
                <w:sz w:val="20"/>
                <w:szCs w:val="20"/>
              </w:rPr>
            </w:pPr>
            <w:r>
              <w:rPr>
                <w:rFonts w:ascii="Calibri" w:eastAsia="Calibri" w:hAnsi="Calibri" w:cs="Calibri"/>
                <w:color w:val="000000"/>
                <w:sz w:val="20"/>
                <w:szCs w:val="20"/>
              </w:rPr>
              <w:t>nov-2020</w:t>
            </w:r>
          </w:p>
        </w:tc>
      </w:tr>
      <w:tr w:rsidR="00644151" w14:paraId="39B3EF22"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45541F74" w14:textId="42EE9569" w:rsidR="00644151" w:rsidRDefault="00346F97">
            <w:pPr>
              <w:jc w:val="left"/>
              <w:rPr>
                <w:rFonts w:ascii="Calibri" w:eastAsia="Calibri" w:hAnsi="Calibri" w:cs="Calibri"/>
                <w:color w:val="000000"/>
                <w:sz w:val="20"/>
                <w:szCs w:val="20"/>
              </w:rPr>
            </w:pPr>
            <w:r>
              <w:rPr>
                <w:rFonts w:ascii="Calibri" w:eastAsia="Calibri" w:hAnsi="Calibri" w:cs="Calibri"/>
                <w:color w:val="000000"/>
                <w:sz w:val="20"/>
                <w:szCs w:val="20"/>
              </w:rPr>
              <w:t xml:space="preserve">San Nicolas Tolentino </w:t>
            </w:r>
          </w:p>
        </w:tc>
        <w:tc>
          <w:tcPr>
            <w:tcW w:w="1380" w:type="dxa"/>
            <w:vMerge w:val="restart"/>
            <w:tcBorders>
              <w:top w:val="nil"/>
              <w:left w:val="single" w:sz="8" w:space="0" w:color="000000"/>
              <w:bottom w:val="single" w:sz="8" w:space="0" w:color="000000"/>
              <w:right w:val="single" w:sz="8" w:space="0" w:color="000000"/>
            </w:tcBorders>
            <w:shd w:val="clear" w:color="auto" w:fill="auto"/>
            <w:vAlign w:val="center"/>
          </w:tcPr>
          <w:p w14:paraId="47478B45" w14:textId="565CF771" w:rsidR="00644151" w:rsidRDefault="00A82E28">
            <w:pPr>
              <w:jc w:val="center"/>
              <w:rPr>
                <w:rFonts w:ascii="Calibri" w:eastAsia="Calibri" w:hAnsi="Calibri" w:cs="Calibri"/>
                <w:color w:val="000000"/>
                <w:sz w:val="20"/>
                <w:szCs w:val="20"/>
              </w:rPr>
            </w:pPr>
            <w:r>
              <w:rPr>
                <w:rFonts w:ascii="Calibri" w:eastAsia="Calibri" w:hAnsi="Calibri" w:cs="Calibri"/>
                <w:color w:val="000000"/>
                <w:sz w:val="20"/>
                <w:szCs w:val="20"/>
              </w:rPr>
              <w:t xml:space="preserve">Civil General </w:t>
            </w:r>
          </w:p>
        </w:tc>
        <w:tc>
          <w:tcPr>
            <w:tcW w:w="975" w:type="dxa"/>
            <w:tcBorders>
              <w:top w:val="nil"/>
              <w:left w:val="nil"/>
              <w:bottom w:val="single" w:sz="4" w:space="0" w:color="000000"/>
              <w:right w:val="nil"/>
            </w:tcBorders>
            <w:shd w:val="clear" w:color="auto" w:fill="auto"/>
            <w:vAlign w:val="center"/>
          </w:tcPr>
          <w:p w14:paraId="1EB69FA6"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205,922</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5F176504"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3,933</w:t>
            </w:r>
          </w:p>
        </w:tc>
        <w:tc>
          <w:tcPr>
            <w:tcW w:w="1477" w:type="dxa"/>
            <w:tcBorders>
              <w:top w:val="nil"/>
              <w:left w:val="nil"/>
              <w:bottom w:val="single" w:sz="4" w:space="0" w:color="000000"/>
              <w:right w:val="single" w:sz="8" w:space="0" w:color="000000"/>
            </w:tcBorders>
            <w:shd w:val="clear" w:color="auto" w:fill="auto"/>
            <w:vAlign w:val="center"/>
          </w:tcPr>
          <w:p w14:paraId="1F8B2FC2"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1,070</w:t>
            </w:r>
          </w:p>
        </w:tc>
      </w:tr>
      <w:tr w:rsidR="00644151" w14:paraId="656BA5CB" w14:textId="77777777">
        <w:trPr>
          <w:trHeight w:val="315"/>
        </w:trPr>
        <w:tc>
          <w:tcPr>
            <w:tcW w:w="3510" w:type="dxa"/>
            <w:tcBorders>
              <w:top w:val="nil"/>
              <w:left w:val="single" w:sz="8" w:space="0" w:color="000000"/>
              <w:bottom w:val="single" w:sz="4" w:space="0" w:color="000000"/>
              <w:right w:val="nil"/>
            </w:tcBorders>
            <w:shd w:val="clear" w:color="auto" w:fill="auto"/>
            <w:vAlign w:val="center"/>
          </w:tcPr>
          <w:p w14:paraId="46E9B408" w14:textId="65D28F3E"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 </w:t>
            </w:r>
            <w:r>
              <w:rPr>
                <w:rFonts w:ascii="Calibri" w:eastAsia="Calibri" w:hAnsi="Calibri" w:cs="Calibri"/>
                <w:color w:val="000000"/>
                <w:sz w:val="20"/>
                <w:szCs w:val="20"/>
              </w:rPr>
              <w:t>L</w:t>
            </w:r>
            <w:r w:rsidR="00346F97">
              <w:rPr>
                <w:rFonts w:ascii="Calibri" w:eastAsia="Calibri" w:hAnsi="Calibri" w:cs="Calibri"/>
                <w:color w:val="000000"/>
                <w:sz w:val="20"/>
                <w:szCs w:val="20"/>
              </w:rPr>
              <w:t xml:space="preserve">orenzo </w:t>
            </w:r>
            <w:r>
              <w:rPr>
                <w:rFonts w:ascii="Calibri" w:eastAsia="Calibri" w:hAnsi="Calibri" w:cs="Calibri"/>
                <w:color w:val="000000"/>
                <w:sz w:val="20"/>
                <w:szCs w:val="20"/>
              </w:rPr>
              <w:t>T</w:t>
            </w:r>
            <w:r w:rsidR="00346F97">
              <w:rPr>
                <w:rFonts w:ascii="Calibri" w:eastAsia="Calibri" w:hAnsi="Calibri" w:cs="Calibri"/>
                <w:color w:val="000000"/>
                <w:sz w:val="20"/>
                <w:szCs w:val="20"/>
              </w:rPr>
              <w:t xml:space="preserve">ezonco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0EAC7817"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0987D463"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91,707</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3AEB9F20"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17,369</w:t>
            </w:r>
          </w:p>
        </w:tc>
        <w:tc>
          <w:tcPr>
            <w:tcW w:w="1477" w:type="dxa"/>
            <w:tcBorders>
              <w:top w:val="nil"/>
              <w:left w:val="nil"/>
              <w:bottom w:val="single" w:sz="4" w:space="0" w:color="000000"/>
              <w:right w:val="single" w:sz="8" w:space="0" w:color="000000"/>
            </w:tcBorders>
            <w:shd w:val="clear" w:color="auto" w:fill="auto"/>
            <w:vAlign w:val="center"/>
          </w:tcPr>
          <w:p w14:paraId="7C445B33"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14,508</w:t>
            </w:r>
          </w:p>
        </w:tc>
      </w:tr>
      <w:tr w:rsidR="00644151" w14:paraId="54D92BAF" w14:textId="77777777">
        <w:trPr>
          <w:trHeight w:val="315"/>
        </w:trPr>
        <w:tc>
          <w:tcPr>
            <w:tcW w:w="3510" w:type="dxa"/>
            <w:tcBorders>
              <w:top w:val="nil"/>
              <w:left w:val="single" w:sz="8" w:space="0" w:color="000000"/>
              <w:bottom w:val="single" w:sz="4" w:space="0" w:color="000000"/>
              <w:right w:val="nil"/>
            </w:tcBorders>
            <w:shd w:val="clear" w:color="auto" w:fill="auto"/>
            <w:vAlign w:val="center"/>
          </w:tcPr>
          <w:p w14:paraId="6DC436BC" w14:textId="3F1D5AA6"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I</w:t>
            </w:r>
            <w:r w:rsidR="00346F97">
              <w:rPr>
                <w:rFonts w:ascii="Calibri" w:eastAsia="Calibri" w:hAnsi="Calibri" w:cs="Calibri"/>
                <w:color w:val="000000"/>
                <w:sz w:val="20"/>
                <w:szCs w:val="20"/>
              </w:rPr>
              <w:t>ztapalapa</w:t>
            </w:r>
          </w:p>
        </w:tc>
        <w:tc>
          <w:tcPr>
            <w:tcW w:w="1380" w:type="dxa"/>
            <w:tcBorders>
              <w:top w:val="nil"/>
              <w:left w:val="single" w:sz="8" w:space="0" w:color="000000"/>
              <w:bottom w:val="single" w:sz="8" w:space="0" w:color="000000"/>
              <w:right w:val="single" w:sz="8" w:space="0" w:color="000000"/>
            </w:tcBorders>
            <w:shd w:val="clear" w:color="auto" w:fill="auto"/>
            <w:vAlign w:val="center"/>
          </w:tcPr>
          <w:p w14:paraId="1B74A9E8" w14:textId="1FDE5D49" w:rsidR="00644151" w:rsidRDefault="00A82E28">
            <w:pPr>
              <w:jc w:val="center"/>
              <w:rPr>
                <w:rFonts w:ascii="Calibri" w:eastAsia="Calibri" w:hAnsi="Calibri" w:cs="Calibri"/>
                <w:color w:val="000000"/>
                <w:sz w:val="18"/>
                <w:szCs w:val="18"/>
              </w:rPr>
            </w:pPr>
            <w:r>
              <w:rPr>
                <w:rFonts w:ascii="Calibri" w:eastAsia="Calibri" w:hAnsi="Calibri" w:cs="Calibri"/>
                <w:color w:val="000000"/>
                <w:sz w:val="20"/>
                <w:szCs w:val="20"/>
              </w:rPr>
              <w:t xml:space="preserve">Civil </w:t>
            </w:r>
            <w:r>
              <w:rPr>
                <w:rFonts w:ascii="Calibri" w:eastAsia="Calibri" w:hAnsi="Calibri" w:cs="Calibri"/>
                <w:color w:val="000000"/>
                <w:sz w:val="18"/>
                <w:szCs w:val="18"/>
              </w:rPr>
              <w:t xml:space="preserve">Delegacional </w:t>
            </w:r>
          </w:p>
        </w:tc>
        <w:tc>
          <w:tcPr>
            <w:tcW w:w="975" w:type="dxa"/>
            <w:tcBorders>
              <w:top w:val="nil"/>
              <w:left w:val="nil"/>
              <w:bottom w:val="single" w:sz="4" w:space="0" w:color="000000"/>
              <w:right w:val="nil"/>
            </w:tcBorders>
            <w:shd w:val="clear" w:color="auto" w:fill="auto"/>
            <w:vAlign w:val="center"/>
          </w:tcPr>
          <w:p w14:paraId="65A6FA6D"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4,771</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51E21CEF" w14:textId="4C0C3421"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4" w:space="0" w:color="000000"/>
              <w:right w:val="single" w:sz="8" w:space="0" w:color="000000"/>
            </w:tcBorders>
            <w:shd w:val="clear" w:color="auto" w:fill="auto"/>
            <w:vAlign w:val="center"/>
          </w:tcPr>
          <w:p w14:paraId="6A7CE7E5" w14:textId="16E6BEE6"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1B819BAB"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2A6DBD34" w14:textId="22D59951"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Culhuacán</w:t>
            </w:r>
            <w:r w:rsidR="00346F97">
              <w:rPr>
                <w:rFonts w:ascii="Calibri" w:eastAsia="Calibri" w:hAnsi="Calibri" w:cs="Calibri"/>
                <w:color w:val="000000"/>
                <w:sz w:val="20"/>
                <w:szCs w:val="20"/>
              </w:rPr>
              <w:t xml:space="preserve"> </w:t>
            </w:r>
          </w:p>
        </w:tc>
        <w:tc>
          <w:tcPr>
            <w:tcW w:w="1380" w:type="dxa"/>
            <w:vMerge w:val="restart"/>
            <w:tcBorders>
              <w:top w:val="nil"/>
              <w:left w:val="single" w:sz="8" w:space="0" w:color="000000"/>
              <w:bottom w:val="single" w:sz="8" w:space="0" w:color="000000"/>
              <w:right w:val="single" w:sz="8" w:space="0" w:color="000000"/>
            </w:tcBorders>
            <w:shd w:val="clear" w:color="auto" w:fill="auto"/>
            <w:vAlign w:val="center"/>
          </w:tcPr>
          <w:p w14:paraId="4F004B8E" w14:textId="34355D94" w:rsidR="00644151" w:rsidRDefault="00A82E28">
            <w:pPr>
              <w:jc w:val="center"/>
              <w:rPr>
                <w:rFonts w:ascii="Calibri" w:eastAsia="Calibri" w:hAnsi="Calibri" w:cs="Calibri"/>
                <w:color w:val="000000"/>
                <w:sz w:val="20"/>
                <w:szCs w:val="20"/>
              </w:rPr>
            </w:pPr>
            <w:r>
              <w:rPr>
                <w:rFonts w:ascii="Calibri" w:eastAsia="Calibri" w:hAnsi="Calibri" w:cs="Calibri"/>
                <w:color w:val="000000"/>
                <w:sz w:val="20"/>
                <w:szCs w:val="20"/>
              </w:rPr>
              <w:t xml:space="preserve">Civiles Vecinales </w:t>
            </w:r>
          </w:p>
        </w:tc>
        <w:tc>
          <w:tcPr>
            <w:tcW w:w="975" w:type="dxa"/>
            <w:tcBorders>
              <w:top w:val="nil"/>
              <w:left w:val="nil"/>
              <w:bottom w:val="single" w:sz="4" w:space="0" w:color="000000"/>
              <w:right w:val="nil"/>
            </w:tcBorders>
            <w:shd w:val="clear" w:color="auto" w:fill="auto"/>
            <w:vAlign w:val="center"/>
          </w:tcPr>
          <w:p w14:paraId="595F745B"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6,039</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3DFFA4DF" w14:textId="167EE97D"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4" w:space="0" w:color="000000"/>
              <w:right w:val="single" w:sz="8" w:space="0" w:color="000000"/>
            </w:tcBorders>
            <w:shd w:val="clear" w:color="auto" w:fill="auto"/>
            <w:vAlign w:val="center"/>
          </w:tcPr>
          <w:p w14:paraId="1364C260" w14:textId="568B8F9D"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70C2985B"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563DAAD7" w14:textId="6905E666"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anta </w:t>
            </w:r>
            <w:r>
              <w:rPr>
                <w:rFonts w:ascii="Calibri" w:eastAsia="Calibri" w:hAnsi="Calibri" w:cs="Calibri"/>
                <w:color w:val="000000"/>
                <w:sz w:val="20"/>
                <w:szCs w:val="20"/>
              </w:rPr>
              <w:t>María</w:t>
            </w:r>
            <w:r w:rsidR="00346F97">
              <w:rPr>
                <w:rFonts w:ascii="Calibri" w:eastAsia="Calibri" w:hAnsi="Calibri" w:cs="Calibri"/>
                <w:color w:val="000000"/>
                <w:sz w:val="20"/>
                <w:szCs w:val="20"/>
              </w:rPr>
              <w:t xml:space="preserve"> </w:t>
            </w:r>
            <w:r>
              <w:rPr>
                <w:rFonts w:ascii="Calibri" w:eastAsia="Calibri" w:hAnsi="Calibri" w:cs="Calibri"/>
                <w:color w:val="000000"/>
                <w:sz w:val="20"/>
                <w:szCs w:val="20"/>
              </w:rPr>
              <w:t>A</w:t>
            </w:r>
            <w:r w:rsidR="00346F97">
              <w:rPr>
                <w:rFonts w:ascii="Calibri" w:eastAsia="Calibri" w:hAnsi="Calibri" w:cs="Calibri"/>
                <w:color w:val="000000"/>
                <w:sz w:val="20"/>
                <w:szCs w:val="20"/>
              </w:rPr>
              <w:t xml:space="preserve">ztahuacan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16CFCB08"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3CACABFA"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4,360</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474E66E5" w14:textId="0BCE3E69"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4" w:space="0" w:color="000000"/>
              <w:right w:val="single" w:sz="8" w:space="0" w:color="000000"/>
            </w:tcBorders>
            <w:shd w:val="clear" w:color="auto" w:fill="auto"/>
            <w:vAlign w:val="center"/>
          </w:tcPr>
          <w:p w14:paraId="25CE2733" w14:textId="797F1139"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26F69E1B"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745BCA2D" w14:textId="201220F9"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anta </w:t>
            </w:r>
            <w:r>
              <w:rPr>
                <w:rFonts w:ascii="Calibri" w:eastAsia="Calibri" w:hAnsi="Calibri" w:cs="Calibri"/>
                <w:color w:val="000000"/>
                <w:sz w:val="20"/>
                <w:szCs w:val="20"/>
              </w:rPr>
              <w:t>C</w:t>
            </w:r>
            <w:r w:rsidR="00346F97">
              <w:rPr>
                <w:rFonts w:ascii="Calibri" w:eastAsia="Calibri" w:hAnsi="Calibri" w:cs="Calibri"/>
                <w:color w:val="000000"/>
                <w:sz w:val="20"/>
                <w:szCs w:val="20"/>
              </w:rPr>
              <w:t xml:space="preserve">ruz </w:t>
            </w:r>
            <w:r>
              <w:rPr>
                <w:rFonts w:ascii="Calibri" w:eastAsia="Calibri" w:hAnsi="Calibri" w:cs="Calibri"/>
                <w:color w:val="000000"/>
                <w:sz w:val="20"/>
                <w:szCs w:val="20"/>
              </w:rPr>
              <w:t>M</w:t>
            </w:r>
            <w:r w:rsidR="00346F97">
              <w:rPr>
                <w:rFonts w:ascii="Calibri" w:eastAsia="Calibri" w:hAnsi="Calibri" w:cs="Calibri"/>
                <w:color w:val="000000"/>
                <w:sz w:val="20"/>
                <w:szCs w:val="20"/>
              </w:rPr>
              <w:t xml:space="preserve">eyehualco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00680894"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321DBC5B"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3,903</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39CFB771" w14:textId="0432B7F7"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1,418</w:t>
            </w:r>
          </w:p>
        </w:tc>
        <w:tc>
          <w:tcPr>
            <w:tcW w:w="1477" w:type="dxa"/>
            <w:tcBorders>
              <w:top w:val="nil"/>
              <w:left w:val="nil"/>
              <w:bottom w:val="single" w:sz="4" w:space="0" w:color="000000"/>
              <w:right w:val="single" w:sz="8" w:space="0" w:color="000000"/>
            </w:tcBorders>
            <w:shd w:val="clear" w:color="auto" w:fill="auto"/>
            <w:vAlign w:val="center"/>
          </w:tcPr>
          <w:p w14:paraId="70BD3DBE" w14:textId="2531F64C"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1,311</w:t>
            </w:r>
          </w:p>
        </w:tc>
      </w:tr>
      <w:tr w:rsidR="00644151" w14:paraId="5AAB2FAC"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5E1C43DB" w14:textId="12D41034"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anta </w:t>
            </w:r>
            <w:r>
              <w:rPr>
                <w:rFonts w:ascii="Calibri" w:eastAsia="Calibri" w:hAnsi="Calibri" w:cs="Calibri"/>
                <w:color w:val="000000"/>
                <w:sz w:val="20"/>
                <w:szCs w:val="20"/>
              </w:rPr>
              <w:t>M</w:t>
            </w:r>
            <w:r w:rsidR="00346F97">
              <w:rPr>
                <w:rFonts w:ascii="Calibri" w:eastAsia="Calibri" w:hAnsi="Calibri" w:cs="Calibri"/>
                <w:color w:val="000000"/>
                <w:sz w:val="20"/>
                <w:szCs w:val="20"/>
              </w:rPr>
              <w:t xml:space="preserve">artha </w:t>
            </w:r>
            <w:r>
              <w:rPr>
                <w:rFonts w:ascii="Calibri" w:eastAsia="Calibri" w:hAnsi="Calibri" w:cs="Calibri"/>
                <w:color w:val="000000"/>
                <w:sz w:val="20"/>
                <w:szCs w:val="20"/>
              </w:rPr>
              <w:t>A</w:t>
            </w:r>
            <w:r w:rsidR="00346F97">
              <w:rPr>
                <w:rFonts w:ascii="Calibri" w:eastAsia="Calibri" w:hAnsi="Calibri" w:cs="Calibri"/>
                <w:color w:val="000000"/>
                <w:sz w:val="20"/>
                <w:szCs w:val="20"/>
              </w:rPr>
              <w:t xml:space="preserve">catitla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7D63FE6C"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00247B96"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3,750</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12A5D0D5" w14:textId="2829721F"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4" w:space="0" w:color="000000"/>
              <w:right w:val="single" w:sz="8" w:space="0" w:color="000000"/>
            </w:tcBorders>
            <w:shd w:val="clear" w:color="auto" w:fill="auto"/>
            <w:vAlign w:val="center"/>
          </w:tcPr>
          <w:p w14:paraId="7E493CB7" w14:textId="367F18B3"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13B7AFE6"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7450BAD0" w14:textId="00DF40D1"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 </w:t>
            </w:r>
            <w:r>
              <w:rPr>
                <w:rFonts w:ascii="Calibri" w:eastAsia="Calibri" w:hAnsi="Calibri" w:cs="Calibri"/>
                <w:color w:val="000000"/>
                <w:sz w:val="20"/>
                <w:szCs w:val="20"/>
              </w:rPr>
              <w:t>L</w:t>
            </w:r>
            <w:r w:rsidR="00346F97">
              <w:rPr>
                <w:rFonts w:ascii="Calibri" w:eastAsia="Calibri" w:hAnsi="Calibri" w:cs="Calibri"/>
                <w:color w:val="000000"/>
                <w:sz w:val="20"/>
                <w:szCs w:val="20"/>
              </w:rPr>
              <w:t xml:space="preserve">orenzo </w:t>
            </w:r>
            <w:r>
              <w:rPr>
                <w:rFonts w:ascii="Calibri" w:eastAsia="Calibri" w:hAnsi="Calibri" w:cs="Calibri"/>
                <w:color w:val="000000"/>
                <w:sz w:val="20"/>
                <w:szCs w:val="20"/>
              </w:rPr>
              <w:t>T</w:t>
            </w:r>
            <w:r w:rsidR="00346F97">
              <w:rPr>
                <w:rFonts w:ascii="Calibri" w:eastAsia="Calibri" w:hAnsi="Calibri" w:cs="Calibri"/>
                <w:color w:val="000000"/>
                <w:sz w:val="20"/>
                <w:szCs w:val="20"/>
              </w:rPr>
              <w:t xml:space="preserve">ezonco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581BBBE4"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3B03FD42"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2,424</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2317A83E" w14:textId="6111DC4B"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451</w:t>
            </w:r>
          </w:p>
        </w:tc>
        <w:tc>
          <w:tcPr>
            <w:tcW w:w="1477" w:type="dxa"/>
            <w:tcBorders>
              <w:top w:val="nil"/>
              <w:left w:val="nil"/>
              <w:bottom w:val="single" w:sz="4" w:space="0" w:color="000000"/>
              <w:right w:val="single" w:sz="8" w:space="0" w:color="000000"/>
            </w:tcBorders>
            <w:shd w:val="clear" w:color="auto" w:fill="auto"/>
            <w:vAlign w:val="center"/>
          </w:tcPr>
          <w:p w14:paraId="5D9E0F24" w14:textId="15F617C1"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11391407" w14:textId="77777777">
        <w:trPr>
          <w:trHeight w:val="300"/>
        </w:trPr>
        <w:tc>
          <w:tcPr>
            <w:tcW w:w="3510" w:type="dxa"/>
            <w:tcBorders>
              <w:top w:val="nil"/>
              <w:left w:val="single" w:sz="8" w:space="0" w:color="000000"/>
              <w:bottom w:val="single" w:sz="4" w:space="0" w:color="000000"/>
              <w:right w:val="nil"/>
            </w:tcBorders>
            <w:shd w:val="clear" w:color="auto" w:fill="auto"/>
            <w:vAlign w:val="center"/>
          </w:tcPr>
          <w:p w14:paraId="08E3B98A" w14:textId="59D11409"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 </w:t>
            </w:r>
            <w:r>
              <w:rPr>
                <w:rFonts w:ascii="Calibri" w:eastAsia="Calibri" w:hAnsi="Calibri" w:cs="Calibri"/>
                <w:color w:val="000000"/>
                <w:sz w:val="20"/>
                <w:szCs w:val="20"/>
              </w:rPr>
              <w:t>José</w:t>
            </w:r>
            <w:r w:rsidR="00346F97">
              <w:rPr>
                <w:rFonts w:ascii="Calibri" w:eastAsia="Calibri" w:hAnsi="Calibri" w:cs="Calibri"/>
                <w:color w:val="000000"/>
                <w:sz w:val="20"/>
                <w:szCs w:val="20"/>
              </w:rPr>
              <w:t xml:space="preserve"> </w:t>
            </w:r>
            <w:r>
              <w:rPr>
                <w:rFonts w:ascii="Calibri" w:eastAsia="Calibri" w:hAnsi="Calibri" w:cs="Calibri"/>
                <w:color w:val="000000"/>
                <w:sz w:val="20"/>
                <w:szCs w:val="20"/>
              </w:rPr>
              <w:t>A</w:t>
            </w:r>
            <w:r w:rsidR="00346F97">
              <w:rPr>
                <w:rFonts w:ascii="Calibri" w:eastAsia="Calibri" w:hAnsi="Calibri" w:cs="Calibri"/>
                <w:color w:val="000000"/>
                <w:sz w:val="20"/>
                <w:szCs w:val="20"/>
              </w:rPr>
              <w:t xml:space="preserve">culco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23519257"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4" w:space="0" w:color="000000"/>
              <w:right w:val="nil"/>
            </w:tcBorders>
            <w:shd w:val="clear" w:color="auto" w:fill="auto"/>
            <w:vAlign w:val="center"/>
          </w:tcPr>
          <w:p w14:paraId="0B67D7B8"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1,238</w:t>
            </w:r>
          </w:p>
        </w:tc>
        <w:tc>
          <w:tcPr>
            <w:tcW w:w="1477" w:type="dxa"/>
            <w:tcBorders>
              <w:top w:val="nil"/>
              <w:left w:val="single" w:sz="8" w:space="0" w:color="000000"/>
              <w:bottom w:val="single" w:sz="4" w:space="0" w:color="000000"/>
              <w:right w:val="single" w:sz="4" w:space="0" w:color="000000"/>
            </w:tcBorders>
            <w:shd w:val="clear" w:color="auto" w:fill="auto"/>
            <w:vAlign w:val="center"/>
          </w:tcPr>
          <w:p w14:paraId="29CB6598" w14:textId="3F510A88"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4" w:space="0" w:color="000000"/>
              <w:right w:val="single" w:sz="8" w:space="0" w:color="000000"/>
            </w:tcBorders>
            <w:shd w:val="clear" w:color="auto" w:fill="auto"/>
            <w:vAlign w:val="center"/>
          </w:tcPr>
          <w:p w14:paraId="7B053116" w14:textId="6835114E"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120DD949" w14:textId="77777777">
        <w:trPr>
          <w:trHeight w:val="315"/>
        </w:trPr>
        <w:tc>
          <w:tcPr>
            <w:tcW w:w="3510" w:type="dxa"/>
            <w:tcBorders>
              <w:top w:val="nil"/>
              <w:left w:val="single" w:sz="8" w:space="0" w:color="000000"/>
              <w:bottom w:val="single" w:sz="8" w:space="0" w:color="000000"/>
              <w:right w:val="nil"/>
            </w:tcBorders>
            <w:shd w:val="clear" w:color="auto" w:fill="auto"/>
            <w:vAlign w:val="center"/>
          </w:tcPr>
          <w:p w14:paraId="55C20DE9" w14:textId="41BD75A3" w:rsidR="00644151" w:rsidRDefault="00A82E28">
            <w:pPr>
              <w:rPr>
                <w:rFonts w:ascii="Calibri" w:eastAsia="Calibri" w:hAnsi="Calibri" w:cs="Calibri"/>
                <w:color w:val="000000"/>
                <w:sz w:val="20"/>
                <w:szCs w:val="20"/>
              </w:rPr>
            </w:pPr>
            <w:r>
              <w:rPr>
                <w:rFonts w:ascii="Calibri" w:eastAsia="Calibri" w:hAnsi="Calibri" w:cs="Calibri"/>
                <w:color w:val="000000"/>
                <w:sz w:val="20"/>
                <w:szCs w:val="20"/>
              </w:rPr>
              <w:t>S</w:t>
            </w:r>
            <w:r w:rsidR="00346F97">
              <w:rPr>
                <w:rFonts w:ascii="Calibri" w:eastAsia="Calibri" w:hAnsi="Calibri" w:cs="Calibri"/>
                <w:color w:val="000000"/>
                <w:sz w:val="20"/>
                <w:szCs w:val="20"/>
              </w:rPr>
              <w:t xml:space="preserve">antiago </w:t>
            </w:r>
            <w:r>
              <w:rPr>
                <w:rFonts w:ascii="Calibri" w:eastAsia="Calibri" w:hAnsi="Calibri" w:cs="Calibri"/>
                <w:color w:val="000000"/>
                <w:sz w:val="20"/>
                <w:szCs w:val="20"/>
              </w:rPr>
              <w:t>A</w:t>
            </w:r>
            <w:r w:rsidR="00346F97">
              <w:rPr>
                <w:rFonts w:ascii="Calibri" w:eastAsia="Calibri" w:hAnsi="Calibri" w:cs="Calibri"/>
                <w:color w:val="000000"/>
                <w:sz w:val="20"/>
                <w:szCs w:val="20"/>
              </w:rPr>
              <w:t xml:space="preserve">cahualtepec </w:t>
            </w:r>
          </w:p>
        </w:tc>
        <w:tc>
          <w:tcPr>
            <w:tcW w:w="1380" w:type="dxa"/>
            <w:vMerge/>
            <w:tcBorders>
              <w:top w:val="nil"/>
              <w:left w:val="single" w:sz="8" w:space="0" w:color="000000"/>
              <w:bottom w:val="single" w:sz="8" w:space="0" w:color="000000"/>
              <w:right w:val="single" w:sz="8" w:space="0" w:color="000000"/>
            </w:tcBorders>
            <w:shd w:val="clear" w:color="auto" w:fill="auto"/>
            <w:vAlign w:val="center"/>
          </w:tcPr>
          <w:p w14:paraId="109C746C" w14:textId="77777777" w:rsidR="00644151" w:rsidRDefault="00644151">
            <w:pPr>
              <w:widowControl w:val="0"/>
              <w:pBdr>
                <w:top w:val="nil"/>
                <w:left w:val="nil"/>
                <w:bottom w:val="nil"/>
                <w:right w:val="nil"/>
                <w:between w:val="nil"/>
              </w:pBdr>
              <w:spacing w:line="276" w:lineRule="auto"/>
              <w:jc w:val="left"/>
              <w:rPr>
                <w:rFonts w:ascii="Calibri" w:eastAsia="Calibri" w:hAnsi="Calibri" w:cs="Calibri"/>
                <w:color w:val="000000"/>
                <w:sz w:val="20"/>
                <w:szCs w:val="20"/>
              </w:rPr>
            </w:pPr>
          </w:p>
        </w:tc>
        <w:tc>
          <w:tcPr>
            <w:tcW w:w="975" w:type="dxa"/>
            <w:tcBorders>
              <w:top w:val="nil"/>
              <w:left w:val="nil"/>
              <w:bottom w:val="single" w:sz="8" w:space="0" w:color="000000"/>
              <w:right w:val="nil"/>
            </w:tcBorders>
            <w:shd w:val="clear" w:color="auto" w:fill="auto"/>
            <w:vAlign w:val="center"/>
          </w:tcPr>
          <w:p w14:paraId="5D2AFF5E" w14:textId="77777777" w:rsidR="00644151" w:rsidRDefault="00425878">
            <w:pPr>
              <w:jc w:val="right"/>
              <w:rPr>
                <w:rFonts w:ascii="Calibri" w:eastAsia="Calibri" w:hAnsi="Calibri" w:cs="Calibri"/>
                <w:color w:val="000000"/>
                <w:sz w:val="20"/>
                <w:szCs w:val="20"/>
              </w:rPr>
            </w:pPr>
            <w:r>
              <w:rPr>
                <w:rFonts w:ascii="Calibri" w:eastAsia="Calibri" w:hAnsi="Calibri" w:cs="Calibri"/>
                <w:color w:val="000000"/>
                <w:sz w:val="20"/>
                <w:szCs w:val="20"/>
              </w:rPr>
              <w:t>1,077</w:t>
            </w:r>
          </w:p>
        </w:tc>
        <w:tc>
          <w:tcPr>
            <w:tcW w:w="1477" w:type="dxa"/>
            <w:tcBorders>
              <w:top w:val="nil"/>
              <w:left w:val="single" w:sz="8" w:space="0" w:color="000000"/>
              <w:bottom w:val="single" w:sz="8" w:space="0" w:color="000000"/>
              <w:right w:val="single" w:sz="4" w:space="0" w:color="000000"/>
            </w:tcBorders>
            <w:shd w:val="clear" w:color="auto" w:fill="auto"/>
            <w:vAlign w:val="center"/>
          </w:tcPr>
          <w:p w14:paraId="55939276" w14:textId="46BC5EFE"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c>
          <w:tcPr>
            <w:tcW w:w="1477" w:type="dxa"/>
            <w:tcBorders>
              <w:top w:val="nil"/>
              <w:left w:val="nil"/>
              <w:bottom w:val="single" w:sz="8" w:space="0" w:color="000000"/>
              <w:right w:val="single" w:sz="8" w:space="0" w:color="000000"/>
            </w:tcBorders>
            <w:shd w:val="clear" w:color="auto" w:fill="auto"/>
            <w:vAlign w:val="center"/>
          </w:tcPr>
          <w:p w14:paraId="1966A67D" w14:textId="48951A56" w:rsidR="00644151" w:rsidRDefault="00346F97">
            <w:pPr>
              <w:jc w:val="right"/>
              <w:rPr>
                <w:rFonts w:ascii="Calibri" w:eastAsia="Calibri" w:hAnsi="Calibri" w:cs="Calibri"/>
                <w:color w:val="000000"/>
                <w:sz w:val="20"/>
                <w:szCs w:val="20"/>
              </w:rPr>
            </w:pPr>
            <w:r>
              <w:rPr>
                <w:rFonts w:ascii="Calibri" w:eastAsia="Calibri" w:hAnsi="Calibri" w:cs="Calibri"/>
                <w:color w:val="000000"/>
                <w:sz w:val="20"/>
                <w:szCs w:val="20"/>
              </w:rPr>
              <w:t>agotado</w:t>
            </w:r>
          </w:p>
        </w:tc>
      </w:tr>
      <w:tr w:rsidR="00644151" w14:paraId="5F7994B2" w14:textId="77777777">
        <w:trPr>
          <w:trHeight w:val="315"/>
        </w:trPr>
        <w:tc>
          <w:tcPr>
            <w:tcW w:w="4890" w:type="dxa"/>
            <w:gridSpan w:val="2"/>
            <w:tcBorders>
              <w:top w:val="nil"/>
              <w:left w:val="single" w:sz="8" w:space="0" w:color="000000"/>
              <w:bottom w:val="single" w:sz="8" w:space="0" w:color="000000"/>
              <w:right w:val="single" w:sz="4" w:space="0" w:color="000000"/>
            </w:tcBorders>
            <w:shd w:val="clear" w:color="auto" w:fill="auto"/>
            <w:vAlign w:val="center"/>
          </w:tcPr>
          <w:p w14:paraId="3855911F" w14:textId="77777777" w:rsidR="00644151" w:rsidRDefault="00425878">
            <w:pPr>
              <w:ind w:left="708" w:hanging="708"/>
              <w:jc w:val="right"/>
              <w:rPr>
                <w:rFonts w:ascii="Calibri" w:eastAsia="Calibri" w:hAnsi="Calibri" w:cs="Calibri"/>
                <w:b/>
                <w:color w:val="000000"/>
                <w:sz w:val="20"/>
                <w:szCs w:val="20"/>
              </w:rPr>
            </w:pPr>
            <w:r>
              <w:rPr>
                <w:rFonts w:ascii="Calibri" w:eastAsia="Calibri" w:hAnsi="Calibri" w:cs="Calibri"/>
                <w:b/>
                <w:color w:val="000000"/>
                <w:sz w:val="20"/>
                <w:szCs w:val="20"/>
              </w:rPr>
              <w:t>TOTAL</w:t>
            </w:r>
          </w:p>
        </w:tc>
        <w:tc>
          <w:tcPr>
            <w:tcW w:w="975" w:type="dxa"/>
            <w:tcBorders>
              <w:top w:val="nil"/>
              <w:left w:val="nil"/>
              <w:bottom w:val="single" w:sz="8" w:space="0" w:color="000000"/>
              <w:right w:val="single" w:sz="4" w:space="0" w:color="000000"/>
            </w:tcBorders>
            <w:shd w:val="clear" w:color="auto" w:fill="auto"/>
            <w:vAlign w:val="center"/>
          </w:tcPr>
          <w:p w14:paraId="45AD36AA"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t>325,191</w:t>
            </w:r>
          </w:p>
        </w:tc>
        <w:tc>
          <w:tcPr>
            <w:tcW w:w="1477" w:type="dxa"/>
            <w:tcBorders>
              <w:top w:val="nil"/>
              <w:left w:val="nil"/>
              <w:bottom w:val="single" w:sz="8" w:space="0" w:color="000000"/>
              <w:right w:val="single" w:sz="4" w:space="0" w:color="000000"/>
            </w:tcBorders>
            <w:shd w:val="clear" w:color="auto" w:fill="auto"/>
            <w:vAlign w:val="center"/>
          </w:tcPr>
          <w:p w14:paraId="211700E2"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t>23,171</w:t>
            </w:r>
          </w:p>
        </w:tc>
        <w:tc>
          <w:tcPr>
            <w:tcW w:w="1477" w:type="dxa"/>
            <w:tcBorders>
              <w:top w:val="nil"/>
              <w:left w:val="nil"/>
              <w:bottom w:val="single" w:sz="8" w:space="0" w:color="000000"/>
              <w:right w:val="single" w:sz="8" w:space="0" w:color="000000"/>
            </w:tcBorders>
            <w:shd w:val="clear" w:color="auto" w:fill="auto"/>
            <w:vAlign w:val="center"/>
          </w:tcPr>
          <w:p w14:paraId="0A89B1E0" w14:textId="77777777" w:rsidR="00644151" w:rsidRDefault="00425878">
            <w:pPr>
              <w:jc w:val="center"/>
              <w:rPr>
                <w:rFonts w:ascii="Calibri" w:eastAsia="Calibri" w:hAnsi="Calibri" w:cs="Calibri"/>
                <w:b/>
                <w:color w:val="000000"/>
                <w:sz w:val="20"/>
                <w:szCs w:val="20"/>
              </w:rPr>
            </w:pPr>
            <w:r>
              <w:rPr>
                <w:rFonts w:ascii="Calibri" w:eastAsia="Calibri" w:hAnsi="Calibri" w:cs="Calibri"/>
                <w:b/>
                <w:color w:val="000000"/>
                <w:sz w:val="20"/>
                <w:szCs w:val="20"/>
              </w:rPr>
              <w:t>16,889</w:t>
            </w:r>
          </w:p>
        </w:tc>
      </w:tr>
    </w:tbl>
    <w:p w14:paraId="564A64F4" w14:textId="77777777" w:rsidR="00644151" w:rsidRDefault="00425878">
      <w:pPr>
        <w:rPr>
          <w:sz w:val="22"/>
          <w:szCs w:val="22"/>
        </w:rPr>
      </w:pPr>
      <w:r>
        <w:rPr>
          <w:sz w:val="22"/>
          <w:szCs w:val="22"/>
        </w:rPr>
        <w:t>Fuente: Unidad Departamental de Panteones, Iztapalapa, 2019-2020.</w:t>
      </w:r>
    </w:p>
    <w:p w14:paraId="7F0FBAE1" w14:textId="77777777" w:rsidR="00644151" w:rsidRDefault="00644151">
      <w:pPr>
        <w:rPr>
          <w:sz w:val="22"/>
          <w:szCs w:val="22"/>
        </w:rPr>
      </w:pPr>
    </w:p>
    <w:p w14:paraId="19814C91" w14:textId="498B60DE" w:rsidR="00644151" w:rsidRDefault="00EF5294" w:rsidP="00644A75">
      <w:pPr>
        <w:pStyle w:val="Ttulo2"/>
      </w:pPr>
      <w:bookmarkStart w:id="50" w:name="_Toc89075387"/>
      <w:r>
        <w:t xml:space="preserve">2.6 </w:t>
      </w:r>
      <w:r w:rsidR="00425878">
        <w:t>Demanda del servicio</w:t>
      </w:r>
      <w:bookmarkEnd w:id="50"/>
    </w:p>
    <w:p w14:paraId="10630FD9" w14:textId="6A3F9B0F" w:rsidR="00644151" w:rsidRDefault="00425878">
      <w:pPr>
        <w:spacing w:line="360" w:lineRule="auto"/>
      </w:pPr>
      <w:r>
        <w:t xml:space="preserve">De acuerdo con las estadísticas de defunción, la media de defunciones anuales registradas de 2016-2019 es de 11 331 defunciones anuales y la media de inhumaciones </w:t>
      </w:r>
      <w:r w:rsidR="007A52BA">
        <w:t xml:space="preserve">reportadas por la </w:t>
      </w:r>
      <w:r w:rsidR="007A52BA" w:rsidRPr="007A52BA">
        <w:t>Unidad Departamental de Panteones, Iztapalapa, 2020</w:t>
      </w:r>
      <w:r w:rsidR="007A52BA">
        <w:t xml:space="preserve"> </w:t>
      </w:r>
      <w:r>
        <w:t xml:space="preserve">para el mismo periodo es de 3 973 (Tabla </w:t>
      </w:r>
      <w:r w:rsidR="00346F97">
        <w:t>6</w:t>
      </w:r>
      <w:r>
        <w:t xml:space="preserve">), lo cual indica que el 35% de la población demanda el servicio de inhumación el alguno de los panteones públicos de la Alcaldía. </w:t>
      </w:r>
    </w:p>
    <w:p w14:paraId="4363C203" w14:textId="7F6E3A93" w:rsidR="00644151" w:rsidRDefault="00425878">
      <w:pPr>
        <w:spacing w:line="360" w:lineRule="auto"/>
      </w:pPr>
      <w:r>
        <w:t xml:space="preserve">La tabla </w:t>
      </w:r>
      <w:r w:rsidR="00346F97">
        <w:t>6</w:t>
      </w:r>
      <w:r>
        <w:t xml:space="preserve"> presenta los servicios de inhumación prestados por los panteones de la Alcaldía Iztapalapa en </w:t>
      </w:r>
      <w:r w:rsidR="000669C3">
        <w:t xml:space="preserve">periodo de </w:t>
      </w:r>
      <w:r>
        <w:t xml:space="preserve">2016-2020, los panteones generales y el delegacional se encuentran </w:t>
      </w:r>
      <w:r>
        <w:lastRenderedPageBreak/>
        <w:t>desglosados por el número de servicios que brindó cada uno, en tanto los panteones vecinales se encuentran agrupados en un mismo campo.</w:t>
      </w:r>
    </w:p>
    <w:p w14:paraId="6516C02F" w14:textId="77777777" w:rsidR="00644151" w:rsidRDefault="00425878">
      <w:pPr>
        <w:pBdr>
          <w:top w:val="nil"/>
          <w:left w:val="nil"/>
          <w:bottom w:val="nil"/>
          <w:right w:val="nil"/>
          <w:between w:val="nil"/>
        </w:pBdr>
        <w:spacing w:after="200" w:line="240" w:lineRule="auto"/>
        <w:rPr>
          <w:color w:val="44546A"/>
          <w:sz w:val="18"/>
          <w:szCs w:val="18"/>
        </w:rPr>
      </w:pPr>
      <w:bookmarkStart w:id="51" w:name="_heading=h.4f1mdlm" w:colFirst="0" w:colLast="0"/>
      <w:bookmarkEnd w:id="51"/>
      <w:r>
        <w:rPr>
          <w:i/>
          <w:color w:val="44546A"/>
          <w:sz w:val="18"/>
          <w:szCs w:val="18"/>
        </w:rPr>
        <w:t>Tabla 6. Total, de servicios de inhumación prestados por la Alcaldía Iztapalapa para el periodo 2016-2020.</w:t>
      </w:r>
    </w:p>
    <w:tbl>
      <w:tblPr>
        <w:tblStyle w:val="Tablaconcuadrcula"/>
        <w:tblW w:w="8360" w:type="dxa"/>
        <w:tblLook w:val="04A0" w:firstRow="1" w:lastRow="0" w:firstColumn="1" w:lastColumn="0" w:noHBand="0" w:noVBand="1"/>
      </w:tblPr>
      <w:tblGrid>
        <w:gridCol w:w="1220"/>
        <w:gridCol w:w="1220"/>
        <w:gridCol w:w="1480"/>
        <w:gridCol w:w="1480"/>
        <w:gridCol w:w="1480"/>
        <w:gridCol w:w="1480"/>
      </w:tblGrid>
      <w:tr w:rsidR="007A52BA" w:rsidRPr="007A52BA" w14:paraId="110FD1CD" w14:textId="77777777" w:rsidTr="007A52BA">
        <w:trPr>
          <w:trHeight w:val="315"/>
        </w:trPr>
        <w:tc>
          <w:tcPr>
            <w:tcW w:w="1220" w:type="dxa"/>
            <w:vMerge w:val="restart"/>
            <w:hideMark/>
          </w:tcPr>
          <w:p w14:paraId="3125049E"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Tipo de panteón</w:t>
            </w:r>
          </w:p>
        </w:tc>
        <w:tc>
          <w:tcPr>
            <w:tcW w:w="1220" w:type="dxa"/>
            <w:vMerge w:val="restart"/>
            <w:hideMark/>
          </w:tcPr>
          <w:p w14:paraId="742EF7CA"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Nombre del panteón</w:t>
            </w:r>
          </w:p>
        </w:tc>
        <w:tc>
          <w:tcPr>
            <w:tcW w:w="5920" w:type="dxa"/>
            <w:gridSpan w:val="4"/>
            <w:hideMark/>
          </w:tcPr>
          <w:p w14:paraId="48E4EAC8" w14:textId="77777777" w:rsidR="007A52BA" w:rsidRPr="007A52BA" w:rsidRDefault="007A52BA" w:rsidP="007A52BA">
            <w:pPr>
              <w:jc w:val="center"/>
              <w:rPr>
                <w:rFonts w:ascii="Calibri" w:hAnsi="Calibri" w:cs="Calibri"/>
                <w:color w:val="000000"/>
                <w:sz w:val="20"/>
                <w:szCs w:val="20"/>
              </w:rPr>
            </w:pPr>
            <w:proofErr w:type="gramStart"/>
            <w:r w:rsidRPr="007A52BA">
              <w:rPr>
                <w:rFonts w:ascii="Calibri" w:hAnsi="Calibri" w:cs="Calibri"/>
                <w:color w:val="000000"/>
                <w:sz w:val="20"/>
                <w:szCs w:val="20"/>
              </w:rPr>
              <w:t>Total</w:t>
            </w:r>
            <w:proofErr w:type="gramEnd"/>
            <w:r w:rsidRPr="007A52BA">
              <w:rPr>
                <w:rFonts w:ascii="Calibri" w:hAnsi="Calibri" w:cs="Calibri"/>
                <w:color w:val="000000"/>
                <w:sz w:val="20"/>
                <w:szCs w:val="20"/>
              </w:rPr>
              <w:t xml:space="preserve"> de inhumaciones anuales</w:t>
            </w:r>
          </w:p>
        </w:tc>
      </w:tr>
      <w:tr w:rsidR="007A52BA" w:rsidRPr="007A52BA" w14:paraId="2B1B7B98" w14:textId="77777777" w:rsidTr="007A52BA">
        <w:trPr>
          <w:trHeight w:val="315"/>
        </w:trPr>
        <w:tc>
          <w:tcPr>
            <w:tcW w:w="1220" w:type="dxa"/>
            <w:vMerge/>
            <w:hideMark/>
          </w:tcPr>
          <w:p w14:paraId="26F06277" w14:textId="77777777" w:rsidR="007A52BA" w:rsidRPr="007A52BA" w:rsidRDefault="007A52BA" w:rsidP="007A52BA">
            <w:pPr>
              <w:jc w:val="left"/>
              <w:rPr>
                <w:rFonts w:ascii="Calibri" w:hAnsi="Calibri" w:cs="Calibri"/>
                <w:color w:val="000000"/>
                <w:sz w:val="20"/>
                <w:szCs w:val="20"/>
              </w:rPr>
            </w:pPr>
          </w:p>
        </w:tc>
        <w:tc>
          <w:tcPr>
            <w:tcW w:w="1220" w:type="dxa"/>
            <w:vMerge/>
            <w:hideMark/>
          </w:tcPr>
          <w:p w14:paraId="6EFE4386" w14:textId="77777777" w:rsidR="007A52BA" w:rsidRPr="007A52BA" w:rsidRDefault="007A52BA" w:rsidP="007A52BA">
            <w:pPr>
              <w:jc w:val="left"/>
              <w:rPr>
                <w:rFonts w:ascii="Calibri" w:hAnsi="Calibri" w:cs="Calibri"/>
                <w:color w:val="000000"/>
                <w:sz w:val="20"/>
                <w:szCs w:val="20"/>
              </w:rPr>
            </w:pPr>
          </w:p>
        </w:tc>
        <w:tc>
          <w:tcPr>
            <w:tcW w:w="1480" w:type="dxa"/>
            <w:hideMark/>
          </w:tcPr>
          <w:p w14:paraId="2B7152C8"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2016</w:t>
            </w:r>
          </w:p>
        </w:tc>
        <w:tc>
          <w:tcPr>
            <w:tcW w:w="1480" w:type="dxa"/>
            <w:hideMark/>
          </w:tcPr>
          <w:p w14:paraId="35819A19"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2017</w:t>
            </w:r>
          </w:p>
        </w:tc>
        <w:tc>
          <w:tcPr>
            <w:tcW w:w="1480" w:type="dxa"/>
            <w:hideMark/>
          </w:tcPr>
          <w:p w14:paraId="480189F2"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2018</w:t>
            </w:r>
          </w:p>
        </w:tc>
        <w:tc>
          <w:tcPr>
            <w:tcW w:w="1480" w:type="dxa"/>
            <w:hideMark/>
          </w:tcPr>
          <w:p w14:paraId="7E15F316"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2019</w:t>
            </w:r>
          </w:p>
        </w:tc>
      </w:tr>
      <w:tr w:rsidR="007A52BA" w:rsidRPr="007A52BA" w14:paraId="2458C79A" w14:textId="77777777" w:rsidTr="007A52BA">
        <w:trPr>
          <w:trHeight w:val="495"/>
        </w:trPr>
        <w:tc>
          <w:tcPr>
            <w:tcW w:w="1220" w:type="dxa"/>
            <w:hideMark/>
          </w:tcPr>
          <w:p w14:paraId="58613F93" w14:textId="77777777" w:rsidR="007A52BA" w:rsidRPr="007A52BA" w:rsidRDefault="007A52BA" w:rsidP="007A52BA">
            <w:pPr>
              <w:jc w:val="center"/>
              <w:rPr>
                <w:rFonts w:ascii="Calibri" w:hAnsi="Calibri" w:cs="Calibri"/>
                <w:color w:val="000000"/>
                <w:sz w:val="16"/>
                <w:szCs w:val="16"/>
              </w:rPr>
            </w:pPr>
            <w:r w:rsidRPr="007A52BA">
              <w:rPr>
                <w:rFonts w:ascii="Calibri" w:hAnsi="Calibri" w:cs="Calibri"/>
                <w:color w:val="000000"/>
                <w:sz w:val="16"/>
                <w:szCs w:val="16"/>
              </w:rPr>
              <w:t>civil general</w:t>
            </w:r>
          </w:p>
        </w:tc>
        <w:tc>
          <w:tcPr>
            <w:tcW w:w="1220" w:type="dxa"/>
            <w:hideMark/>
          </w:tcPr>
          <w:p w14:paraId="25D0BD93"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san Nicolás Tolentino</w:t>
            </w:r>
          </w:p>
        </w:tc>
        <w:tc>
          <w:tcPr>
            <w:tcW w:w="1480" w:type="dxa"/>
            <w:hideMark/>
          </w:tcPr>
          <w:p w14:paraId="54057BB4"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1,751</w:t>
            </w:r>
          </w:p>
        </w:tc>
        <w:tc>
          <w:tcPr>
            <w:tcW w:w="1480" w:type="dxa"/>
            <w:hideMark/>
          </w:tcPr>
          <w:p w14:paraId="71679748"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1,824</w:t>
            </w:r>
          </w:p>
        </w:tc>
        <w:tc>
          <w:tcPr>
            <w:tcW w:w="1480" w:type="dxa"/>
            <w:hideMark/>
          </w:tcPr>
          <w:p w14:paraId="2E239EC4"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1,425</w:t>
            </w:r>
          </w:p>
        </w:tc>
        <w:tc>
          <w:tcPr>
            <w:tcW w:w="1480" w:type="dxa"/>
            <w:hideMark/>
          </w:tcPr>
          <w:p w14:paraId="278E978D"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1,586</w:t>
            </w:r>
          </w:p>
        </w:tc>
      </w:tr>
      <w:tr w:rsidR="007A52BA" w:rsidRPr="007A52BA" w14:paraId="40774E8F" w14:textId="77777777" w:rsidTr="007A52BA">
        <w:trPr>
          <w:trHeight w:val="495"/>
        </w:trPr>
        <w:tc>
          <w:tcPr>
            <w:tcW w:w="1220" w:type="dxa"/>
            <w:hideMark/>
          </w:tcPr>
          <w:p w14:paraId="7CEE2E71" w14:textId="77777777" w:rsidR="007A52BA" w:rsidRPr="007A52BA" w:rsidRDefault="007A52BA" w:rsidP="007A52BA">
            <w:pPr>
              <w:jc w:val="center"/>
              <w:rPr>
                <w:rFonts w:ascii="Calibri" w:hAnsi="Calibri" w:cs="Calibri"/>
                <w:color w:val="000000"/>
                <w:sz w:val="16"/>
                <w:szCs w:val="16"/>
              </w:rPr>
            </w:pPr>
            <w:r w:rsidRPr="007A52BA">
              <w:rPr>
                <w:rFonts w:ascii="Calibri" w:hAnsi="Calibri" w:cs="Calibri"/>
                <w:color w:val="000000"/>
                <w:sz w:val="16"/>
                <w:szCs w:val="16"/>
              </w:rPr>
              <w:t>civil general</w:t>
            </w:r>
          </w:p>
        </w:tc>
        <w:tc>
          <w:tcPr>
            <w:tcW w:w="1220" w:type="dxa"/>
            <w:hideMark/>
          </w:tcPr>
          <w:p w14:paraId="58789A8A"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San lorenzo Tezonco</w:t>
            </w:r>
          </w:p>
        </w:tc>
        <w:tc>
          <w:tcPr>
            <w:tcW w:w="1480" w:type="dxa"/>
            <w:hideMark/>
          </w:tcPr>
          <w:p w14:paraId="25CD72C8"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1,375</w:t>
            </w:r>
          </w:p>
        </w:tc>
        <w:tc>
          <w:tcPr>
            <w:tcW w:w="1480" w:type="dxa"/>
            <w:hideMark/>
          </w:tcPr>
          <w:p w14:paraId="55B9238B"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1,392</w:t>
            </w:r>
          </w:p>
        </w:tc>
        <w:tc>
          <w:tcPr>
            <w:tcW w:w="1480" w:type="dxa"/>
            <w:hideMark/>
          </w:tcPr>
          <w:p w14:paraId="3A9570E0"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1,107</w:t>
            </w:r>
          </w:p>
        </w:tc>
        <w:tc>
          <w:tcPr>
            <w:tcW w:w="1480" w:type="dxa"/>
            <w:hideMark/>
          </w:tcPr>
          <w:p w14:paraId="12181200"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1,307</w:t>
            </w:r>
          </w:p>
        </w:tc>
      </w:tr>
      <w:tr w:rsidR="007A52BA" w:rsidRPr="007A52BA" w14:paraId="10ACA0A0" w14:textId="77777777" w:rsidTr="007A52BA">
        <w:trPr>
          <w:trHeight w:val="465"/>
        </w:trPr>
        <w:tc>
          <w:tcPr>
            <w:tcW w:w="1220" w:type="dxa"/>
            <w:hideMark/>
          </w:tcPr>
          <w:p w14:paraId="3C0DA582" w14:textId="77777777" w:rsidR="007A52BA" w:rsidRPr="007A52BA" w:rsidRDefault="007A52BA" w:rsidP="007A52BA">
            <w:pPr>
              <w:jc w:val="center"/>
              <w:rPr>
                <w:rFonts w:ascii="Calibri" w:hAnsi="Calibri" w:cs="Calibri"/>
                <w:color w:val="000000"/>
                <w:sz w:val="16"/>
                <w:szCs w:val="16"/>
              </w:rPr>
            </w:pPr>
            <w:r w:rsidRPr="007A52BA">
              <w:rPr>
                <w:rFonts w:ascii="Calibri" w:hAnsi="Calibri" w:cs="Calibri"/>
                <w:color w:val="000000"/>
                <w:sz w:val="16"/>
                <w:szCs w:val="16"/>
              </w:rPr>
              <w:t xml:space="preserve">civil delegacional </w:t>
            </w:r>
          </w:p>
        </w:tc>
        <w:tc>
          <w:tcPr>
            <w:tcW w:w="1220" w:type="dxa"/>
            <w:hideMark/>
          </w:tcPr>
          <w:p w14:paraId="729332BB"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Iztapalapa</w:t>
            </w:r>
          </w:p>
        </w:tc>
        <w:tc>
          <w:tcPr>
            <w:tcW w:w="1480" w:type="dxa"/>
            <w:hideMark/>
          </w:tcPr>
          <w:p w14:paraId="140E2D37"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336</w:t>
            </w:r>
          </w:p>
        </w:tc>
        <w:tc>
          <w:tcPr>
            <w:tcW w:w="1480" w:type="dxa"/>
            <w:hideMark/>
          </w:tcPr>
          <w:p w14:paraId="7EE9656D"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286</w:t>
            </w:r>
          </w:p>
        </w:tc>
        <w:tc>
          <w:tcPr>
            <w:tcW w:w="1480" w:type="dxa"/>
            <w:hideMark/>
          </w:tcPr>
          <w:p w14:paraId="5AE50D9E"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253</w:t>
            </w:r>
          </w:p>
        </w:tc>
        <w:tc>
          <w:tcPr>
            <w:tcW w:w="1480" w:type="dxa"/>
            <w:hideMark/>
          </w:tcPr>
          <w:p w14:paraId="20484C87"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286</w:t>
            </w:r>
          </w:p>
        </w:tc>
      </w:tr>
      <w:tr w:rsidR="007A52BA" w:rsidRPr="007A52BA" w14:paraId="0566D9A3" w14:textId="77777777" w:rsidTr="007A52BA">
        <w:trPr>
          <w:trHeight w:val="495"/>
        </w:trPr>
        <w:tc>
          <w:tcPr>
            <w:tcW w:w="1220" w:type="dxa"/>
            <w:hideMark/>
          </w:tcPr>
          <w:p w14:paraId="499ADBD6" w14:textId="77777777" w:rsidR="007A52BA" w:rsidRPr="007A52BA" w:rsidRDefault="007A52BA" w:rsidP="007A52BA">
            <w:pPr>
              <w:jc w:val="center"/>
              <w:rPr>
                <w:rFonts w:ascii="Calibri" w:hAnsi="Calibri" w:cs="Calibri"/>
                <w:color w:val="000000"/>
                <w:sz w:val="16"/>
                <w:szCs w:val="16"/>
              </w:rPr>
            </w:pPr>
            <w:r w:rsidRPr="007A52BA">
              <w:rPr>
                <w:rFonts w:ascii="Calibri" w:hAnsi="Calibri" w:cs="Calibri"/>
                <w:color w:val="000000"/>
                <w:sz w:val="16"/>
                <w:szCs w:val="16"/>
              </w:rPr>
              <w:t xml:space="preserve">civiles vecinales </w:t>
            </w:r>
          </w:p>
        </w:tc>
        <w:tc>
          <w:tcPr>
            <w:tcW w:w="1220" w:type="dxa"/>
            <w:hideMark/>
          </w:tcPr>
          <w:p w14:paraId="54F0860B"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siete vecinales</w:t>
            </w:r>
          </w:p>
        </w:tc>
        <w:tc>
          <w:tcPr>
            <w:tcW w:w="1480" w:type="dxa"/>
            <w:hideMark/>
          </w:tcPr>
          <w:p w14:paraId="2A534404"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738</w:t>
            </w:r>
          </w:p>
        </w:tc>
        <w:tc>
          <w:tcPr>
            <w:tcW w:w="1480" w:type="dxa"/>
            <w:hideMark/>
          </w:tcPr>
          <w:p w14:paraId="57651622"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784</w:t>
            </w:r>
          </w:p>
        </w:tc>
        <w:tc>
          <w:tcPr>
            <w:tcW w:w="1480" w:type="dxa"/>
            <w:hideMark/>
          </w:tcPr>
          <w:p w14:paraId="5C0EF788"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649</w:t>
            </w:r>
          </w:p>
        </w:tc>
        <w:tc>
          <w:tcPr>
            <w:tcW w:w="1480" w:type="dxa"/>
            <w:hideMark/>
          </w:tcPr>
          <w:p w14:paraId="453B0CCC" w14:textId="77777777" w:rsidR="007A52BA" w:rsidRPr="007A52BA" w:rsidRDefault="007A52BA" w:rsidP="007A52BA">
            <w:pPr>
              <w:jc w:val="center"/>
              <w:rPr>
                <w:rFonts w:ascii="Calibri" w:hAnsi="Calibri" w:cs="Calibri"/>
                <w:color w:val="000000"/>
                <w:sz w:val="18"/>
                <w:szCs w:val="18"/>
              </w:rPr>
            </w:pPr>
            <w:r w:rsidRPr="007A52BA">
              <w:rPr>
                <w:rFonts w:ascii="Calibri" w:hAnsi="Calibri" w:cs="Calibri"/>
                <w:color w:val="000000"/>
                <w:sz w:val="18"/>
                <w:szCs w:val="18"/>
              </w:rPr>
              <w:t>739</w:t>
            </w:r>
          </w:p>
        </w:tc>
      </w:tr>
      <w:tr w:rsidR="007A52BA" w:rsidRPr="007A52BA" w14:paraId="31B5034D" w14:textId="77777777" w:rsidTr="007A52BA">
        <w:trPr>
          <w:trHeight w:val="315"/>
        </w:trPr>
        <w:tc>
          <w:tcPr>
            <w:tcW w:w="2440" w:type="dxa"/>
            <w:gridSpan w:val="2"/>
            <w:hideMark/>
          </w:tcPr>
          <w:p w14:paraId="55B7E86D" w14:textId="77777777" w:rsidR="007A52BA" w:rsidRPr="007A52BA" w:rsidRDefault="007A52BA" w:rsidP="007A52BA">
            <w:pPr>
              <w:jc w:val="center"/>
              <w:rPr>
                <w:rFonts w:ascii="Calibri" w:hAnsi="Calibri" w:cs="Calibri"/>
                <w:color w:val="000000"/>
                <w:sz w:val="20"/>
                <w:szCs w:val="20"/>
              </w:rPr>
            </w:pPr>
            <w:r w:rsidRPr="007A52BA">
              <w:rPr>
                <w:rFonts w:ascii="Calibri" w:hAnsi="Calibri" w:cs="Calibri"/>
                <w:color w:val="000000"/>
                <w:sz w:val="20"/>
                <w:szCs w:val="20"/>
              </w:rPr>
              <w:t>TOTAL</w:t>
            </w:r>
          </w:p>
        </w:tc>
        <w:tc>
          <w:tcPr>
            <w:tcW w:w="1480" w:type="dxa"/>
            <w:hideMark/>
          </w:tcPr>
          <w:p w14:paraId="0B5C8FDE"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4,200</w:t>
            </w:r>
          </w:p>
        </w:tc>
        <w:tc>
          <w:tcPr>
            <w:tcW w:w="1480" w:type="dxa"/>
            <w:hideMark/>
          </w:tcPr>
          <w:p w14:paraId="7907EB32"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4,286</w:t>
            </w:r>
          </w:p>
        </w:tc>
        <w:tc>
          <w:tcPr>
            <w:tcW w:w="1480" w:type="dxa"/>
            <w:hideMark/>
          </w:tcPr>
          <w:p w14:paraId="3FD6DC2B"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3,434</w:t>
            </w:r>
          </w:p>
        </w:tc>
        <w:tc>
          <w:tcPr>
            <w:tcW w:w="1480" w:type="dxa"/>
            <w:hideMark/>
          </w:tcPr>
          <w:p w14:paraId="30C932F7" w14:textId="77777777" w:rsidR="007A52BA" w:rsidRPr="007A52BA" w:rsidRDefault="007A52BA" w:rsidP="007A52BA">
            <w:pPr>
              <w:jc w:val="center"/>
              <w:rPr>
                <w:rFonts w:ascii="Calibri" w:hAnsi="Calibri" w:cs="Calibri"/>
                <w:b/>
                <w:bCs/>
                <w:color w:val="000000"/>
                <w:sz w:val="20"/>
                <w:szCs w:val="20"/>
              </w:rPr>
            </w:pPr>
            <w:r w:rsidRPr="007A52BA">
              <w:rPr>
                <w:rFonts w:ascii="Calibri" w:hAnsi="Calibri" w:cs="Calibri"/>
                <w:b/>
                <w:bCs/>
                <w:color w:val="000000"/>
                <w:sz w:val="20"/>
                <w:szCs w:val="20"/>
              </w:rPr>
              <w:t>3,918</w:t>
            </w:r>
          </w:p>
        </w:tc>
      </w:tr>
    </w:tbl>
    <w:p w14:paraId="4F9DA964" w14:textId="77777777" w:rsidR="00644151" w:rsidRDefault="00425878">
      <w:pPr>
        <w:spacing w:after="0"/>
        <w:rPr>
          <w:sz w:val="22"/>
          <w:szCs w:val="22"/>
        </w:rPr>
      </w:pPr>
      <w:r>
        <w:rPr>
          <w:sz w:val="22"/>
          <w:szCs w:val="22"/>
        </w:rPr>
        <w:t>Fuente: Unidad Departamental de Panteones, Iztapalapa, 2020.</w:t>
      </w:r>
    </w:p>
    <w:p w14:paraId="19260865" w14:textId="77777777" w:rsidR="00644151" w:rsidRDefault="00644151">
      <w:pPr>
        <w:spacing w:line="360" w:lineRule="auto"/>
      </w:pPr>
    </w:p>
    <w:p w14:paraId="61CC3CE0" w14:textId="4DB22788" w:rsidR="00644151" w:rsidRDefault="00425878">
      <w:pPr>
        <w:spacing w:line="360" w:lineRule="auto"/>
        <w:rPr>
          <w:highlight w:val="yellow"/>
        </w:rPr>
      </w:pPr>
      <w:r>
        <w:t xml:space="preserve">El panteón San Nicolás Tolentino es el único panteón de la Alcaldía que brinda </w:t>
      </w:r>
      <w:r w:rsidR="007A52BA">
        <w:t>el servicio de cremación</w:t>
      </w:r>
      <w:r>
        <w:t xml:space="preserve"> </w:t>
      </w:r>
      <w:r w:rsidR="007A52BA">
        <w:t>(</w:t>
      </w:r>
      <w:r>
        <w:t xml:space="preserve">por contar con las instalaciones y equipo </w:t>
      </w:r>
      <w:r w:rsidR="007A52BA">
        <w:t xml:space="preserve">necesario), </w:t>
      </w:r>
      <w:r>
        <w:t xml:space="preserve">La Tabla 7 muestra los servicios de cremación </w:t>
      </w:r>
      <w:r w:rsidR="007A52BA">
        <w:t>reportados</w:t>
      </w:r>
      <w:r>
        <w:t xml:space="preserve"> para el periodo 2016-2019</w:t>
      </w:r>
      <w:r w:rsidR="007A52BA">
        <w:t xml:space="preserve"> donde la media anual de cremaciones es de 4 037 lo cual sugiere que el 36% del promedio de defunciones para el mismo año opta por el servicio de cremación.</w:t>
      </w:r>
      <w:r w:rsidR="000669C3">
        <w:t xml:space="preserve"> </w:t>
      </w:r>
    </w:p>
    <w:p w14:paraId="73485123" w14:textId="77777777" w:rsidR="00644151" w:rsidRDefault="00425878">
      <w:pPr>
        <w:pBdr>
          <w:top w:val="nil"/>
          <w:left w:val="nil"/>
          <w:bottom w:val="nil"/>
          <w:right w:val="nil"/>
          <w:between w:val="nil"/>
        </w:pBdr>
        <w:spacing w:after="200" w:line="240" w:lineRule="auto"/>
        <w:rPr>
          <w:color w:val="44546A"/>
          <w:sz w:val="18"/>
          <w:szCs w:val="18"/>
        </w:rPr>
      </w:pPr>
      <w:bookmarkStart w:id="52" w:name="_heading=h.2u6wntf" w:colFirst="0" w:colLast="0"/>
      <w:bookmarkEnd w:id="52"/>
      <w:r>
        <w:rPr>
          <w:i/>
          <w:color w:val="44546A"/>
          <w:sz w:val="18"/>
          <w:szCs w:val="18"/>
        </w:rPr>
        <w:t>Tabla 7. Servicio de cremaciones del panteón San Nicolás Tolentino, periodo 2016 -2017.</w:t>
      </w:r>
    </w:p>
    <w:tbl>
      <w:tblPr>
        <w:tblStyle w:val="aff"/>
        <w:tblW w:w="8828"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2178"/>
        <w:gridCol w:w="1579"/>
        <w:gridCol w:w="1882"/>
        <w:gridCol w:w="1769"/>
        <w:gridCol w:w="1420"/>
      </w:tblGrid>
      <w:tr w:rsidR="00644151" w14:paraId="54E8A5FD" w14:textId="77777777" w:rsidTr="007A52BA">
        <w:tc>
          <w:tcPr>
            <w:tcW w:w="2178" w:type="dxa"/>
            <w:vAlign w:val="center"/>
          </w:tcPr>
          <w:p w14:paraId="385D9DE8" w14:textId="77777777" w:rsidR="00644151" w:rsidRDefault="00644151">
            <w:pPr>
              <w:jc w:val="center"/>
            </w:pPr>
          </w:p>
        </w:tc>
        <w:tc>
          <w:tcPr>
            <w:tcW w:w="1579" w:type="dxa"/>
            <w:vAlign w:val="center"/>
          </w:tcPr>
          <w:p w14:paraId="7A7FA039" w14:textId="77777777" w:rsidR="00644151" w:rsidRDefault="00425878">
            <w:pPr>
              <w:jc w:val="center"/>
            </w:pPr>
            <w:r>
              <w:t>2016</w:t>
            </w:r>
          </w:p>
        </w:tc>
        <w:tc>
          <w:tcPr>
            <w:tcW w:w="1882" w:type="dxa"/>
            <w:vAlign w:val="center"/>
          </w:tcPr>
          <w:p w14:paraId="0D32ADD6" w14:textId="77777777" w:rsidR="00644151" w:rsidRDefault="00425878">
            <w:pPr>
              <w:jc w:val="center"/>
            </w:pPr>
            <w:r>
              <w:t>2017</w:t>
            </w:r>
          </w:p>
        </w:tc>
        <w:tc>
          <w:tcPr>
            <w:tcW w:w="1769" w:type="dxa"/>
            <w:vAlign w:val="center"/>
          </w:tcPr>
          <w:p w14:paraId="6C43996C" w14:textId="77777777" w:rsidR="00644151" w:rsidRDefault="00425878">
            <w:pPr>
              <w:jc w:val="center"/>
            </w:pPr>
            <w:r>
              <w:t>2018</w:t>
            </w:r>
          </w:p>
        </w:tc>
        <w:tc>
          <w:tcPr>
            <w:tcW w:w="1420" w:type="dxa"/>
            <w:vAlign w:val="center"/>
          </w:tcPr>
          <w:p w14:paraId="7861A44A" w14:textId="77777777" w:rsidR="00644151" w:rsidRDefault="00425878">
            <w:pPr>
              <w:jc w:val="center"/>
            </w:pPr>
            <w:r>
              <w:t>2019</w:t>
            </w:r>
          </w:p>
        </w:tc>
      </w:tr>
      <w:tr w:rsidR="00644151" w14:paraId="09777635" w14:textId="77777777" w:rsidTr="007A52BA">
        <w:tc>
          <w:tcPr>
            <w:tcW w:w="2178" w:type="dxa"/>
            <w:vAlign w:val="center"/>
          </w:tcPr>
          <w:p w14:paraId="7C34C588" w14:textId="77777777" w:rsidR="00644151" w:rsidRDefault="00425878">
            <w:pPr>
              <w:jc w:val="left"/>
            </w:pPr>
            <w:r>
              <w:t>Servicio de cremaciones</w:t>
            </w:r>
          </w:p>
        </w:tc>
        <w:tc>
          <w:tcPr>
            <w:tcW w:w="1579" w:type="dxa"/>
            <w:vAlign w:val="center"/>
          </w:tcPr>
          <w:p w14:paraId="0F8ADE75" w14:textId="77777777" w:rsidR="00644151" w:rsidRDefault="00425878">
            <w:pPr>
              <w:jc w:val="center"/>
            </w:pPr>
            <w:r>
              <w:t>4,104</w:t>
            </w:r>
          </w:p>
        </w:tc>
        <w:tc>
          <w:tcPr>
            <w:tcW w:w="1882" w:type="dxa"/>
            <w:vAlign w:val="center"/>
          </w:tcPr>
          <w:p w14:paraId="5D84DF48" w14:textId="77777777" w:rsidR="00644151" w:rsidRDefault="00425878">
            <w:pPr>
              <w:jc w:val="center"/>
            </w:pPr>
            <w:r>
              <w:t>4,056</w:t>
            </w:r>
          </w:p>
        </w:tc>
        <w:tc>
          <w:tcPr>
            <w:tcW w:w="1769" w:type="dxa"/>
            <w:vAlign w:val="center"/>
          </w:tcPr>
          <w:p w14:paraId="4D76B083" w14:textId="77777777" w:rsidR="00644151" w:rsidRDefault="00425878">
            <w:pPr>
              <w:jc w:val="center"/>
            </w:pPr>
            <w:r>
              <w:t>3,838</w:t>
            </w:r>
          </w:p>
        </w:tc>
        <w:tc>
          <w:tcPr>
            <w:tcW w:w="1420" w:type="dxa"/>
            <w:vAlign w:val="center"/>
          </w:tcPr>
          <w:p w14:paraId="5D5E65E2" w14:textId="77777777" w:rsidR="00644151" w:rsidRDefault="00425878">
            <w:pPr>
              <w:jc w:val="center"/>
            </w:pPr>
            <w:r>
              <w:t>4,148</w:t>
            </w:r>
          </w:p>
        </w:tc>
      </w:tr>
    </w:tbl>
    <w:p w14:paraId="46FE8055" w14:textId="77777777" w:rsidR="00644151" w:rsidRDefault="00425878">
      <w:pPr>
        <w:rPr>
          <w:sz w:val="22"/>
          <w:szCs w:val="22"/>
        </w:rPr>
      </w:pPr>
      <w:r>
        <w:rPr>
          <w:sz w:val="22"/>
          <w:szCs w:val="22"/>
        </w:rPr>
        <w:t>Fuente: Unidad Departamental de Panteones, Iztapalapa, 2020.</w:t>
      </w:r>
    </w:p>
    <w:p w14:paraId="76BB4A56" w14:textId="77777777" w:rsidR="00644151" w:rsidRDefault="00644151">
      <w:pPr>
        <w:spacing w:line="360" w:lineRule="auto"/>
        <w:rPr>
          <w:strike/>
        </w:rPr>
      </w:pPr>
    </w:p>
    <w:p w14:paraId="0A1FBF3B" w14:textId="27695D0A" w:rsidR="00644151" w:rsidRDefault="000669C3" w:rsidP="000669C3">
      <w:pPr>
        <w:spacing w:line="360" w:lineRule="auto"/>
        <w:rPr>
          <w:strike/>
        </w:rPr>
      </w:pPr>
      <w:r>
        <w:t>De esta forma se observa que la demanda media en este periodo (2016-2019) es del 35% de servicios de inhumación, 36% de servicios de cremación y el restante 29% es probable que opte por el servicio de entierro en algún panteón privado, por el servicio de cremación en la iniciativa privada o bien, por el servicio de inhumación en algún otro panteón al exterior de la alcaldía.</w:t>
      </w:r>
    </w:p>
    <w:p w14:paraId="7EF7E2D1" w14:textId="77777777" w:rsidR="00644151" w:rsidRDefault="00644151">
      <w:pPr>
        <w:spacing w:line="360" w:lineRule="auto"/>
        <w:rPr>
          <w:strike/>
        </w:rPr>
      </w:pPr>
    </w:p>
    <w:p w14:paraId="06C56876" w14:textId="77777777" w:rsidR="00644151" w:rsidRDefault="00644151">
      <w:pPr>
        <w:spacing w:line="360" w:lineRule="auto"/>
        <w:rPr>
          <w:strike/>
        </w:rPr>
      </w:pPr>
    </w:p>
    <w:p w14:paraId="5E452625" w14:textId="77777777" w:rsidR="00644151" w:rsidRDefault="00644151">
      <w:pPr>
        <w:spacing w:line="360" w:lineRule="auto"/>
        <w:rPr>
          <w:strike/>
        </w:rPr>
      </w:pPr>
    </w:p>
    <w:p w14:paraId="1DD54AE3" w14:textId="77777777" w:rsidR="00644151" w:rsidRDefault="00644151">
      <w:pPr>
        <w:spacing w:line="360" w:lineRule="auto"/>
        <w:rPr>
          <w:strike/>
        </w:rPr>
      </w:pPr>
    </w:p>
    <w:p w14:paraId="1AA69A18" w14:textId="77777777" w:rsidR="00644151" w:rsidRDefault="00644151">
      <w:pPr>
        <w:spacing w:line="360" w:lineRule="auto"/>
        <w:rPr>
          <w:strike/>
        </w:rPr>
      </w:pPr>
    </w:p>
    <w:p w14:paraId="047243F8" w14:textId="77777777" w:rsidR="00644151" w:rsidRDefault="00644151">
      <w:pPr>
        <w:spacing w:line="360" w:lineRule="auto"/>
        <w:rPr>
          <w:strike/>
        </w:rPr>
      </w:pPr>
    </w:p>
    <w:p w14:paraId="2EA62BE1" w14:textId="77777777" w:rsidR="00644151" w:rsidRDefault="00644151">
      <w:pPr>
        <w:spacing w:line="360" w:lineRule="auto"/>
        <w:rPr>
          <w:strike/>
        </w:rPr>
      </w:pPr>
    </w:p>
    <w:p w14:paraId="37EE25B7" w14:textId="77777777" w:rsidR="00644151" w:rsidRDefault="00644151">
      <w:pPr>
        <w:spacing w:line="360" w:lineRule="auto"/>
        <w:rPr>
          <w:strike/>
        </w:rPr>
      </w:pPr>
    </w:p>
    <w:p w14:paraId="463FFAEE" w14:textId="77777777" w:rsidR="00644151" w:rsidRDefault="00644151">
      <w:pPr>
        <w:spacing w:line="360" w:lineRule="auto"/>
        <w:rPr>
          <w:strike/>
        </w:rPr>
      </w:pPr>
    </w:p>
    <w:p w14:paraId="1F8A6118" w14:textId="77777777" w:rsidR="00644151" w:rsidRDefault="00644151">
      <w:pPr>
        <w:spacing w:line="360" w:lineRule="auto"/>
        <w:rPr>
          <w:strike/>
        </w:rPr>
      </w:pPr>
    </w:p>
    <w:p w14:paraId="1ABB8706" w14:textId="77777777" w:rsidR="00644151" w:rsidRDefault="00644151">
      <w:pPr>
        <w:spacing w:line="360" w:lineRule="auto"/>
        <w:rPr>
          <w:strike/>
        </w:rPr>
      </w:pPr>
    </w:p>
    <w:p w14:paraId="2737B897" w14:textId="77777777" w:rsidR="00644151" w:rsidRDefault="00644151">
      <w:pPr>
        <w:spacing w:line="360" w:lineRule="auto"/>
        <w:rPr>
          <w:strike/>
        </w:rPr>
      </w:pPr>
    </w:p>
    <w:p w14:paraId="1FB1304E" w14:textId="77777777" w:rsidR="00644151" w:rsidRDefault="00644151">
      <w:pPr>
        <w:spacing w:line="360" w:lineRule="auto"/>
        <w:rPr>
          <w:strike/>
        </w:rPr>
      </w:pPr>
    </w:p>
    <w:p w14:paraId="6B96E3B2" w14:textId="77777777" w:rsidR="00644151" w:rsidRDefault="00644151">
      <w:pPr>
        <w:spacing w:line="360" w:lineRule="auto"/>
        <w:rPr>
          <w:strike/>
        </w:rPr>
      </w:pPr>
    </w:p>
    <w:p w14:paraId="16AA08D2" w14:textId="77777777" w:rsidR="00644151" w:rsidRDefault="00644151">
      <w:pPr>
        <w:spacing w:line="360" w:lineRule="auto"/>
        <w:rPr>
          <w:strike/>
        </w:rPr>
      </w:pPr>
    </w:p>
    <w:p w14:paraId="14211C29" w14:textId="77777777" w:rsidR="00644151" w:rsidRDefault="00644151">
      <w:pPr>
        <w:spacing w:line="360" w:lineRule="auto"/>
        <w:rPr>
          <w:strike/>
        </w:rPr>
      </w:pPr>
    </w:p>
    <w:p w14:paraId="55420964" w14:textId="77777777" w:rsidR="00644151" w:rsidRDefault="00425878">
      <w:pPr>
        <w:spacing w:line="360" w:lineRule="auto"/>
      </w:pPr>
      <w:r>
        <w:rPr>
          <w:noProof/>
        </w:rPr>
        <mc:AlternateContent>
          <mc:Choice Requires="wpg">
            <w:drawing>
              <wp:anchor distT="0" distB="0" distL="0" distR="0" simplePos="0" relativeHeight="251664384" behindDoc="1" locked="0" layoutInCell="1" hidden="0" allowOverlap="1" wp14:anchorId="7A7C3678" wp14:editId="0A42A02B">
                <wp:simplePos x="0" y="0"/>
                <wp:positionH relativeFrom="page">
                  <wp:posOffset>492438</wp:posOffset>
                </wp:positionH>
                <wp:positionV relativeFrom="page">
                  <wp:posOffset>242570</wp:posOffset>
                </wp:positionV>
                <wp:extent cx="2194560" cy="9125712"/>
                <wp:effectExtent l="0" t="0" r="0" b="0"/>
                <wp:wrapNone/>
                <wp:docPr id="298" name="Grupo 298"/>
                <wp:cNvGraphicFramePr/>
                <a:graphic xmlns:a="http://schemas.openxmlformats.org/drawingml/2006/main">
                  <a:graphicData uri="http://schemas.microsoft.com/office/word/2010/wordprocessingGroup">
                    <wpg:wgp>
                      <wpg:cNvGrpSpPr/>
                      <wpg:grpSpPr>
                        <a:xfrm>
                          <a:off x="0" y="0"/>
                          <a:ext cx="2194560" cy="9125712"/>
                          <a:chOff x="4248720" y="0"/>
                          <a:chExt cx="2194560" cy="7560000"/>
                        </a:xfrm>
                      </wpg:grpSpPr>
                      <wpg:grpSp>
                        <wpg:cNvPr id="261" name="Grupo 261"/>
                        <wpg:cNvGrpSpPr/>
                        <wpg:grpSpPr>
                          <a:xfrm>
                            <a:off x="4248720" y="0"/>
                            <a:ext cx="2194560" cy="7560000"/>
                            <a:chOff x="4248720" y="0"/>
                            <a:chExt cx="2194560" cy="7560000"/>
                          </a:xfrm>
                        </wpg:grpSpPr>
                        <wps:wsp>
                          <wps:cNvPr id="262" name="Rectángulo 262"/>
                          <wps:cNvSpPr/>
                          <wps:spPr>
                            <a:xfrm>
                              <a:off x="4248720" y="0"/>
                              <a:ext cx="2194550" cy="7560000"/>
                            </a:xfrm>
                            <a:prstGeom prst="rect">
                              <a:avLst/>
                            </a:prstGeom>
                            <a:noFill/>
                            <a:ln>
                              <a:noFill/>
                            </a:ln>
                          </wps:spPr>
                          <wps:txbx>
                            <w:txbxContent>
                              <w:p w14:paraId="0EAB8D63"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263" name="Grupo 263"/>
                          <wpg:cNvGrpSpPr/>
                          <wpg:grpSpPr>
                            <a:xfrm>
                              <a:off x="4248720" y="0"/>
                              <a:ext cx="2194560" cy="7560000"/>
                              <a:chOff x="4248720" y="0"/>
                              <a:chExt cx="2194560" cy="7560000"/>
                            </a:xfrm>
                          </wpg:grpSpPr>
                          <wps:wsp>
                            <wps:cNvPr id="264" name="Rectángulo 264"/>
                            <wps:cNvSpPr/>
                            <wps:spPr>
                              <a:xfrm>
                                <a:off x="4248720" y="0"/>
                                <a:ext cx="2194550" cy="7560000"/>
                              </a:xfrm>
                              <a:prstGeom prst="rect">
                                <a:avLst/>
                              </a:prstGeom>
                              <a:noFill/>
                              <a:ln>
                                <a:noFill/>
                              </a:ln>
                            </wps:spPr>
                            <wps:txbx>
                              <w:txbxContent>
                                <w:p w14:paraId="69D4B3FF"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265" name="Grupo 265"/>
                            <wpg:cNvGrpSpPr/>
                            <wpg:grpSpPr>
                              <a:xfrm>
                                <a:off x="4248720" y="0"/>
                                <a:ext cx="2194560" cy="7560000"/>
                                <a:chOff x="0" y="0"/>
                                <a:chExt cx="2194560" cy="9125712"/>
                              </a:xfrm>
                            </wpg:grpSpPr>
                            <wps:wsp>
                              <wps:cNvPr id="266" name="Rectángulo 266"/>
                              <wps:cNvSpPr/>
                              <wps:spPr>
                                <a:xfrm>
                                  <a:off x="0" y="0"/>
                                  <a:ext cx="2194550" cy="9125700"/>
                                </a:xfrm>
                                <a:prstGeom prst="rect">
                                  <a:avLst/>
                                </a:prstGeom>
                                <a:noFill/>
                                <a:ln>
                                  <a:noFill/>
                                </a:ln>
                              </wps:spPr>
                              <wps:txbx>
                                <w:txbxContent>
                                  <w:p w14:paraId="40839A5A"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267" name="Rectángulo 267"/>
                              <wps:cNvSpPr/>
                              <wps:spPr>
                                <a:xfrm>
                                  <a:off x="0" y="0"/>
                                  <a:ext cx="194535" cy="9125712"/>
                                </a:xfrm>
                                <a:prstGeom prst="rect">
                                  <a:avLst/>
                                </a:prstGeom>
                                <a:solidFill>
                                  <a:schemeClr val="dk2"/>
                                </a:solidFill>
                                <a:ln>
                                  <a:noFill/>
                                </a:ln>
                              </wps:spPr>
                              <wps:txbx>
                                <w:txbxContent>
                                  <w:p w14:paraId="11AD8AC2"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268" name="Flecha: pentágono 268"/>
                              <wps:cNvSpPr/>
                              <wps:spPr>
                                <a:xfrm>
                                  <a:off x="0" y="1466850"/>
                                  <a:ext cx="2194560" cy="552055"/>
                                </a:xfrm>
                                <a:prstGeom prst="homePlate">
                                  <a:avLst>
                                    <a:gd name="adj" fmla="val 50000"/>
                                  </a:avLst>
                                </a:prstGeom>
                                <a:solidFill>
                                  <a:schemeClr val="accent1"/>
                                </a:solidFill>
                                <a:ln>
                                  <a:noFill/>
                                </a:ln>
                              </wps:spPr>
                              <wps:txbx>
                                <w:txbxContent>
                                  <w:p w14:paraId="21271FAE" w14:textId="64E2C53F" w:rsidR="001076C8" w:rsidRDefault="001076C8">
                                    <w:pPr>
                                      <w:spacing w:after="0" w:line="240" w:lineRule="auto"/>
                                      <w:jc w:val="right"/>
                                      <w:textDirection w:val="btLr"/>
                                    </w:pPr>
                                    <w:r>
                                      <w:rPr>
                                        <w:rFonts w:ascii="Arial" w:eastAsia="Arial" w:hAnsi="Arial" w:cs="Arial"/>
                                        <w:color w:val="FFFFFF"/>
                                        <w:sz w:val="28"/>
                                      </w:rPr>
                                      <w:t xml:space="preserve">Capítulo </w:t>
                                    </w:r>
                                    <w:r w:rsidR="00D70445">
                                      <w:rPr>
                                        <w:rFonts w:ascii="Arial" w:eastAsia="Arial" w:hAnsi="Arial" w:cs="Arial"/>
                                        <w:color w:val="FFFFFF"/>
                                        <w:sz w:val="28"/>
                                      </w:rPr>
                                      <w:t>3</w:t>
                                    </w:r>
                                    <w:r>
                                      <w:rPr>
                                        <w:rFonts w:ascii="Arial" w:eastAsia="Arial" w:hAnsi="Arial" w:cs="Arial"/>
                                        <w:color w:val="FFFFFF"/>
                                        <w:sz w:val="28"/>
                                      </w:rPr>
                                      <w:t>.</w:t>
                                    </w:r>
                                  </w:p>
                                </w:txbxContent>
                              </wps:txbx>
                              <wps:bodyPr spcFirstLastPara="1" wrap="square" lIns="91425" tIns="0" rIns="182875" bIns="0" anchor="ctr" anchorCtr="0">
                                <a:noAutofit/>
                              </wps:bodyPr>
                            </wps:wsp>
                            <wpg:grpSp>
                              <wpg:cNvPr id="269" name="Grupo 269"/>
                              <wpg:cNvGrpSpPr/>
                              <wpg:grpSpPr>
                                <a:xfrm>
                                  <a:off x="76200" y="4210050"/>
                                  <a:ext cx="2057400" cy="4910328"/>
                                  <a:chOff x="80645" y="4211812"/>
                                  <a:chExt cx="1306273" cy="3121026"/>
                                </a:xfrm>
                              </wpg:grpSpPr>
                              <wpg:grpSp>
                                <wpg:cNvPr id="270" name="Grupo 270"/>
                                <wpg:cNvGrpSpPr/>
                                <wpg:grpSpPr>
                                  <a:xfrm>
                                    <a:off x="141062" y="4211812"/>
                                    <a:ext cx="1047750" cy="3121026"/>
                                    <a:chOff x="141062" y="4211812"/>
                                    <a:chExt cx="1047750" cy="3121026"/>
                                  </a:xfrm>
                                </wpg:grpSpPr>
                                <wps:wsp>
                                  <wps:cNvPr id="271" name="Forma libre: forma 271"/>
                                  <wps:cNvSpPr/>
                                  <wps:spPr>
                                    <a:xfrm>
                                      <a:off x="369662" y="6216825"/>
                                      <a:ext cx="193675" cy="698500"/>
                                    </a:xfrm>
                                    <a:custGeom>
                                      <a:avLst/>
                                      <a:gdLst/>
                                      <a:ahLst/>
                                      <a:cxnLst/>
                                      <a:rect l="l" t="t" r="r" b="b"/>
                                      <a:pathLst>
                                        <a:path w="122" h="440" extrusionOk="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2" name="Forma libre: forma 272"/>
                                  <wps:cNvSpPr/>
                                  <wps:spPr>
                                    <a:xfrm>
                                      <a:off x="572862" y="6905800"/>
                                      <a:ext cx="184150" cy="427038"/>
                                    </a:xfrm>
                                    <a:custGeom>
                                      <a:avLst/>
                                      <a:gdLst/>
                                      <a:ahLst/>
                                      <a:cxnLst/>
                                      <a:rect l="l" t="t" r="r" b="b"/>
                                      <a:pathLst>
                                        <a:path w="116" h="269" extrusionOk="0">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3" name="Forma libre: forma 273"/>
                                  <wps:cNvSpPr/>
                                  <wps:spPr>
                                    <a:xfrm>
                                      <a:off x="141062" y="4211812"/>
                                      <a:ext cx="222250" cy="2019300"/>
                                    </a:xfrm>
                                    <a:custGeom>
                                      <a:avLst/>
                                      <a:gdLst/>
                                      <a:ahLst/>
                                      <a:cxnLst/>
                                      <a:rect l="l" t="t" r="r" b="b"/>
                                      <a:pathLst>
                                        <a:path w="140" h="1272" extrusionOk="0">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4" name="Forma libre: forma 274"/>
                                  <wps:cNvSpPr/>
                                  <wps:spPr>
                                    <a:xfrm>
                                      <a:off x="341087" y="4861100"/>
                                      <a:ext cx="71438" cy="1355725"/>
                                    </a:xfrm>
                                    <a:custGeom>
                                      <a:avLst/>
                                      <a:gdLst/>
                                      <a:ahLst/>
                                      <a:cxnLst/>
                                      <a:rect l="l" t="t" r="r" b="b"/>
                                      <a:pathLst>
                                        <a:path w="45" h="854" extrusionOk="0">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5" name="Forma libre: forma 275"/>
                                  <wps:cNvSpPr/>
                                  <wps:spPr>
                                    <a:xfrm>
                                      <a:off x="363312" y="6231112"/>
                                      <a:ext cx="244475" cy="998538"/>
                                    </a:xfrm>
                                    <a:custGeom>
                                      <a:avLst/>
                                      <a:gdLst/>
                                      <a:ahLst/>
                                      <a:cxnLst/>
                                      <a:rect l="l" t="t" r="r" b="b"/>
                                      <a:pathLst>
                                        <a:path w="154" h="629" extrusionOk="0">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6" name="Forma libre: forma 276"/>
                                  <wps:cNvSpPr/>
                                  <wps:spPr>
                                    <a:xfrm>
                                      <a:off x="620487" y="7223300"/>
                                      <a:ext cx="52388" cy="109538"/>
                                    </a:xfrm>
                                    <a:custGeom>
                                      <a:avLst/>
                                      <a:gdLst/>
                                      <a:ahLst/>
                                      <a:cxnLst/>
                                      <a:rect l="l" t="t" r="r" b="b"/>
                                      <a:pathLst>
                                        <a:path w="33" h="69" extrusionOk="0">
                                          <a:moveTo>
                                            <a:pt x="0" y="0"/>
                                          </a:moveTo>
                                          <a:lnTo>
                                            <a:pt x="33" y="69"/>
                                          </a:lnTo>
                                          <a:lnTo>
                                            <a:pt x="24" y="69"/>
                                          </a:lnTo>
                                          <a:lnTo>
                                            <a:pt x="12" y="3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7" name="Forma libre: forma 277"/>
                                  <wps:cNvSpPr/>
                                  <wps:spPr>
                                    <a:xfrm>
                                      <a:off x="355374" y="6153325"/>
                                      <a:ext cx="23813" cy="147638"/>
                                    </a:xfrm>
                                    <a:custGeom>
                                      <a:avLst/>
                                      <a:gdLst/>
                                      <a:ahLst/>
                                      <a:cxnLst/>
                                      <a:rect l="l" t="t" r="r" b="b"/>
                                      <a:pathLst>
                                        <a:path w="15" h="93" extrusionOk="0">
                                          <a:moveTo>
                                            <a:pt x="0" y="0"/>
                                          </a:moveTo>
                                          <a:lnTo>
                                            <a:pt x="9" y="37"/>
                                          </a:lnTo>
                                          <a:lnTo>
                                            <a:pt x="9" y="40"/>
                                          </a:lnTo>
                                          <a:lnTo>
                                            <a:pt x="15" y="93"/>
                                          </a:lnTo>
                                          <a:lnTo>
                                            <a:pt x="5" y="4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8" name="Forma libre: forma 278"/>
                                  <wps:cNvSpPr/>
                                  <wps:spPr>
                                    <a:xfrm>
                                      <a:off x="563337" y="5689775"/>
                                      <a:ext cx="625475" cy="1216025"/>
                                    </a:xfrm>
                                    <a:custGeom>
                                      <a:avLst/>
                                      <a:gdLst/>
                                      <a:ahLst/>
                                      <a:cxnLst/>
                                      <a:rect l="l" t="t" r="r" b="b"/>
                                      <a:pathLst>
                                        <a:path w="394" h="766" extrusionOk="0">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79" name="Forma libre: forma 279"/>
                                  <wps:cNvSpPr/>
                                  <wps:spPr>
                                    <a:xfrm>
                                      <a:off x="563337" y="6915325"/>
                                      <a:ext cx="57150" cy="307975"/>
                                    </a:xfrm>
                                    <a:custGeom>
                                      <a:avLst/>
                                      <a:gdLst/>
                                      <a:ahLst/>
                                      <a:cxnLst/>
                                      <a:rect l="l" t="t" r="r" b="b"/>
                                      <a:pathLst>
                                        <a:path w="36" h="194" extrusionOk="0">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80" name="Forma libre: forma 280"/>
                                  <wps:cNvSpPr/>
                                  <wps:spPr>
                                    <a:xfrm>
                                      <a:off x="607787" y="7229650"/>
                                      <a:ext cx="49213" cy="103188"/>
                                    </a:xfrm>
                                    <a:custGeom>
                                      <a:avLst/>
                                      <a:gdLst/>
                                      <a:ahLst/>
                                      <a:cxnLst/>
                                      <a:rect l="l" t="t" r="r" b="b"/>
                                      <a:pathLst>
                                        <a:path w="31" h="65" extrusionOk="0">
                                          <a:moveTo>
                                            <a:pt x="0" y="0"/>
                                          </a:moveTo>
                                          <a:lnTo>
                                            <a:pt x="31" y="65"/>
                                          </a:lnTo>
                                          <a:lnTo>
                                            <a:pt x="23" y="6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81" name="Forma libre: forma 281"/>
                                  <wps:cNvSpPr/>
                                  <wps:spPr>
                                    <a:xfrm>
                                      <a:off x="563337" y="6878812"/>
                                      <a:ext cx="11113" cy="66675"/>
                                    </a:xfrm>
                                    <a:custGeom>
                                      <a:avLst/>
                                      <a:gdLst/>
                                      <a:ahLst/>
                                      <a:cxnLst/>
                                      <a:rect l="l" t="t" r="r" b="b"/>
                                      <a:pathLst>
                                        <a:path w="7" h="42" extrusionOk="0">
                                          <a:moveTo>
                                            <a:pt x="0" y="0"/>
                                          </a:moveTo>
                                          <a:lnTo>
                                            <a:pt x="6" y="17"/>
                                          </a:lnTo>
                                          <a:lnTo>
                                            <a:pt x="7" y="42"/>
                                          </a:lnTo>
                                          <a:lnTo>
                                            <a:pt x="6" y="39"/>
                                          </a:lnTo>
                                          <a:lnTo>
                                            <a:pt x="0" y="2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282" name="Forma libre: forma 282"/>
                                  <wps:cNvSpPr/>
                                  <wps:spPr>
                                    <a:xfrm>
                                      <a:off x="587149" y="7145512"/>
                                      <a:ext cx="71438" cy="187325"/>
                                    </a:xfrm>
                                    <a:custGeom>
                                      <a:avLst/>
                                      <a:gdLst/>
                                      <a:ahLst/>
                                      <a:cxnLst/>
                                      <a:rect l="l" t="t" r="r" b="b"/>
                                      <a:pathLst>
                                        <a:path w="45" h="118" extrusionOk="0">
                                          <a:moveTo>
                                            <a:pt x="0" y="0"/>
                                          </a:moveTo>
                                          <a:lnTo>
                                            <a:pt x="6" y="16"/>
                                          </a:lnTo>
                                          <a:lnTo>
                                            <a:pt x="21" y="49"/>
                                          </a:lnTo>
                                          <a:lnTo>
                                            <a:pt x="33" y="84"/>
                                          </a:lnTo>
                                          <a:lnTo>
                                            <a:pt x="45" y="118"/>
                                          </a:lnTo>
                                          <a:lnTo>
                                            <a:pt x="44" y="118"/>
                                          </a:lnTo>
                                          <a:lnTo>
                                            <a:pt x="13" y="53"/>
                                          </a:lnTo>
                                          <a:lnTo>
                                            <a:pt x="11" y="42"/>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g:grpSp>
                              <wpg:grpSp>
                                <wpg:cNvPr id="283" name="Grupo 283"/>
                                <wpg:cNvGrpSpPr/>
                                <wpg:grpSpPr>
                                  <a:xfrm>
                                    <a:off x="80645" y="4826972"/>
                                    <a:ext cx="1306273" cy="2505863"/>
                                    <a:chOff x="80645" y="4649964"/>
                                    <a:chExt cx="874712" cy="1677988"/>
                                  </a:xfrm>
                                </wpg:grpSpPr>
                                <wps:wsp>
                                  <wps:cNvPr id="284" name="Forma libre: forma 284"/>
                                  <wps:cNvSpPr/>
                                  <wps:spPr>
                                    <a:xfrm>
                                      <a:off x="118745" y="5189714"/>
                                      <a:ext cx="198438" cy="714375"/>
                                    </a:xfrm>
                                    <a:custGeom>
                                      <a:avLst/>
                                      <a:gdLst/>
                                      <a:ahLst/>
                                      <a:cxnLst/>
                                      <a:rect l="l" t="t" r="r" b="b"/>
                                      <a:pathLst>
                                        <a:path w="125" h="450" extrusionOk="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85" name="Forma libre: forma 285"/>
                                  <wps:cNvSpPr/>
                                  <wps:spPr>
                                    <a:xfrm>
                                      <a:off x="328295" y="5891389"/>
                                      <a:ext cx="187325" cy="436563"/>
                                    </a:xfrm>
                                    <a:custGeom>
                                      <a:avLst/>
                                      <a:gdLst/>
                                      <a:ahLst/>
                                      <a:cxnLst/>
                                      <a:rect l="l" t="t" r="r" b="b"/>
                                      <a:pathLst>
                                        <a:path w="118" h="275" extrusionOk="0">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92" name="Forma libre: forma 292"/>
                                  <wps:cNvSpPr/>
                                  <wps:spPr>
                                    <a:xfrm>
                                      <a:off x="80645" y="5010327"/>
                                      <a:ext cx="31750" cy="192088"/>
                                    </a:xfrm>
                                    <a:custGeom>
                                      <a:avLst/>
                                      <a:gdLst/>
                                      <a:ahLst/>
                                      <a:cxnLst/>
                                      <a:rect l="l" t="t" r="r" b="b"/>
                                      <a:pathLst>
                                        <a:path w="20" h="121" extrusionOk="0">
                                          <a:moveTo>
                                            <a:pt x="0" y="0"/>
                                          </a:moveTo>
                                          <a:lnTo>
                                            <a:pt x="16" y="72"/>
                                          </a:lnTo>
                                          <a:lnTo>
                                            <a:pt x="20" y="121"/>
                                          </a:lnTo>
                                          <a:lnTo>
                                            <a:pt x="18" y="112"/>
                                          </a:lnTo>
                                          <a:lnTo>
                                            <a:pt x="0" y="31"/>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93" name="Forma libre: forma 293"/>
                                  <wps:cNvSpPr/>
                                  <wps:spPr>
                                    <a:xfrm>
                                      <a:off x="112395" y="5202414"/>
                                      <a:ext cx="250825" cy="1020763"/>
                                    </a:xfrm>
                                    <a:custGeom>
                                      <a:avLst/>
                                      <a:gdLst/>
                                      <a:ahLst/>
                                      <a:cxnLst/>
                                      <a:rect l="l" t="t" r="r" b="b"/>
                                      <a:pathLst>
                                        <a:path w="158" h="643" extrusionOk="0">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299" name="Forma libre: forma 299"/>
                                  <wps:cNvSpPr/>
                                  <wps:spPr>
                                    <a:xfrm>
                                      <a:off x="375920" y="6215239"/>
                                      <a:ext cx="52388" cy="112713"/>
                                    </a:xfrm>
                                    <a:custGeom>
                                      <a:avLst/>
                                      <a:gdLst/>
                                      <a:ahLst/>
                                      <a:cxnLst/>
                                      <a:rect l="l" t="t" r="r" b="b"/>
                                      <a:pathLst>
                                        <a:path w="33" h="71" extrusionOk="0">
                                          <a:moveTo>
                                            <a:pt x="0" y="0"/>
                                          </a:moveTo>
                                          <a:lnTo>
                                            <a:pt x="33" y="71"/>
                                          </a:lnTo>
                                          <a:lnTo>
                                            <a:pt x="24" y="71"/>
                                          </a:lnTo>
                                          <a:lnTo>
                                            <a:pt x="11" y="3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1" name="Forma libre: forma 301"/>
                                  <wps:cNvSpPr/>
                                  <wps:spPr>
                                    <a:xfrm>
                                      <a:off x="106045" y="5124627"/>
                                      <a:ext cx="23813" cy="150813"/>
                                    </a:xfrm>
                                    <a:custGeom>
                                      <a:avLst/>
                                      <a:gdLst/>
                                      <a:ahLst/>
                                      <a:cxnLst/>
                                      <a:rect l="l" t="t" r="r" b="b"/>
                                      <a:pathLst>
                                        <a:path w="15" h="95" extrusionOk="0">
                                          <a:moveTo>
                                            <a:pt x="0" y="0"/>
                                          </a:moveTo>
                                          <a:lnTo>
                                            <a:pt x="8" y="37"/>
                                          </a:lnTo>
                                          <a:lnTo>
                                            <a:pt x="8" y="41"/>
                                          </a:lnTo>
                                          <a:lnTo>
                                            <a:pt x="15" y="95"/>
                                          </a:lnTo>
                                          <a:lnTo>
                                            <a:pt x="4" y="49"/>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2" name="Forma libre: forma 302"/>
                                  <wps:cNvSpPr/>
                                  <wps:spPr>
                                    <a:xfrm>
                                      <a:off x="317182" y="4649964"/>
                                      <a:ext cx="638175" cy="1241425"/>
                                    </a:xfrm>
                                    <a:custGeom>
                                      <a:avLst/>
                                      <a:gdLst/>
                                      <a:ahLst/>
                                      <a:cxnLst/>
                                      <a:rect l="l" t="t" r="r" b="b"/>
                                      <a:pathLst>
                                        <a:path w="402" h="782" extrusionOk="0">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4" name="Forma libre: forma 304"/>
                                  <wps:cNvSpPr/>
                                  <wps:spPr>
                                    <a:xfrm>
                                      <a:off x="317182" y="5904089"/>
                                      <a:ext cx="58738" cy="311150"/>
                                    </a:xfrm>
                                    <a:custGeom>
                                      <a:avLst/>
                                      <a:gdLst/>
                                      <a:ahLst/>
                                      <a:cxnLst/>
                                      <a:rect l="l" t="t" r="r" b="b"/>
                                      <a:pathLst>
                                        <a:path w="37" h="196" extrusionOk="0">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5" name="Forma libre: forma 305"/>
                                  <wps:cNvSpPr/>
                                  <wps:spPr>
                                    <a:xfrm>
                                      <a:off x="363220" y="6223177"/>
                                      <a:ext cx="49213" cy="104775"/>
                                    </a:xfrm>
                                    <a:custGeom>
                                      <a:avLst/>
                                      <a:gdLst/>
                                      <a:ahLst/>
                                      <a:cxnLst/>
                                      <a:rect l="l" t="t" r="r" b="b"/>
                                      <a:pathLst>
                                        <a:path w="31" h="66" extrusionOk="0">
                                          <a:moveTo>
                                            <a:pt x="0" y="0"/>
                                          </a:moveTo>
                                          <a:lnTo>
                                            <a:pt x="31" y="66"/>
                                          </a:lnTo>
                                          <a:lnTo>
                                            <a:pt x="24" y="6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7" name="Forma libre: forma 307"/>
                                  <wps:cNvSpPr/>
                                  <wps:spPr>
                                    <a:xfrm>
                                      <a:off x="317182" y="5864402"/>
                                      <a:ext cx="11113" cy="68263"/>
                                    </a:xfrm>
                                    <a:custGeom>
                                      <a:avLst/>
                                      <a:gdLst/>
                                      <a:ahLst/>
                                      <a:cxnLst/>
                                      <a:rect l="l" t="t" r="r" b="b"/>
                                      <a:pathLst>
                                        <a:path w="7" h="43" extrusionOk="0">
                                          <a:moveTo>
                                            <a:pt x="0" y="0"/>
                                          </a:moveTo>
                                          <a:lnTo>
                                            <a:pt x="7" y="17"/>
                                          </a:lnTo>
                                          <a:lnTo>
                                            <a:pt x="7" y="43"/>
                                          </a:lnTo>
                                          <a:lnTo>
                                            <a:pt x="6" y="40"/>
                                          </a:lnTo>
                                          <a:lnTo>
                                            <a:pt x="0" y="25"/>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309" name="Forma libre: forma 309"/>
                                  <wps:cNvSpPr/>
                                  <wps:spPr>
                                    <a:xfrm>
                                      <a:off x="340995" y="6135864"/>
                                      <a:ext cx="73025" cy="192088"/>
                                    </a:xfrm>
                                    <a:custGeom>
                                      <a:avLst/>
                                      <a:gdLst/>
                                      <a:ahLst/>
                                      <a:cxnLst/>
                                      <a:rect l="l" t="t" r="r" b="b"/>
                                      <a:pathLst>
                                        <a:path w="46" h="121" extrusionOk="0">
                                          <a:moveTo>
                                            <a:pt x="0" y="0"/>
                                          </a:moveTo>
                                          <a:lnTo>
                                            <a:pt x="7" y="16"/>
                                          </a:lnTo>
                                          <a:lnTo>
                                            <a:pt x="22" y="50"/>
                                          </a:lnTo>
                                          <a:lnTo>
                                            <a:pt x="33" y="86"/>
                                          </a:lnTo>
                                          <a:lnTo>
                                            <a:pt x="46" y="121"/>
                                          </a:lnTo>
                                          <a:lnTo>
                                            <a:pt x="45" y="121"/>
                                          </a:lnTo>
                                          <a:lnTo>
                                            <a:pt x="14" y="55"/>
                                          </a:lnTo>
                                          <a:lnTo>
                                            <a:pt x="11" y="4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anchor>
            </w:drawing>
          </mc:Choice>
          <mc:Fallback>
            <w:pict>
              <v:group w14:anchorId="7A7C3678" id="Grupo 298" o:spid="_x0000_s1098" style="position:absolute;left:0;text-align:left;margin-left:38.75pt;margin-top:19.1pt;width:172.8pt;height:718.55pt;z-index:-251652096;mso-wrap-distance-left:0;mso-wrap-distance-right:0;mso-position-horizontal-relative:page;mso-position-vertical-relative:page" coordorigin="42487" coordsize="21945,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">
                <v:group id="Grupo 261" o:spid="_x0000_s1099"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rect id="Rectángulo 262" o:spid="_x0000_s1100"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" filled="f" stroked="f">
                    <v:textbox inset="2.53958mm,2.53958mm,2.53958mm,2.53958mm">
                      <w:txbxContent>
                        <w:p w14:paraId="0EAB8D63" w14:textId="77777777" w:rsidR="001076C8" w:rsidRDefault="001076C8">
                          <w:pPr>
                            <w:spacing w:after="0" w:line="240" w:lineRule="auto"/>
                            <w:jc w:val="left"/>
                            <w:textDirection w:val="btLr"/>
                          </w:pPr>
                        </w:p>
                      </w:txbxContent>
                    </v:textbox>
                  </v:rect>
                  <v:group id="Grupo 263" o:spid="_x0000_s1101"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">
                    <v:rect id="Rectángulo 264" o:spid="_x0000_s1102"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" filled="f" stroked="f">
                      <v:textbox inset="2.53958mm,2.53958mm,2.53958mm,2.53958mm">
                        <w:txbxContent>
                          <w:p w14:paraId="69D4B3FF" w14:textId="77777777" w:rsidR="001076C8" w:rsidRDefault="001076C8">
                            <w:pPr>
                              <w:spacing w:after="0" w:line="240" w:lineRule="auto"/>
                              <w:jc w:val="left"/>
                              <w:textDirection w:val="btLr"/>
                            </w:pPr>
                          </w:p>
                        </w:txbxContent>
                      </v:textbox>
                    </v:rect>
                    <v:group id="Grupo 265" o:spid="_x0000_s1103" style="position:absolute;left:42487;width:21945;height:75600" coordsize="21945,91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rect id="Rectángulo 266" o:spid="_x0000_s1104" style="position:absolute;width:2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" filled="f" stroked="f">
                        <v:textbox inset="2.53958mm,2.53958mm,2.53958mm,2.53958mm">
                          <w:txbxContent>
                            <w:p w14:paraId="40839A5A" w14:textId="77777777" w:rsidR="001076C8" w:rsidRDefault="001076C8">
                              <w:pPr>
                                <w:spacing w:after="0" w:line="240" w:lineRule="auto"/>
                                <w:jc w:val="left"/>
                                <w:textDirection w:val="btLr"/>
                              </w:pPr>
                            </w:p>
                          </w:txbxContent>
                        </v:textbox>
                      </v:rect>
                      <v:rect id="Rectángulo 267" o:spid="_x0000_s1105"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" fillcolor="#44546a [3202]" stroked="f">
                        <v:textbox inset="2.53958mm,2.53958mm,2.53958mm,2.53958mm">
                          <w:txbxContent>
                            <w:p w14:paraId="11AD8AC2" w14:textId="77777777" w:rsidR="001076C8" w:rsidRDefault="001076C8">
                              <w:pPr>
                                <w:spacing w:after="0" w:line="240" w:lineRule="auto"/>
                                <w:jc w:val="left"/>
                                <w:textDirection w:val="btLr"/>
                              </w:pPr>
                            </w:p>
                          </w:txbxContent>
                        </v:textbox>
                      </v:rect>
                      <v:shape id="Flecha: pentágono 268" o:spid="_x0000_s1106"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" adj="18883" fillcolor="#4472c4 [3204]" stroked="f">
                        <v:textbox inset="2.53958mm,0,5.07986mm,0">
                          <w:txbxContent>
                            <w:p w14:paraId="21271FAE" w14:textId="64E2C53F" w:rsidR="001076C8" w:rsidRDefault="001076C8">
                              <w:pPr>
                                <w:spacing w:after="0" w:line="240" w:lineRule="auto"/>
                                <w:jc w:val="right"/>
                                <w:textDirection w:val="btLr"/>
                              </w:pPr>
                              <w:r>
                                <w:rPr>
                                  <w:rFonts w:ascii="Arial" w:eastAsia="Arial" w:hAnsi="Arial" w:cs="Arial"/>
                                  <w:color w:val="FFFFFF"/>
                                  <w:sz w:val="28"/>
                                </w:rPr>
                                <w:t xml:space="preserve">Capítulo </w:t>
                              </w:r>
                              <w:r w:rsidR="00D70445">
                                <w:rPr>
                                  <w:rFonts w:ascii="Arial" w:eastAsia="Arial" w:hAnsi="Arial" w:cs="Arial"/>
                                  <w:color w:val="FFFFFF"/>
                                  <w:sz w:val="28"/>
                                </w:rPr>
                                <w:t>3</w:t>
                              </w:r>
                              <w:r>
                                <w:rPr>
                                  <w:rFonts w:ascii="Arial" w:eastAsia="Arial" w:hAnsi="Arial" w:cs="Arial"/>
                                  <w:color w:val="FFFFFF"/>
                                  <w:sz w:val="28"/>
                                </w:rPr>
                                <w:t>.</w:t>
                              </w:r>
                            </w:p>
                          </w:txbxContent>
                        </v:textbox>
                      </v:shape>
                      <v:group id="Grupo 269" o:spid="_x0000_s1107"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">
                        <v:group id="Grupo 270" o:spid="_x0000_s1108"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">
                          <v:shape id="Forma libre: forma 271" o:spid="_x0000_s1109" style="position:absolute;left:3696;top:62168;width:1937;height:6985;visibility:visible;mso-wrap-style:square;v-text-anchor:middle"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" path="m,l39,152,84,304r38,113l122,440,76,306,39,180,6,53,,xe" fillcolor="#44546a [3202]" strokecolor="#44546a [3202]">
                            <v:stroke startarrowwidth="narrow" startarrowlength="short" endarrowwidth="narrow" endarrowlength="short"/>
                            <v:path arrowok="t" o:extrusionok="f"/>
                          </v:shape>
                          <v:shape id="Forma libre: forma 272" o:spid="_x0000_s1110" style="position:absolute;left:5728;top:69058;width:1842;height:4270;visibility:visible;mso-wrap-style:square;v-text-anchor:middle"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" path="m,l8,19,37,93r30,74l116,269r-8,l60,169,30,98,1,25,,xe" fillcolor="#44546a [3202]" strokecolor="#44546a [3202]">
                            <v:stroke startarrowwidth="narrow" startarrowlength="short" endarrowwidth="narrow" endarrowlength="short"/>
                            <v:path arrowok="t" o:extrusionok="f"/>
                          </v:shape>
                          <v:shape id="Forma libre: forma 273" o:spid="_x0000_s1111" style="position:absolute;left:1410;top:42118;width:2223;height:20193;visibility:visible;mso-wrap-style:square;v-text-anchor:middle"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" path="m,l,,1,79r2,80l12,317,23,476,39,634,58,792,83,948r24,138l135,1223r5,49l138,1262,105,1106,77,949,53,792,35,634,20,476,9,317,2,159,,79,,xe" fillcolor="#44546a [3202]" strokecolor="#44546a [3202]">
                            <v:stroke startarrowwidth="narrow" startarrowlength="short" endarrowwidth="narrow" endarrowlength="short"/>
                            <v:path arrowok="t" o:extrusionok="f"/>
                          </v:shape>
                          <v:shape id="Forma libre: forma 274" o:spid="_x0000_s1112" style="position:absolute;left:3410;top:48611;width:715;height:13557;visibility:visible;mso-wrap-style:square;v-text-anchor:middle"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" path="m45,r,l35,66r-9,67l14,267,6,401,3,534,6,669r8,134l18,854r,-3l9,814,8,803,1,669,,534,3,401,12,267,25,132,34,66,45,xe" fillcolor="#44546a [3202]" strokecolor="#44546a [3202]">
                            <v:stroke startarrowwidth="narrow" startarrowlength="short" endarrowwidth="narrow" endarrowlength="short"/>
                            <v:path arrowok="t" o:extrusionok="f"/>
                          </v:shape>
                          <v:shape id="Forma libre: forma 275" o:spid="_x0000_s1113" style="position:absolute;left:3633;top:62311;width:2444;height:9985;visibility:visible;mso-wrap-style:square;v-text-anchor:middle"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" path="m,l10,44r11,82l34,207r19,86l75,380r25,86l120,521r21,55l152,618r2,11l140,595,115,532,93,468,67,383,47,295,28,207,12,104,,xe" fillcolor="#44546a [3202]" strokecolor="#44546a [3202]">
                            <v:stroke startarrowwidth="narrow" startarrowlength="short" endarrowwidth="narrow" endarrowlength="short"/>
                            <v:path arrowok="t" o:extrusionok="f"/>
                          </v:shape>
                          <v:shape id="Forma libre: forma 276" o:spid="_x0000_s1114" style="position:absolute;left:6204;top:72233;width:524;height:1095;visibility:visible;mso-wrap-style:square;v-text-anchor:middle"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" path="m,l33,69r-9,l12,35,,xe" fillcolor="#44546a [3202]" strokecolor="#44546a [3202]">
                            <v:stroke startarrowwidth="narrow" startarrowlength="short" endarrowwidth="narrow" endarrowlength="short"/>
                            <v:path arrowok="t" o:extrusionok="f"/>
                          </v:shape>
                          <v:shape id="Forma libre: forma 277" o:spid="_x0000_s1115" style="position:absolute;left:3553;top:61533;width:238;height:1476;visibility:visible;mso-wrap-style:square;v-text-anchor:middle"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" path="m,l9,37r,3l15,93,5,49,,xe" fillcolor="#44546a [3202]" strokecolor="#44546a [3202]">
                            <v:stroke startarrowwidth="narrow" startarrowlength="short" endarrowwidth="narrow" endarrowlength="short"/>
                            <v:path arrowok="t" o:extrusionok="f"/>
                          </v:shape>
                          <v:shape id="Forma libre: forma 278" o:spid="_x0000_s1116" style="position:absolute;left:5633;top:56897;width:6255;height:12161;visibility:visible;mso-wrap-style:square;v-text-anchor:middle"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" path="m394,r,l356,38,319,77r-35,40l249,160r-42,58l168,276r-37,63l98,402,69,467,45,535,26,604,14,673,7,746,6,766,,749r1,-5l7,673,21,603,40,533,65,466,94,400r33,-64l164,275r40,-60l248,158r34,-42l318,76,354,37,394,xe" fillcolor="#44546a [3202]" strokecolor="#44546a [3202]">
                            <v:stroke startarrowwidth="narrow" startarrowlength="short" endarrowwidth="narrow" endarrowlength="short"/>
                            <v:path arrowok="t" o:extrusionok="f"/>
                          </v:shape>
                          <v:shape id="Forma libre: forma 279" o:spid="_x0000_s1117" style="position:absolute;left:5633;top:69153;width:571;height:3080;visibility:visible;mso-wrap-style:square;v-text-anchor:middle"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" path="m,l6,16r1,3l11,80r9,52l33,185r3,9l21,161,15,145,5,81,1,41,,xe" fillcolor="#44546a [3202]" strokecolor="#44546a [3202]">
                            <v:stroke startarrowwidth="narrow" startarrowlength="short" endarrowwidth="narrow" endarrowlength="short"/>
                            <v:path arrowok="t" o:extrusionok="f"/>
                          </v:shape>
                          <v:shape id="Forma libre: forma 280" o:spid="_x0000_s1118" style="position:absolute;left:6077;top:72296;width:493;height:1032;visibility:visible;mso-wrap-style:square;v-text-anchor:middle"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" path="m,l31,65r-8,l,xe" fillcolor="#44546a [3202]" strokecolor="#44546a [3202]">
                            <v:stroke startarrowwidth="narrow" startarrowlength="short" endarrowwidth="narrow" endarrowlength="short"/>
                            <v:path arrowok="t" o:extrusionok="f"/>
                          </v:shape>
                          <v:shape id="Forma libre: forma 281" o:spid="_x0000_s1119" style="position:absolute;left:5633;top:68788;width:111;height:666;visibility:visible;mso-wrap-style:square;v-text-anchor:middle"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" path="m,l6,17,7,42,6,39,,23,,xe" fillcolor="#44546a [3202]" strokecolor="#44546a [3202]">
                            <v:stroke startarrowwidth="narrow" startarrowlength="short" endarrowwidth="narrow" endarrowlength="short"/>
                            <v:path arrowok="t" o:extrusionok="f"/>
                          </v:shape>
                          <v:shape id="Forma libre: forma 282" o:spid="_x0000_s1120" style="position:absolute;left:5871;top:71455;width:714;height:1873;visibility:visible;mso-wrap-style:square;v-text-anchor:middle"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" path="m,l6,16,21,49,33,84r12,34l44,118,13,53,11,42,,xe" fillcolor="#44546a [3202]" strokecolor="#44546a [3202]">
                            <v:stroke startarrowwidth="narrow" startarrowlength="short" endarrowwidth="narrow" endarrowlength="short"/>
                            <v:path arrowok="t" o:extrusionok="f"/>
                          </v:shape>
                        </v:group>
                        <v:group id="Grupo 283" o:spid="_x0000_s1121"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shape id="Forma libre: forma 284" o:spid="_x0000_s1122" style="position:absolute;left:1187;top:51897;width:1984;height:7143;visibility:visible;mso-wrap-style:square;v-text-anchor:middle"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" path="m,l41,155,86,309r39,116l125,450,79,311,41,183,7,54,,xe" fillcolor="#44546a [3202]" strokecolor="#44546a [3202]">
                            <v:fill opacity="13107f"/>
                            <v:stroke startarrowwidth="narrow" startarrowlength="short" endarrowwidth="narrow" endarrowlength="short" opacity="13107f"/>
                            <v:path arrowok="t" o:extrusionok="f"/>
                          </v:shape>
                          <v:shape id="Forma libre: forma 285" o:spid="_x0000_s1123" style="position:absolute;left:3282;top:58913;width:1874;height:4366;visibility:visible;mso-wrap-style:square;v-text-anchor:middle"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" path="m,l8,20,37,96r32,74l118,275r-9,l61,174,30,100,,26,,xe" fillcolor="#44546a [3202]" strokecolor="#44546a [3202]">
                            <v:fill opacity="13107f"/>
                            <v:stroke startarrowwidth="narrow" startarrowlength="short" endarrowwidth="narrow" endarrowlength="short" opacity="13107f"/>
                            <v:path arrowok="t" o:extrusionok="f"/>
                          </v:shape>
                          <v:shape id="Forma libre: forma 292" o:spid="_x0000_s1124" style="position:absolute;left:806;top:50103;width:317;height:1921;visibility:visible;mso-wrap-style:square;v-text-anchor:middle"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" path="m,l16,72r4,49l18,112,,31,,xe" fillcolor="#44546a [3202]" strokecolor="#44546a [3202]">
                            <v:fill opacity="13107f"/>
                            <v:stroke startarrowwidth="narrow" startarrowlength="short" endarrowwidth="narrow" endarrowlength="short" opacity="13107f"/>
                            <v:path arrowok="t" o:extrusionok="f"/>
                          </v:shape>
                          <v:shape id="Forma libre: forma 293" o:spid="_x0000_s1125" style="position:absolute;left:1123;top:52024;width:2509;height:10207;visibility:visible;mso-wrap-style:square;v-text-anchor:middle"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" path="m,l11,46r11,83l36,211r19,90l76,389r27,87l123,533r21,55l155,632r3,11l142,608,118,544,95,478,69,391,47,302,29,212,13,107,,xe" fillcolor="#44546a [3202]" strokecolor="#44546a [3202]">
                            <v:fill opacity="13107f"/>
                            <v:stroke startarrowwidth="narrow" startarrowlength="short" endarrowwidth="narrow" endarrowlength="short" opacity="13107f"/>
                            <v:path arrowok="t" o:extrusionok="f"/>
                          </v:shape>
                          <v:shape id="Forma libre: forma 299" o:spid="_x0000_s1126" style="position:absolute;left:3759;top:62152;width:524;height:1127;visibility:visible;mso-wrap-style:square;v-text-anchor:middle"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" path="m,l33,71r-9,l11,36,,xe" fillcolor="#44546a [3202]" strokecolor="#44546a [3202]">
                            <v:fill opacity="13107f"/>
                            <v:stroke startarrowwidth="narrow" startarrowlength="short" endarrowwidth="narrow" endarrowlength="short" opacity="13107f"/>
                            <v:path arrowok="t" o:extrusionok="f"/>
                          </v:shape>
                          <v:shape id="Forma libre: forma 301" o:spid="_x0000_s1127" style="position:absolute;left:1060;top:51246;width:238;height:1508;visibility:visible;mso-wrap-style:square;v-text-anchor:middle"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" path="m,l8,37r,4l15,95,4,49,,xe" fillcolor="#44546a [3202]" strokecolor="#44546a [3202]">
                            <v:fill opacity="13107f"/>
                            <v:stroke startarrowwidth="narrow" startarrowlength="short" endarrowwidth="narrow" endarrowlength="short" opacity="13107f"/>
                            <v:path arrowok="t" o:extrusionok="f"/>
                          </v:shape>
                          <v:shape id="Forma libre: forma 302" o:spid="_x0000_s1128" style="position:absolute;left:3171;top:46499;width:6382;height:12414;visibility:visible;mso-wrap-style:square;v-text-anchor:middle"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" path="m402,r,1l363,39,325,79r-35,42l255,164r-44,58l171,284r-38,62l100,411,71,478,45,546,27,617,13,689,7,761r,21l,765r1,-4l7,688,21,616,40,545,66,475,95,409r35,-66l167,281r42,-61l253,163r34,-43l324,78,362,38,402,xe" fillcolor="#44546a [3202]" strokecolor="#44546a [3202]">
                            <v:fill opacity="13107f"/>
                            <v:stroke startarrowwidth="narrow" startarrowlength="short" endarrowwidth="narrow" endarrowlength="short" opacity="13107f"/>
                            <v:path arrowok="t" o:extrusionok="f"/>
                          </v:shape>
                          <v:shape id="Forma libre: forma 304" o:spid="_x0000_s1129" style="position:absolute;left:3171;top:59040;width:588;height:3112;visibility:visible;mso-wrap-style:square;v-text-anchor:middle"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" path="m,l6,15r1,3l12,80r9,54l33,188r4,8l22,162,15,146,5,81,1,40,,xe" fillcolor="#44546a [3202]" strokecolor="#44546a [3202]">
                            <v:fill opacity="13107f"/>
                            <v:stroke startarrowwidth="narrow" startarrowlength="short" endarrowwidth="narrow" endarrowlength="short" opacity="13107f"/>
                            <v:path arrowok="t" o:extrusionok="f"/>
                          </v:shape>
                          <v:shape id="Forma libre: forma 305" o:spid="_x0000_s1130" style="position:absolute;left:3632;top:62231;width:492;height:1048;visibility:visible;mso-wrap-style:square;v-text-anchor:middle"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" path="m,l31,66r-7,l,xe" fillcolor="#44546a [3202]" strokecolor="#44546a [3202]">
                            <v:fill opacity="13107f"/>
                            <v:stroke startarrowwidth="narrow" startarrowlength="short" endarrowwidth="narrow" endarrowlength="short" opacity="13107f"/>
                            <v:path arrowok="t" o:extrusionok="f"/>
                          </v:shape>
                          <v:shape id="Forma libre: forma 307" o:spid="_x0000_s1131" style="position:absolute;left:3171;top:58644;width:111;height:682;visibility:visible;mso-wrap-style:square;v-text-anchor:middle"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" path="m,l7,17r,26l6,40,,25,,xe" fillcolor="#44546a [3202]" strokecolor="#44546a [3202]">
                            <v:fill opacity="13107f"/>
                            <v:stroke startarrowwidth="narrow" startarrowlength="short" endarrowwidth="narrow" endarrowlength="short" opacity="13107f"/>
                            <v:path arrowok="t" o:extrusionok="f"/>
                          </v:shape>
                          <v:shape id="Forma libre: forma 309" o:spid="_x0000_s1132" style="position:absolute;left:3409;top:61358;width:731;height:1921;visibility:visible;mso-wrap-style:square;v-text-anchor:middle"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" path="m,l7,16,22,50,33,86r13,35l45,121,14,55,11,44,,xe" fillcolor="#44546a [3202]" strokecolor="#44546a [3202]">
                            <v:fill opacity="13107f"/>
                            <v:stroke startarrowwidth="narrow" startarrowlength="short" endarrowwidth="narrow" endarrowlength="short" opacity="13107f"/>
                            <v:path arrowok="t" o:extrusionok="f"/>
                          </v:shape>
                        </v:group>
                      </v:group>
                    </v:group>
                  </v:group>
                </v:group>
                <w10:wrap anchorx="page" anchory="page"/>
              </v:group>
            </w:pict>
          </mc:Fallback>
        </mc:AlternateContent>
      </w:r>
    </w:p>
    <w:p w14:paraId="616F1984" w14:textId="77777777" w:rsidR="00644151" w:rsidRDefault="00644151">
      <w:pPr>
        <w:spacing w:line="360" w:lineRule="auto"/>
      </w:pPr>
    </w:p>
    <w:p w14:paraId="7E32D522" w14:textId="77777777" w:rsidR="00644151" w:rsidRDefault="00425878">
      <w:pPr>
        <w:spacing w:line="360" w:lineRule="auto"/>
      </w:pPr>
      <w:r>
        <w:rPr>
          <w:noProof/>
        </w:rPr>
        <mc:AlternateContent>
          <mc:Choice Requires="wps">
            <w:drawing>
              <wp:anchor distT="0" distB="0" distL="114300" distR="114300" simplePos="0" relativeHeight="251665408" behindDoc="0" locked="0" layoutInCell="1" hidden="0" allowOverlap="1" wp14:anchorId="39074DCA" wp14:editId="684012C0">
                <wp:simplePos x="0" y="0"/>
                <wp:positionH relativeFrom="margin">
                  <wp:align>right</wp:align>
                </wp:positionH>
                <wp:positionV relativeFrom="page">
                  <wp:posOffset>1735686</wp:posOffset>
                </wp:positionV>
                <wp:extent cx="3260506" cy="1097915"/>
                <wp:effectExtent l="0" t="0" r="0" b="0"/>
                <wp:wrapNone/>
                <wp:docPr id="310" name="Rectángulo 310"/>
                <wp:cNvGraphicFramePr/>
                <a:graphic xmlns:a="http://schemas.openxmlformats.org/drawingml/2006/main">
                  <a:graphicData uri="http://schemas.microsoft.com/office/word/2010/wordprocessingShape">
                    <wps:wsp>
                      <wps:cNvSpPr/>
                      <wps:spPr>
                        <a:xfrm>
                          <a:off x="3730035" y="3245330"/>
                          <a:ext cx="3231931" cy="1069340"/>
                        </a:xfrm>
                        <a:prstGeom prst="rect">
                          <a:avLst/>
                        </a:prstGeom>
                        <a:noFill/>
                        <a:ln>
                          <a:noFill/>
                        </a:ln>
                      </wps:spPr>
                      <wps:txbx>
                        <w:txbxContent>
                          <w:p w14:paraId="459FE693" w14:textId="77777777" w:rsidR="001076C8" w:rsidRDefault="001076C8">
                            <w:pPr>
                              <w:spacing w:after="0" w:line="240" w:lineRule="auto"/>
                              <w:jc w:val="left"/>
                              <w:textDirection w:val="btLr"/>
                            </w:pPr>
                            <w:r>
                              <w:rPr>
                                <w:rFonts w:ascii="Calibri" w:eastAsia="Calibri" w:hAnsi="Calibri" w:cs="Calibri"/>
                                <w:color w:val="262626"/>
                                <w:sz w:val="72"/>
                              </w:rPr>
                              <w:t xml:space="preserve">Marco </w:t>
                            </w:r>
                          </w:p>
                          <w:p w14:paraId="225D62A8" w14:textId="77777777" w:rsidR="001076C8" w:rsidRDefault="001076C8">
                            <w:pPr>
                              <w:spacing w:after="0" w:line="240" w:lineRule="auto"/>
                              <w:jc w:val="left"/>
                              <w:textDirection w:val="btLr"/>
                            </w:pPr>
                            <w:r>
                              <w:rPr>
                                <w:rFonts w:ascii="Calibri" w:eastAsia="Calibri" w:hAnsi="Calibri" w:cs="Calibri"/>
                                <w:color w:val="262626"/>
                                <w:sz w:val="72"/>
                              </w:rPr>
                              <w:t>metodológico</w:t>
                            </w:r>
                          </w:p>
                        </w:txbxContent>
                      </wps:txbx>
                      <wps:bodyPr spcFirstLastPara="1" wrap="square" lIns="0" tIns="0" rIns="0" bIns="0" anchor="t" anchorCtr="0">
                        <a:noAutofit/>
                      </wps:bodyPr>
                    </wps:wsp>
                  </a:graphicData>
                </a:graphic>
              </wp:anchor>
            </w:drawing>
          </mc:Choice>
          <mc:Fallback>
            <w:pict>
              <v:rect w14:anchorId="39074DCA" id="Rectángulo 310" o:spid="_x0000_s1133" style="position:absolute;left:0;text-align:left;margin-left:205.55pt;margin-top:136.65pt;width:256.75pt;height:86.45pt;z-index:251665408;visibility:visible;mso-wrap-style:square;mso-wrap-distance-left:9pt;mso-wrap-distance-top:0;mso-wrap-distance-right:9pt;mso-wrap-distance-bottom:0;mso-position-horizontal:right;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" filled="f" stroked="f">
                <v:textbox inset="0,0,0,0">
                  <w:txbxContent>
                    <w:p w14:paraId="459FE693" w14:textId="77777777" w:rsidR="001076C8" w:rsidRDefault="001076C8">
                      <w:pPr>
                        <w:spacing w:after="0" w:line="240" w:lineRule="auto"/>
                        <w:jc w:val="left"/>
                        <w:textDirection w:val="btLr"/>
                      </w:pPr>
                      <w:r>
                        <w:rPr>
                          <w:rFonts w:ascii="Calibri" w:eastAsia="Calibri" w:hAnsi="Calibri" w:cs="Calibri"/>
                          <w:color w:val="262626"/>
                          <w:sz w:val="72"/>
                        </w:rPr>
                        <w:t xml:space="preserve">Marco </w:t>
                      </w:r>
                    </w:p>
                    <w:p w14:paraId="225D62A8" w14:textId="77777777" w:rsidR="001076C8" w:rsidRDefault="001076C8">
                      <w:pPr>
                        <w:spacing w:after="0" w:line="240" w:lineRule="auto"/>
                        <w:jc w:val="left"/>
                        <w:textDirection w:val="btLr"/>
                      </w:pPr>
                      <w:r>
                        <w:rPr>
                          <w:rFonts w:ascii="Calibri" w:eastAsia="Calibri" w:hAnsi="Calibri" w:cs="Calibri"/>
                          <w:color w:val="262626"/>
                          <w:sz w:val="72"/>
                        </w:rPr>
                        <w:t>metodológico</w:t>
                      </w:r>
                    </w:p>
                  </w:txbxContent>
                </v:textbox>
                <w10:wrap anchorx="margin" anchory="page"/>
              </v:rect>
            </w:pict>
          </mc:Fallback>
        </mc:AlternateContent>
      </w:r>
    </w:p>
    <w:p w14:paraId="7F27870A" w14:textId="77777777" w:rsidR="00644151" w:rsidRDefault="00644151">
      <w:pPr>
        <w:spacing w:line="360" w:lineRule="auto"/>
      </w:pPr>
    </w:p>
    <w:p w14:paraId="2A74770E" w14:textId="77777777" w:rsidR="00644151" w:rsidRDefault="00644151">
      <w:pPr>
        <w:spacing w:line="360" w:lineRule="auto"/>
      </w:pPr>
    </w:p>
    <w:p w14:paraId="510827A1" w14:textId="77777777" w:rsidR="00644151" w:rsidRDefault="00644151">
      <w:pPr>
        <w:spacing w:line="360" w:lineRule="auto"/>
      </w:pPr>
    </w:p>
    <w:p w14:paraId="40E539A2" w14:textId="77777777" w:rsidR="00644151" w:rsidRDefault="00644151">
      <w:pPr>
        <w:spacing w:line="360" w:lineRule="auto"/>
      </w:pPr>
    </w:p>
    <w:p w14:paraId="34E0D624" w14:textId="77777777" w:rsidR="00644151" w:rsidRDefault="00644151">
      <w:pPr>
        <w:spacing w:line="360" w:lineRule="auto"/>
      </w:pPr>
    </w:p>
    <w:p w14:paraId="3083F833" w14:textId="61D47109" w:rsidR="00644151" w:rsidRDefault="00644151">
      <w:pPr>
        <w:spacing w:line="360" w:lineRule="auto"/>
      </w:pPr>
    </w:p>
    <w:p w14:paraId="51D57D31" w14:textId="77777777" w:rsidR="00644151" w:rsidRDefault="00425878">
      <w:pPr>
        <w:pStyle w:val="Ttulo1"/>
      </w:pPr>
      <w:bookmarkStart w:id="53" w:name="_Toc89075388"/>
      <w:r>
        <w:lastRenderedPageBreak/>
        <w:t>Capítulo 3. Marco metodológico</w:t>
      </w:r>
      <w:bookmarkEnd w:id="53"/>
      <w:r>
        <w:t xml:space="preserve"> </w:t>
      </w:r>
    </w:p>
    <w:p w14:paraId="06309147" w14:textId="1559C55D" w:rsidR="00644151" w:rsidRDefault="00425878">
      <w:pPr>
        <w:spacing w:line="360" w:lineRule="auto"/>
      </w:pPr>
      <w:r>
        <w:t>En el presente capítulo expone los métodos y técnicas para realizar el diseño y la construcción de la plantilla de modelación para la generación de escenarios de ocupación del servicio público de panteones, la cual parte desde una perspectiva de herramienta geoinformática en la web, mediante el uso de lenguajes de programación para automatizar algunos procesos. Este capítulo aborda temas como el universo de estudio, propuesta tecnológica, recolección y estandarización de información, y herramientas a ser utilizadas</w:t>
      </w:r>
      <w:r w:rsidR="004F4F65">
        <w:t>.</w:t>
      </w:r>
    </w:p>
    <w:p w14:paraId="1042076B" w14:textId="77777777" w:rsidR="00644151" w:rsidRDefault="00425878">
      <w:pPr>
        <w:spacing w:line="360" w:lineRule="auto"/>
      </w:pPr>
      <w:r>
        <w:t xml:space="preserve"> </w:t>
      </w:r>
    </w:p>
    <w:p w14:paraId="5023574E" w14:textId="7D11E4FE" w:rsidR="00644151" w:rsidRDefault="00D70445">
      <w:pPr>
        <w:pStyle w:val="Ttulo2"/>
      </w:pPr>
      <w:bookmarkStart w:id="54" w:name="_Toc89075389"/>
      <w:r>
        <w:t xml:space="preserve">3.1 </w:t>
      </w:r>
      <w:r w:rsidR="00425878">
        <w:t>Universo de estudio</w:t>
      </w:r>
      <w:bookmarkEnd w:id="54"/>
    </w:p>
    <w:p w14:paraId="76D93774" w14:textId="2AC7BA86" w:rsidR="00644151" w:rsidRDefault="00425878">
      <w:pPr>
        <w:spacing w:line="360" w:lineRule="auto"/>
      </w:pPr>
      <w:r>
        <w:t>El universo de estudio se remite a la Alcaldía Iztapalapa, que es la cuarta Alcaldía con mayor territorio de la Ciudad de México con una superficie estimada de 113 km², superficie muy similar a la suma de la superficie de cuatro Alcaldías: Venustiano Carranza 33.8 km</w:t>
      </w:r>
      <w:r>
        <w:rPr>
          <w:vertAlign w:val="superscript"/>
        </w:rPr>
        <w:t>2</w:t>
      </w:r>
      <w:r>
        <w:t>, Cuauhtémoc 32.5 km</w:t>
      </w:r>
      <w:r>
        <w:rPr>
          <w:vertAlign w:val="superscript"/>
        </w:rPr>
        <w:t>2</w:t>
      </w:r>
      <w:r>
        <w:t>, Benito Juárez 26.8 km</w:t>
      </w:r>
      <w:r>
        <w:rPr>
          <w:vertAlign w:val="superscript"/>
        </w:rPr>
        <w:t>2</w:t>
      </w:r>
      <w:r>
        <w:t xml:space="preserve"> e Iztacalco 23 km</w:t>
      </w:r>
      <w:r>
        <w:rPr>
          <w:vertAlign w:val="superscript"/>
        </w:rPr>
        <w:t>2</w:t>
      </w:r>
      <w:r>
        <w:t xml:space="preserve"> (116 km</w:t>
      </w:r>
      <w:r>
        <w:rPr>
          <w:vertAlign w:val="superscript"/>
        </w:rPr>
        <w:t>2</w:t>
      </w:r>
      <w:r>
        <w:t>). Concentra una quinta parte de la población total de la Ciudad de México, con una población de 1 835 486 habitantes según el censo de población y vivienda (INEGI, 2020</w:t>
      </w:r>
      <w:r w:rsidR="008729E8">
        <w:t>a</w:t>
      </w:r>
      <w:r>
        <w:t>) lo que la convierte en la segunda demarcación más poblada de todo el país, la cual se ha descrito en el capítulo dos, que hace referencia a la caracterización de la Alcaldía.</w:t>
      </w:r>
    </w:p>
    <w:p w14:paraId="06316178" w14:textId="77777777" w:rsidR="00644151" w:rsidRDefault="00644151">
      <w:pPr>
        <w:spacing w:line="360" w:lineRule="auto"/>
      </w:pPr>
    </w:p>
    <w:p w14:paraId="2F74E3AE" w14:textId="6AE151A7" w:rsidR="00644151" w:rsidRDefault="00D70445">
      <w:pPr>
        <w:pStyle w:val="Ttulo2"/>
      </w:pPr>
      <w:bookmarkStart w:id="55" w:name="_Toc89075390"/>
      <w:r>
        <w:t xml:space="preserve">3.2 </w:t>
      </w:r>
      <w:r w:rsidR="00425878">
        <w:t>Propuesta tecnológica</w:t>
      </w:r>
      <w:bookmarkEnd w:id="55"/>
      <w:r w:rsidR="00425878">
        <w:t xml:space="preserve"> </w:t>
      </w:r>
    </w:p>
    <w:p w14:paraId="324F4EB2" w14:textId="77777777" w:rsidR="00644151" w:rsidRDefault="00425878">
      <w:pPr>
        <w:spacing w:line="360" w:lineRule="auto"/>
      </w:pPr>
      <w:r>
        <w:t>La propuesta tecnológica consiste en el desarrollo de una plantilla interactiva capaz de simular escenarios de ocupación del servicio público de panteones en la Alcaldía Iztapalapa, con el objetivo de conocer los posibles escenarios de saturación del servicio, con la ventaja del poder integrar información textual, gráfica y espacial en un mismo lugar para facilitar la comprensión y análisis a cualquier usuario. El desarrollo de la plantilla interactiva se plantea bajo un entorno web, que sea capaz de realizar las siguientes funciones.</w:t>
      </w:r>
    </w:p>
    <w:p w14:paraId="278ADD41" w14:textId="77777777" w:rsidR="00644151" w:rsidRDefault="00425878" w:rsidP="000669C3">
      <w:pPr>
        <w:numPr>
          <w:ilvl w:val="0"/>
          <w:numId w:val="2"/>
        </w:numPr>
        <w:pBdr>
          <w:top w:val="nil"/>
          <w:left w:val="nil"/>
          <w:bottom w:val="nil"/>
          <w:right w:val="nil"/>
          <w:between w:val="nil"/>
        </w:pBdr>
        <w:spacing w:after="0" w:line="360" w:lineRule="auto"/>
      </w:pPr>
      <w:r>
        <w:rPr>
          <w:color w:val="000000"/>
        </w:rPr>
        <w:t>Visualización de información: La página web mostrará información general sobre la mortalidad y la disponibilidad de fosas para los principales panteones de la alcaldía.</w:t>
      </w:r>
    </w:p>
    <w:p w14:paraId="1556D13F" w14:textId="77777777" w:rsidR="00644151" w:rsidRDefault="00425878" w:rsidP="000669C3">
      <w:pPr>
        <w:numPr>
          <w:ilvl w:val="0"/>
          <w:numId w:val="2"/>
        </w:numPr>
        <w:pBdr>
          <w:top w:val="nil"/>
          <w:left w:val="nil"/>
          <w:bottom w:val="nil"/>
          <w:right w:val="nil"/>
          <w:between w:val="nil"/>
        </w:pBdr>
        <w:spacing w:after="0" w:line="360" w:lineRule="auto"/>
      </w:pPr>
      <w:r>
        <w:rPr>
          <w:color w:val="000000"/>
        </w:rPr>
        <w:t>Selección de información: El usuario podrá seleccionar el año de partida de la simulación, así como establecer la tendencia de entierro por cada 10 decesos.</w:t>
      </w:r>
    </w:p>
    <w:p w14:paraId="3EA60E11" w14:textId="6C382ACA" w:rsidR="00644151" w:rsidRDefault="00425878" w:rsidP="000669C3">
      <w:pPr>
        <w:numPr>
          <w:ilvl w:val="0"/>
          <w:numId w:val="2"/>
        </w:numPr>
        <w:pBdr>
          <w:top w:val="nil"/>
          <w:left w:val="nil"/>
          <w:bottom w:val="nil"/>
          <w:right w:val="nil"/>
          <w:between w:val="nil"/>
        </w:pBdr>
        <w:spacing w:after="0" w:line="360" w:lineRule="auto"/>
      </w:pPr>
      <w:r>
        <w:rPr>
          <w:color w:val="000000"/>
        </w:rPr>
        <w:lastRenderedPageBreak/>
        <w:t xml:space="preserve">Ingreso de datos numéricos: La página web contará con </w:t>
      </w:r>
      <w:r w:rsidR="004F4F65">
        <w:rPr>
          <w:color w:val="000000"/>
        </w:rPr>
        <w:t xml:space="preserve">un formulario para ingresar </w:t>
      </w:r>
      <w:r>
        <w:rPr>
          <w:color w:val="000000"/>
        </w:rPr>
        <w:t>el número de fosas disponibles de los principales panteones de la alcaldía, el cual, el usuario podrá ingresar con la finalidad de actualizar los registros de la base de datos. De la misma forma se contará con un área para ingresar el número de fosas vencidas al año, con el fin de ser agregadas y contabilizadas en los cálculos pertinentes.</w:t>
      </w:r>
    </w:p>
    <w:p w14:paraId="03767427" w14:textId="77777777" w:rsidR="00644151" w:rsidRDefault="00425878" w:rsidP="000669C3">
      <w:pPr>
        <w:numPr>
          <w:ilvl w:val="0"/>
          <w:numId w:val="2"/>
        </w:numPr>
        <w:pBdr>
          <w:top w:val="nil"/>
          <w:left w:val="nil"/>
          <w:bottom w:val="nil"/>
          <w:right w:val="nil"/>
          <w:between w:val="nil"/>
        </w:pBdr>
        <w:spacing w:after="0" w:line="360" w:lineRule="auto"/>
      </w:pPr>
      <w:r>
        <w:rPr>
          <w:color w:val="000000"/>
        </w:rPr>
        <w:t>Visualización de resultados de forma dinámica: La página web contará con un área para la visualización de los resultados de forma dinámica.</w:t>
      </w:r>
    </w:p>
    <w:p w14:paraId="7252A4B4" w14:textId="77777777" w:rsidR="00644151" w:rsidRDefault="00425878" w:rsidP="000669C3">
      <w:pPr>
        <w:numPr>
          <w:ilvl w:val="0"/>
          <w:numId w:val="2"/>
        </w:numPr>
        <w:pBdr>
          <w:top w:val="nil"/>
          <w:left w:val="nil"/>
          <w:bottom w:val="nil"/>
          <w:right w:val="nil"/>
          <w:between w:val="nil"/>
        </w:pBdr>
        <w:spacing w:after="0" w:line="360" w:lineRule="auto"/>
      </w:pPr>
      <w:r>
        <w:rPr>
          <w:color w:val="000000"/>
        </w:rPr>
        <w:t xml:space="preserve">Visualización de datos espaciales: La página web contará con un área de mapa para visualizar la distribución de los panteones dentro de la alcaldía, los límites municipales, </w:t>
      </w:r>
      <w:proofErr w:type="spellStart"/>
      <w:r>
        <w:rPr>
          <w:color w:val="000000"/>
        </w:rPr>
        <w:t>AGEB´s</w:t>
      </w:r>
      <w:proofErr w:type="spellEnd"/>
      <w:r>
        <w:rPr>
          <w:color w:val="000000"/>
        </w:rPr>
        <w:t xml:space="preserve">, y demás información geoespacial que pueda ser integrada. </w:t>
      </w:r>
    </w:p>
    <w:p w14:paraId="6785717E" w14:textId="77777777" w:rsidR="00644151" w:rsidRDefault="00425878" w:rsidP="000669C3">
      <w:pPr>
        <w:numPr>
          <w:ilvl w:val="0"/>
          <w:numId w:val="2"/>
        </w:numPr>
        <w:pBdr>
          <w:top w:val="nil"/>
          <w:left w:val="nil"/>
          <w:bottom w:val="nil"/>
          <w:right w:val="nil"/>
          <w:between w:val="nil"/>
        </w:pBdr>
        <w:spacing w:line="360" w:lineRule="auto"/>
      </w:pPr>
      <w:r>
        <w:rPr>
          <w:color w:val="000000"/>
        </w:rPr>
        <w:t xml:space="preserve">Mapa dinámico: El área del mapa permitirá tener interacción con el usuario a través de botones de </w:t>
      </w:r>
      <w:proofErr w:type="gramStart"/>
      <w:r>
        <w:rPr>
          <w:color w:val="000000"/>
        </w:rPr>
        <w:t>zoom</w:t>
      </w:r>
      <w:proofErr w:type="gramEnd"/>
      <w:r>
        <w:rPr>
          <w:color w:val="000000"/>
        </w:rPr>
        <w:t>, un menú para mostrar y ocultar capas e información que será desplegada al ser seleccionado algún objeto espacial mediante un clic en el objeto.</w:t>
      </w:r>
    </w:p>
    <w:p w14:paraId="055FE264" w14:textId="612698BE" w:rsidR="00644151" w:rsidRDefault="00644151">
      <w:pPr>
        <w:spacing w:line="360" w:lineRule="auto"/>
      </w:pPr>
    </w:p>
    <w:p w14:paraId="04C83AF2" w14:textId="14CAB5B2" w:rsidR="00E87C4E" w:rsidRDefault="003B3F4A" w:rsidP="00E87C4E">
      <w:pPr>
        <w:spacing w:line="360" w:lineRule="auto"/>
      </w:pPr>
      <w:r>
        <w:t>La Figura 9 muestra la arquitectura de la propuesta tecnológica planteada que parte de la capa de presentación al usuario final, la cual se encontrará desarrollada desde un documento HTML (</w:t>
      </w:r>
      <w:proofErr w:type="spellStart"/>
      <w:r w:rsidRPr="003A1302">
        <w:t>HyperText</w:t>
      </w:r>
      <w:proofErr w:type="spellEnd"/>
      <w:r w:rsidRPr="003A1302">
        <w:t xml:space="preserve"> </w:t>
      </w:r>
      <w:proofErr w:type="spellStart"/>
      <w:r w:rsidRPr="003A1302">
        <w:t>Markup</w:t>
      </w:r>
      <w:proofErr w:type="spellEnd"/>
      <w:r w:rsidRPr="003A1302">
        <w:t xml:space="preserve"> </w:t>
      </w:r>
      <w:proofErr w:type="spellStart"/>
      <w:r w:rsidRPr="003A1302">
        <w:t>Language</w:t>
      </w:r>
      <w:proofErr w:type="spellEnd"/>
      <w:r>
        <w:t>), que es un l</w:t>
      </w:r>
      <w:r w:rsidRPr="003A1302">
        <w:t xml:space="preserve">enguaje de </w:t>
      </w:r>
      <w:r>
        <w:t>m</w:t>
      </w:r>
      <w:r w:rsidRPr="003A1302">
        <w:t xml:space="preserve">arcas de </w:t>
      </w:r>
      <w:r>
        <w:t>h</w:t>
      </w:r>
      <w:r w:rsidRPr="003A1302">
        <w:t>ipertexto</w:t>
      </w:r>
      <w:r>
        <w:t xml:space="preserve">, en el cual se desarrolla el código </w:t>
      </w:r>
      <w:r w:rsidRPr="003A1302">
        <w:t>que se utiliza para estructurar y desplegar una página web y sus contenidos.</w:t>
      </w:r>
      <w:r>
        <w:t xml:space="preserve"> El h</w:t>
      </w:r>
      <w:r w:rsidRPr="003A1302">
        <w:t>ipertexto hace referencia a los enlaces</w:t>
      </w:r>
      <w:r>
        <w:t xml:space="preserve">, que </w:t>
      </w:r>
      <w:r w:rsidRPr="003A1302">
        <w:t>son un aspecto fundamental de la Web</w:t>
      </w:r>
      <w:r>
        <w:t xml:space="preserve">, ya que permite </w:t>
      </w:r>
      <w:r w:rsidRPr="003A1302">
        <w:t>conecta</w:t>
      </w:r>
      <w:r>
        <w:t>r con otros documentos HTML u otros documentos que tienen la capacidad de enlazarse con HTML para darle características especiales. Para la propuesta estos documentos son archivos CSS (</w:t>
      </w:r>
      <w:proofErr w:type="spellStart"/>
      <w:r>
        <w:t>C</w:t>
      </w:r>
      <w:r w:rsidRPr="0051306C">
        <w:t>ascading</w:t>
      </w:r>
      <w:proofErr w:type="spellEnd"/>
      <w:r w:rsidRPr="0051306C">
        <w:t xml:space="preserve"> </w:t>
      </w:r>
      <w:r>
        <w:t>S</w:t>
      </w:r>
      <w:r w:rsidRPr="0051306C">
        <w:t xml:space="preserve">tyle </w:t>
      </w:r>
      <w:proofErr w:type="spellStart"/>
      <w:r>
        <w:t>S</w:t>
      </w:r>
      <w:r w:rsidRPr="0051306C">
        <w:t>heets</w:t>
      </w:r>
      <w:proofErr w:type="spellEnd"/>
      <w:r w:rsidRPr="0051306C">
        <w:t>)</w:t>
      </w:r>
      <w:r>
        <w:t>, que son los documentos encargados de dar diseño y presentación al documento, archivos Java Script que permi</w:t>
      </w:r>
      <w:r w:rsidR="0070645F">
        <w:t>ten</w:t>
      </w:r>
      <w:r>
        <w:t xml:space="preserve"> </w:t>
      </w:r>
      <w:r w:rsidR="0070645F">
        <w:t>incorporar</w:t>
      </w:r>
      <w:r>
        <w:t xml:space="preserve"> funcionalidad</w:t>
      </w:r>
      <w:r w:rsidR="0070645F">
        <w:t>es</w:t>
      </w:r>
      <w:r>
        <w:t xml:space="preserve"> mediante características interactivas a la página de internet, así como </w:t>
      </w:r>
      <w:r w:rsidRPr="0083452F">
        <w:t>incorporar funcionalidades</w:t>
      </w:r>
      <w:r>
        <w:t xml:space="preserve"> de terceros mediante un </w:t>
      </w:r>
      <w:r w:rsidRPr="0083452F">
        <w:t>Interfaz de Programación de Aplicaciones (API, por sus siglas en inglés)</w:t>
      </w:r>
      <w:r>
        <w:t>, y documentos jQuery AJAX (</w:t>
      </w:r>
      <w:r w:rsidRPr="009D00B4">
        <w:t>asíncronos de JavaScript y XML</w:t>
      </w:r>
      <w:r>
        <w:t xml:space="preserve">), que permiten </w:t>
      </w:r>
      <w:r w:rsidRPr="0083452F">
        <w:t xml:space="preserve">enviar solicitudes http asincrónicas y obtener datos </w:t>
      </w:r>
      <w:r>
        <w:t>XML</w:t>
      </w:r>
      <w:r>
        <w:rPr>
          <w:rStyle w:val="Refdenotaalpie"/>
        </w:rPr>
        <w:footnoteReference w:id="11"/>
      </w:r>
      <w:r w:rsidRPr="0083452F">
        <w:t xml:space="preserve"> </w:t>
      </w:r>
      <w:r w:rsidRPr="0083452F">
        <w:lastRenderedPageBreak/>
        <w:t>como respuesta</w:t>
      </w:r>
      <w:r>
        <w:t>,</w:t>
      </w:r>
      <w:r w:rsidRPr="0083452F">
        <w:t xml:space="preserve"> actualiza</w:t>
      </w:r>
      <w:r>
        <w:t>ndo</w:t>
      </w:r>
      <w:r w:rsidRPr="0083452F">
        <w:t xml:space="preserve"> </w:t>
      </w:r>
      <w:r>
        <w:t>una</w:t>
      </w:r>
      <w:r w:rsidRPr="0083452F">
        <w:t xml:space="preserve"> parte de una página </w:t>
      </w:r>
      <w:r>
        <w:t>W</w:t>
      </w:r>
      <w:r w:rsidRPr="0083452F">
        <w:t xml:space="preserve">eb (usando JavaScript) sin </w:t>
      </w:r>
      <w:r>
        <w:t xml:space="preserve">requerir </w:t>
      </w:r>
      <w:r w:rsidRPr="0083452F">
        <w:t>recargar o actualizar toda la página web</w:t>
      </w:r>
      <w:r>
        <w:t>.</w:t>
      </w:r>
    </w:p>
    <w:p w14:paraId="69851738" w14:textId="7BD23846" w:rsidR="0057418E" w:rsidRDefault="00E87C4E" w:rsidP="00EA4CEF">
      <w:pPr>
        <w:spacing w:line="360" w:lineRule="auto"/>
        <w:jc w:val="center"/>
      </w:pPr>
      <w:r w:rsidRPr="00E87C4E">
        <w:rPr>
          <w:noProof/>
        </w:rPr>
        <mc:AlternateContent>
          <mc:Choice Requires="wps">
            <w:drawing>
              <wp:anchor distT="0" distB="0" distL="114300" distR="114300" simplePos="0" relativeHeight="251681792" behindDoc="0" locked="0" layoutInCell="1" allowOverlap="1" wp14:anchorId="2E71C77B" wp14:editId="2B7511E2">
                <wp:simplePos x="0" y="0"/>
                <wp:positionH relativeFrom="column">
                  <wp:posOffset>574675</wp:posOffset>
                </wp:positionH>
                <wp:positionV relativeFrom="page">
                  <wp:posOffset>3962771</wp:posOffset>
                </wp:positionV>
                <wp:extent cx="0" cy="215900"/>
                <wp:effectExtent l="76200" t="38100" r="57150" b="50800"/>
                <wp:wrapNone/>
                <wp:docPr id="103" name="Conector recto de flecha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15900"/>
                        </a:xfrm>
                        <a:prstGeom prst="straightConnector1">
                          <a:avLst/>
                        </a:prstGeom>
                        <a:ln w="12700">
                          <a:headEnd type="triangle"/>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2BF30BF" id="_x0000_t32" coordsize="21600,21600" o:spt="32" o:oned="t" path="m,l21600,21600e" filled="f">
                <v:path arrowok="t" fillok="f" o:connecttype="none"/>
                <o:lock v:ext="edit" shapetype="t"/>
              </v:shapetype>
              <v:shape id="Conector recto de flecha 19" o:spid="_x0000_s1026" type="#_x0000_t32" style="position:absolute;margin-left:45.25pt;margin-top:312.05pt;width:0;height:17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" strokecolor="black [3200]" strokeweight="1pt">
                <v:stroke startarrow="block" endarrow="block" joinstyle="miter"/>
                <o:lock v:ext="edit" shapetype="f"/>
                <w10:wrap anchory="page"/>
              </v:shape>
            </w:pict>
          </mc:Fallback>
        </mc:AlternateContent>
      </w:r>
      <w:r w:rsidR="0057418E">
        <w:rPr>
          <w:noProof/>
        </w:rPr>
        <w:drawing>
          <wp:inline distT="0" distB="0" distL="0" distR="0" wp14:anchorId="2B1629E3" wp14:editId="6C846339">
            <wp:extent cx="5612130" cy="3128645"/>
            <wp:effectExtent l="0" t="0" r="7620" b="0"/>
            <wp:docPr id="79" name="Imagen 7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n 79" descr="Diagrama&#10;&#10;Descripción generada automáticamente"/>
                    <pic:cNvPicPr/>
                  </pic:nvPicPr>
                  <pic:blipFill>
                    <a:blip r:embed="rId22"/>
                    <a:stretch>
                      <a:fillRect/>
                    </a:stretch>
                  </pic:blipFill>
                  <pic:spPr>
                    <a:xfrm>
                      <a:off x="0" y="0"/>
                      <a:ext cx="5612130" cy="3128645"/>
                    </a:xfrm>
                    <a:prstGeom prst="rect">
                      <a:avLst/>
                    </a:prstGeom>
                  </pic:spPr>
                </pic:pic>
              </a:graphicData>
            </a:graphic>
          </wp:inline>
        </w:drawing>
      </w:r>
    </w:p>
    <w:p w14:paraId="69B9946A" w14:textId="77777777" w:rsidR="00644151" w:rsidRDefault="00425878">
      <w:pPr>
        <w:pBdr>
          <w:top w:val="nil"/>
          <w:left w:val="nil"/>
          <w:bottom w:val="nil"/>
          <w:right w:val="nil"/>
          <w:between w:val="nil"/>
        </w:pBdr>
        <w:spacing w:after="200" w:line="240" w:lineRule="auto"/>
        <w:jc w:val="center"/>
        <w:rPr>
          <w:i/>
          <w:color w:val="44546A"/>
          <w:sz w:val="18"/>
          <w:szCs w:val="18"/>
        </w:rPr>
      </w:pPr>
      <w:bookmarkStart w:id="56" w:name="_heading=h.2zbgiuw" w:colFirst="0" w:colLast="0"/>
      <w:bookmarkEnd w:id="56"/>
      <w:r>
        <w:rPr>
          <w:i/>
          <w:color w:val="44546A"/>
          <w:sz w:val="18"/>
          <w:szCs w:val="18"/>
        </w:rPr>
        <w:t>Figura 9. Arquitectura de la propuesta tecnológica.</w:t>
      </w:r>
    </w:p>
    <w:p w14:paraId="0F7FA8D0" w14:textId="79F21830" w:rsidR="00644151" w:rsidRDefault="00425878">
      <w:pPr>
        <w:rPr>
          <w:sz w:val="22"/>
          <w:szCs w:val="22"/>
        </w:rPr>
      </w:pPr>
      <w:bookmarkStart w:id="57" w:name="_heading=h.37m2jsg" w:colFirst="0" w:colLast="0"/>
      <w:bookmarkEnd w:id="57"/>
      <w:r>
        <w:rPr>
          <w:sz w:val="22"/>
          <w:szCs w:val="22"/>
        </w:rPr>
        <w:t>Fuente: Elaboración propia (2021).</w:t>
      </w:r>
    </w:p>
    <w:p w14:paraId="5796F40E" w14:textId="77777777" w:rsidR="003B3F4A" w:rsidRDefault="003B3F4A">
      <w:pPr>
        <w:rPr>
          <w:sz w:val="22"/>
          <w:szCs w:val="22"/>
        </w:rPr>
      </w:pPr>
    </w:p>
    <w:p w14:paraId="66B32B34" w14:textId="1E606548" w:rsidR="00AA2148" w:rsidRDefault="003B3F4A" w:rsidP="003A1302">
      <w:pPr>
        <w:spacing w:line="360" w:lineRule="auto"/>
      </w:pPr>
      <w:r>
        <w:t>Para lo cual, es necesario el uso de un servidor web que permita realizar las conexiones bidimensionales o unidireccionales cuando reciba alguna petición por parte del usuario</w:t>
      </w:r>
      <w:r w:rsidR="0070645F">
        <w:t>.</w:t>
      </w:r>
      <w:r>
        <w:t xml:space="preserve"> </w:t>
      </w:r>
      <w:r w:rsidR="0070645F">
        <w:t>E</w:t>
      </w:r>
      <w:r>
        <w:t>l servidor web, es el encargado de almacenar la capa de presentación al usuario</w:t>
      </w:r>
      <w:r w:rsidR="0070645F">
        <w:t xml:space="preserve"> y demás archivos</w:t>
      </w:r>
      <w:r>
        <w:t>, sin embargo, este también cumple con la tarea de realizar conexiones con otros servidores como son: servidores de base de datos, servidores de información geoespacial, o bien servicios externos, que pueden ser utilizados por un servicio web provisto por un tercero, como es el caso de un servicio de mapas y gráficos dinámicos, b</w:t>
      </w:r>
      <w:r w:rsidR="00AA2148" w:rsidRPr="00AA2148">
        <w:t>ásicamente un servidor Web es una computadora que guarda</w:t>
      </w:r>
      <w:r w:rsidR="00166CF5">
        <w:t>,</w:t>
      </w:r>
      <w:r w:rsidR="00AA2148" w:rsidRPr="00AA2148">
        <w:t xml:space="preserve"> transmite </w:t>
      </w:r>
      <w:r w:rsidR="00166CF5">
        <w:t xml:space="preserve">y recibe </w:t>
      </w:r>
      <w:r w:rsidR="00AA2148" w:rsidRPr="00AA2148">
        <w:t>datos vía Internet.</w:t>
      </w:r>
      <w:r w:rsidR="00AA2148">
        <w:t xml:space="preserve"> </w:t>
      </w:r>
    </w:p>
    <w:p w14:paraId="5BDF93FA" w14:textId="59FCF557" w:rsidR="00166CF5" w:rsidRDefault="00166CF5" w:rsidP="003A1302">
      <w:pPr>
        <w:spacing w:line="360" w:lineRule="auto"/>
      </w:pPr>
      <w:r>
        <w:t xml:space="preserve">Mediante el servidor es posible establecer </w:t>
      </w:r>
      <w:r w:rsidR="00E87C4E">
        <w:t xml:space="preserve">diversas </w:t>
      </w:r>
      <w:r>
        <w:t xml:space="preserve">conexiones </w:t>
      </w:r>
      <w:r w:rsidR="00E87C4E">
        <w:t xml:space="preserve">como </w:t>
      </w:r>
      <w:r w:rsidR="0070645F">
        <w:t>con la</w:t>
      </w:r>
      <w:r>
        <w:t xml:space="preserve"> base de datos con el documento HTML, el servidor de mapas a la base de datos o bien a un manejador de datos espaciales como es el caso de </w:t>
      </w:r>
      <w:r w:rsidR="00E87C4E">
        <w:t>QGIS</w:t>
      </w:r>
      <w:r>
        <w:t>, que puede modificar la información y a su vez, esta será modificada</w:t>
      </w:r>
      <w:r w:rsidR="00E87C4E">
        <w:t xml:space="preserve"> tanto en la base de datos como en el servidor de mapas y a su vez en </w:t>
      </w:r>
      <w:r w:rsidR="0070645F">
        <w:t>la capa de presentación del usuario</w:t>
      </w:r>
      <w:r w:rsidR="00E87C4E">
        <w:t>.</w:t>
      </w:r>
      <w:r>
        <w:t xml:space="preserve"> </w:t>
      </w:r>
    </w:p>
    <w:p w14:paraId="55665F32" w14:textId="3E43787C" w:rsidR="00644151" w:rsidRDefault="00D70445">
      <w:pPr>
        <w:pStyle w:val="Ttulo2"/>
      </w:pPr>
      <w:bookmarkStart w:id="58" w:name="_Toc89075391"/>
      <w:r>
        <w:lastRenderedPageBreak/>
        <w:t xml:space="preserve">3.3 </w:t>
      </w:r>
      <w:r w:rsidR="00425878">
        <w:t xml:space="preserve">Diseño </w:t>
      </w:r>
      <w:r w:rsidR="009432A1">
        <w:t xml:space="preserve">conceptual </w:t>
      </w:r>
      <w:r w:rsidR="00425878">
        <w:t>web</w:t>
      </w:r>
      <w:bookmarkEnd w:id="58"/>
      <w:r w:rsidR="00425878">
        <w:t xml:space="preserve"> </w:t>
      </w:r>
    </w:p>
    <w:p w14:paraId="535EE9B0" w14:textId="77777777" w:rsidR="00644151" w:rsidRDefault="00425878">
      <w:pPr>
        <w:spacing w:line="360" w:lineRule="auto"/>
      </w:pPr>
      <w:r>
        <w:t>El diseño de la página web consiste en determinar las funciones y requerimientos del sitio por parte del usuario final. La Figura 10 muestra el diseño que se busca obtener con el desarrollo de la página web. En este caso, la página planteada se compone de cuatro secciones la primera de ellas es el encabezado, donde se encuentra el nombre del proyecto de tesis, junto con los logotipos de la Universidad Autónoma del Estado de México y del Consejo Nacional de Ciencia y Tecnología (</w:t>
      </w:r>
      <w:proofErr w:type="spellStart"/>
      <w:r>
        <w:t>CONACyT</w:t>
      </w:r>
      <w:proofErr w:type="spellEnd"/>
      <w:r>
        <w:t xml:space="preserve">). Seguido de un apartado que contendrá una serie de contenedores que permitan ingresar información por el usuario, además de mostrar información a ser desplegada por la herramienta de modelación.  Una tercera sección que contendrá el área de mapa, el cual mostrará la distribución de los panteones dentro de la Alcaldía Iztapalapa, los límites de las </w:t>
      </w:r>
      <w:proofErr w:type="spellStart"/>
      <w:r>
        <w:t>AGEB´s</w:t>
      </w:r>
      <w:proofErr w:type="spellEnd"/>
      <w:r>
        <w:t xml:space="preserve"> que la conforman, el límite de la Alcaldía y un menú desplegable para el control de capas; finalmente, en la parte inferior se plantea un apartado que contenga información en general y los derechos de autor, quedando repartido como se muestra a continuación.</w:t>
      </w:r>
    </w:p>
    <w:p w14:paraId="7B37EDAF" w14:textId="77777777" w:rsidR="00644151" w:rsidRDefault="00425878">
      <w:pPr>
        <w:jc w:val="center"/>
      </w:pPr>
      <w:r>
        <w:rPr>
          <w:noProof/>
        </w:rPr>
        <w:drawing>
          <wp:inline distT="0" distB="0" distL="0" distR="0" wp14:anchorId="3D11299B" wp14:editId="1D4605C4">
            <wp:extent cx="3848100" cy="3924300"/>
            <wp:effectExtent l="0" t="0" r="0" b="0"/>
            <wp:docPr id="94" name="image1.png"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Imagen que contiene Interfaz de usuario gráfica&#10;&#10;Descripción generada automáticamente"/>
                    <pic:cNvPicPr preferRelativeResize="0"/>
                  </pic:nvPicPr>
                  <pic:blipFill>
                    <a:blip r:embed="rId23"/>
                    <a:srcRect/>
                    <a:stretch>
                      <a:fillRect/>
                    </a:stretch>
                  </pic:blipFill>
                  <pic:spPr>
                    <a:xfrm>
                      <a:off x="0" y="0"/>
                      <a:ext cx="3848100" cy="3924300"/>
                    </a:xfrm>
                    <a:prstGeom prst="rect">
                      <a:avLst/>
                    </a:prstGeom>
                    <a:ln/>
                  </pic:spPr>
                </pic:pic>
              </a:graphicData>
            </a:graphic>
          </wp:inline>
        </w:drawing>
      </w:r>
    </w:p>
    <w:p w14:paraId="2BA6503B"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59" w:name="_heading=h.2dlolyb" w:colFirst="0" w:colLast="0"/>
      <w:bookmarkEnd w:id="59"/>
      <w:r>
        <w:rPr>
          <w:i/>
          <w:color w:val="44546A"/>
          <w:sz w:val="18"/>
          <w:szCs w:val="18"/>
        </w:rPr>
        <w:t>Figura 10. Diseño del sitio web mediante Draw.io</w:t>
      </w:r>
    </w:p>
    <w:p w14:paraId="2660B270" w14:textId="77777777" w:rsidR="00644151" w:rsidRDefault="00425878">
      <w:pPr>
        <w:rPr>
          <w:sz w:val="22"/>
          <w:szCs w:val="22"/>
        </w:rPr>
      </w:pPr>
      <w:r>
        <w:rPr>
          <w:sz w:val="22"/>
          <w:szCs w:val="22"/>
        </w:rPr>
        <w:t>Fuente: Elaboración propia (2021).</w:t>
      </w:r>
    </w:p>
    <w:p w14:paraId="2D41147C" w14:textId="7B071674" w:rsidR="00644151" w:rsidRDefault="00D70445">
      <w:pPr>
        <w:pStyle w:val="Ttulo2"/>
        <w:tabs>
          <w:tab w:val="left" w:pos="3015"/>
        </w:tabs>
      </w:pPr>
      <w:bookmarkStart w:id="60" w:name="_Toc89075392"/>
      <w:r>
        <w:lastRenderedPageBreak/>
        <w:t xml:space="preserve">3.4 </w:t>
      </w:r>
      <w:r w:rsidR="00425878">
        <w:t>Recopilación y estandarización de información</w:t>
      </w:r>
      <w:bookmarkEnd w:id="60"/>
    </w:p>
    <w:p w14:paraId="34BBA9D2" w14:textId="77777777" w:rsidR="00644151" w:rsidRDefault="00425878">
      <w:pPr>
        <w:spacing w:line="360" w:lineRule="auto"/>
      </w:pPr>
      <w:r>
        <w:t xml:space="preserve">Con el fin de generar una base de datos que suministre la información a la plantilla interactiva, es necesario la recopilación y estandarización de la información de la oferta y   la demanda del servicio. Las fuentes de información para la recopilación de información son provenientes de dos fuentes; del INEGI (Instituto Nacional de Estadística y Geografía) y de la Jefatura de Unidad Departamental de Panteones y Servicios Funerarios de la Alcaldía Iztapalapa. Debido a que la información se encuentra desagregada en dos diferentes niveles de estudio y diferentes periodos de tiempo Alcaldía (1990-2019), y AGEB (2010 y 2020), se ha planteado la estandarizar de la información, con la finalidad de obtener uniformidad, para una misma unidad espacial y un mismo intervalo de tiempo, el cual ha sido planteado a nivel AGEB y para el periodo comprendido entre el año 2010 al 2030. Para lograr la homogenización de información a continuación se describen las variables y fórmulas a utilizar. </w:t>
      </w:r>
    </w:p>
    <w:p w14:paraId="1E6EAFCA" w14:textId="77777777" w:rsidR="00644151" w:rsidRDefault="00644151">
      <w:pPr>
        <w:spacing w:line="360" w:lineRule="auto"/>
      </w:pPr>
    </w:p>
    <w:p w14:paraId="175A8B56" w14:textId="3C6F2C06" w:rsidR="00644151" w:rsidRDefault="00D70445">
      <w:pPr>
        <w:pStyle w:val="Ttulo3"/>
      </w:pPr>
      <w:bookmarkStart w:id="61" w:name="_Toc89075393"/>
      <w:r>
        <w:t xml:space="preserve">3.4.1 </w:t>
      </w:r>
      <w:r w:rsidR="00425878">
        <w:t>Población</w:t>
      </w:r>
      <w:bookmarkEnd w:id="61"/>
    </w:p>
    <w:p w14:paraId="07A02981" w14:textId="77777777" w:rsidR="00644151" w:rsidRDefault="00425878">
      <w:pPr>
        <w:spacing w:line="360" w:lineRule="auto"/>
      </w:pPr>
      <w:r>
        <w:t xml:space="preserve">Las características demográficas y de población han sido consultadas y recopiladas de los censos de población y vivienda a nivel municipal, realizados por el INEGI, los años con los que cuentan con información son: 1990, 2000 y 2010, así como de las encuestas intercensales 1995, 2005. La población intermedia de un periodo a otro se ha calculado mediante la estimación de la población de años intermedios (ecuación 2), cuya fórmula, parte de la TIPA (Tasa de Incremento Porcentual Anual), ecuación 1. </w:t>
      </w:r>
    </w:p>
    <w:p w14:paraId="2664E360" w14:textId="77777777" w:rsidR="00644151" w:rsidRDefault="00425878">
      <w:pPr>
        <w:spacing w:line="360" w:lineRule="auto"/>
        <w:jc w:val="right"/>
      </w:pPr>
      <m:oMath>
        <m:r>
          <w:rPr>
            <w:rFonts w:ascii="Cambria Math" w:eastAsia="Cambria Math" w:hAnsi="Cambria Math" w:cs="Cambria Math"/>
          </w:rPr>
          <m:t>TIPA=</m:t>
        </m:r>
        <m:d>
          <m:dPr>
            <m:ctrlPr>
              <w:rPr>
                <w:rFonts w:ascii="Cambria Math" w:eastAsia="Cambria Math" w:hAnsi="Cambria Math" w:cs="Cambria Math"/>
              </w:rPr>
            </m:ctrlPr>
          </m:dPr>
          <m:e>
            <m:sSup>
              <m:sSupPr>
                <m:ctrlPr>
                  <w:rPr>
                    <w:rFonts w:ascii="Cambria Math" w:eastAsia="Cambria Math" w:hAnsi="Cambria Math" w:cs="Cambria Math"/>
                  </w:rPr>
                </m:ctrlPr>
              </m:sSup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f</m:t>
                        </m:r>
                      </m:sub>
                    </m:sSub>
                  </m:num>
                  <m:den>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den>
                </m:f>
              </m:e>
              <m:sup>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t</m:t>
                        </m:r>
                      </m:den>
                    </m:f>
                  </m:e>
                </m:d>
                <m:r>
                  <w:rPr>
                    <w:rFonts w:ascii="Cambria Math" w:eastAsia="Cambria Math" w:hAnsi="Cambria Math" w:cs="Cambria Math"/>
                  </w:rPr>
                  <m:t>-1</m:t>
                </m:r>
              </m:sup>
            </m:sSup>
          </m:e>
        </m:d>
        <m:r>
          <w:rPr>
            <w:rFonts w:ascii="Cambria Math" w:eastAsia="Cambria Math" w:hAnsi="Cambria Math" w:cs="Cambria Math"/>
          </w:rPr>
          <m:t>*100</m:t>
        </m:r>
      </m:oMath>
      <w:r>
        <w:t xml:space="preserve"> </w:t>
      </w:r>
      <w:r>
        <w:tab/>
      </w:r>
      <w:r>
        <w:tab/>
        <w:t>Ecuación [1]: Tasa de incremento porcentual anual</w:t>
      </w:r>
    </w:p>
    <w:p w14:paraId="0773A57B" w14:textId="77777777" w:rsidR="00644151" w:rsidRDefault="00425878">
      <w:r>
        <w:t>Dónde:</w:t>
      </w:r>
    </w:p>
    <w:p w14:paraId="7AA01DB9"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f</m:t>
            </m:r>
          </m:sub>
        </m:sSub>
      </m:oMath>
      <w:r w:rsidR="00425878">
        <w:t xml:space="preserve"> = Población final</w:t>
      </w:r>
    </w:p>
    <w:p w14:paraId="6BA12B54"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oMath>
      <w:r w:rsidR="00425878">
        <w:t xml:space="preserve"> = Población inicial</w:t>
      </w:r>
    </w:p>
    <w:p w14:paraId="21082FBA" w14:textId="77777777" w:rsidR="00644151" w:rsidRDefault="00425878">
      <m:oMath>
        <m:r>
          <w:rPr>
            <w:rFonts w:ascii="Cambria Math" w:eastAsia="Cambria Math" w:hAnsi="Cambria Math" w:cs="Cambria Math"/>
          </w:rPr>
          <m:t>t</m:t>
        </m:r>
      </m:oMath>
      <w:r>
        <w:t xml:space="preserve"> = Periodo de tiempo transcurrido entre la población existente inicial y la final.</w:t>
      </w:r>
    </w:p>
    <w:p w14:paraId="521BAFF0" w14:textId="77777777" w:rsidR="00644151" w:rsidRDefault="00644151"/>
    <w:p w14:paraId="0B395AF7" w14:textId="77777777" w:rsidR="00644151" w:rsidRDefault="00F4132C">
      <w:pPr>
        <w:spacing w:after="0" w:line="240" w:lineRule="auto"/>
        <w:jc w:val="right"/>
      </w:pPr>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int</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r>
          <w:rPr>
            <w:rFonts w:ascii="Cambria Math" w:eastAsia="Cambria Math" w:hAnsi="Cambria Math" w:cs="Cambria Math"/>
          </w:rPr>
          <m:t>*</m:t>
        </m:r>
        <m:d>
          <m:dPr>
            <m:ctrlPr>
              <w:rPr>
                <w:rFonts w:ascii="Cambria Math" w:eastAsia="Cambria Math" w:hAnsi="Cambria Math" w:cs="Cambria Math"/>
              </w:rPr>
            </m:ctrlPr>
          </m:dPr>
          <m:e>
            <m:r>
              <w:rPr>
                <w:rFonts w:ascii="Cambria Math" w:eastAsia="Cambria Math" w:hAnsi="Cambria Math" w:cs="Cambria Math"/>
              </w:rPr>
              <m:t>1+</m:t>
            </m:r>
            <m:d>
              <m:dPr>
                <m:ctrlPr>
                  <w:rPr>
                    <w:rFonts w:ascii="Cambria Math" w:eastAsia="Cambria Math" w:hAnsi="Cambria Math" w:cs="Cambria Math"/>
                  </w:rPr>
                </m:ctrlPr>
              </m:dPr>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TIPA</m:t>
                        </m:r>
                      </m:e>
                      <m:sub>
                        <m:r>
                          <w:rPr>
                            <w:rFonts w:ascii="Cambria Math" w:eastAsia="Cambria Math" w:hAnsi="Cambria Math" w:cs="Cambria Math"/>
                          </w:rPr>
                          <m:t>Pe</m:t>
                        </m:r>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Q</m:t>
                            </m:r>
                          </m:sub>
                        </m:sSub>
                      </m:sub>
                    </m:sSub>
                  </m:num>
                  <m:den>
                    <m:r>
                      <w:rPr>
                        <w:rFonts w:ascii="Cambria Math" w:eastAsia="Cambria Math" w:hAnsi="Cambria Math" w:cs="Cambria Math"/>
                      </w:rPr>
                      <m:t>100</m:t>
                    </m:r>
                  </m:den>
                </m:f>
              </m:e>
            </m:d>
          </m:e>
        </m:d>
        <m:r>
          <w:rPr>
            <w:rFonts w:ascii="Cambria Math" w:eastAsia="Cambria Math" w:hAnsi="Cambria Math" w:cs="Cambria Math"/>
          </w:rPr>
          <m:t>*100</m:t>
        </m:r>
      </m:oMath>
      <w:r w:rsidR="00425878">
        <w:t xml:space="preserve"> </w:t>
      </w:r>
      <w:r w:rsidR="00425878">
        <w:tab/>
      </w:r>
      <w:r w:rsidR="00425878">
        <w:tab/>
        <w:t>Ecuación [2]: Estimación de la población de años intermedios</w:t>
      </w:r>
    </w:p>
    <w:p w14:paraId="326361DD" w14:textId="77777777" w:rsidR="00644151" w:rsidRDefault="00644151">
      <w:pPr>
        <w:spacing w:after="0" w:line="240" w:lineRule="auto"/>
        <w:jc w:val="right"/>
        <w:rPr>
          <w:sz w:val="12"/>
          <w:szCs w:val="12"/>
        </w:rPr>
      </w:pPr>
    </w:p>
    <w:p w14:paraId="29AE349A" w14:textId="77777777" w:rsidR="00644151" w:rsidRDefault="00425878">
      <w:r>
        <w:t>Dónde:</w:t>
      </w:r>
    </w:p>
    <w:p w14:paraId="1B24BF34"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oMath>
      <w:r w:rsidR="00425878">
        <w:t xml:space="preserve"> = Población inicial</w:t>
      </w:r>
    </w:p>
    <w:p w14:paraId="6BC7FDC3"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TIPA</m:t>
            </m:r>
          </m:e>
          <m:sub>
            <m:r>
              <w:rPr>
                <w:rFonts w:ascii="Cambria Math" w:eastAsia="Cambria Math" w:hAnsi="Cambria Math" w:cs="Cambria Math"/>
              </w:rPr>
              <m:t>Pe</m:t>
            </m:r>
            <m:sSub>
              <m:sSubPr>
                <m:ctrlPr>
                  <w:rPr>
                    <w:rFonts w:ascii="Cambria Math" w:eastAsia="Cambria Math" w:hAnsi="Cambria Math" w:cs="Cambria Math"/>
                  </w:rPr>
                </m:ctrlPr>
              </m:sSubPr>
              <m:e>
                <m:r>
                  <w:rPr>
                    <w:rFonts w:ascii="Cambria Math" w:eastAsia="Cambria Math" w:hAnsi="Cambria Math" w:cs="Cambria Math"/>
                  </w:rPr>
                  <m:t>r</m:t>
                </m:r>
              </m:e>
              <m:sub>
                <m:r>
                  <w:rPr>
                    <w:rFonts w:ascii="Cambria Math" w:eastAsia="Cambria Math" w:hAnsi="Cambria Math" w:cs="Cambria Math"/>
                  </w:rPr>
                  <m:t>Q</m:t>
                </m:r>
              </m:sub>
            </m:sSub>
          </m:sub>
        </m:sSub>
      </m:oMath>
      <w:r w:rsidR="00425878">
        <w:t>= Tasa de incremento porcentual del periodo calculado</w:t>
      </w:r>
    </w:p>
    <w:p w14:paraId="725F13CE" w14:textId="77777777" w:rsidR="00644151" w:rsidRDefault="00644151">
      <w:pPr>
        <w:spacing w:line="360" w:lineRule="auto"/>
      </w:pPr>
    </w:p>
    <w:p w14:paraId="4487AA51" w14:textId="77777777" w:rsidR="00644151" w:rsidRDefault="00425878">
      <w:pPr>
        <w:spacing w:line="360" w:lineRule="auto"/>
      </w:pPr>
      <w:r>
        <w:t xml:space="preserve">La población a nivel AGEB (Área </w:t>
      </w:r>
      <w:proofErr w:type="spellStart"/>
      <w:r>
        <w:t>GeoEstadística</w:t>
      </w:r>
      <w:proofErr w:type="spellEnd"/>
      <w:r>
        <w:t xml:space="preserve"> Básica), se consulta y recopila de los censos de población y vivienda del INEGI, del año 2010 y 2020, los cuales se encuentran a nivel AGEB y manzana. La población de cada AGEB para el período 2011-2019 y 2021-2030 se calcula mediante la fórmula de tasa de crecimiento (ecuación 3). </w:t>
      </w:r>
    </w:p>
    <w:p w14:paraId="239DAF3B" w14:textId="77777777" w:rsidR="00644151" w:rsidRDefault="00425878">
      <w:pPr>
        <w:spacing w:line="360" w:lineRule="auto"/>
        <w:jc w:val="right"/>
      </w:pPr>
      <w:r>
        <w:t xml:space="preserve">  </w:t>
      </w:r>
      <m:oMath>
        <m:r>
          <w:rPr>
            <w:rFonts w:ascii="Cambria Math" w:eastAsia="Cambria Math" w:hAnsi="Cambria Math" w:cs="Cambria Math"/>
          </w:rPr>
          <m:t>TC=</m:t>
        </m:r>
        <m:d>
          <m:dPr>
            <m:ctrlPr>
              <w:rPr>
                <w:rFonts w:ascii="Cambria Math" w:eastAsia="Cambria Math" w:hAnsi="Cambria Math" w:cs="Cambria Math"/>
              </w:rPr>
            </m:ctrlPr>
          </m:dPr>
          <m:e>
            <m:r>
              <w:rPr>
                <w:rFonts w:ascii="Cambria Math" w:eastAsia="Cambria Math" w:hAnsi="Cambria Math" w:cs="Cambria Math"/>
              </w:rPr>
              <m:t>N</m:t>
            </m:r>
            <m:rad>
              <m:radPr>
                <m:degHide m:val="1"/>
                <m:ctrlPr>
                  <w:rPr>
                    <w:rFonts w:ascii="Cambria Math" w:eastAsia="Cambria Math" w:hAnsi="Cambria Math" w:cs="Cambria Math"/>
                  </w:rPr>
                </m:ctrlPr>
              </m:radPr>
              <m:deg/>
              <m:e>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f</m:t>
                        </m:r>
                      </m:sub>
                    </m:sSub>
                  </m:num>
                  <m:den>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den>
                </m:f>
                <m:r>
                  <w:rPr>
                    <w:rFonts w:ascii="Cambria Math" w:eastAsia="Cambria Math" w:hAnsi="Cambria Math" w:cs="Cambria Math"/>
                  </w:rPr>
                  <m:t xml:space="preserve"> </m:t>
                </m:r>
              </m:e>
            </m:rad>
          </m:e>
        </m:d>
        <m:r>
          <w:rPr>
            <w:rFonts w:ascii="Cambria Math" w:eastAsia="Cambria Math" w:hAnsi="Cambria Math" w:cs="Cambria Math"/>
          </w:rPr>
          <m:t>-1*100</m:t>
        </m:r>
      </m:oMath>
      <w:r>
        <w:t xml:space="preserve"> </w:t>
      </w:r>
      <w:r>
        <w:tab/>
      </w:r>
      <w:r>
        <w:tab/>
        <w:t>Ecuación [3]: Tasa de crecimiento</w:t>
      </w:r>
    </w:p>
    <w:p w14:paraId="7358410C" w14:textId="77777777" w:rsidR="00644151" w:rsidRDefault="00425878">
      <w:r>
        <w:t>Dónde:</w:t>
      </w:r>
    </w:p>
    <w:p w14:paraId="1BC468AA"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f</m:t>
            </m:r>
          </m:sub>
        </m:sSub>
      </m:oMath>
      <w:r w:rsidR="00425878">
        <w:t xml:space="preserve"> = Población final del periodo</w:t>
      </w:r>
    </w:p>
    <w:p w14:paraId="58F00C9C" w14:textId="77777777" w:rsidR="00644151" w:rsidRDefault="00F4132C">
      <m:oMath>
        <m:sSub>
          <m:sSubPr>
            <m:ctrlPr>
              <w:rPr>
                <w:rFonts w:ascii="Cambria Math" w:eastAsia="Cambria Math" w:hAnsi="Cambria Math" w:cs="Cambria Math"/>
              </w:rPr>
            </m:ctrlPr>
          </m:sSubPr>
          <m:e>
            <m:r>
              <w:rPr>
                <w:rFonts w:ascii="Cambria Math" w:eastAsia="Cambria Math" w:hAnsi="Cambria Math" w:cs="Cambria Math"/>
              </w:rPr>
              <m:t>P</m:t>
            </m:r>
          </m:e>
          <m:sub>
            <m:r>
              <w:rPr>
                <w:rFonts w:ascii="Cambria Math" w:eastAsia="Cambria Math" w:hAnsi="Cambria Math" w:cs="Cambria Math"/>
              </w:rPr>
              <m:t>i</m:t>
            </m:r>
          </m:sub>
        </m:sSub>
      </m:oMath>
      <w:r w:rsidR="00425878">
        <w:t xml:space="preserve"> = Población inicial del periodo</w:t>
      </w:r>
    </w:p>
    <w:p w14:paraId="0C20A81F" w14:textId="77777777" w:rsidR="00644151" w:rsidRDefault="00425878">
      <m:oMath>
        <m:r>
          <w:rPr>
            <w:rFonts w:ascii="Cambria Math" w:eastAsia="Cambria Math" w:hAnsi="Cambria Math" w:cs="Cambria Math"/>
          </w:rPr>
          <m:t>N</m:t>
        </m:r>
      </m:oMath>
      <w:r>
        <w:t xml:space="preserve"> = Número de años del periodo</w:t>
      </w:r>
    </w:p>
    <w:p w14:paraId="5BDE72DE" w14:textId="77777777" w:rsidR="00644151" w:rsidRDefault="00644151"/>
    <w:p w14:paraId="7FE9A508" w14:textId="10AD1D44" w:rsidR="00644151" w:rsidRDefault="00D70445">
      <w:pPr>
        <w:pStyle w:val="Ttulo3"/>
      </w:pPr>
      <w:bookmarkStart w:id="62" w:name="_Toc89075394"/>
      <w:r>
        <w:t xml:space="preserve">3.4.2 </w:t>
      </w:r>
      <w:r w:rsidR="00425878">
        <w:t>Mortalidad general</w:t>
      </w:r>
      <w:bookmarkEnd w:id="62"/>
    </w:p>
    <w:p w14:paraId="416D23CF" w14:textId="77777777" w:rsidR="00644151" w:rsidRDefault="00425878">
      <w:pPr>
        <w:spacing w:line="360" w:lineRule="auto"/>
      </w:pPr>
      <w:r>
        <w:t>Los datos de mortalidad han sido obtenidos de las estadísticas vitales a nivel municipal del INEGI, que comprenden el periodo 1990-2019. Para el periodo 2020-2030 se ha calculado la mortalidad mediante el método de regresión lineal, el cual se lleva a cabo mediante el software SPSS (</w:t>
      </w:r>
      <w:proofErr w:type="spellStart"/>
      <w:r>
        <w:t>Statistical</w:t>
      </w:r>
      <w:proofErr w:type="spellEnd"/>
      <w:r>
        <w:t xml:space="preserve"> </w:t>
      </w:r>
      <w:proofErr w:type="spellStart"/>
      <w:r>
        <w:t>Package</w:t>
      </w:r>
      <w:proofErr w:type="spellEnd"/>
      <w:r>
        <w:t xml:space="preserve"> </w:t>
      </w:r>
      <w:proofErr w:type="spellStart"/>
      <w:r>
        <w:t>for</w:t>
      </w:r>
      <w:proofErr w:type="spellEnd"/>
      <w:r>
        <w:t xml:space="preserve"> </w:t>
      </w:r>
      <w:proofErr w:type="spellStart"/>
      <w:r>
        <w:t>the</w:t>
      </w:r>
      <w:proofErr w:type="spellEnd"/>
      <w:r>
        <w:t xml:space="preserve"> Social </w:t>
      </w:r>
      <w:proofErr w:type="spellStart"/>
      <w:r>
        <w:t>Sciences</w:t>
      </w:r>
      <w:proofErr w:type="spellEnd"/>
      <w:r>
        <w:t>), que presenta once modelos diferentes, donde, el modelo cúbico es el que mejor se ajusta con un R</w:t>
      </w:r>
      <w:r>
        <w:rPr>
          <w:vertAlign w:val="superscript"/>
        </w:rPr>
        <w:t>2</w:t>
      </w:r>
      <w:r>
        <w:t xml:space="preserve"> de 0.993.</w:t>
      </w:r>
    </w:p>
    <w:p w14:paraId="13039870" w14:textId="77777777" w:rsidR="00644151" w:rsidRDefault="00425878">
      <w:pPr>
        <w:spacing w:line="360" w:lineRule="auto"/>
      </w:pPr>
      <w:r>
        <w:t xml:space="preserve">Para la obtención de la mortalidad a nivel AGEB 2010-2030, es necesario primero calcular la TBM (Tasa Bruta de Mortalidad), que es el indicador más utilizado en la medición de la mortalidad, este expresa la frecuencia con la que ocurre las defunciones en una población dada, puede calcularse para una localidad, un municipio, una región, un estado o un país. Obtiene de la relación entre el número de defunciones ocurridas durante un período </w:t>
      </w:r>
      <w:r>
        <w:lastRenderedPageBreak/>
        <w:t xml:space="preserve">determinado (generalmente un año) y la población media de ese período; por mil (CEPAL, 2019). </w:t>
      </w:r>
    </w:p>
    <w:p w14:paraId="0BFBCB2B" w14:textId="77777777" w:rsidR="00644151" w:rsidRDefault="00644151">
      <w:pPr>
        <w:spacing w:line="360" w:lineRule="auto"/>
        <w:rPr>
          <w:rFonts w:ascii="Verdana" w:eastAsia="Verdana" w:hAnsi="Verdana" w:cs="Verdana"/>
        </w:rPr>
      </w:pPr>
    </w:p>
    <w:p w14:paraId="55ADF93A" w14:textId="77777777" w:rsidR="00644151" w:rsidRDefault="00425878">
      <w:pPr>
        <w:jc w:val="right"/>
      </w:pPr>
      <m:oMath>
        <m:r>
          <w:rPr>
            <w:rFonts w:ascii="Cambria Math" w:eastAsia="Cambria Math" w:hAnsi="Cambria Math" w:cs="Cambria Math"/>
          </w:rPr>
          <m:t>TBM=</m:t>
        </m:r>
        <m:f>
          <m:fPr>
            <m:ctrlPr>
              <w:rPr>
                <w:rFonts w:ascii="Cambria Math" w:eastAsia="Cambria Math" w:hAnsi="Cambria Math" w:cs="Cambria Math"/>
              </w:rPr>
            </m:ctrlPr>
          </m:fPr>
          <m:num>
            <m:r>
              <w:rPr>
                <w:rFonts w:ascii="Cambria Math" w:eastAsia="Cambria Math" w:hAnsi="Cambria Math" w:cs="Cambria Math"/>
              </w:rPr>
              <m:t>Def</m:t>
            </m:r>
          </m:num>
          <m:den>
            <m:r>
              <w:rPr>
                <w:rFonts w:ascii="Cambria Math" w:eastAsia="Cambria Math" w:hAnsi="Cambria Math" w:cs="Cambria Math"/>
              </w:rPr>
              <m:t>Pob</m:t>
            </m:r>
          </m:den>
        </m:f>
        <m:r>
          <w:rPr>
            <w:rFonts w:ascii="Cambria Math" w:eastAsia="Cambria Math" w:hAnsi="Cambria Math" w:cs="Cambria Math"/>
          </w:rPr>
          <m:t>*1 000</m:t>
        </m:r>
      </m:oMath>
      <w:r>
        <w:t xml:space="preserve">           Ecuación [4]: Tasa bruta de mortalidad</w:t>
      </w:r>
    </w:p>
    <w:p w14:paraId="0E3F004A" w14:textId="77777777" w:rsidR="00644151" w:rsidRDefault="00425878">
      <w:r>
        <w:t>Dónde:</w:t>
      </w:r>
    </w:p>
    <w:p w14:paraId="21FABEAC" w14:textId="77777777" w:rsidR="00644151" w:rsidRDefault="00425878">
      <m:oMath>
        <m:r>
          <w:rPr>
            <w:rFonts w:ascii="Cambria Math" w:eastAsia="Cambria Math" w:hAnsi="Cambria Math" w:cs="Cambria Math"/>
          </w:rPr>
          <m:t>TBM</m:t>
        </m:r>
      </m:oMath>
      <w:r>
        <w:t xml:space="preserve"> = Tasa bruta de mortalidad</w:t>
      </w:r>
    </w:p>
    <w:p w14:paraId="2B719145" w14:textId="77777777" w:rsidR="00644151" w:rsidRDefault="00425878">
      <m:oMath>
        <m:r>
          <w:rPr>
            <w:rFonts w:ascii="Cambria Math" w:eastAsia="Cambria Math" w:hAnsi="Cambria Math" w:cs="Cambria Math"/>
          </w:rPr>
          <m:t>Def</m:t>
        </m:r>
      </m:oMath>
      <w:r>
        <w:t xml:space="preserve"> = Total de defunciones ocurridas en alguna unidad espacial a la mitad de un año estadístico</w:t>
      </w:r>
    </w:p>
    <w:p w14:paraId="3EDED42A" w14:textId="77777777" w:rsidR="00644151" w:rsidRDefault="00425878">
      <m:oMath>
        <m:r>
          <w:rPr>
            <w:rFonts w:ascii="Cambria Math" w:eastAsia="Cambria Math" w:hAnsi="Cambria Math" w:cs="Cambria Math"/>
          </w:rPr>
          <m:t>Pob</m:t>
        </m:r>
      </m:oMath>
      <w:r>
        <w:t xml:space="preserve"> = Total de población en el mismo territorio y en el mismo periodo de tiempo</w:t>
      </w:r>
    </w:p>
    <w:p w14:paraId="057E2FC5" w14:textId="77777777" w:rsidR="00644151" w:rsidRDefault="00425878">
      <w:r>
        <w:t>1 000 = Factor de ponderación</w:t>
      </w:r>
    </w:p>
    <w:p w14:paraId="54FB4A3E" w14:textId="77777777" w:rsidR="00644151" w:rsidRDefault="00644151"/>
    <w:p w14:paraId="475C16C6" w14:textId="77777777" w:rsidR="00644151" w:rsidRDefault="00425878">
      <w:pPr>
        <w:spacing w:line="360" w:lineRule="auto"/>
      </w:pPr>
      <w:r>
        <w:t>El cálculo de defunciones a nivel AGEB se realiza tomando la tasa de mortalidad calculada a nivel municipal, por la población calculada de cada AGEB, entre un factor de ponderación de 10 000 de lugar de 1 000 debido a que este factor de ponderación se adapta mejor a los datos de mortalidad (± 32 en promedio), reportados en las estadísticas vitales del INEGI, pertenecientes a defunciones en el periodo 2010-2019.</w:t>
      </w:r>
    </w:p>
    <w:p w14:paraId="32E27323" w14:textId="77777777" w:rsidR="00644151" w:rsidRDefault="00644151">
      <w:pPr>
        <w:spacing w:line="360" w:lineRule="auto"/>
      </w:pPr>
    </w:p>
    <w:p w14:paraId="3467CAF3" w14:textId="4F58ECF9" w:rsidR="00644151" w:rsidRDefault="00D70445">
      <w:pPr>
        <w:pStyle w:val="Ttulo3"/>
      </w:pPr>
      <w:bookmarkStart w:id="63" w:name="_Toc89075395"/>
      <w:r>
        <w:t xml:space="preserve">3.4.3 </w:t>
      </w:r>
      <w:r w:rsidR="00425878">
        <w:t>Oferta</w:t>
      </w:r>
      <w:bookmarkEnd w:id="63"/>
    </w:p>
    <w:p w14:paraId="0CE19FD3" w14:textId="10058360" w:rsidR="00644151" w:rsidRDefault="00425878">
      <w:pPr>
        <w:spacing w:line="360" w:lineRule="auto"/>
      </w:pPr>
      <w:r>
        <w:t>La oferta corresponde a la cantidad de fosas disponibles en los panteones de la Alcaldía Iztapalapa, por lo que dicha información fue solicitada a la Alcaldía Iztapalapa y a la Jefatura de Unidad de Departamental de Panteones y Servicios Funerarios de la Alcaldía, mediante el portal de información pública, de la Ciudad de México y el sistema unificado de atención ciudadana. Donde se ha tomado únicamente como oferta las fosas de los panteones generales y del panteón delegacional que se encuentran en un régimen de temporalidad y que cuentan con disponibilidad</w:t>
      </w:r>
      <w:r w:rsidR="0070645F">
        <w:t xml:space="preserve"> ya que los datos de panteones vecinales se encuentran agotados</w:t>
      </w:r>
      <w:r w:rsidR="00EA4CEF">
        <w:t xml:space="preserve"> en su mayoría, además de que</w:t>
      </w:r>
      <w:r w:rsidR="00EA4CEF" w:rsidRPr="00EA4CEF">
        <w:t xml:space="preserve"> </w:t>
      </w:r>
      <w:r w:rsidR="00EA4CEF">
        <w:t>los datos de estos panteones se encuentran agrupados en una misma categoría (Ver tabla 5 y 6)</w:t>
      </w:r>
      <w:r>
        <w:t>.</w:t>
      </w:r>
    </w:p>
    <w:p w14:paraId="46BD296F" w14:textId="77777777" w:rsidR="00644151" w:rsidRDefault="00644151">
      <w:pPr>
        <w:spacing w:line="360" w:lineRule="auto"/>
      </w:pPr>
    </w:p>
    <w:p w14:paraId="61EB619C" w14:textId="181A6C2B" w:rsidR="00644151" w:rsidRDefault="00D70445">
      <w:pPr>
        <w:pStyle w:val="Ttulo3"/>
      </w:pPr>
      <w:bookmarkStart w:id="64" w:name="_Toc89075396"/>
      <w:r>
        <w:lastRenderedPageBreak/>
        <w:t xml:space="preserve">3.4.4 </w:t>
      </w:r>
      <w:r w:rsidR="00425878">
        <w:t>Demanda</w:t>
      </w:r>
      <w:bookmarkEnd w:id="64"/>
    </w:p>
    <w:p w14:paraId="1E0C9928" w14:textId="49656829" w:rsidR="00644151" w:rsidRDefault="00425878">
      <w:pPr>
        <w:spacing w:line="360" w:lineRule="auto"/>
      </w:pPr>
      <w:r>
        <w:t xml:space="preserve">La demanda del servicio público de panteones está dada con base al número de servicios de entierro solicitados del total de defunciones anuales. Ya que </w:t>
      </w:r>
      <w:r w:rsidR="00EA4CEF">
        <w:t>se cuenta</w:t>
      </w:r>
      <w:r>
        <w:t xml:space="preserve"> con el cálculo de defunciones a nivel AGEB es posible establecer un porcentaje del total de defunciones que demandan del servicio de entierro en la Alcaldía, debido a que un porcentaje optará por el servicio de cremación y algunos más por el servicio de entierro en otros panteones al exterior de la Alcaldía de índole público o privado. La ecuación número 5 muestra el cálculo de la demanda del servicio de entierro. </w:t>
      </w:r>
    </w:p>
    <w:p w14:paraId="645C5431" w14:textId="77777777" w:rsidR="00644151" w:rsidRDefault="00644151">
      <w:pPr>
        <w:spacing w:line="360" w:lineRule="auto"/>
      </w:pPr>
    </w:p>
    <w:p w14:paraId="4516D2A3" w14:textId="77777777" w:rsidR="00644151" w:rsidRDefault="00425878">
      <w:pPr>
        <w:jc w:val="right"/>
      </w:pPr>
      <m:oMath>
        <m:r>
          <w:rPr>
            <w:rFonts w:ascii="Cambria Math" w:eastAsia="Cambria Math" w:hAnsi="Cambria Math" w:cs="Cambria Math"/>
          </w:rPr>
          <m:t>D=</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e</m:t>
                </m:r>
              </m:sub>
            </m:sSub>
          </m:num>
          <m:den>
            <m:r>
              <w:rPr>
                <w:rFonts w:ascii="Cambria Math" w:eastAsia="Cambria Math" w:hAnsi="Cambria Math" w:cs="Cambria Math"/>
              </w:rPr>
              <m:t>Def</m:t>
            </m:r>
          </m:den>
        </m:f>
        <m:r>
          <w:rPr>
            <w:rFonts w:ascii="Cambria Math" w:eastAsia="Cambria Math" w:hAnsi="Cambria Math" w:cs="Cambria Math"/>
          </w:rPr>
          <m:t>*100</m:t>
        </m:r>
      </m:oMath>
      <w:r>
        <w:t xml:space="preserve">           Ecuación [5]: Demanda del servicio</w:t>
      </w:r>
    </w:p>
    <w:p w14:paraId="179B9434" w14:textId="77777777" w:rsidR="00644151" w:rsidRDefault="00644151">
      <w:pPr>
        <w:spacing w:line="360" w:lineRule="auto"/>
      </w:pPr>
    </w:p>
    <w:p w14:paraId="46915253" w14:textId="77777777" w:rsidR="00644151" w:rsidRDefault="00F4132C">
      <w:pPr>
        <w:spacing w:line="360" w:lineRule="auto"/>
      </w:pPr>
      <m:oMath>
        <m:sSub>
          <m:sSubPr>
            <m:ctrlPr>
              <w:rPr>
                <w:rFonts w:ascii="Cambria Math" w:eastAsia="Cambria Math" w:hAnsi="Cambria Math" w:cs="Cambria Math"/>
              </w:rPr>
            </m:ctrlPr>
          </m:sSubPr>
          <m:e>
            <m:r>
              <w:rPr>
                <w:rFonts w:ascii="Cambria Math" w:eastAsia="Cambria Math" w:hAnsi="Cambria Math" w:cs="Cambria Math"/>
              </w:rPr>
              <m:t>T</m:t>
            </m:r>
          </m:e>
          <m:sub>
            <m:r>
              <w:rPr>
                <w:rFonts w:ascii="Cambria Math" w:eastAsia="Cambria Math" w:hAnsi="Cambria Math" w:cs="Cambria Math"/>
              </w:rPr>
              <m:t>e</m:t>
            </m:r>
          </m:sub>
        </m:sSub>
      </m:oMath>
      <w:r w:rsidR="00425878">
        <w:t xml:space="preserve"> = Total de entierros en el mismo territorio y en el mismo periodo de tiempo</w:t>
      </w:r>
    </w:p>
    <w:p w14:paraId="50102646" w14:textId="77777777" w:rsidR="00644151" w:rsidRDefault="00425878">
      <m:oMath>
        <m:r>
          <w:rPr>
            <w:rFonts w:ascii="Cambria Math" w:eastAsia="Cambria Math" w:hAnsi="Cambria Math" w:cs="Cambria Math"/>
          </w:rPr>
          <m:t>Def</m:t>
        </m:r>
      </m:oMath>
      <w:r>
        <w:t xml:space="preserve"> = Total de defunciones ocurridas en alguna unidad espacial a la mitad de un año estadístico</w:t>
      </w:r>
    </w:p>
    <w:p w14:paraId="16992965" w14:textId="77777777" w:rsidR="00644151" w:rsidRDefault="00425878">
      <w:r>
        <w:t>100 = Factor de ponderación</w:t>
      </w:r>
    </w:p>
    <w:p w14:paraId="0CD5B2A1" w14:textId="77777777" w:rsidR="00644151" w:rsidRDefault="00644151"/>
    <w:p w14:paraId="7D328108" w14:textId="6DF5979E" w:rsidR="00644151" w:rsidRDefault="00D70445">
      <w:pPr>
        <w:pStyle w:val="Ttulo3"/>
      </w:pPr>
      <w:bookmarkStart w:id="65" w:name="_Toc89075397"/>
      <w:r>
        <w:t xml:space="preserve">3.4.5 </w:t>
      </w:r>
      <w:r w:rsidR="00425878">
        <w:t>Asignación de la demanda</w:t>
      </w:r>
      <w:bookmarkEnd w:id="65"/>
    </w:p>
    <w:p w14:paraId="158D191A" w14:textId="77777777" w:rsidR="00644151" w:rsidRDefault="00425878">
      <w:pPr>
        <w:spacing w:line="360" w:lineRule="auto"/>
      </w:pPr>
      <w:r>
        <w:t xml:space="preserve">Obtenida la demanda por cada una de las AGEB, se asignar esa demanda a alguno de los panteones de la Alcaldía, tomando como criterio la distancia, la cual, está dada con base a la distancia en línea recta existente al centroide de cada una de las </w:t>
      </w:r>
      <w:proofErr w:type="spellStart"/>
      <w:r>
        <w:t>AGEB´s</w:t>
      </w:r>
      <w:proofErr w:type="spellEnd"/>
      <w:r>
        <w:t xml:space="preserve"> y la ubicación geográfica de los panteones, esta distancia es conocida como distancia euclidiana que es la distancia entre dos puntos de un espacio, la cual puede ser representa a partir del teorema de Pitágoras.</w:t>
      </w:r>
    </w:p>
    <w:p w14:paraId="6108C466" w14:textId="77777777" w:rsidR="00644151" w:rsidRDefault="00F4132C">
      <w:pPr>
        <w:jc w:val="right"/>
        <w:rPr>
          <w:rFonts w:ascii="Cambria Math" w:eastAsia="Cambria Math" w:hAnsi="Cambria Math" w:cs="Cambria Math"/>
          <w:i/>
        </w:rPr>
      </w:pPr>
      <m:oMath>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i</m:t>
            </m:r>
          </m:sub>
        </m:sSub>
        <m:r>
          <w:rPr>
            <w:rFonts w:ascii="Cambria Math" w:eastAsia="Cambria Math" w:hAnsi="Cambria Math" w:cs="Cambria Math"/>
          </w:rPr>
          <m:t xml:space="preserve">=k </m:t>
        </m:r>
        <m:rad>
          <m:radPr>
            <m:degHide m:val="1"/>
            <m:ctrlPr>
              <w:rPr>
                <w:rFonts w:ascii="Cambria Math" w:eastAsia="Cambria Math" w:hAnsi="Cambria Math" w:cs="Cambria Math"/>
              </w:rPr>
            </m:ctrlPr>
          </m:radPr>
          <m:deg/>
          <m:e>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x</m:t>
                        </m:r>
                      </m:e>
                      <m:sub>
                        <m:r>
                          <w:rPr>
                            <w:rFonts w:ascii="Cambria Math" w:eastAsia="Cambria Math" w:hAnsi="Cambria Math" w:cs="Cambria Math"/>
                          </w:rPr>
                          <m:t>j</m:t>
                        </m:r>
                      </m:sub>
                    </m:sSub>
                  </m:e>
                </m:d>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d>
                  <m:dPr>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i</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y</m:t>
                        </m:r>
                      </m:e>
                      <m:sub>
                        <m:r>
                          <w:rPr>
                            <w:rFonts w:ascii="Cambria Math" w:eastAsia="Cambria Math" w:hAnsi="Cambria Math" w:cs="Cambria Math"/>
                          </w:rPr>
                          <m:t>j</m:t>
                        </m:r>
                      </m:sub>
                    </m:sSub>
                  </m:e>
                </m:d>
              </m:e>
              <m:sup>
                <m:r>
                  <w:rPr>
                    <w:rFonts w:ascii="Cambria Math" w:eastAsia="Cambria Math" w:hAnsi="Cambria Math" w:cs="Cambria Math"/>
                  </w:rPr>
                  <m:t>2</m:t>
                </m:r>
              </m:sup>
            </m:sSup>
          </m:e>
        </m:rad>
      </m:oMath>
      <w:r w:rsidR="00425878">
        <w:rPr>
          <w:rFonts w:ascii="Cambria Math" w:eastAsia="Cambria Math" w:hAnsi="Cambria Math" w:cs="Cambria Math"/>
          <w:i/>
        </w:rPr>
        <w:t xml:space="preserve">                  Ecuación [6]: Distancia euclidiana</w:t>
      </w:r>
    </w:p>
    <w:p w14:paraId="2863619C" w14:textId="77777777" w:rsidR="00644151" w:rsidRDefault="00644151">
      <w:pPr>
        <w:spacing w:line="360" w:lineRule="auto"/>
      </w:pPr>
    </w:p>
    <w:p w14:paraId="07A46E60" w14:textId="77777777" w:rsidR="00644151" w:rsidRDefault="00425878">
      <w:pPr>
        <w:spacing w:line="360" w:lineRule="auto"/>
      </w:pPr>
      <w:r>
        <w:t xml:space="preserve">El cálculo de la distancia se realiza a través de una matriz de distancias cuyos elementos representan la distancia entre un conjunto que representa cada una de las </w:t>
      </w:r>
      <w:proofErr w:type="spellStart"/>
      <w:r>
        <w:t>AGEB´s</w:t>
      </w:r>
      <w:proofErr w:type="spellEnd"/>
      <w:r>
        <w:t xml:space="preserve"> de la alcaldía y otro conjunto que representa los panteones. El flujo entre estas dos unidades </w:t>
      </w:r>
      <w:r>
        <w:lastRenderedPageBreak/>
        <w:t xml:space="preserve">espaciales podría representarse de manera general como </w:t>
      </w:r>
      <w:proofErr w:type="spellStart"/>
      <w:r>
        <w:t>Fij</w:t>
      </w:r>
      <w:proofErr w:type="spellEnd"/>
      <w:r>
        <w:t>; es decir, el flujo de la unidad de origen "i" a la unidad de destino "j" (Garrocho, 1992).</w:t>
      </w:r>
    </w:p>
    <w:p w14:paraId="4A2AFE0A" w14:textId="77777777" w:rsidR="00644151" w:rsidRDefault="00425878">
      <w:pPr>
        <w:spacing w:line="360" w:lineRule="auto"/>
      </w:pPr>
      <w:r>
        <w:t xml:space="preserve">Es así que el flujo total que sale de la unidad de origen "i" puede representarse como </w:t>
      </w:r>
      <w:proofErr w:type="gramStart"/>
      <w:r>
        <w:t>O¡ donde</w:t>
      </w:r>
      <w:proofErr w:type="gramEnd"/>
      <w:r>
        <w:t>:</w:t>
      </w:r>
    </w:p>
    <w:p w14:paraId="6E60A311" w14:textId="77777777" w:rsidR="00644151" w:rsidRDefault="00425878">
      <w:pPr>
        <w:jc w:val="right"/>
      </w:pPr>
      <m:oMath>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O</m:t>
            </m:r>
          </m:e>
          <m:sub>
            <m:r>
              <w:rPr>
                <w:rFonts w:ascii="Cambria Math" w:eastAsia="Cambria Math" w:hAnsi="Cambria Math" w:cs="Cambria Math"/>
              </w:rPr>
              <m:t>i</m:t>
            </m:r>
          </m:sub>
        </m:sSub>
        <m:r>
          <w:rPr>
            <w:rFonts w:ascii="Cambria Math" w:eastAsia="Cambria Math" w:hAnsi="Cambria Math" w:cs="Cambria Math"/>
          </w:rPr>
          <m:t xml:space="preserve">= </m:t>
        </m:r>
        <m:nary>
          <m:naryPr>
            <m:chr m:val="∑"/>
            <m:ctrlPr>
              <w:rPr>
                <w:rFonts w:ascii="Cambria Math" w:eastAsia="Cambria Math" w:hAnsi="Cambria Math" w:cs="Cambria Math"/>
              </w:rPr>
            </m:ctrlPr>
          </m:naryPr>
          <m:sub>
            <m:r>
              <w:rPr>
                <w:rFonts w:ascii="Cambria Math" w:eastAsia="Cambria Math" w:hAnsi="Cambria Math" w:cs="Cambria Math"/>
              </w:rPr>
              <m:t>j=i</m:t>
            </m:r>
          </m:sub>
          <m:sup>
            <m:r>
              <w:rPr>
                <w:rFonts w:ascii="Cambria Math" w:eastAsia="Cambria Math" w:hAnsi="Cambria Math" w:cs="Cambria Math"/>
              </w:rPr>
              <m:t>n</m:t>
            </m:r>
          </m:sup>
          <m:e/>
        </m:nary>
        <m:r>
          <w:rPr>
            <w:rFonts w:ascii="Cambria Math" w:eastAsia="Cambria Math" w:hAnsi="Cambria Math" w:cs="Cambria Math"/>
          </w:rPr>
          <m:t>Fij</m:t>
        </m:r>
      </m:oMath>
      <w:r>
        <w:t xml:space="preserve">          Ecuación [7]: Origen del flujo</w:t>
      </w:r>
    </w:p>
    <w:p w14:paraId="0C5CB06D" w14:textId="77777777" w:rsidR="00644151" w:rsidRDefault="00644151"/>
    <w:p w14:paraId="5AE8F2C7" w14:textId="77777777" w:rsidR="00644151" w:rsidRDefault="00425878">
      <w:pPr>
        <w:spacing w:line="360" w:lineRule="auto"/>
      </w:pPr>
      <w:r>
        <w:t>Asimismo, el flujo total que llega al destino "</w:t>
      </w:r>
      <w:r>
        <w:rPr>
          <w:i/>
        </w:rPr>
        <w:t>j</w:t>
      </w:r>
      <w:r>
        <w:t xml:space="preserve">" sería </w:t>
      </w:r>
      <w:proofErr w:type="spellStart"/>
      <w:r>
        <w:t>I</w:t>
      </w:r>
      <w:r>
        <w:rPr>
          <w:vertAlign w:val="subscript"/>
        </w:rPr>
        <w:t>j</w:t>
      </w:r>
      <w:proofErr w:type="spellEnd"/>
      <w:r>
        <w:t xml:space="preserve"> donde:</w:t>
      </w:r>
    </w:p>
    <w:p w14:paraId="35B6AA70" w14:textId="77777777" w:rsidR="00644151" w:rsidRDefault="00644151"/>
    <w:p w14:paraId="3BB564FA" w14:textId="77777777" w:rsidR="00644151" w:rsidRDefault="00F4132C">
      <w:pPr>
        <w:jc w:val="right"/>
      </w:pPr>
      <m:oMath>
        <m:sSub>
          <m:sSubPr>
            <m:ctrlPr>
              <w:rPr>
                <w:rFonts w:ascii="Cambria Math" w:eastAsia="Cambria Math" w:hAnsi="Cambria Math" w:cs="Cambria Math"/>
              </w:rPr>
            </m:ctrlPr>
          </m:sSubPr>
          <m:e>
            <m:r>
              <w:rPr>
                <w:rFonts w:ascii="Cambria Math" w:eastAsia="Cambria Math" w:hAnsi="Cambria Math" w:cs="Cambria Math"/>
              </w:rPr>
              <m:t>i</m:t>
            </m:r>
          </m:e>
          <m:sub>
            <m:r>
              <w:rPr>
                <w:rFonts w:ascii="Cambria Math" w:eastAsia="Cambria Math" w:hAnsi="Cambria Math" w:cs="Cambria Math"/>
              </w:rPr>
              <m:t>j</m:t>
            </m:r>
          </m:sub>
        </m:sSub>
        <m:r>
          <w:rPr>
            <w:rFonts w:ascii="Cambria Math" w:eastAsia="Cambria Math" w:hAnsi="Cambria Math" w:cs="Cambria Math"/>
          </w:rPr>
          <m:t xml:space="preserve">= </m:t>
        </m:r>
        <m:nary>
          <m:naryPr>
            <m:chr m:val="∑"/>
            <m:ctrlPr>
              <w:rPr>
                <w:rFonts w:ascii="Cambria Math" w:eastAsia="Cambria Math" w:hAnsi="Cambria Math" w:cs="Cambria Math"/>
              </w:rPr>
            </m:ctrlPr>
          </m:naryPr>
          <m:sub>
            <m:r>
              <w:rPr>
                <w:rFonts w:ascii="Cambria Math" w:eastAsia="Cambria Math" w:hAnsi="Cambria Math" w:cs="Cambria Math"/>
              </w:rPr>
              <m:t>i=j</m:t>
            </m:r>
          </m:sub>
          <m:sup>
            <m:r>
              <w:rPr>
                <w:rFonts w:ascii="Cambria Math" w:eastAsia="Cambria Math" w:hAnsi="Cambria Math" w:cs="Cambria Math"/>
              </w:rPr>
              <m:t>n</m:t>
            </m:r>
          </m:sup>
          <m:e/>
        </m:nary>
        <m:r>
          <w:rPr>
            <w:rFonts w:ascii="Cambria Math" w:eastAsia="Cambria Math" w:hAnsi="Cambria Math" w:cs="Cambria Math"/>
          </w:rPr>
          <m:t>Fij</m:t>
        </m:r>
      </m:oMath>
      <w:r w:rsidR="00425878">
        <w:t xml:space="preserve">           Ecuación [8]: Destino del flujo</w:t>
      </w:r>
    </w:p>
    <w:p w14:paraId="38EF9FF1" w14:textId="77777777" w:rsidR="00644151" w:rsidRDefault="00644151">
      <w:pPr>
        <w:spacing w:line="360" w:lineRule="auto"/>
      </w:pPr>
    </w:p>
    <w:p w14:paraId="5BD7A136" w14:textId="0678ADB3" w:rsidR="00644151" w:rsidRDefault="00D70445">
      <w:pPr>
        <w:pStyle w:val="Ttulo2"/>
      </w:pPr>
      <w:bookmarkStart w:id="66" w:name="_Toc89075398"/>
      <w:r>
        <w:t xml:space="preserve">3.5 </w:t>
      </w:r>
      <w:r w:rsidR="00425878">
        <w:t>Base de datos geoespacial</w:t>
      </w:r>
      <w:bookmarkEnd w:id="66"/>
    </w:p>
    <w:p w14:paraId="7A508B73" w14:textId="77777777" w:rsidR="00644151" w:rsidRDefault="00425878">
      <w:pPr>
        <w:spacing w:line="360" w:lineRule="auto"/>
      </w:pPr>
      <w:r>
        <w:t>Con la finalidad de almacenar información de forma ordenada, es necesario una base de datos geográfica. Esta base se plantea desde un enfoque de una base de datos relacional que almacena y proporciona acceso a puntos de datos relacionados entre sí. En una base de datos relacional, cada fila de la tabla contiene un registro con un ID único llamado clave. Las columnas de cada tabla contienen los atributos de los datos, y cada registro generalmente tiene un valor para cada atributo, lo que facilita el establecimiento de las relaciones entre los datos.</w:t>
      </w:r>
    </w:p>
    <w:p w14:paraId="7F02BE20" w14:textId="77777777" w:rsidR="00644151" w:rsidRDefault="00644151">
      <w:pPr>
        <w:spacing w:line="360" w:lineRule="auto"/>
      </w:pPr>
    </w:p>
    <w:p w14:paraId="2744BB80" w14:textId="3F01101D" w:rsidR="00644151" w:rsidRDefault="00D70445">
      <w:pPr>
        <w:pStyle w:val="Ttulo3"/>
      </w:pPr>
      <w:bookmarkStart w:id="67" w:name="_Toc89075399"/>
      <w:r>
        <w:t xml:space="preserve">3.5.1 </w:t>
      </w:r>
      <w:r w:rsidR="00425878">
        <w:t>Modelo relacional</w:t>
      </w:r>
      <w:bookmarkEnd w:id="67"/>
    </w:p>
    <w:p w14:paraId="12D9EA4E" w14:textId="77777777" w:rsidR="00644151" w:rsidRDefault="00425878">
      <w:pPr>
        <w:spacing w:line="360" w:lineRule="auto"/>
      </w:pPr>
      <w:r>
        <w:t>El proceso de diseño de la base de datos consiste en definir la estructura lógica y física de una base de datos para responder a las necesidades del usuario con respecto a la información a ser utilizada en la aplicación web. Por lo cual, en una primera etapa se diseñó de forma conceptual, diferentes tablas con información que se consideró necesaria, después se realizó el proceso de normalización y estandarización de los datos, que consiste en la eliminación de la redundancia, con el objetivo de obtener tablas de datos con una estructura óptima, precisa y eficaz para evitar posibles anomalías. Posteriormente se generó el diagrama de entidad relación el cual se muestra en la Figura 11 donde se representan las tablas que conforman la base de datos, así como sus atributos, cardinalidad y propiedades de cada una.</w:t>
      </w:r>
    </w:p>
    <w:p w14:paraId="4CFE6CC8" w14:textId="77777777" w:rsidR="00644151" w:rsidRDefault="00425878">
      <w:pPr>
        <w:spacing w:line="360" w:lineRule="auto"/>
        <w:jc w:val="center"/>
      </w:pPr>
      <w:r>
        <w:rPr>
          <w:rFonts w:ascii="Arial" w:eastAsia="Arial" w:hAnsi="Arial" w:cs="Arial"/>
          <w:noProof/>
        </w:rPr>
        <w:lastRenderedPageBreak/>
        <w:drawing>
          <wp:inline distT="0" distB="0" distL="0" distR="0" wp14:anchorId="04B371B3" wp14:editId="731D9107">
            <wp:extent cx="4047381" cy="2754125"/>
            <wp:effectExtent l="0" t="0" r="0" b="0"/>
            <wp:docPr id="95" name="image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Diagrama&#10;&#10;Descripción generada automáticamente"/>
                    <pic:cNvPicPr preferRelativeResize="0"/>
                  </pic:nvPicPr>
                  <pic:blipFill>
                    <a:blip r:embed="rId24"/>
                    <a:srcRect/>
                    <a:stretch>
                      <a:fillRect/>
                    </a:stretch>
                  </pic:blipFill>
                  <pic:spPr>
                    <a:xfrm>
                      <a:off x="0" y="0"/>
                      <a:ext cx="4047381" cy="2754125"/>
                    </a:xfrm>
                    <a:prstGeom prst="rect">
                      <a:avLst/>
                    </a:prstGeom>
                    <a:ln/>
                  </pic:spPr>
                </pic:pic>
              </a:graphicData>
            </a:graphic>
          </wp:inline>
        </w:drawing>
      </w:r>
    </w:p>
    <w:p w14:paraId="57A00235"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68" w:name="_heading=h.3ygebqi" w:colFirst="0" w:colLast="0"/>
      <w:bookmarkEnd w:id="68"/>
      <w:r>
        <w:rPr>
          <w:i/>
          <w:color w:val="44546A"/>
          <w:sz w:val="18"/>
          <w:szCs w:val="18"/>
        </w:rPr>
        <w:t>Figura 11. Diagrama entidad-relación de la base de datos.</w:t>
      </w:r>
    </w:p>
    <w:p w14:paraId="30818505" w14:textId="77777777" w:rsidR="00644151" w:rsidRDefault="00425878">
      <w:pPr>
        <w:rPr>
          <w:sz w:val="22"/>
          <w:szCs w:val="22"/>
        </w:rPr>
      </w:pPr>
      <w:r>
        <w:rPr>
          <w:sz w:val="22"/>
          <w:szCs w:val="22"/>
        </w:rPr>
        <w:t>Fuente: Elaboración propia (2021).</w:t>
      </w:r>
    </w:p>
    <w:p w14:paraId="73D8DB84" w14:textId="77777777" w:rsidR="00644151" w:rsidRDefault="00644151"/>
    <w:p w14:paraId="616A5AD3" w14:textId="58EBEA4B" w:rsidR="00644151" w:rsidRDefault="00D70445">
      <w:pPr>
        <w:pStyle w:val="Ttulo2"/>
      </w:pPr>
      <w:bookmarkStart w:id="69" w:name="_Toc89075400"/>
      <w:r>
        <w:t xml:space="preserve">3.6 </w:t>
      </w:r>
      <w:r w:rsidR="00425878">
        <w:t>Construcción del modelo</w:t>
      </w:r>
      <w:bookmarkEnd w:id="69"/>
    </w:p>
    <w:p w14:paraId="482B44DE" w14:textId="34C7023B" w:rsidR="00644151" w:rsidRDefault="00425878">
      <w:pPr>
        <w:pStyle w:val="Ttulo3"/>
      </w:pPr>
      <w:bookmarkStart w:id="70" w:name="_Toc89075401"/>
      <w:r>
        <w:t>Modelo conceptual</w:t>
      </w:r>
      <w:bookmarkEnd w:id="70"/>
    </w:p>
    <w:p w14:paraId="3EFDC7EC" w14:textId="77777777" w:rsidR="00644151" w:rsidRDefault="00425878">
      <w:pPr>
        <w:spacing w:line="360" w:lineRule="auto"/>
      </w:pPr>
      <w:r>
        <w:t>El modelo conceptual se representa mediante un diagrama de flujo, el cual, muestra gráficamente los pasos o procesos a seguir en cada uno de los años a modelar, para alcanzar la solución al problema. Su correcta construcción es sumamente importante porque, a partir del mismo se escribe un programa en algún lenguaje de programación.</w:t>
      </w:r>
    </w:p>
    <w:p w14:paraId="28EB8952" w14:textId="77777777" w:rsidR="00644151" w:rsidRDefault="00425878">
      <w:pPr>
        <w:spacing w:line="360" w:lineRule="auto"/>
      </w:pPr>
      <w:r>
        <w:t xml:space="preserve">El modelado de procesos comienza con la introducción del año a ser modelado continuando con el cálculo de la tasa de mortalidad a nivel Alcaldía, mediante la población y el número de defunciones reportado un estimado, posteriormente se calcula la mortalidad por AGEB, la cual, nos da como resultado la demanda potencial anual. Sin embargo, del número total de defunciones anuales reportadas en la Alcaldía, resulta que no todos solicitan el servicio de entierro, por lo que se requiere de un porcentaje de entierro que el usuario digite manualmente para estimar la demanda real del servicio. Obtenida la demanda real del servicio, esta debe de ser asignada a alguno de los panteones, el parámetro que se considera para destinar la demanda es la distancia existente entre la demanda y la oferta. Cabe mencionar que el programa permitirá introducir los datos manualmente de la oferta por cada uno de los </w:t>
      </w:r>
      <w:r>
        <w:lastRenderedPageBreak/>
        <w:t xml:space="preserve">panteones, en caso contrario de no recibir solicitud alguna, cargará datos de la oferta preestablecidos en el programa. </w:t>
      </w:r>
    </w:p>
    <w:p w14:paraId="6EFFC76F" w14:textId="77777777" w:rsidR="00644151" w:rsidRDefault="00425878">
      <w:pPr>
        <w:spacing w:line="360" w:lineRule="auto"/>
      </w:pPr>
      <w:r>
        <w:t>Una vez que ha sido asignada la demanda al panteón con la menor distancia, se realiza un cálculo matemático, donde a la oferta se le resta la demanda, actualizando la oferta de ese panteón. Debido a que los panteones año con año realizan exhumaciones, el usuario podrá introducir un estimado de las fosas recuperadas por el vencimiento del servicio, las cuales serán sumadas a la oferta, para obtener el número de fosas que se ofertarán al siguiente año.</w:t>
      </w:r>
    </w:p>
    <w:p w14:paraId="6592D373" w14:textId="77777777" w:rsidR="00644151" w:rsidRDefault="00425878">
      <w:pPr>
        <w:spacing w:line="360" w:lineRule="auto"/>
      </w:pPr>
      <w:r>
        <w:t xml:space="preserve"> Cuando la asignación de la demanda se realice a alguno de los panteones y este ya no cuente con disponibilidad de fosas, la asignación se realizará al siguiente panteón con la menor distancia, si esté cuenta aún con disponibilidad se realizarán los cálculos pertinentes caso contrario, la demanda se asignará a siguiente panteón, así hasta que la demanda ya no pueda ser asignada a ninguno de los panteones, lo que significa que la demanda habrá sobrepasado a la oferta.</w:t>
      </w:r>
    </w:p>
    <w:p w14:paraId="4CC6D2CB" w14:textId="77777777" w:rsidR="00644151" w:rsidRDefault="00644151"/>
    <w:p w14:paraId="0291A4CB" w14:textId="77777777" w:rsidR="00644151" w:rsidRDefault="00425878">
      <w:pPr>
        <w:jc w:val="center"/>
      </w:pPr>
      <w:r>
        <w:rPr>
          <w:noProof/>
        </w:rPr>
        <w:drawing>
          <wp:inline distT="0" distB="0" distL="0" distR="0" wp14:anchorId="5051B1CD" wp14:editId="691EF3D7">
            <wp:extent cx="5612130" cy="3683000"/>
            <wp:effectExtent l="0" t="0" r="0" b="0"/>
            <wp:docPr id="96" name="image3.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png" descr="Diagrama&#10;&#10;Descripción generada automáticamente"/>
                    <pic:cNvPicPr preferRelativeResize="0"/>
                  </pic:nvPicPr>
                  <pic:blipFill>
                    <a:blip r:embed="rId25"/>
                    <a:srcRect/>
                    <a:stretch>
                      <a:fillRect/>
                    </a:stretch>
                  </pic:blipFill>
                  <pic:spPr>
                    <a:xfrm>
                      <a:off x="0" y="0"/>
                      <a:ext cx="5612130" cy="3683000"/>
                    </a:xfrm>
                    <a:prstGeom prst="rect">
                      <a:avLst/>
                    </a:prstGeom>
                    <a:ln/>
                  </pic:spPr>
                </pic:pic>
              </a:graphicData>
            </a:graphic>
          </wp:inline>
        </w:drawing>
      </w:r>
    </w:p>
    <w:p w14:paraId="286BBA91"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71" w:name="_heading=h.3hv69ve" w:colFirst="0" w:colLast="0"/>
      <w:bookmarkEnd w:id="71"/>
      <w:r>
        <w:rPr>
          <w:i/>
          <w:color w:val="44546A"/>
          <w:sz w:val="18"/>
          <w:szCs w:val="18"/>
        </w:rPr>
        <w:t>Figura 12. Modelo conceptual del flujo de trabajo.</w:t>
      </w:r>
    </w:p>
    <w:p w14:paraId="47E116B5" w14:textId="77777777" w:rsidR="00644151" w:rsidRDefault="00425878">
      <w:r>
        <w:rPr>
          <w:sz w:val="22"/>
          <w:szCs w:val="22"/>
        </w:rPr>
        <w:t>Fuente: Elaboración propia (2021).</w:t>
      </w:r>
    </w:p>
    <w:p w14:paraId="6EF06FE1" w14:textId="1F1CE45B" w:rsidR="00644151" w:rsidRDefault="00D70445">
      <w:pPr>
        <w:pStyle w:val="Ttulo2"/>
      </w:pPr>
      <w:bookmarkStart w:id="72" w:name="_Toc89075402"/>
      <w:r>
        <w:lastRenderedPageBreak/>
        <w:t xml:space="preserve">3.7 </w:t>
      </w:r>
      <w:r w:rsidR="00425878">
        <w:t>Desarrollo Web</w:t>
      </w:r>
      <w:bookmarkEnd w:id="72"/>
    </w:p>
    <w:p w14:paraId="1900FDD5" w14:textId="77777777" w:rsidR="00644151" w:rsidRDefault="00425878">
      <w:pPr>
        <w:spacing w:line="360" w:lineRule="auto"/>
      </w:pPr>
      <w:r>
        <w:t xml:space="preserve">La programación para la construcción de la página web está dividida en dos partes, una conocida como Front </w:t>
      </w:r>
      <w:proofErr w:type="spellStart"/>
      <w:r>
        <w:t>End</w:t>
      </w:r>
      <w:proofErr w:type="spellEnd"/>
      <w:r>
        <w:t xml:space="preserve">, que es la parte del cliente y otra llamada Back </w:t>
      </w:r>
      <w:proofErr w:type="spellStart"/>
      <w:r>
        <w:t>End</w:t>
      </w:r>
      <w:proofErr w:type="spellEnd"/>
      <w:r>
        <w:t xml:space="preserve"> que corresponde a la parte del servidor, que es la parte de la web que el cliente no ve. El Front </w:t>
      </w:r>
      <w:proofErr w:type="spellStart"/>
      <w:r>
        <w:t>End</w:t>
      </w:r>
      <w:proofErr w:type="spellEnd"/>
      <w:r>
        <w:t xml:space="preserve"> se encuentra en un lenguaje de HTML, el cual trata de un conjunto de etiquetas que sirven para indicar que cierto texto hay que tratarlo de determinada manera, mientras el Back </w:t>
      </w:r>
      <w:proofErr w:type="spellStart"/>
      <w:r>
        <w:t>End</w:t>
      </w:r>
      <w:proofErr w:type="spellEnd"/>
      <w:r>
        <w:t xml:space="preserve"> abarca desde la configuración del servidor, hasta la programación de algoritmos a ejecutar por el programa.      </w:t>
      </w:r>
    </w:p>
    <w:p w14:paraId="561687DB" w14:textId="77777777" w:rsidR="00644151" w:rsidRDefault="00644151" w:rsidP="00D70445"/>
    <w:p w14:paraId="3966AE3B" w14:textId="77777777" w:rsidR="00644151" w:rsidRDefault="00425878">
      <w:pPr>
        <w:pStyle w:val="Ttulo3"/>
      </w:pPr>
      <w:bookmarkStart w:id="73" w:name="_Toc89075403"/>
      <w:r>
        <w:t xml:space="preserve">Front </w:t>
      </w:r>
      <w:proofErr w:type="spellStart"/>
      <w:r>
        <w:t>End</w:t>
      </w:r>
      <w:proofErr w:type="spellEnd"/>
      <w:r>
        <w:t>: Maquetación y estilo</w:t>
      </w:r>
      <w:bookmarkEnd w:id="73"/>
    </w:p>
    <w:p w14:paraId="3336E6D3" w14:textId="11198B9B" w:rsidR="00644151" w:rsidRDefault="00425878">
      <w:pPr>
        <w:spacing w:line="360" w:lineRule="auto"/>
      </w:pPr>
      <w:r>
        <w:t xml:space="preserve">Mediante el uso de Visual Studio </w:t>
      </w:r>
      <w:proofErr w:type="spellStart"/>
      <w:r>
        <w:t>Code</w:t>
      </w:r>
      <w:proofErr w:type="spellEnd"/>
      <w:r>
        <w:t xml:space="preserve"> se ha desarrollado el archivo código fuente, el cual contiene la maquetación del desarrollo web, que consiste en estructurar el contenido mediante </w:t>
      </w:r>
      <w:proofErr w:type="spellStart"/>
      <w:r>
        <w:t>html</w:t>
      </w:r>
      <w:proofErr w:type="spellEnd"/>
      <w:r>
        <w:t xml:space="preserve"> y darle la apariencia deseada. La maquetación de la página web contiene los espacios para alojar las cuatro secciones propuestas. Se parte de un archivo con las divisiones de head y </w:t>
      </w:r>
      <w:proofErr w:type="spellStart"/>
      <w:r>
        <w:t>body</w:t>
      </w:r>
      <w:proofErr w:type="spellEnd"/>
      <w:r>
        <w:t xml:space="preserve"> propias de </w:t>
      </w:r>
      <w:proofErr w:type="spellStart"/>
      <w:r>
        <w:t>html</w:t>
      </w:r>
      <w:proofErr w:type="spellEnd"/>
      <w:r>
        <w:t xml:space="preserve">, donde el </w:t>
      </w:r>
      <w:proofErr w:type="spellStart"/>
      <w:r>
        <w:t>body</w:t>
      </w:r>
      <w:proofErr w:type="spellEnd"/>
      <w:r>
        <w:t xml:space="preserve"> o cuerpo se ha dividido en cuatro partes: un head o cabecera, un </w:t>
      </w:r>
      <w:proofErr w:type="spellStart"/>
      <w:r>
        <w:t>form</w:t>
      </w:r>
      <w:proofErr w:type="spellEnd"/>
      <w:r>
        <w:t xml:space="preserve"> para el formulario, un </w:t>
      </w:r>
      <w:proofErr w:type="spellStart"/>
      <w:r>
        <w:t>map</w:t>
      </w:r>
      <w:proofErr w:type="spellEnd"/>
      <w:r>
        <w:t xml:space="preserve"> para la sección del mapa y un </w:t>
      </w:r>
      <w:proofErr w:type="spellStart"/>
      <w:r>
        <w:t>footer</w:t>
      </w:r>
      <w:proofErr w:type="spellEnd"/>
      <w:r>
        <w:t xml:space="preserve"> o pie de página. A los cuales se les ha dado formato a través de una hoja de estilo en cascada CSS (</w:t>
      </w:r>
      <w:proofErr w:type="spellStart"/>
      <w:r>
        <w:t>Cascading</w:t>
      </w:r>
      <w:proofErr w:type="spellEnd"/>
      <w:r>
        <w:t xml:space="preserve"> Style </w:t>
      </w:r>
      <w:proofErr w:type="spellStart"/>
      <w:r>
        <w:t>Sheets</w:t>
      </w:r>
      <w:proofErr w:type="spellEnd"/>
      <w:r>
        <w:t>).</w:t>
      </w:r>
    </w:p>
    <w:p w14:paraId="5C41FAE0" w14:textId="77777777" w:rsidR="00644151" w:rsidRDefault="00644151" w:rsidP="00D70445"/>
    <w:p w14:paraId="6A42557D" w14:textId="77777777" w:rsidR="00644151" w:rsidRDefault="00425878">
      <w:pPr>
        <w:pStyle w:val="Ttulo3"/>
      </w:pPr>
      <w:bookmarkStart w:id="74" w:name="_Toc89075404"/>
      <w:r>
        <w:t xml:space="preserve">Back </w:t>
      </w:r>
      <w:proofErr w:type="spellStart"/>
      <w:r>
        <w:t>End</w:t>
      </w:r>
      <w:bookmarkEnd w:id="74"/>
      <w:proofErr w:type="spellEnd"/>
    </w:p>
    <w:p w14:paraId="0DD68EC1" w14:textId="77777777" w:rsidR="00644151" w:rsidRDefault="00425878">
      <w:pPr>
        <w:spacing w:line="360" w:lineRule="auto"/>
      </w:pPr>
      <w:r>
        <w:t xml:space="preserve">Cualquier servicio que pretendamos ofertar en internet, se encuentra alojado en un servidor, por lo que es necesario la instalación y configuración de un servidor, para ejecutar la aplicación web, en este caso se ha seleccionado el servidor Apache Tomcat que permite ejecutar aplicaciones web realizadas en Java.  </w:t>
      </w:r>
    </w:p>
    <w:p w14:paraId="7B2F3CA1" w14:textId="77777777" w:rsidR="00644151" w:rsidRDefault="00425878">
      <w:pPr>
        <w:spacing w:line="360" w:lineRule="auto"/>
      </w:pPr>
      <w:r>
        <w:t xml:space="preserve">Mediante el uso de </w:t>
      </w:r>
      <w:proofErr w:type="spellStart"/>
      <w:r>
        <w:rPr>
          <w:i/>
        </w:rPr>
        <w:t>JavaScrip</w:t>
      </w:r>
      <w:proofErr w:type="spellEnd"/>
      <w:r>
        <w:rPr>
          <w:i/>
        </w:rPr>
        <w:t xml:space="preserve"> </w:t>
      </w:r>
      <w:r>
        <w:t xml:space="preserve">se ha configurado el área de mapa, transformándolo de un mapa fijo a un mapa dinámico, con el que el usuario puede interactuar, agregando servicios </w:t>
      </w:r>
      <w:proofErr w:type="spellStart"/>
      <w:r>
        <w:rPr>
          <w:i/>
        </w:rPr>
        <w:t>wms</w:t>
      </w:r>
      <w:proofErr w:type="spellEnd"/>
      <w:r>
        <w:rPr>
          <w:i/>
        </w:rPr>
        <w:t xml:space="preserve"> </w:t>
      </w:r>
      <w:r>
        <w:t xml:space="preserve">como son: límite de la alcaldía, panteones, </w:t>
      </w:r>
      <w:proofErr w:type="spellStart"/>
      <w:r>
        <w:t>AGEB´s</w:t>
      </w:r>
      <w:proofErr w:type="spellEnd"/>
      <w:r>
        <w:t xml:space="preserve">, y las distancias existentes entre estos dos últimos. A los cuales se les ha agregado la opción de desplegar información, cuando el usuario da un clic en el área de interés. La sección de mapa cuenta con un menú de capas, las cuales pueden ser agregadas y removidas de la visualización. </w:t>
      </w:r>
    </w:p>
    <w:p w14:paraId="5E35E75F" w14:textId="736E0B37" w:rsidR="00644151" w:rsidRDefault="00425878">
      <w:pPr>
        <w:spacing w:line="360" w:lineRule="auto"/>
      </w:pPr>
      <w:r>
        <w:lastRenderedPageBreak/>
        <w:t xml:space="preserve">Por medio de un lenguaje de programación destinado a desarrollar aplicaciones para la web llamado PHP </w:t>
      </w:r>
      <w:r>
        <w:rPr>
          <w:i/>
        </w:rPr>
        <w:t>(</w:t>
      </w:r>
      <w:proofErr w:type="spellStart"/>
      <w:r>
        <w:rPr>
          <w:i/>
        </w:rPr>
        <w:t>Hypertext</w:t>
      </w:r>
      <w:proofErr w:type="spellEnd"/>
      <w:r>
        <w:rPr>
          <w:i/>
        </w:rPr>
        <w:t xml:space="preserve"> </w:t>
      </w:r>
      <w:proofErr w:type="spellStart"/>
      <w:r>
        <w:rPr>
          <w:i/>
        </w:rPr>
        <w:t>Preprocessor</w:t>
      </w:r>
      <w:proofErr w:type="spellEnd"/>
      <w:r>
        <w:t xml:space="preserve">), se han establecido la conexión a las tablas de la base de datos, la cual se encuentra almacenada en un sistema gestor llamado </w:t>
      </w:r>
      <w:r>
        <w:rPr>
          <w:i/>
        </w:rPr>
        <w:t>pgAdmin4</w:t>
      </w:r>
      <w:r>
        <w:t xml:space="preserve">, por la cual es posible introducir, almacenar, procesar y visualizar información, la cual </w:t>
      </w:r>
      <w:r w:rsidR="0051306C">
        <w:t xml:space="preserve">permite el despliegue </w:t>
      </w:r>
      <w:r>
        <w:t>de forma dinámica.</w:t>
      </w:r>
    </w:p>
    <w:p w14:paraId="54F9FD27" w14:textId="77777777" w:rsidR="00644151" w:rsidRDefault="00644151">
      <w:pPr>
        <w:spacing w:line="360" w:lineRule="auto"/>
      </w:pPr>
    </w:p>
    <w:p w14:paraId="1571B29D" w14:textId="568D9111" w:rsidR="00644151" w:rsidRDefault="00D70445">
      <w:pPr>
        <w:pStyle w:val="Ttulo2"/>
      </w:pPr>
      <w:bookmarkStart w:id="75" w:name="_Toc89075405"/>
      <w:r>
        <w:t xml:space="preserve">3.8 </w:t>
      </w:r>
      <w:r w:rsidR="00425878">
        <w:t>Pruebas del sistema</w:t>
      </w:r>
      <w:bookmarkEnd w:id="75"/>
    </w:p>
    <w:p w14:paraId="45DDE4A9" w14:textId="77777777" w:rsidR="00644151" w:rsidRDefault="00425878">
      <w:pPr>
        <w:spacing w:line="360" w:lineRule="auto"/>
      </w:pPr>
      <w:r>
        <w:t xml:space="preserve">Para identificar que la página web esté funcionando correctamente, se sometió a un proceso de testeo donde se valoró el tiempo de despliegue de la información en diferentes navegadores, así como el despliegue de la información fuera homogénea y que no faltará ningún elemento o que el navegador arroja algún error. El despliegue del archivo es uniforme en diferentes navegadores web y se comporta de forma responsiva en diferentes plataformas. De igual forma se verifica la conexión exitosa con el servidor de datos espaciales llamado </w:t>
      </w:r>
      <w:proofErr w:type="spellStart"/>
      <w:r>
        <w:rPr>
          <w:i/>
        </w:rPr>
        <w:t>Geoserver</w:t>
      </w:r>
      <w:proofErr w:type="spellEnd"/>
      <w:r>
        <w:rPr>
          <w:i/>
        </w:rPr>
        <w:t xml:space="preserve"> </w:t>
      </w:r>
      <w:r>
        <w:t xml:space="preserve">y la base de datos en </w:t>
      </w:r>
      <w:r>
        <w:rPr>
          <w:i/>
        </w:rPr>
        <w:t>pgAdmin4</w:t>
      </w:r>
      <w:r>
        <w:t xml:space="preserve">.  </w:t>
      </w:r>
    </w:p>
    <w:p w14:paraId="6C9A0700" w14:textId="77777777" w:rsidR="00644151" w:rsidRDefault="00425878">
      <w:pPr>
        <w:pBdr>
          <w:top w:val="nil"/>
          <w:left w:val="nil"/>
          <w:bottom w:val="nil"/>
          <w:right w:val="nil"/>
          <w:between w:val="nil"/>
        </w:pBdr>
        <w:spacing w:after="200" w:line="240" w:lineRule="auto"/>
        <w:rPr>
          <w:color w:val="44546A"/>
          <w:sz w:val="18"/>
          <w:szCs w:val="18"/>
        </w:rPr>
      </w:pPr>
      <w:bookmarkStart w:id="76" w:name="_heading=h.1664s55" w:colFirst="0" w:colLast="0"/>
      <w:bookmarkEnd w:id="76"/>
      <w:r>
        <w:rPr>
          <w:i/>
          <w:color w:val="44546A"/>
          <w:sz w:val="18"/>
          <w:szCs w:val="18"/>
        </w:rPr>
        <w:t>Tabla 8. Pruebas del sistema.</w:t>
      </w:r>
    </w:p>
    <w:tbl>
      <w:tblPr>
        <w:tblStyle w:val="aff0"/>
        <w:tblW w:w="88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4"/>
        <w:gridCol w:w="1457"/>
        <w:gridCol w:w="1843"/>
        <w:gridCol w:w="2797"/>
        <w:gridCol w:w="1457"/>
      </w:tblGrid>
      <w:tr w:rsidR="00644151" w14:paraId="6B34DA91" w14:textId="77777777">
        <w:trPr>
          <w:trHeight w:val="300"/>
        </w:trPr>
        <w:tc>
          <w:tcPr>
            <w:tcW w:w="1274" w:type="dxa"/>
            <w:shd w:val="clear" w:color="auto" w:fill="auto"/>
            <w:vAlign w:val="center"/>
          </w:tcPr>
          <w:p w14:paraId="6C0B8282"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REFERENCIA</w:t>
            </w:r>
          </w:p>
        </w:tc>
        <w:tc>
          <w:tcPr>
            <w:tcW w:w="1457" w:type="dxa"/>
            <w:shd w:val="clear" w:color="auto" w:fill="auto"/>
            <w:vAlign w:val="center"/>
          </w:tcPr>
          <w:p w14:paraId="109AAAA4"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NOMBRE</w:t>
            </w:r>
          </w:p>
        </w:tc>
        <w:tc>
          <w:tcPr>
            <w:tcW w:w="1843" w:type="dxa"/>
            <w:shd w:val="clear" w:color="auto" w:fill="auto"/>
            <w:vAlign w:val="center"/>
          </w:tcPr>
          <w:p w14:paraId="18912155"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PRUEBA</w:t>
            </w:r>
          </w:p>
        </w:tc>
        <w:tc>
          <w:tcPr>
            <w:tcW w:w="2797" w:type="dxa"/>
            <w:shd w:val="clear" w:color="auto" w:fill="auto"/>
            <w:vAlign w:val="center"/>
          </w:tcPr>
          <w:p w14:paraId="12B885DC"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 xml:space="preserve">RESULTADO ESPERADO </w:t>
            </w:r>
          </w:p>
        </w:tc>
        <w:tc>
          <w:tcPr>
            <w:tcW w:w="1457" w:type="dxa"/>
            <w:shd w:val="clear" w:color="auto" w:fill="auto"/>
            <w:vAlign w:val="center"/>
          </w:tcPr>
          <w:p w14:paraId="4BF40371" w14:textId="77777777" w:rsidR="00644151" w:rsidRDefault="00425878">
            <w:pPr>
              <w:jc w:val="center"/>
              <w:rPr>
                <w:rFonts w:ascii="Calibri" w:eastAsia="Calibri" w:hAnsi="Calibri" w:cs="Calibri"/>
                <w:color w:val="000000"/>
                <w:sz w:val="20"/>
                <w:szCs w:val="20"/>
              </w:rPr>
            </w:pPr>
            <w:r>
              <w:rPr>
                <w:rFonts w:ascii="Calibri" w:eastAsia="Calibri" w:hAnsi="Calibri" w:cs="Calibri"/>
                <w:color w:val="000000"/>
                <w:sz w:val="20"/>
                <w:szCs w:val="20"/>
              </w:rPr>
              <w:t>RESULTADO OBTENIDO</w:t>
            </w:r>
          </w:p>
        </w:tc>
      </w:tr>
      <w:tr w:rsidR="00644151" w14:paraId="5BC685B2" w14:textId="77777777">
        <w:trPr>
          <w:trHeight w:val="631"/>
        </w:trPr>
        <w:tc>
          <w:tcPr>
            <w:tcW w:w="1274" w:type="dxa"/>
            <w:shd w:val="clear" w:color="auto" w:fill="auto"/>
            <w:vAlign w:val="center"/>
          </w:tcPr>
          <w:p w14:paraId="65B1E8AE"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RF 1</w:t>
            </w:r>
          </w:p>
        </w:tc>
        <w:tc>
          <w:tcPr>
            <w:tcW w:w="1457" w:type="dxa"/>
            <w:shd w:val="clear" w:color="auto" w:fill="auto"/>
            <w:vAlign w:val="center"/>
          </w:tcPr>
          <w:p w14:paraId="75384CB9" w14:textId="77777777" w:rsidR="00644151" w:rsidRDefault="00425878">
            <w:pPr>
              <w:jc w:val="left"/>
              <w:rPr>
                <w:rFonts w:ascii="Calibri" w:eastAsia="Calibri" w:hAnsi="Calibri" w:cs="Calibri"/>
                <w:color w:val="000000"/>
                <w:sz w:val="18"/>
                <w:szCs w:val="18"/>
              </w:rPr>
            </w:pPr>
            <w:r>
              <w:rPr>
                <w:rFonts w:ascii="Calibri" w:eastAsia="Calibri" w:hAnsi="Calibri" w:cs="Calibri"/>
                <w:color w:val="000000"/>
                <w:sz w:val="18"/>
                <w:szCs w:val="18"/>
              </w:rPr>
              <w:t>Maquetado web</w:t>
            </w:r>
          </w:p>
        </w:tc>
        <w:tc>
          <w:tcPr>
            <w:tcW w:w="1843" w:type="dxa"/>
            <w:shd w:val="clear" w:color="auto" w:fill="auto"/>
            <w:vAlign w:val="center"/>
          </w:tcPr>
          <w:p w14:paraId="0BE45C88"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Despliegue del maquetado en internet</w:t>
            </w:r>
          </w:p>
        </w:tc>
        <w:tc>
          <w:tcPr>
            <w:tcW w:w="2797" w:type="dxa"/>
            <w:shd w:val="clear" w:color="auto" w:fill="auto"/>
            <w:vAlign w:val="center"/>
          </w:tcPr>
          <w:p w14:paraId="52BE82AE"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Despliegue de la aplicación en diferentes navegadores web</w:t>
            </w:r>
          </w:p>
        </w:tc>
        <w:tc>
          <w:tcPr>
            <w:tcW w:w="1457" w:type="dxa"/>
            <w:shd w:val="clear" w:color="auto" w:fill="auto"/>
            <w:vAlign w:val="center"/>
          </w:tcPr>
          <w:p w14:paraId="71A82CAB"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Despliegue realizado</w:t>
            </w:r>
          </w:p>
        </w:tc>
      </w:tr>
      <w:tr w:rsidR="00644151" w14:paraId="7246509C" w14:textId="77777777">
        <w:trPr>
          <w:trHeight w:val="510"/>
        </w:trPr>
        <w:tc>
          <w:tcPr>
            <w:tcW w:w="1274" w:type="dxa"/>
            <w:shd w:val="clear" w:color="auto" w:fill="auto"/>
            <w:vAlign w:val="center"/>
          </w:tcPr>
          <w:p w14:paraId="6A03D4F4"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RF 2</w:t>
            </w:r>
          </w:p>
        </w:tc>
        <w:tc>
          <w:tcPr>
            <w:tcW w:w="1457" w:type="dxa"/>
            <w:shd w:val="clear" w:color="auto" w:fill="auto"/>
            <w:vAlign w:val="center"/>
          </w:tcPr>
          <w:p w14:paraId="300D85EF" w14:textId="77777777" w:rsidR="00644151" w:rsidRDefault="00425878">
            <w:pPr>
              <w:jc w:val="left"/>
              <w:rPr>
                <w:rFonts w:ascii="Calibri" w:eastAsia="Calibri" w:hAnsi="Calibri" w:cs="Calibri"/>
                <w:color w:val="000000"/>
                <w:sz w:val="18"/>
                <w:szCs w:val="18"/>
              </w:rPr>
            </w:pPr>
            <w:r>
              <w:rPr>
                <w:rFonts w:ascii="Calibri" w:eastAsia="Calibri" w:hAnsi="Calibri" w:cs="Calibri"/>
                <w:color w:val="000000"/>
                <w:sz w:val="18"/>
                <w:szCs w:val="18"/>
              </w:rPr>
              <w:t>Mapa</w:t>
            </w:r>
          </w:p>
        </w:tc>
        <w:tc>
          <w:tcPr>
            <w:tcW w:w="1843" w:type="dxa"/>
            <w:shd w:val="clear" w:color="auto" w:fill="auto"/>
            <w:vAlign w:val="center"/>
          </w:tcPr>
          <w:p w14:paraId="11D7EDE1"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Despliegue de mapa en la aplicación </w:t>
            </w:r>
          </w:p>
        </w:tc>
        <w:tc>
          <w:tcPr>
            <w:tcW w:w="2797" w:type="dxa"/>
            <w:shd w:val="clear" w:color="auto" w:fill="auto"/>
            <w:vAlign w:val="center"/>
          </w:tcPr>
          <w:p w14:paraId="23CD923A"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Despliegue de mapa en la aplicación </w:t>
            </w:r>
          </w:p>
        </w:tc>
        <w:tc>
          <w:tcPr>
            <w:tcW w:w="1457" w:type="dxa"/>
            <w:shd w:val="clear" w:color="auto" w:fill="auto"/>
            <w:vAlign w:val="center"/>
          </w:tcPr>
          <w:p w14:paraId="206F8B78"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Despliegue realizado</w:t>
            </w:r>
          </w:p>
        </w:tc>
      </w:tr>
      <w:tr w:rsidR="00644151" w14:paraId="4C750694" w14:textId="77777777">
        <w:trPr>
          <w:trHeight w:val="496"/>
        </w:trPr>
        <w:tc>
          <w:tcPr>
            <w:tcW w:w="1274" w:type="dxa"/>
            <w:shd w:val="clear" w:color="auto" w:fill="auto"/>
            <w:vAlign w:val="center"/>
          </w:tcPr>
          <w:p w14:paraId="0E8F5E98"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RF 3</w:t>
            </w:r>
          </w:p>
        </w:tc>
        <w:tc>
          <w:tcPr>
            <w:tcW w:w="1457" w:type="dxa"/>
            <w:shd w:val="clear" w:color="auto" w:fill="auto"/>
            <w:vAlign w:val="center"/>
          </w:tcPr>
          <w:p w14:paraId="2D2CB2AE" w14:textId="77777777" w:rsidR="00644151" w:rsidRDefault="00425878">
            <w:pPr>
              <w:jc w:val="left"/>
              <w:rPr>
                <w:rFonts w:ascii="Calibri" w:eastAsia="Calibri" w:hAnsi="Calibri" w:cs="Calibri"/>
                <w:color w:val="000000"/>
                <w:sz w:val="18"/>
                <w:szCs w:val="18"/>
              </w:rPr>
            </w:pPr>
            <w:r>
              <w:rPr>
                <w:rFonts w:ascii="Calibri" w:eastAsia="Calibri" w:hAnsi="Calibri" w:cs="Calibri"/>
                <w:color w:val="000000"/>
                <w:sz w:val="18"/>
                <w:szCs w:val="18"/>
              </w:rPr>
              <w:t>Datos geoespaciales</w:t>
            </w:r>
          </w:p>
        </w:tc>
        <w:tc>
          <w:tcPr>
            <w:tcW w:w="1843" w:type="dxa"/>
            <w:shd w:val="clear" w:color="auto" w:fill="auto"/>
            <w:vAlign w:val="center"/>
          </w:tcPr>
          <w:p w14:paraId="26CF7F4D"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Conexión al servidor de datos espaciales</w:t>
            </w:r>
          </w:p>
        </w:tc>
        <w:tc>
          <w:tcPr>
            <w:tcW w:w="2797" w:type="dxa"/>
            <w:shd w:val="clear" w:color="auto" w:fill="auto"/>
            <w:vAlign w:val="center"/>
          </w:tcPr>
          <w:p w14:paraId="01536865"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Conexión exitosa a </w:t>
            </w:r>
            <w:proofErr w:type="spellStart"/>
            <w:r>
              <w:rPr>
                <w:rFonts w:ascii="Calibri" w:eastAsia="Calibri" w:hAnsi="Calibri" w:cs="Calibri"/>
                <w:color w:val="000000"/>
                <w:sz w:val="18"/>
                <w:szCs w:val="18"/>
              </w:rPr>
              <w:t>Geoserver</w:t>
            </w:r>
            <w:proofErr w:type="spellEnd"/>
          </w:p>
        </w:tc>
        <w:tc>
          <w:tcPr>
            <w:tcW w:w="1457" w:type="dxa"/>
            <w:shd w:val="clear" w:color="auto" w:fill="auto"/>
            <w:vAlign w:val="center"/>
          </w:tcPr>
          <w:p w14:paraId="77D89FBD"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Conexión exitosa</w:t>
            </w:r>
          </w:p>
        </w:tc>
      </w:tr>
      <w:tr w:rsidR="00644151" w14:paraId="7E381DD0" w14:textId="77777777">
        <w:trPr>
          <w:trHeight w:val="564"/>
        </w:trPr>
        <w:tc>
          <w:tcPr>
            <w:tcW w:w="1274" w:type="dxa"/>
            <w:shd w:val="clear" w:color="auto" w:fill="auto"/>
            <w:vAlign w:val="center"/>
          </w:tcPr>
          <w:p w14:paraId="408A36F4"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RF 4</w:t>
            </w:r>
          </w:p>
        </w:tc>
        <w:tc>
          <w:tcPr>
            <w:tcW w:w="1457" w:type="dxa"/>
            <w:shd w:val="clear" w:color="auto" w:fill="auto"/>
            <w:vAlign w:val="center"/>
          </w:tcPr>
          <w:p w14:paraId="116B0AA8" w14:textId="77777777" w:rsidR="00644151" w:rsidRDefault="00425878">
            <w:pPr>
              <w:jc w:val="left"/>
              <w:rPr>
                <w:rFonts w:ascii="Calibri" w:eastAsia="Calibri" w:hAnsi="Calibri" w:cs="Calibri"/>
                <w:color w:val="000000"/>
                <w:sz w:val="18"/>
                <w:szCs w:val="18"/>
              </w:rPr>
            </w:pPr>
            <w:r>
              <w:rPr>
                <w:rFonts w:ascii="Calibri" w:eastAsia="Calibri" w:hAnsi="Calibri" w:cs="Calibri"/>
                <w:color w:val="000000"/>
                <w:sz w:val="18"/>
                <w:szCs w:val="18"/>
              </w:rPr>
              <w:t>Conexión base de datos</w:t>
            </w:r>
          </w:p>
        </w:tc>
        <w:tc>
          <w:tcPr>
            <w:tcW w:w="1843" w:type="dxa"/>
            <w:shd w:val="clear" w:color="auto" w:fill="auto"/>
            <w:vAlign w:val="center"/>
          </w:tcPr>
          <w:p w14:paraId="5284849B"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Conexión a la base de datos</w:t>
            </w:r>
          </w:p>
        </w:tc>
        <w:tc>
          <w:tcPr>
            <w:tcW w:w="2797" w:type="dxa"/>
            <w:shd w:val="clear" w:color="auto" w:fill="auto"/>
            <w:vAlign w:val="center"/>
          </w:tcPr>
          <w:p w14:paraId="40E00347" w14:textId="77777777" w:rsidR="00644151" w:rsidRDefault="00425878">
            <w:pPr>
              <w:jc w:val="center"/>
              <w:rPr>
                <w:rFonts w:ascii="Calibri" w:eastAsia="Calibri" w:hAnsi="Calibri" w:cs="Calibri"/>
                <w:i/>
                <w:color w:val="000000"/>
                <w:sz w:val="18"/>
                <w:szCs w:val="18"/>
              </w:rPr>
            </w:pPr>
            <w:r>
              <w:rPr>
                <w:rFonts w:ascii="Calibri" w:eastAsia="Calibri" w:hAnsi="Calibri" w:cs="Calibri"/>
                <w:color w:val="000000"/>
                <w:sz w:val="18"/>
                <w:szCs w:val="18"/>
              </w:rPr>
              <w:t xml:space="preserve">Conexión exitosa a la base de datos en </w:t>
            </w:r>
            <w:r>
              <w:rPr>
                <w:rFonts w:ascii="Calibri" w:eastAsia="Calibri" w:hAnsi="Calibri" w:cs="Calibri"/>
                <w:i/>
                <w:color w:val="000000"/>
                <w:sz w:val="18"/>
                <w:szCs w:val="18"/>
              </w:rPr>
              <w:t>pgAdmin4</w:t>
            </w:r>
          </w:p>
        </w:tc>
        <w:tc>
          <w:tcPr>
            <w:tcW w:w="1457" w:type="dxa"/>
            <w:shd w:val="clear" w:color="auto" w:fill="auto"/>
            <w:vAlign w:val="center"/>
          </w:tcPr>
          <w:p w14:paraId="6CEA93E1"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Conexión exitosa</w:t>
            </w:r>
          </w:p>
        </w:tc>
      </w:tr>
      <w:tr w:rsidR="00644151" w14:paraId="081072D6" w14:textId="77777777">
        <w:trPr>
          <w:trHeight w:val="943"/>
        </w:trPr>
        <w:tc>
          <w:tcPr>
            <w:tcW w:w="1274" w:type="dxa"/>
            <w:shd w:val="clear" w:color="auto" w:fill="auto"/>
            <w:vAlign w:val="center"/>
          </w:tcPr>
          <w:p w14:paraId="49DCB72A"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RF 5</w:t>
            </w:r>
          </w:p>
        </w:tc>
        <w:tc>
          <w:tcPr>
            <w:tcW w:w="1457" w:type="dxa"/>
            <w:shd w:val="clear" w:color="auto" w:fill="auto"/>
            <w:vAlign w:val="center"/>
          </w:tcPr>
          <w:p w14:paraId="336B90D0" w14:textId="77777777" w:rsidR="00644151" w:rsidRDefault="00425878">
            <w:pPr>
              <w:jc w:val="left"/>
              <w:rPr>
                <w:rFonts w:ascii="Calibri" w:eastAsia="Calibri" w:hAnsi="Calibri" w:cs="Calibri"/>
                <w:color w:val="000000"/>
                <w:sz w:val="18"/>
                <w:szCs w:val="18"/>
              </w:rPr>
            </w:pPr>
            <w:r>
              <w:rPr>
                <w:rFonts w:ascii="Calibri" w:eastAsia="Calibri" w:hAnsi="Calibri" w:cs="Calibri"/>
                <w:color w:val="000000"/>
                <w:sz w:val="18"/>
                <w:szCs w:val="18"/>
              </w:rPr>
              <w:t>Despliegue de datos</w:t>
            </w:r>
          </w:p>
        </w:tc>
        <w:tc>
          <w:tcPr>
            <w:tcW w:w="1843" w:type="dxa"/>
            <w:shd w:val="clear" w:color="auto" w:fill="auto"/>
            <w:vAlign w:val="center"/>
          </w:tcPr>
          <w:p w14:paraId="409F4B23"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Obtención y despliegue de atributos de la base de datos</w:t>
            </w:r>
          </w:p>
        </w:tc>
        <w:tc>
          <w:tcPr>
            <w:tcW w:w="2797" w:type="dxa"/>
            <w:shd w:val="clear" w:color="auto" w:fill="auto"/>
            <w:vAlign w:val="center"/>
          </w:tcPr>
          <w:p w14:paraId="3A1253CF"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 xml:space="preserve">Obtención, despliegue y visualización de atributos en los contenedores correspondientes </w:t>
            </w:r>
          </w:p>
        </w:tc>
        <w:tc>
          <w:tcPr>
            <w:tcW w:w="1457" w:type="dxa"/>
            <w:shd w:val="clear" w:color="auto" w:fill="auto"/>
            <w:vAlign w:val="center"/>
          </w:tcPr>
          <w:p w14:paraId="6C25FAB9" w14:textId="77777777" w:rsidR="00644151" w:rsidRDefault="00425878">
            <w:pPr>
              <w:jc w:val="center"/>
              <w:rPr>
                <w:rFonts w:ascii="Calibri" w:eastAsia="Calibri" w:hAnsi="Calibri" w:cs="Calibri"/>
                <w:color w:val="000000"/>
                <w:sz w:val="18"/>
                <w:szCs w:val="18"/>
              </w:rPr>
            </w:pPr>
            <w:r>
              <w:rPr>
                <w:rFonts w:ascii="Calibri" w:eastAsia="Calibri" w:hAnsi="Calibri" w:cs="Calibri"/>
                <w:color w:val="000000"/>
                <w:sz w:val="18"/>
                <w:szCs w:val="18"/>
              </w:rPr>
              <w:t>Visualización y despliegue realizado</w:t>
            </w:r>
          </w:p>
        </w:tc>
      </w:tr>
      <w:tr w:rsidR="009564CF" w14:paraId="1CB165E5" w14:textId="77777777">
        <w:trPr>
          <w:trHeight w:val="510"/>
        </w:trPr>
        <w:tc>
          <w:tcPr>
            <w:tcW w:w="1274" w:type="dxa"/>
            <w:shd w:val="clear" w:color="auto" w:fill="auto"/>
            <w:vAlign w:val="center"/>
          </w:tcPr>
          <w:p w14:paraId="7A12374F" w14:textId="06BE4C6D" w:rsidR="009564CF" w:rsidRDefault="009564CF">
            <w:pPr>
              <w:jc w:val="center"/>
              <w:rPr>
                <w:rFonts w:ascii="Calibri" w:eastAsia="Calibri" w:hAnsi="Calibri" w:cs="Calibri"/>
                <w:color w:val="000000"/>
                <w:sz w:val="18"/>
                <w:szCs w:val="18"/>
              </w:rPr>
            </w:pPr>
            <w:r>
              <w:rPr>
                <w:rFonts w:ascii="Calibri" w:eastAsia="Calibri" w:hAnsi="Calibri" w:cs="Calibri"/>
                <w:color w:val="000000"/>
                <w:sz w:val="18"/>
                <w:szCs w:val="18"/>
              </w:rPr>
              <w:t>RF 6</w:t>
            </w:r>
          </w:p>
        </w:tc>
        <w:tc>
          <w:tcPr>
            <w:tcW w:w="1457" w:type="dxa"/>
            <w:shd w:val="clear" w:color="auto" w:fill="auto"/>
            <w:vAlign w:val="center"/>
          </w:tcPr>
          <w:p w14:paraId="27E0BB0D" w14:textId="02B154A2" w:rsidR="009564CF" w:rsidRDefault="009564CF">
            <w:pPr>
              <w:jc w:val="left"/>
              <w:rPr>
                <w:rFonts w:ascii="Calibri" w:eastAsia="Calibri" w:hAnsi="Calibri" w:cs="Calibri"/>
                <w:color w:val="000000"/>
                <w:sz w:val="18"/>
                <w:szCs w:val="18"/>
              </w:rPr>
            </w:pPr>
            <w:r>
              <w:rPr>
                <w:rFonts w:ascii="Calibri" w:eastAsia="Calibri" w:hAnsi="Calibri" w:cs="Calibri"/>
                <w:color w:val="000000"/>
                <w:sz w:val="18"/>
                <w:szCs w:val="18"/>
              </w:rPr>
              <w:t>Cálculos dinámicos</w:t>
            </w:r>
          </w:p>
        </w:tc>
        <w:tc>
          <w:tcPr>
            <w:tcW w:w="1843" w:type="dxa"/>
            <w:shd w:val="clear" w:color="auto" w:fill="auto"/>
            <w:vAlign w:val="center"/>
          </w:tcPr>
          <w:p w14:paraId="7374A42E" w14:textId="2A13E07C" w:rsidR="009564CF" w:rsidRDefault="009564CF">
            <w:pPr>
              <w:jc w:val="center"/>
              <w:rPr>
                <w:rFonts w:ascii="Calibri" w:eastAsia="Calibri" w:hAnsi="Calibri" w:cs="Calibri"/>
                <w:color w:val="000000"/>
                <w:sz w:val="18"/>
                <w:szCs w:val="18"/>
              </w:rPr>
            </w:pPr>
            <w:r>
              <w:rPr>
                <w:rFonts w:ascii="Calibri" w:eastAsia="Calibri" w:hAnsi="Calibri" w:cs="Calibri"/>
                <w:color w:val="000000"/>
                <w:sz w:val="18"/>
                <w:szCs w:val="18"/>
              </w:rPr>
              <w:t>Obtención y despliegue de datos</w:t>
            </w:r>
          </w:p>
        </w:tc>
        <w:tc>
          <w:tcPr>
            <w:tcW w:w="2797" w:type="dxa"/>
            <w:shd w:val="clear" w:color="auto" w:fill="auto"/>
            <w:vAlign w:val="center"/>
          </w:tcPr>
          <w:p w14:paraId="5CCB7D55" w14:textId="71510107" w:rsidR="009564CF" w:rsidRDefault="009564CF">
            <w:pPr>
              <w:jc w:val="center"/>
              <w:rPr>
                <w:rFonts w:ascii="Calibri" w:eastAsia="Calibri" w:hAnsi="Calibri" w:cs="Calibri"/>
                <w:color w:val="000000"/>
                <w:sz w:val="18"/>
                <w:szCs w:val="18"/>
              </w:rPr>
            </w:pPr>
            <w:r>
              <w:rPr>
                <w:rFonts w:ascii="Calibri" w:eastAsia="Calibri" w:hAnsi="Calibri" w:cs="Calibri"/>
                <w:color w:val="000000"/>
                <w:sz w:val="18"/>
                <w:szCs w:val="18"/>
              </w:rPr>
              <w:t>Obtención y despliegue de los resultados obtenidos de forma dinámica</w:t>
            </w:r>
          </w:p>
        </w:tc>
        <w:tc>
          <w:tcPr>
            <w:tcW w:w="1457" w:type="dxa"/>
            <w:shd w:val="clear" w:color="auto" w:fill="auto"/>
            <w:vAlign w:val="center"/>
          </w:tcPr>
          <w:p w14:paraId="05941334" w14:textId="09F27B1B" w:rsidR="009564CF" w:rsidRDefault="009564CF">
            <w:pPr>
              <w:jc w:val="center"/>
              <w:rPr>
                <w:rFonts w:ascii="Calibri" w:eastAsia="Calibri" w:hAnsi="Calibri" w:cs="Calibri"/>
                <w:color w:val="000000"/>
                <w:sz w:val="18"/>
                <w:szCs w:val="18"/>
              </w:rPr>
            </w:pPr>
            <w:r>
              <w:rPr>
                <w:rFonts w:ascii="Calibri" w:eastAsia="Calibri" w:hAnsi="Calibri" w:cs="Calibri"/>
                <w:color w:val="000000"/>
                <w:sz w:val="18"/>
                <w:szCs w:val="18"/>
              </w:rPr>
              <w:t>-</w:t>
            </w:r>
          </w:p>
        </w:tc>
      </w:tr>
    </w:tbl>
    <w:p w14:paraId="3D333A94" w14:textId="77777777" w:rsidR="00644151" w:rsidRDefault="00425878">
      <w:pPr>
        <w:rPr>
          <w:sz w:val="22"/>
          <w:szCs w:val="22"/>
        </w:rPr>
      </w:pPr>
      <w:r>
        <w:rPr>
          <w:sz w:val="22"/>
          <w:szCs w:val="22"/>
        </w:rPr>
        <w:t>Fuente: Elaboración propia (2021).</w:t>
      </w:r>
    </w:p>
    <w:p w14:paraId="715B1D20" w14:textId="213A3921" w:rsidR="00644151" w:rsidRDefault="00644151">
      <w:pPr>
        <w:rPr>
          <w:sz w:val="22"/>
          <w:szCs w:val="22"/>
        </w:rPr>
      </w:pPr>
    </w:p>
    <w:p w14:paraId="51AE7630" w14:textId="2CF8E90E" w:rsidR="0051306C" w:rsidRDefault="0051306C">
      <w:pPr>
        <w:rPr>
          <w:sz w:val="22"/>
          <w:szCs w:val="22"/>
        </w:rPr>
      </w:pPr>
    </w:p>
    <w:p w14:paraId="64117ADA" w14:textId="0DA2E2F4" w:rsidR="0051306C" w:rsidRDefault="0051306C">
      <w:pPr>
        <w:rPr>
          <w:sz w:val="22"/>
          <w:szCs w:val="22"/>
        </w:rPr>
      </w:pPr>
    </w:p>
    <w:p w14:paraId="3CE95161" w14:textId="5DE3CC8E" w:rsidR="0051306C" w:rsidRDefault="0051306C">
      <w:pPr>
        <w:rPr>
          <w:sz w:val="22"/>
          <w:szCs w:val="22"/>
        </w:rPr>
      </w:pPr>
    </w:p>
    <w:p w14:paraId="072B4705" w14:textId="22503FB8" w:rsidR="0051306C" w:rsidRDefault="0051306C">
      <w:pPr>
        <w:rPr>
          <w:sz w:val="22"/>
          <w:szCs w:val="22"/>
        </w:rPr>
      </w:pPr>
    </w:p>
    <w:p w14:paraId="7BA93275" w14:textId="77777777" w:rsidR="0051306C" w:rsidRDefault="0051306C">
      <w:pPr>
        <w:rPr>
          <w:sz w:val="22"/>
          <w:szCs w:val="22"/>
        </w:rPr>
      </w:pPr>
    </w:p>
    <w:p w14:paraId="4F793AE7" w14:textId="77777777" w:rsidR="00644151" w:rsidRDefault="00644151">
      <w:pPr>
        <w:rPr>
          <w:sz w:val="22"/>
          <w:szCs w:val="22"/>
        </w:rPr>
      </w:pPr>
    </w:p>
    <w:p w14:paraId="78D58782" w14:textId="77777777" w:rsidR="00644151" w:rsidRDefault="00644151">
      <w:pPr>
        <w:rPr>
          <w:sz w:val="22"/>
          <w:szCs w:val="22"/>
        </w:rPr>
      </w:pPr>
    </w:p>
    <w:p w14:paraId="01AF877A" w14:textId="77777777" w:rsidR="00644151" w:rsidRDefault="00644151">
      <w:pPr>
        <w:rPr>
          <w:sz w:val="22"/>
          <w:szCs w:val="22"/>
        </w:rPr>
      </w:pPr>
    </w:p>
    <w:p w14:paraId="45ED164E" w14:textId="77777777" w:rsidR="00644151" w:rsidRDefault="00644151">
      <w:pPr>
        <w:rPr>
          <w:sz w:val="22"/>
          <w:szCs w:val="22"/>
        </w:rPr>
      </w:pPr>
    </w:p>
    <w:p w14:paraId="39690FDB" w14:textId="77777777" w:rsidR="00644151" w:rsidRDefault="00644151"/>
    <w:p w14:paraId="0E921137" w14:textId="77777777" w:rsidR="00644151" w:rsidRDefault="00644151">
      <w:pPr>
        <w:spacing w:line="360" w:lineRule="auto"/>
      </w:pPr>
    </w:p>
    <w:p w14:paraId="14AB177E" w14:textId="77777777" w:rsidR="00644151" w:rsidRDefault="00644151">
      <w:pPr>
        <w:spacing w:line="360" w:lineRule="auto"/>
      </w:pPr>
    </w:p>
    <w:p w14:paraId="02B0EC35" w14:textId="77777777" w:rsidR="00644151" w:rsidRDefault="00644151">
      <w:pPr>
        <w:spacing w:line="360" w:lineRule="auto"/>
      </w:pPr>
    </w:p>
    <w:p w14:paraId="58625FE7" w14:textId="77777777" w:rsidR="00644151" w:rsidRDefault="00644151">
      <w:pPr>
        <w:spacing w:line="360" w:lineRule="auto"/>
      </w:pPr>
    </w:p>
    <w:p w14:paraId="51061908" w14:textId="77777777" w:rsidR="00644151" w:rsidRDefault="00644151">
      <w:pPr>
        <w:spacing w:line="360" w:lineRule="auto"/>
      </w:pPr>
    </w:p>
    <w:p w14:paraId="71FB18E7" w14:textId="77777777" w:rsidR="00644151" w:rsidRDefault="00644151">
      <w:pPr>
        <w:spacing w:line="360" w:lineRule="auto"/>
      </w:pPr>
    </w:p>
    <w:p w14:paraId="48F73D52" w14:textId="77777777" w:rsidR="00644151" w:rsidRDefault="00644151">
      <w:pPr>
        <w:spacing w:line="360" w:lineRule="auto"/>
      </w:pPr>
    </w:p>
    <w:p w14:paraId="4FF83FBD" w14:textId="77777777" w:rsidR="00644151" w:rsidRDefault="00644151">
      <w:pPr>
        <w:spacing w:line="360" w:lineRule="auto"/>
      </w:pPr>
    </w:p>
    <w:p w14:paraId="01B22469" w14:textId="77777777" w:rsidR="00644151" w:rsidRDefault="00644151">
      <w:pPr>
        <w:spacing w:line="360" w:lineRule="auto"/>
      </w:pPr>
    </w:p>
    <w:p w14:paraId="2A2B6F17" w14:textId="77777777" w:rsidR="00644151" w:rsidRDefault="00644151">
      <w:pPr>
        <w:spacing w:line="360" w:lineRule="auto"/>
      </w:pPr>
    </w:p>
    <w:p w14:paraId="5F519FDF" w14:textId="77777777" w:rsidR="00644151" w:rsidRDefault="00644151">
      <w:pPr>
        <w:spacing w:line="360" w:lineRule="auto"/>
      </w:pPr>
    </w:p>
    <w:p w14:paraId="596F08AC" w14:textId="77777777" w:rsidR="00644151" w:rsidRDefault="00644151">
      <w:pPr>
        <w:spacing w:line="360" w:lineRule="auto"/>
      </w:pPr>
    </w:p>
    <w:p w14:paraId="13ACA673" w14:textId="77777777" w:rsidR="00644151" w:rsidRDefault="00644151">
      <w:pPr>
        <w:spacing w:line="360" w:lineRule="auto"/>
      </w:pPr>
    </w:p>
    <w:p w14:paraId="617A35D5" w14:textId="77777777" w:rsidR="00644151" w:rsidRDefault="00425878">
      <w:pPr>
        <w:spacing w:line="360" w:lineRule="auto"/>
      </w:pPr>
      <w:r>
        <w:rPr>
          <w:noProof/>
        </w:rPr>
        <mc:AlternateContent>
          <mc:Choice Requires="wpg">
            <w:drawing>
              <wp:anchor distT="0" distB="0" distL="0" distR="0" simplePos="0" relativeHeight="251667456" behindDoc="1" locked="0" layoutInCell="1" hidden="0" allowOverlap="1" wp14:anchorId="637D6E4C" wp14:editId="5DFD48BA">
                <wp:simplePos x="0" y="0"/>
                <wp:positionH relativeFrom="page">
                  <wp:posOffset>492438</wp:posOffset>
                </wp:positionH>
                <wp:positionV relativeFrom="page">
                  <wp:posOffset>242570</wp:posOffset>
                </wp:positionV>
                <wp:extent cx="2194560" cy="9125712"/>
                <wp:effectExtent l="0" t="0" r="0" b="0"/>
                <wp:wrapNone/>
                <wp:docPr id="312" name="Grupo 312"/>
                <wp:cNvGraphicFramePr/>
                <a:graphic xmlns:a="http://schemas.openxmlformats.org/drawingml/2006/main">
                  <a:graphicData uri="http://schemas.microsoft.com/office/word/2010/wordprocessingGroup">
                    <wpg:wgp>
                      <wpg:cNvGrpSpPr/>
                      <wpg:grpSpPr>
                        <a:xfrm>
                          <a:off x="0" y="0"/>
                          <a:ext cx="2194560" cy="9125712"/>
                          <a:chOff x="4248720" y="0"/>
                          <a:chExt cx="2194560" cy="7560000"/>
                        </a:xfrm>
                      </wpg:grpSpPr>
                      <wpg:grpSp>
                        <wpg:cNvPr id="313" name="Grupo 313"/>
                        <wpg:cNvGrpSpPr/>
                        <wpg:grpSpPr>
                          <a:xfrm>
                            <a:off x="4248720" y="0"/>
                            <a:ext cx="2194560" cy="7560000"/>
                            <a:chOff x="4248720" y="0"/>
                            <a:chExt cx="2194560" cy="7560000"/>
                          </a:xfrm>
                        </wpg:grpSpPr>
                        <wps:wsp>
                          <wps:cNvPr id="314" name="Rectángulo 314"/>
                          <wps:cNvSpPr/>
                          <wps:spPr>
                            <a:xfrm>
                              <a:off x="4248720" y="0"/>
                              <a:ext cx="2194550" cy="7560000"/>
                            </a:xfrm>
                            <a:prstGeom prst="rect">
                              <a:avLst/>
                            </a:prstGeom>
                            <a:noFill/>
                            <a:ln>
                              <a:noFill/>
                            </a:ln>
                          </wps:spPr>
                          <wps:txbx>
                            <w:txbxContent>
                              <w:p w14:paraId="10DBFB04"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315" name="Grupo 315"/>
                          <wpg:cNvGrpSpPr/>
                          <wpg:grpSpPr>
                            <a:xfrm>
                              <a:off x="4248720" y="0"/>
                              <a:ext cx="2194560" cy="7560000"/>
                              <a:chOff x="4248720" y="0"/>
                              <a:chExt cx="2194560" cy="7560000"/>
                            </a:xfrm>
                          </wpg:grpSpPr>
                          <wps:wsp>
                            <wps:cNvPr id="316" name="Rectángulo 316"/>
                            <wps:cNvSpPr/>
                            <wps:spPr>
                              <a:xfrm>
                                <a:off x="4248720" y="0"/>
                                <a:ext cx="2194550" cy="7560000"/>
                              </a:xfrm>
                              <a:prstGeom prst="rect">
                                <a:avLst/>
                              </a:prstGeom>
                              <a:noFill/>
                              <a:ln>
                                <a:noFill/>
                              </a:ln>
                            </wps:spPr>
                            <wps:txbx>
                              <w:txbxContent>
                                <w:p w14:paraId="5245CBC7"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g:grpSp>
                            <wpg:cNvPr id="317" name="Grupo 317"/>
                            <wpg:cNvGrpSpPr/>
                            <wpg:grpSpPr>
                              <a:xfrm>
                                <a:off x="4248720" y="0"/>
                                <a:ext cx="2194560" cy="7560000"/>
                                <a:chOff x="0" y="0"/>
                                <a:chExt cx="2194560" cy="9125712"/>
                              </a:xfrm>
                            </wpg:grpSpPr>
                            <wps:wsp>
                              <wps:cNvPr id="318" name="Rectángulo 318"/>
                              <wps:cNvSpPr/>
                              <wps:spPr>
                                <a:xfrm>
                                  <a:off x="0" y="0"/>
                                  <a:ext cx="2194550" cy="9125700"/>
                                </a:xfrm>
                                <a:prstGeom prst="rect">
                                  <a:avLst/>
                                </a:prstGeom>
                                <a:noFill/>
                                <a:ln>
                                  <a:noFill/>
                                </a:ln>
                              </wps:spPr>
                              <wps:txbx>
                                <w:txbxContent>
                                  <w:p w14:paraId="66CB063C"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319" name="Rectángulo 319"/>
                              <wps:cNvSpPr/>
                              <wps:spPr>
                                <a:xfrm>
                                  <a:off x="0" y="0"/>
                                  <a:ext cx="194535" cy="9125712"/>
                                </a:xfrm>
                                <a:prstGeom prst="rect">
                                  <a:avLst/>
                                </a:prstGeom>
                                <a:solidFill>
                                  <a:schemeClr val="dk2"/>
                                </a:solidFill>
                                <a:ln>
                                  <a:noFill/>
                                </a:ln>
                              </wps:spPr>
                              <wps:txbx>
                                <w:txbxContent>
                                  <w:p w14:paraId="435B29CF" w14:textId="77777777" w:rsidR="001076C8" w:rsidRDefault="001076C8">
                                    <w:pPr>
                                      <w:spacing w:after="0" w:line="240" w:lineRule="auto"/>
                                      <w:jc w:val="left"/>
                                      <w:textDirection w:val="btLr"/>
                                    </w:pPr>
                                  </w:p>
                                </w:txbxContent>
                              </wps:txbx>
                              <wps:bodyPr spcFirstLastPara="1" wrap="square" lIns="91425" tIns="91425" rIns="91425" bIns="91425" anchor="ctr" anchorCtr="0">
                                <a:noAutofit/>
                              </wps:bodyPr>
                            </wps:wsp>
                            <wps:wsp>
                              <wps:cNvPr id="64" name="Flecha: pentágono 64"/>
                              <wps:cNvSpPr/>
                              <wps:spPr>
                                <a:xfrm>
                                  <a:off x="0" y="1466850"/>
                                  <a:ext cx="2194560" cy="552055"/>
                                </a:xfrm>
                                <a:prstGeom prst="homePlate">
                                  <a:avLst>
                                    <a:gd name="adj" fmla="val 50000"/>
                                  </a:avLst>
                                </a:prstGeom>
                                <a:solidFill>
                                  <a:schemeClr val="accent1"/>
                                </a:solidFill>
                                <a:ln>
                                  <a:noFill/>
                                </a:ln>
                              </wps:spPr>
                              <wps:txbx>
                                <w:txbxContent>
                                  <w:p w14:paraId="43976950" w14:textId="77777777" w:rsidR="001076C8" w:rsidRDefault="001076C8">
                                    <w:pPr>
                                      <w:spacing w:after="0" w:line="240" w:lineRule="auto"/>
                                      <w:jc w:val="right"/>
                                      <w:textDirection w:val="btLr"/>
                                    </w:pPr>
                                    <w:r>
                                      <w:rPr>
                                        <w:rFonts w:ascii="Arial" w:eastAsia="Arial" w:hAnsi="Arial" w:cs="Arial"/>
                                        <w:color w:val="FFFFFF"/>
                                        <w:sz w:val="28"/>
                                      </w:rPr>
                                      <w:t>Capítulo 4.</w:t>
                                    </w:r>
                                  </w:p>
                                </w:txbxContent>
                              </wps:txbx>
                              <wps:bodyPr spcFirstLastPara="1" wrap="square" lIns="91425" tIns="0" rIns="182875" bIns="0" anchor="ctr" anchorCtr="0">
                                <a:noAutofit/>
                              </wps:bodyPr>
                            </wps:wsp>
                            <wpg:grpSp>
                              <wpg:cNvPr id="65" name="Grupo 65"/>
                              <wpg:cNvGrpSpPr/>
                              <wpg:grpSpPr>
                                <a:xfrm>
                                  <a:off x="76200" y="4210050"/>
                                  <a:ext cx="2057400" cy="4910328"/>
                                  <a:chOff x="80645" y="4211812"/>
                                  <a:chExt cx="1306273" cy="3121026"/>
                                </a:xfrm>
                              </wpg:grpSpPr>
                              <wpg:grpSp>
                                <wpg:cNvPr id="66" name="Grupo 66"/>
                                <wpg:cNvGrpSpPr/>
                                <wpg:grpSpPr>
                                  <a:xfrm>
                                    <a:off x="141062" y="4211812"/>
                                    <a:ext cx="1047750" cy="3121026"/>
                                    <a:chOff x="141062" y="4211812"/>
                                    <a:chExt cx="1047750" cy="3121026"/>
                                  </a:xfrm>
                                </wpg:grpSpPr>
                                <wps:wsp>
                                  <wps:cNvPr id="67" name="Forma libre: forma 67"/>
                                  <wps:cNvSpPr/>
                                  <wps:spPr>
                                    <a:xfrm>
                                      <a:off x="369662" y="6216825"/>
                                      <a:ext cx="193675" cy="698500"/>
                                    </a:xfrm>
                                    <a:custGeom>
                                      <a:avLst/>
                                      <a:gdLst/>
                                      <a:ahLst/>
                                      <a:cxnLst/>
                                      <a:rect l="l" t="t" r="r" b="b"/>
                                      <a:pathLst>
                                        <a:path w="122" h="440" extrusionOk="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68" name="Forma libre: forma 68"/>
                                  <wps:cNvSpPr/>
                                  <wps:spPr>
                                    <a:xfrm>
                                      <a:off x="572862" y="6905800"/>
                                      <a:ext cx="184150" cy="427038"/>
                                    </a:xfrm>
                                    <a:custGeom>
                                      <a:avLst/>
                                      <a:gdLst/>
                                      <a:ahLst/>
                                      <a:cxnLst/>
                                      <a:rect l="l" t="t" r="r" b="b"/>
                                      <a:pathLst>
                                        <a:path w="116" h="269" extrusionOk="0">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69" name="Forma libre: forma 69"/>
                                  <wps:cNvSpPr/>
                                  <wps:spPr>
                                    <a:xfrm>
                                      <a:off x="141062" y="4211812"/>
                                      <a:ext cx="222250" cy="2019300"/>
                                    </a:xfrm>
                                    <a:custGeom>
                                      <a:avLst/>
                                      <a:gdLst/>
                                      <a:ahLst/>
                                      <a:cxnLst/>
                                      <a:rect l="l" t="t" r="r" b="b"/>
                                      <a:pathLst>
                                        <a:path w="140" h="1272" extrusionOk="0">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0" name="Forma libre: forma 70"/>
                                  <wps:cNvSpPr/>
                                  <wps:spPr>
                                    <a:xfrm>
                                      <a:off x="341087" y="4861100"/>
                                      <a:ext cx="71438" cy="1355725"/>
                                    </a:xfrm>
                                    <a:custGeom>
                                      <a:avLst/>
                                      <a:gdLst/>
                                      <a:ahLst/>
                                      <a:cxnLst/>
                                      <a:rect l="l" t="t" r="r" b="b"/>
                                      <a:pathLst>
                                        <a:path w="45" h="854" extrusionOk="0">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1" name="Forma libre: forma 71"/>
                                  <wps:cNvSpPr/>
                                  <wps:spPr>
                                    <a:xfrm>
                                      <a:off x="363312" y="6231112"/>
                                      <a:ext cx="244475" cy="998538"/>
                                    </a:xfrm>
                                    <a:custGeom>
                                      <a:avLst/>
                                      <a:gdLst/>
                                      <a:ahLst/>
                                      <a:cxnLst/>
                                      <a:rect l="l" t="t" r="r" b="b"/>
                                      <a:pathLst>
                                        <a:path w="154" h="629" extrusionOk="0">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2" name="Forma libre: forma 72"/>
                                  <wps:cNvSpPr/>
                                  <wps:spPr>
                                    <a:xfrm>
                                      <a:off x="620487" y="7223300"/>
                                      <a:ext cx="52388" cy="109538"/>
                                    </a:xfrm>
                                    <a:custGeom>
                                      <a:avLst/>
                                      <a:gdLst/>
                                      <a:ahLst/>
                                      <a:cxnLst/>
                                      <a:rect l="l" t="t" r="r" b="b"/>
                                      <a:pathLst>
                                        <a:path w="33" h="69" extrusionOk="0">
                                          <a:moveTo>
                                            <a:pt x="0" y="0"/>
                                          </a:moveTo>
                                          <a:lnTo>
                                            <a:pt x="33" y="69"/>
                                          </a:lnTo>
                                          <a:lnTo>
                                            <a:pt x="24" y="69"/>
                                          </a:lnTo>
                                          <a:lnTo>
                                            <a:pt x="12" y="3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3" name="Forma libre: forma 73"/>
                                  <wps:cNvSpPr/>
                                  <wps:spPr>
                                    <a:xfrm>
                                      <a:off x="355374" y="6153325"/>
                                      <a:ext cx="23813" cy="147638"/>
                                    </a:xfrm>
                                    <a:custGeom>
                                      <a:avLst/>
                                      <a:gdLst/>
                                      <a:ahLst/>
                                      <a:cxnLst/>
                                      <a:rect l="l" t="t" r="r" b="b"/>
                                      <a:pathLst>
                                        <a:path w="15" h="93" extrusionOk="0">
                                          <a:moveTo>
                                            <a:pt x="0" y="0"/>
                                          </a:moveTo>
                                          <a:lnTo>
                                            <a:pt x="9" y="37"/>
                                          </a:lnTo>
                                          <a:lnTo>
                                            <a:pt x="9" y="40"/>
                                          </a:lnTo>
                                          <a:lnTo>
                                            <a:pt x="15" y="93"/>
                                          </a:lnTo>
                                          <a:lnTo>
                                            <a:pt x="5" y="49"/>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4" name="Forma libre: forma 74"/>
                                  <wps:cNvSpPr/>
                                  <wps:spPr>
                                    <a:xfrm>
                                      <a:off x="563337" y="5689775"/>
                                      <a:ext cx="625475" cy="1216025"/>
                                    </a:xfrm>
                                    <a:custGeom>
                                      <a:avLst/>
                                      <a:gdLst/>
                                      <a:ahLst/>
                                      <a:cxnLst/>
                                      <a:rect l="l" t="t" r="r" b="b"/>
                                      <a:pathLst>
                                        <a:path w="394" h="766" extrusionOk="0">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5" name="Forma libre: forma 75"/>
                                  <wps:cNvSpPr/>
                                  <wps:spPr>
                                    <a:xfrm>
                                      <a:off x="563337" y="6915325"/>
                                      <a:ext cx="57150" cy="307975"/>
                                    </a:xfrm>
                                    <a:custGeom>
                                      <a:avLst/>
                                      <a:gdLst/>
                                      <a:ahLst/>
                                      <a:cxnLst/>
                                      <a:rect l="l" t="t" r="r" b="b"/>
                                      <a:pathLst>
                                        <a:path w="36" h="194" extrusionOk="0">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6" name="Forma libre: forma 76"/>
                                  <wps:cNvSpPr/>
                                  <wps:spPr>
                                    <a:xfrm>
                                      <a:off x="607787" y="7229650"/>
                                      <a:ext cx="49213" cy="103188"/>
                                    </a:xfrm>
                                    <a:custGeom>
                                      <a:avLst/>
                                      <a:gdLst/>
                                      <a:ahLst/>
                                      <a:cxnLst/>
                                      <a:rect l="l" t="t" r="r" b="b"/>
                                      <a:pathLst>
                                        <a:path w="31" h="65" extrusionOk="0">
                                          <a:moveTo>
                                            <a:pt x="0" y="0"/>
                                          </a:moveTo>
                                          <a:lnTo>
                                            <a:pt x="31" y="65"/>
                                          </a:lnTo>
                                          <a:lnTo>
                                            <a:pt x="23" y="65"/>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7" name="Forma libre: forma 77"/>
                                  <wps:cNvSpPr/>
                                  <wps:spPr>
                                    <a:xfrm>
                                      <a:off x="563337" y="6878812"/>
                                      <a:ext cx="11113" cy="66675"/>
                                    </a:xfrm>
                                    <a:custGeom>
                                      <a:avLst/>
                                      <a:gdLst/>
                                      <a:ahLst/>
                                      <a:cxnLst/>
                                      <a:rect l="l" t="t" r="r" b="b"/>
                                      <a:pathLst>
                                        <a:path w="7" h="42" extrusionOk="0">
                                          <a:moveTo>
                                            <a:pt x="0" y="0"/>
                                          </a:moveTo>
                                          <a:lnTo>
                                            <a:pt x="6" y="17"/>
                                          </a:lnTo>
                                          <a:lnTo>
                                            <a:pt x="7" y="42"/>
                                          </a:lnTo>
                                          <a:lnTo>
                                            <a:pt x="6" y="39"/>
                                          </a:lnTo>
                                          <a:lnTo>
                                            <a:pt x="0" y="23"/>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s:wsp>
                                  <wps:cNvPr id="78" name="Forma libre: forma 78"/>
                                  <wps:cNvSpPr/>
                                  <wps:spPr>
                                    <a:xfrm>
                                      <a:off x="587149" y="7145512"/>
                                      <a:ext cx="71438" cy="187325"/>
                                    </a:xfrm>
                                    <a:custGeom>
                                      <a:avLst/>
                                      <a:gdLst/>
                                      <a:ahLst/>
                                      <a:cxnLst/>
                                      <a:rect l="l" t="t" r="r" b="b"/>
                                      <a:pathLst>
                                        <a:path w="45" h="118" extrusionOk="0">
                                          <a:moveTo>
                                            <a:pt x="0" y="0"/>
                                          </a:moveTo>
                                          <a:lnTo>
                                            <a:pt x="6" y="16"/>
                                          </a:lnTo>
                                          <a:lnTo>
                                            <a:pt x="21" y="49"/>
                                          </a:lnTo>
                                          <a:lnTo>
                                            <a:pt x="33" y="84"/>
                                          </a:lnTo>
                                          <a:lnTo>
                                            <a:pt x="45" y="118"/>
                                          </a:lnTo>
                                          <a:lnTo>
                                            <a:pt x="44" y="118"/>
                                          </a:lnTo>
                                          <a:lnTo>
                                            <a:pt x="13" y="53"/>
                                          </a:lnTo>
                                          <a:lnTo>
                                            <a:pt x="11" y="42"/>
                                          </a:lnTo>
                                          <a:lnTo>
                                            <a:pt x="0" y="0"/>
                                          </a:lnTo>
                                          <a:close/>
                                        </a:path>
                                      </a:pathLst>
                                    </a:custGeom>
                                    <a:solidFill>
                                      <a:schemeClr val="dk2"/>
                                    </a:solidFill>
                                    <a:ln w="9525" cap="flat" cmpd="sng">
                                      <a:solidFill>
                                        <a:schemeClr val="dk2"/>
                                      </a:solidFill>
                                      <a:prstDash val="solid"/>
                                      <a:round/>
                                      <a:headEnd type="none" w="sm" len="sm"/>
                                      <a:tailEnd type="none" w="sm" len="sm"/>
                                    </a:ln>
                                  </wps:spPr>
                                  <wps:bodyPr spcFirstLastPara="1" wrap="square" lIns="91425" tIns="91425" rIns="91425" bIns="91425" anchor="ctr" anchorCtr="0">
                                    <a:noAutofit/>
                                  </wps:bodyPr>
                                </wps:wsp>
                              </wpg:grpSp>
                              <wpg:grpSp>
                                <wpg:cNvPr id="80" name="Grupo 80"/>
                                <wpg:cNvGrpSpPr/>
                                <wpg:grpSpPr>
                                  <a:xfrm>
                                    <a:off x="80645" y="4826972"/>
                                    <a:ext cx="1306273" cy="2505863"/>
                                    <a:chOff x="80645" y="4649964"/>
                                    <a:chExt cx="874712" cy="1677988"/>
                                  </a:xfrm>
                                </wpg:grpSpPr>
                                <wps:wsp>
                                  <wps:cNvPr id="81" name="Forma libre: forma 81"/>
                                  <wps:cNvSpPr/>
                                  <wps:spPr>
                                    <a:xfrm>
                                      <a:off x="118745" y="5189714"/>
                                      <a:ext cx="198438" cy="714375"/>
                                    </a:xfrm>
                                    <a:custGeom>
                                      <a:avLst/>
                                      <a:gdLst/>
                                      <a:ahLst/>
                                      <a:cxnLst/>
                                      <a:rect l="l" t="t" r="r" b="b"/>
                                      <a:pathLst>
                                        <a:path w="125" h="450" extrusionOk="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2" name="Forma libre: forma 82"/>
                                  <wps:cNvSpPr/>
                                  <wps:spPr>
                                    <a:xfrm>
                                      <a:off x="328295" y="5891389"/>
                                      <a:ext cx="187325" cy="436563"/>
                                    </a:xfrm>
                                    <a:custGeom>
                                      <a:avLst/>
                                      <a:gdLst/>
                                      <a:ahLst/>
                                      <a:cxnLst/>
                                      <a:rect l="l" t="t" r="r" b="b"/>
                                      <a:pathLst>
                                        <a:path w="118" h="275" extrusionOk="0">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3" name="Forma libre: forma 83"/>
                                  <wps:cNvSpPr/>
                                  <wps:spPr>
                                    <a:xfrm>
                                      <a:off x="80645" y="5010327"/>
                                      <a:ext cx="31750" cy="192088"/>
                                    </a:xfrm>
                                    <a:custGeom>
                                      <a:avLst/>
                                      <a:gdLst/>
                                      <a:ahLst/>
                                      <a:cxnLst/>
                                      <a:rect l="l" t="t" r="r" b="b"/>
                                      <a:pathLst>
                                        <a:path w="20" h="121" extrusionOk="0">
                                          <a:moveTo>
                                            <a:pt x="0" y="0"/>
                                          </a:moveTo>
                                          <a:lnTo>
                                            <a:pt x="16" y="72"/>
                                          </a:lnTo>
                                          <a:lnTo>
                                            <a:pt x="20" y="121"/>
                                          </a:lnTo>
                                          <a:lnTo>
                                            <a:pt x="18" y="112"/>
                                          </a:lnTo>
                                          <a:lnTo>
                                            <a:pt x="0" y="31"/>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4" name="Forma libre: forma 84"/>
                                  <wps:cNvSpPr/>
                                  <wps:spPr>
                                    <a:xfrm>
                                      <a:off x="112395" y="5202414"/>
                                      <a:ext cx="250825" cy="1020763"/>
                                    </a:xfrm>
                                    <a:custGeom>
                                      <a:avLst/>
                                      <a:gdLst/>
                                      <a:ahLst/>
                                      <a:cxnLst/>
                                      <a:rect l="l" t="t" r="r" b="b"/>
                                      <a:pathLst>
                                        <a:path w="158" h="643" extrusionOk="0">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5" name="Forma libre: forma 85"/>
                                  <wps:cNvSpPr/>
                                  <wps:spPr>
                                    <a:xfrm>
                                      <a:off x="375920" y="6215239"/>
                                      <a:ext cx="52388" cy="112713"/>
                                    </a:xfrm>
                                    <a:custGeom>
                                      <a:avLst/>
                                      <a:gdLst/>
                                      <a:ahLst/>
                                      <a:cxnLst/>
                                      <a:rect l="l" t="t" r="r" b="b"/>
                                      <a:pathLst>
                                        <a:path w="33" h="71" extrusionOk="0">
                                          <a:moveTo>
                                            <a:pt x="0" y="0"/>
                                          </a:moveTo>
                                          <a:lnTo>
                                            <a:pt x="33" y="71"/>
                                          </a:lnTo>
                                          <a:lnTo>
                                            <a:pt x="24" y="71"/>
                                          </a:lnTo>
                                          <a:lnTo>
                                            <a:pt x="11" y="3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6" name="Forma libre: forma 86"/>
                                  <wps:cNvSpPr/>
                                  <wps:spPr>
                                    <a:xfrm>
                                      <a:off x="106045" y="5124627"/>
                                      <a:ext cx="23813" cy="150813"/>
                                    </a:xfrm>
                                    <a:custGeom>
                                      <a:avLst/>
                                      <a:gdLst/>
                                      <a:ahLst/>
                                      <a:cxnLst/>
                                      <a:rect l="l" t="t" r="r" b="b"/>
                                      <a:pathLst>
                                        <a:path w="15" h="95" extrusionOk="0">
                                          <a:moveTo>
                                            <a:pt x="0" y="0"/>
                                          </a:moveTo>
                                          <a:lnTo>
                                            <a:pt x="8" y="37"/>
                                          </a:lnTo>
                                          <a:lnTo>
                                            <a:pt x="8" y="41"/>
                                          </a:lnTo>
                                          <a:lnTo>
                                            <a:pt x="15" y="95"/>
                                          </a:lnTo>
                                          <a:lnTo>
                                            <a:pt x="4" y="49"/>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7" name="Forma libre: forma 87"/>
                                  <wps:cNvSpPr/>
                                  <wps:spPr>
                                    <a:xfrm>
                                      <a:off x="317182" y="4649964"/>
                                      <a:ext cx="638175" cy="1241425"/>
                                    </a:xfrm>
                                    <a:custGeom>
                                      <a:avLst/>
                                      <a:gdLst/>
                                      <a:ahLst/>
                                      <a:cxnLst/>
                                      <a:rect l="l" t="t" r="r" b="b"/>
                                      <a:pathLst>
                                        <a:path w="402" h="782" extrusionOk="0">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8" name="Forma libre: forma 88"/>
                                  <wps:cNvSpPr/>
                                  <wps:spPr>
                                    <a:xfrm>
                                      <a:off x="317182" y="5904089"/>
                                      <a:ext cx="58738" cy="311150"/>
                                    </a:xfrm>
                                    <a:custGeom>
                                      <a:avLst/>
                                      <a:gdLst/>
                                      <a:ahLst/>
                                      <a:cxnLst/>
                                      <a:rect l="l" t="t" r="r" b="b"/>
                                      <a:pathLst>
                                        <a:path w="37" h="196" extrusionOk="0">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89" name="Forma libre: forma 89"/>
                                  <wps:cNvSpPr/>
                                  <wps:spPr>
                                    <a:xfrm>
                                      <a:off x="363220" y="6223177"/>
                                      <a:ext cx="49213" cy="104775"/>
                                    </a:xfrm>
                                    <a:custGeom>
                                      <a:avLst/>
                                      <a:gdLst/>
                                      <a:ahLst/>
                                      <a:cxnLst/>
                                      <a:rect l="l" t="t" r="r" b="b"/>
                                      <a:pathLst>
                                        <a:path w="31" h="66" extrusionOk="0">
                                          <a:moveTo>
                                            <a:pt x="0" y="0"/>
                                          </a:moveTo>
                                          <a:lnTo>
                                            <a:pt x="31" y="66"/>
                                          </a:lnTo>
                                          <a:lnTo>
                                            <a:pt x="24" y="66"/>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90" name="Forma libre: forma 90"/>
                                  <wps:cNvSpPr/>
                                  <wps:spPr>
                                    <a:xfrm>
                                      <a:off x="317182" y="5864402"/>
                                      <a:ext cx="11113" cy="68263"/>
                                    </a:xfrm>
                                    <a:custGeom>
                                      <a:avLst/>
                                      <a:gdLst/>
                                      <a:ahLst/>
                                      <a:cxnLst/>
                                      <a:rect l="l" t="t" r="r" b="b"/>
                                      <a:pathLst>
                                        <a:path w="7" h="43" extrusionOk="0">
                                          <a:moveTo>
                                            <a:pt x="0" y="0"/>
                                          </a:moveTo>
                                          <a:lnTo>
                                            <a:pt x="7" y="17"/>
                                          </a:lnTo>
                                          <a:lnTo>
                                            <a:pt x="7" y="43"/>
                                          </a:lnTo>
                                          <a:lnTo>
                                            <a:pt x="6" y="40"/>
                                          </a:lnTo>
                                          <a:lnTo>
                                            <a:pt x="0" y="25"/>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s:wsp>
                                  <wps:cNvPr id="91" name="Forma libre: forma 91"/>
                                  <wps:cNvSpPr/>
                                  <wps:spPr>
                                    <a:xfrm>
                                      <a:off x="340995" y="6135864"/>
                                      <a:ext cx="73025" cy="192088"/>
                                    </a:xfrm>
                                    <a:custGeom>
                                      <a:avLst/>
                                      <a:gdLst/>
                                      <a:ahLst/>
                                      <a:cxnLst/>
                                      <a:rect l="l" t="t" r="r" b="b"/>
                                      <a:pathLst>
                                        <a:path w="46" h="121" extrusionOk="0">
                                          <a:moveTo>
                                            <a:pt x="0" y="0"/>
                                          </a:moveTo>
                                          <a:lnTo>
                                            <a:pt x="7" y="16"/>
                                          </a:lnTo>
                                          <a:lnTo>
                                            <a:pt x="22" y="50"/>
                                          </a:lnTo>
                                          <a:lnTo>
                                            <a:pt x="33" y="86"/>
                                          </a:lnTo>
                                          <a:lnTo>
                                            <a:pt x="46" y="121"/>
                                          </a:lnTo>
                                          <a:lnTo>
                                            <a:pt x="45" y="121"/>
                                          </a:lnTo>
                                          <a:lnTo>
                                            <a:pt x="14" y="55"/>
                                          </a:lnTo>
                                          <a:lnTo>
                                            <a:pt x="11" y="44"/>
                                          </a:lnTo>
                                          <a:lnTo>
                                            <a:pt x="0" y="0"/>
                                          </a:lnTo>
                                          <a:close/>
                                        </a:path>
                                      </a:pathLst>
                                    </a:custGeom>
                                    <a:solidFill>
                                      <a:schemeClr val="dk2">
                                        <a:alpha val="20000"/>
                                      </a:schemeClr>
                                    </a:solidFill>
                                    <a:ln w="9525" cap="flat" cmpd="sng">
                                      <a:solidFill>
                                        <a:schemeClr val="dk2">
                                          <a:alpha val="20000"/>
                                        </a:schemeClr>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anchor>
            </w:drawing>
          </mc:Choice>
          <mc:Fallback>
            <w:pict>
              <v:group w14:anchorId="637D6E4C" id="Grupo 312" o:spid="_x0000_s1134" style="position:absolute;left:0;text-align:left;margin-left:38.75pt;margin-top:19.1pt;width:172.8pt;height:718.55pt;z-index:-251649024;mso-wrap-distance-left:0;mso-wrap-distance-right:0;mso-position-horizontal-relative:page;mso-position-vertical-relative:page" coordorigin="42487" coordsize="21945,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">
                <v:group id="Grupo 313" o:spid="_x0000_s1135"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">
                  <v:rect id="Rectángulo 314" o:spid="_x0000_s1136"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" filled="f" stroked="f">
                    <v:textbox inset="2.53958mm,2.53958mm,2.53958mm,2.53958mm">
                      <w:txbxContent>
                        <w:p w14:paraId="10DBFB04" w14:textId="77777777" w:rsidR="001076C8" w:rsidRDefault="001076C8">
                          <w:pPr>
                            <w:spacing w:after="0" w:line="240" w:lineRule="auto"/>
                            <w:jc w:val="left"/>
                            <w:textDirection w:val="btLr"/>
                          </w:pPr>
                        </w:p>
                      </w:txbxContent>
                    </v:textbox>
                  </v:rect>
                  <v:group id="Grupo 315" o:spid="_x0000_s1137" style="position:absolute;left:42487;width:21945;height:75600" coordorigin="42487" coordsize="21945,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rect id="Rectángulo 316" o:spid="_x0000_s1138" style="position:absolute;left:42487;width:21945;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" filled="f" stroked="f">
                      <v:textbox inset="2.53958mm,2.53958mm,2.53958mm,2.53958mm">
                        <w:txbxContent>
                          <w:p w14:paraId="5245CBC7" w14:textId="77777777" w:rsidR="001076C8" w:rsidRDefault="001076C8">
                            <w:pPr>
                              <w:spacing w:after="0" w:line="240" w:lineRule="auto"/>
                              <w:jc w:val="left"/>
                              <w:textDirection w:val="btLr"/>
                            </w:pPr>
                          </w:p>
                        </w:txbxContent>
                      </v:textbox>
                    </v:rect>
                    <v:group id="Grupo 317" o:spid="_x0000_s1139" style="position:absolute;left:42487;width:21945;height:75600" coordsize="21945,91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">
                      <v:rect id="Rectángulo 318" o:spid="_x0000_s1140" style="position:absolute;width:2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" filled="f" stroked="f">
                        <v:textbox inset="2.53958mm,2.53958mm,2.53958mm,2.53958mm">
                          <w:txbxContent>
                            <w:p w14:paraId="66CB063C" w14:textId="77777777" w:rsidR="001076C8" w:rsidRDefault="001076C8">
                              <w:pPr>
                                <w:spacing w:after="0" w:line="240" w:lineRule="auto"/>
                                <w:jc w:val="left"/>
                                <w:textDirection w:val="btLr"/>
                              </w:pPr>
                            </w:p>
                          </w:txbxContent>
                        </v:textbox>
                      </v:rect>
                      <v:rect id="Rectángulo 319" o:spid="_x0000_s1141"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" fillcolor="#44546a [3202]" stroked="f">
                        <v:textbox inset="2.53958mm,2.53958mm,2.53958mm,2.53958mm">
                          <w:txbxContent>
                            <w:p w14:paraId="435B29CF" w14:textId="77777777" w:rsidR="001076C8" w:rsidRDefault="001076C8">
                              <w:pPr>
                                <w:spacing w:after="0" w:line="240" w:lineRule="auto"/>
                                <w:jc w:val="left"/>
                                <w:textDirection w:val="btLr"/>
                              </w:pPr>
                            </w:p>
                          </w:txbxContent>
                        </v:textbox>
                      </v:rect>
                      <v:shape id="Flecha: pentágono 64" o:spid="_x0000_s1142"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" adj="18883" fillcolor="#4472c4 [3204]" stroked="f">
                        <v:textbox inset="2.53958mm,0,5.07986mm,0">
                          <w:txbxContent>
                            <w:p w14:paraId="43976950" w14:textId="77777777" w:rsidR="001076C8" w:rsidRDefault="001076C8">
                              <w:pPr>
                                <w:spacing w:after="0" w:line="240" w:lineRule="auto"/>
                                <w:jc w:val="right"/>
                                <w:textDirection w:val="btLr"/>
                              </w:pPr>
                              <w:r>
                                <w:rPr>
                                  <w:rFonts w:ascii="Arial" w:eastAsia="Arial" w:hAnsi="Arial" w:cs="Arial"/>
                                  <w:color w:val="FFFFFF"/>
                                  <w:sz w:val="28"/>
                                </w:rPr>
                                <w:t>Capítulo 4.</w:t>
                              </w:r>
                            </w:p>
                          </w:txbxContent>
                        </v:textbox>
                      </v:shape>
                      <v:group id="Grupo 65" o:spid="_x0000_s1143"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">
                        <v:group id="Grupo 66" o:spid="_x0000_s1144"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Forma libre: forma 67" o:spid="_x0000_s1145" style="position:absolute;left:3696;top:62168;width:1937;height:6985;visibility:visible;mso-wrap-style:square;v-text-anchor:middle"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" path="m,l39,152,84,304r38,113l122,440,76,306,39,180,6,53,,xe" fillcolor="#44546a [3202]" strokecolor="#44546a [3202]">
                            <v:stroke startarrowwidth="narrow" startarrowlength="short" endarrowwidth="narrow" endarrowlength="short"/>
                            <v:path arrowok="t" o:extrusionok="f"/>
                          </v:shape>
                          <v:shape id="Forma libre: forma 68" o:spid="_x0000_s1146" style="position:absolute;left:5728;top:69058;width:1842;height:4270;visibility:visible;mso-wrap-style:square;v-text-anchor:middle"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" path="m,l8,19,37,93r30,74l116,269r-8,l60,169,30,98,1,25,,xe" fillcolor="#44546a [3202]" strokecolor="#44546a [3202]">
                            <v:stroke startarrowwidth="narrow" startarrowlength="short" endarrowwidth="narrow" endarrowlength="short"/>
                            <v:path arrowok="t" o:extrusionok="f"/>
                          </v:shape>
                          <v:shape id="Forma libre: forma 69" o:spid="_x0000_s1147" style="position:absolute;left:1410;top:42118;width:2223;height:20193;visibility:visible;mso-wrap-style:square;v-text-anchor:middle"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" path="m,l,,1,79r2,80l12,317,23,476,39,634,58,792,83,948r24,138l135,1223r5,49l138,1262,105,1106,77,949,53,792,35,634,20,476,9,317,2,159,,79,,xe" fillcolor="#44546a [3202]" strokecolor="#44546a [3202]">
                            <v:stroke startarrowwidth="narrow" startarrowlength="short" endarrowwidth="narrow" endarrowlength="short"/>
                            <v:path arrowok="t" o:extrusionok="f"/>
                          </v:shape>
                          <v:shape id="Forma libre: forma 70" o:spid="_x0000_s1148" style="position:absolute;left:3410;top:48611;width:715;height:13557;visibility:visible;mso-wrap-style:square;v-text-anchor:middle"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" path="m45,r,l35,66r-9,67l14,267,6,401,3,534,6,669r8,134l18,854r,-3l9,814,8,803,1,669,,534,3,401,12,267,25,132,34,66,45,xe" fillcolor="#44546a [3202]" strokecolor="#44546a [3202]">
                            <v:stroke startarrowwidth="narrow" startarrowlength="short" endarrowwidth="narrow" endarrowlength="short"/>
                            <v:path arrowok="t" o:extrusionok="f"/>
                          </v:shape>
                          <v:shape id="Forma libre: forma 71" o:spid="_x0000_s1149" style="position:absolute;left:3633;top:62311;width:2444;height:9985;visibility:visible;mso-wrap-style:square;v-text-anchor:middle"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" path="m,l10,44r11,82l34,207r19,86l75,380r25,86l120,521r21,55l152,618r2,11l140,595,115,532,93,468,67,383,47,295,28,207,12,104,,xe" fillcolor="#44546a [3202]" strokecolor="#44546a [3202]">
                            <v:stroke startarrowwidth="narrow" startarrowlength="short" endarrowwidth="narrow" endarrowlength="short"/>
                            <v:path arrowok="t" o:extrusionok="f"/>
                          </v:shape>
                          <v:shape id="Forma libre: forma 72" o:spid="_x0000_s1150" style="position:absolute;left:6204;top:72233;width:524;height:1095;visibility:visible;mso-wrap-style:square;v-text-anchor:middle"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" path="m,l33,69r-9,l12,35,,xe" fillcolor="#44546a [3202]" strokecolor="#44546a [3202]">
                            <v:stroke startarrowwidth="narrow" startarrowlength="short" endarrowwidth="narrow" endarrowlength="short"/>
                            <v:path arrowok="t" o:extrusionok="f"/>
                          </v:shape>
                          <v:shape id="Forma libre: forma 73" o:spid="_x0000_s1151" style="position:absolute;left:3553;top:61533;width:238;height:1476;visibility:visible;mso-wrap-style:square;v-text-anchor:middle"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" path="m,l9,37r,3l15,93,5,49,,xe" fillcolor="#44546a [3202]" strokecolor="#44546a [3202]">
                            <v:stroke startarrowwidth="narrow" startarrowlength="short" endarrowwidth="narrow" endarrowlength="short"/>
                            <v:path arrowok="t" o:extrusionok="f"/>
                          </v:shape>
                          <v:shape id="Forma libre: forma 74" o:spid="_x0000_s1152" style="position:absolute;left:5633;top:56897;width:6255;height:12161;visibility:visible;mso-wrap-style:square;v-text-anchor:middle"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" path="m394,r,l356,38,319,77r-35,40l249,160r-42,58l168,276r-37,63l98,402,69,467,45,535,26,604,14,673,7,746,6,766,,749r1,-5l7,673,21,603,40,533,65,466,94,400r33,-64l164,275r40,-60l248,158r34,-42l318,76,354,37,394,xe" fillcolor="#44546a [3202]" strokecolor="#44546a [3202]">
                            <v:stroke startarrowwidth="narrow" startarrowlength="short" endarrowwidth="narrow" endarrowlength="short"/>
                            <v:path arrowok="t" o:extrusionok="f"/>
                          </v:shape>
                          <v:shape id="Forma libre: forma 75" o:spid="_x0000_s1153" style="position:absolute;left:5633;top:69153;width:571;height:3080;visibility:visible;mso-wrap-style:square;v-text-anchor:middle"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" path="m,l6,16r1,3l11,80r9,52l33,185r3,9l21,161,15,145,5,81,1,41,,xe" fillcolor="#44546a [3202]" strokecolor="#44546a [3202]">
                            <v:stroke startarrowwidth="narrow" startarrowlength="short" endarrowwidth="narrow" endarrowlength="short"/>
                            <v:path arrowok="t" o:extrusionok="f"/>
                          </v:shape>
                          <v:shape id="Forma libre: forma 76" o:spid="_x0000_s1154" style="position:absolute;left:6077;top:72296;width:493;height:1032;visibility:visible;mso-wrap-style:square;v-text-anchor:middle"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" path="m,l31,65r-8,l,xe" fillcolor="#44546a [3202]" strokecolor="#44546a [3202]">
                            <v:stroke startarrowwidth="narrow" startarrowlength="short" endarrowwidth="narrow" endarrowlength="short"/>
                            <v:path arrowok="t" o:extrusionok="f"/>
                          </v:shape>
                          <v:shape id="Forma libre: forma 77" o:spid="_x0000_s1155" style="position:absolute;left:5633;top:68788;width:111;height:666;visibility:visible;mso-wrap-style:square;v-text-anchor:middle"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" path="m,l6,17,7,42,6,39,,23,,xe" fillcolor="#44546a [3202]" strokecolor="#44546a [3202]">
                            <v:stroke startarrowwidth="narrow" startarrowlength="short" endarrowwidth="narrow" endarrowlength="short"/>
                            <v:path arrowok="t" o:extrusionok="f"/>
                          </v:shape>
                          <v:shape id="Forma libre: forma 78" o:spid="_x0000_s1156" style="position:absolute;left:5871;top:71455;width:714;height:1873;visibility:visible;mso-wrap-style:square;v-text-anchor:middle"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" path="m,l6,16,21,49,33,84r12,34l44,118,13,53,11,42,,xe" fillcolor="#44546a [3202]" strokecolor="#44546a [3202]">
                            <v:stroke startarrowwidth="narrow" startarrowlength="short" endarrowwidth="narrow" endarrowlength="short"/>
                            <v:path arrowok="t" o:extrusionok="f"/>
                          </v:shape>
                        </v:group>
                        <v:group id="Grupo 80" o:spid="_x0000_s1157"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">
                          <v:shape id="Forma libre: forma 81" o:spid="_x0000_s1158" style="position:absolute;left:1187;top:51897;width:1984;height:7143;visibility:visible;mso-wrap-style:square;v-text-anchor:middle"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" path="m,l41,155,86,309r39,116l125,450,79,311,41,183,7,54,,xe" fillcolor="#44546a [3202]" strokecolor="#44546a [3202]">
                            <v:fill opacity="13107f"/>
                            <v:stroke startarrowwidth="narrow" startarrowlength="short" endarrowwidth="narrow" endarrowlength="short" opacity="13107f"/>
                            <v:path arrowok="t" o:extrusionok="f"/>
                          </v:shape>
                          <v:shape id="Forma libre: forma 82" o:spid="_x0000_s1159" style="position:absolute;left:3282;top:58913;width:1874;height:4366;visibility:visible;mso-wrap-style:square;v-text-anchor:middle"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" path="m,l8,20,37,96r32,74l118,275r-9,l61,174,30,100,,26,,xe" fillcolor="#44546a [3202]" strokecolor="#44546a [3202]">
                            <v:fill opacity="13107f"/>
                            <v:stroke startarrowwidth="narrow" startarrowlength="short" endarrowwidth="narrow" endarrowlength="short" opacity="13107f"/>
                            <v:path arrowok="t" o:extrusionok="f"/>
                          </v:shape>
                          <v:shape id="Forma libre: forma 83" o:spid="_x0000_s1160" style="position:absolute;left:806;top:50103;width:317;height:1921;visibility:visible;mso-wrap-style:square;v-text-anchor:middle"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" path="m,l16,72r4,49l18,112,,31,,xe" fillcolor="#44546a [3202]" strokecolor="#44546a [3202]">
                            <v:fill opacity="13107f"/>
                            <v:stroke startarrowwidth="narrow" startarrowlength="short" endarrowwidth="narrow" endarrowlength="short" opacity="13107f"/>
                            <v:path arrowok="t" o:extrusionok="f"/>
                          </v:shape>
                          <v:shape id="Forma libre: forma 84" o:spid="_x0000_s1161" style="position:absolute;left:1123;top:52024;width:2509;height:10207;visibility:visible;mso-wrap-style:square;v-text-anchor:middle"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" path="m,l11,46r11,83l36,211r19,90l76,389r27,87l123,533r21,55l155,632r3,11l142,608,118,544,95,478,69,391,47,302,29,212,13,107,,xe" fillcolor="#44546a [3202]" strokecolor="#44546a [3202]">
                            <v:fill opacity="13107f"/>
                            <v:stroke startarrowwidth="narrow" startarrowlength="short" endarrowwidth="narrow" endarrowlength="short" opacity="13107f"/>
                            <v:path arrowok="t" o:extrusionok="f"/>
                          </v:shape>
                          <v:shape id="Forma libre: forma 85" o:spid="_x0000_s1162" style="position:absolute;left:3759;top:62152;width:524;height:1127;visibility:visible;mso-wrap-style:square;v-text-anchor:middle"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" path="m,l33,71r-9,l11,36,,xe" fillcolor="#44546a [3202]" strokecolor="#44546a [3202]">
                            <v:fill opacity="13107f"/>
                            <v:stroke startarrowwidth="narrow" startarrowlength="short" endarrowwidth="narrow" endarrowlength="short" opacity="13107f"/>
                            <v:path arrowok="t" o:extrusionok="f"/>
                          </v:shape>
                          <v:shape id="Forma libre: forma 86" o:spid="_x0000_s1163" style="position:absolute;left:1060;top:51246;width:238;height:1508;visibility:visible;mso-wrap-style:square;v-text-anchor:middle"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" path="m,l8,37r,4l15,95,4,49,,xe" fillcolor="#44546a [3202]" strokecolor="#44546a [3202]">
                            <v:fill opacity="13107f"/>
                            <v:stroke startarrowwidth="narrow" startarrowlength="short" endarrowwidth="narrow" endarrowlength="short" opacity="13107f"/>
                            <v:path arrowok="t" o:extrusionok="f"/>
                          </v:shape>
                          <v:shape id="Forma libre: forma 87" o:spid="_x0000_s1164" style="position:absolute;left:3171;top:46499;width:6382;height:12414;visibility:visible;mso-wrap-style:square;v-text-anchor:middle"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" path="m402,r,1l363,39,325,79r-35,42l255,164r-44,58l171,284r-38,62l100,411,71,478,45,546,27,617,13,689,7,761r,21l,765r1,-4l7,688,21,616,40,545,66,475,95,409r35,-66l167,281r42,-61l253,163r34,-43l324,78,362,38,402,xe" fillcolor="#44546a [3202]" strokecolor="#44546a [3202]">
                            <v:fill opacity="13107f"/>
                            <v:stroke startarrowwidth="narrow" startarrowlength="short" endarrowwidth="narrow" endarrowlength="short" opacity="13107f"/>
                            <v:path arrowok="t" o:extrusionok="f"/>
                          </v:shape>
                          <v:shape id="Forma libre: forma 88" o:spid="_x0000_s1165" style="position:absolute;left:3171;top:59040;width:588;height:3112;visibility:visible;mso-wrap-style:square;v-text-anchor:middle"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" path="m,l6,15r1,3l12,80r9,54l33,188r4,8l22,162,15,146,5,81,1,40,,xe" fillcolor="#44546a [3202]" strokecolor="#44546a [3202]">
                            <v:fill opacity="13107f"/>
                            <v:stroke startarrowwidth="narrow" startarrowlength="short" endarrowwidth="narrow" endarrowlength="short" opacity="13107f"/>
                            <v:path arrowok="t" o:extrusionok="f"/>
                          </v:shape>
                          <v:shape id="Forma libre: forma 89" o:spid="_x0000_s1166" style="position:absolute;left:3632;top:62231;width:492;height:1048;visibility:visible;mso-wrap-style:square;v-text-anchor:middle"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" path="m,l31,66r-7,l,xe" fillcolor="#44546a [3202]" strokecolor="#44546a [3202]">
                            <v:fill opacity="13107f"/>
                            <v:stroke startarrowwidth="narrow" startarrowlength="short" endarrowwidth="narrow" endarrowlength="short" opacity="13107f"/>
                            <v:path arrowok="t" o:extrusionok="f"/>
                          </v:shape>
                          <v:shape id="Forma libre: forma 90" o:spid="_x0000_s1167" style="position:absolute;left:3171;top:58644;width:111;height:682;visibility:visible;mso-wrap-style:square;v-text-anchor:middle"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" path="m,l7,17r,26l6,40,,25,,xe" fillcolor="#44546a [3202]" strokecolor="#44546a [3202]">
                            <v:fill opacity="13107f"/>
                            <v:stroke startarrowwidth="narrow" startarrowlength="short" endarrowwidth="narrow" endarrowlength="short" opacity="13107f"/>
                            <v:path arrowok="t" o:extrusionok="f"/>
                          </v:shape>
                          <v:shape id="Forma libre: forma 91" o:spid="_x0000_s1168" style="position:absolute;left:3409;top:61358;width:731;height:1921;visibility:visible;mso-wrap-style:square;v-text-anchor:middle"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" path="m,l7,16,22,50,33,86r13,35l45,121,14,55,11,44,,xe" fillcolor="#44546a [3202]" strokecolor="#44546a [3202]">
                            <v:fill opacity="13107f"/>
                            <v:stroke startarrowwidth="narrow" startarrowlength="short" endarrowwidth="narrow" endarrowlength="short" opacity="13107f"/>
                            <v:path arrowok="t" o:extrusionok="f"/>
                          </v:shape>
                        </v:group>
                      </v:group>
                    </v:group>
                  </v:group>
                </v:group>
                <w10:wrap anchorx="page" anchory="page"/>
              </v:group>
            </w:pict>
          </mc:Fallback>
        </mc:AlternateContent>
      </w:r>
    </w:p>
    <w:p w14:paraId="7F7B31CB" w14:textId="6CD14949" w:rsidR="00644151" w:rsidRDefault="00425878">
      <w:pPr>
        <w:spacing w:line="360" w:lineRule="auto"/>
      </w:pPr>
      <w:r>
        <w:rPr>
          <w:noProof/>
        </w:rPr>
        <mc:AlternateContent>
          <mc:Choice Requires="wps">
            <w:drawing>
              <wp:anchor distT="0" distB="0" distL="114300" distR="114300" simplePos="0" relativeHeight="251668480" behindDoc="0" locked="0" layoutInCell="1" hidden="0" allowOverlap="1" wp14:anchorId="58DBEFB8" wp14:editId="0888521E">
                <wp:simplePos x="0" y="0"/>
                <wp:positionH relativeFrom="margin">
                  <wp:align>right</wp:align>
                </wp:positionH>
                <wp:positionV relativeFrom="page">
                  <wp:posOffset>1735686</wp:posOffset>
                </wp:positionV>
                <wp:extent cx="3260506" cy="1097915"/>
                <wp:effectExtent l="0" t="0" r="0" b="0"/>
                <wp:wrapNone/>
                <wp:docPr id="92" name="Rectángulo 92"/>
                <wp:cNvGraphicFramePr/>
                <a:graphic xmlns:a="http://schemas.openxmlformats.org/drawingml/2006/main">
                  <a:graphicData uri="http://schemas.microsoft.com/office/word/2010/wordprocessingShape">
                    <wps:wsp>
                      <wps:cNvSpPr/>
                      <wps:spPr>
                        <a:xfrm>
                          <a:off x="3730035" y="3245330"/>
                          <a:ext cx="3231931" cy="1069340"/>
                        </a:xfrm>
                        <a:prstGeom prst="rect">
                          <a:avLst/>
                        </a:prstGeom>
                        <a:noFill/>
                        <a:ln>
                          <a:noFill/>
                        </a:ln>
                      </wps:spPr>
                      <wps:txbx>
                        <w:txbxContent>
                          <w:p w14:paraId="56342982" w14:textId="77777777" w:rsidR="001076C8" w:rsidRDefault="001076C8">
                            <w:pPr>
                              <w:spacing w:after="0" w:line="240" w:lineRule="auto"/>
                              <w:jc w:val="left"/>
                              <w:textDirection w:val="btLr"/>
                            </w:pPr>
                            <w:r>
                              <w:rPr>
                                <w:rFonts w:ascii="Calibri" w:eastAsia="Calibri" w:hAnsi="Calibri" w:cs="Calibri"/>
                                <w:color w:val="262626"/>
                                <w:sz w:val="72"/>
                              </w:rPr>
                              <w:t>Resultados</w:t>
                            </w:r>
                          </w:p>
                        </w:txbxContent>
                      </wps:txbx>
                      <wps:bodyPr spcFirstLastPara="1" wrap="square" lIns="0" tIns="0" rIns="0" bIns="0" anchor="t" anchorCtr="0">
                        <a:noAutofit/>
                      </wps:bodyPr>
                    </wps:wsp>
                  </a:graphicData>
                </a:graphic>
              </wp:anchor>
            </w:drawing>
          </mc:Choice>
          <mc:Fallback>
            <w:pict>
              <v:rect w14:anchorId="58DBEFB8" id="Rectángulo 92" o:spid="_x0000_s1169" style="position:absolute;left:0;text-align:left;margin-left:205.55pt;margin-top:136.65pt;width:256.75pt;height:86.45pt;z-index:251668480;visibility:visible;mso-wrap-style:square;mso-wrap-distance-left:9pt;mso-wrap-distance-top:0;mso-wrap-distance-right:9pt;mso-wrap-distance-bottom:0;mso-position-horizontal:right;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" filled="f" stroked="f">
                <v:textbox inset="0,0,0,0">
                  <w:txbxContent>
                    <w:p w14:paraId="56342982" w14:textId="77777777" w:rsidR="001076C8" w:rsidRDefault="001076C8">
                      <w:pPr>
                        <w:spacing w:after="0" w:line="240" w:lineRule="auto"/>
                        <w:jc w:val="left"/>
                        <w:textDirection w:val="btLr"/>
                      </w:pPr>
                      <w:r>
                        <w:rPr>
                          <w:rFonts w:ascii="Calibri" w:eastAsia="Calibri" w:hAnsi="Calibri" w:cs="Calibri"/>
                          <w:color w:val="262626"/>
                          <w:sz w:val="72"/>
                        </w:rPr>
                        <w:t>Resultados</w:t>
                      </w:r>
                    </w:p>
                  </w:txbxContent>
                </v:textbox>
                <w10:wrap anchorx="margin" anchory="page"/>
              </v:rect>
            </w:pict>
          </mc:Fallback>
        </mc:AlternateContent>
      </w:r>
    </w:p>
    <w:p w14:paraId="3E691ED7" w14:textId="6AB5F713" w:rsidR="00644151" w:rsidRDefault="00644151">
      <w:pPr>
        <w:spacing w:line="360" w:lineRule="auto"/>
      </w:pPr>
    </w:p>
    <w:p w14:paraId="61D0FB9D" w14:textId="77777777" w:rsidR="00644151" w:rsidRDefault="00425878">
      <w:pPr>
        <w:pStyle w:val="Ttulo1"/>
      </w:pPr>
      <w:bookmarkStart w:id="77" w:name="_Toc89075406"/>
      <w:r>
        <w:lastRenderedPageBreak/>
        <w:t>Capítulo 4. Resultados</w:t>
      </w:r>
      <w:bookmarkEnd w:id="77"/>
    </w:p>
    <w:p w14:paraId="2951AA40" w14:textId="33C20FBA" w:rsidR="00644151" w:rsidRDefault="00425878">
      <w:pPr>
        <w:spacing w:line="360" w:lineRule="auto"/>
      </w:pPr>
      <w:r>
        <w:t xml:space="preserve">En el presente capítulo se muestran los resultados y </w:t>
      </w:r>
      <w:r w:rsidR="009564CF">
        <w:t xml:space="preserve">el </w:t>
      </w:r>
      <w:r>
        <w:t>análisis</w:t>
      </w:r>
      <w:r w:rsidR="008729E8">
        <w:t xml:space="preserve"> </w:t>
      </w:r>
      <w:r>
        <w:t xml:space="preserve">con base </w:t>
      </w:r>
      <w:r w:rsidR="009564CF">
        <w:t>a</w:t>
      </w:r>
      <w:r>
        <w:t xml:space="preserve"> la teoría, la caracterización y la metodología utilizada para alcanzar los objetivos, tanto general como particulares, que hace referencia a la construcción de una plantilla interactiva para simular escenarios de ocupación del servicio público de panteones en la Alcaldía Iztapalapa.</w:t>
      </w:r>
    </w:p>
    <w:p w14:paraId="3CFD2886" w14:textId="77777777" w:rsidR="00644151" w:rsidRDefault="00425878">
      <w:pPr>
        <w:spacing w:line="360" w:lineRule="auto"/>
      </w:pPr>
      <w:r>
        <w:tab/>
      </w:r>
    </w:p>
    <w:p w14:paraId="57087D43" w14:textId="014E5D0E" w:rsidR="00644151" w:rsidRDefault="00D70445">
      <w:pPr>
        <w:pStyle w:val="Ttulo2"/>
      </w:pPr>
      <w:bookmarkStart w:id="78" w:name="_Toc89075407"/>
      <w:r>
        <w:t xml:space="preserve">4.1 </w:t>
      </w:r>
      <w:r w:rsidR="00425878">
        <w:t>Tendencias demográficas</w:t>
      </w:r>
      <w:bookmarkEnd w:id="78"/>
    </w:p>
    <w:p w14:paraId="7BBA5258" w14:textId="512EE30F" w:rsidR="00644151" w:rsidRDefault="00D70445">
      <w:pPr>
        <w:pStyle w:val="Ttulo3"/>
      </w:pPr>
      <w:bookmarkStart w:id="79" w:name="_Toc89075408"/>
      <w:r>
        <w:t xml:space="preserve">4.1.1 </w:t>
      </w:r>
      <w:r w:rsidR="00425878">
        <w:t>Población</w:t>
      </w:r>
      <w:bookmarkEnd w:id="79"/>
    </w:p>
    <w:p w14:paraId="35F60676" w14:textId="36E22298" w:rsidR="00644151" w:rsidRDefault="00425878">
      <w:pPr>
        <w:spacing w:line="360" w:lineRule="auto"/>
      </w:pPr>
      <w:r>
        <w:t>La alcaldía Iztapalapa en el año 2010 era el municipio más poblado de México, en 2020 pasó a ser el segundo más poblado, solo por detrás del municipio de Tijuana. De acuerdo con los censos de población y vivienda de 2010 y 2020 el grueso poblacional estaba compuesto por la población de 0 a los 44 años, que representaba el 74.3% de la población total y en 2020 la población de 5 a los 54 años representa el 74.7% de la población total. De acuerdo con el INEGI la población de la Alcaldía es una población relativamente adulta, con una edad media estimada de 33 años (INEGI, 2020</w:t>
      </w:r>
      <w:r w:rsidR="008729E8">
        <w:t>a</w:t>
      </w:r>
      <w:r>
        <w:t>).</w:t>
      </w:r>
    </w:p>
    <w:p w14:paraId="3A62A686" w14:textId="77777777" w:rsidR="00644151" w:rsidRDefault="00425878">
      <w:pPr>
        <w:spacing w:line="360" w:lineRule="auto"/>
      </w:pPr>
      <w:r>
        <w:t xml:space="preserve">La Figura 13 muestra la tendencia poblacional y el crecimiento neto para el período 1990-2030, en la Alcaldía Iztapalapa, la cual se basa en los censos de población y vivienda de 1990, 2000 y 2010, de las encuestas intercensales 1995, 2005, 2015 y con base a las proyecciones de población de los municipios de México 2015-2030 de la CONAPO. </w:t>
      </w:r>
    </w:p>
    <w:p w14:paraId="759B2B5B" w14:textId="77777777" w:rsidR="00644151" w:rsidRDefault="00425878">
      <w:pPr>
        <w:spacing w:line="360" w:lineRule="auto"/>
      </w:pPr>
      <w:r>
        <w:t xml:space="preserve">Los datos sugieren que la Alcaldía Iztapalapa se encuentra en un estadio que tiende al decrecimiento en los próximos años. En 1990 se reportaba un aproximado de 1.49 millones de habitantes, entre 1990 y 1995 la Alcaldía reporta su mayor aumento poblacional con un crecimiento neto del 13.83% que representa 206 110 habitantes más que en 1990. </w:t>
      </w:r>
    </w:p>
    <w:p w14:paraId="5CDB499A" w14:textId="77777777" w:rsidR="00644151" w:rsidRDefault="00425878">
      <w:pPr>
        <w:spacing w:line="360" w:lineRule="auto"/>
      </w:pPr>
      <w:r>
        <w:t>A partir del año 1995 este crecimiento poblacional se ve reducido al 4.52% (76 734 habitantes) y al 2.68% (47 545 habitantes), para el siguiente quinquenio. Entre el periodo 2005-2010 se percibe un decrecimiento del -0.28% (5 102 habitantes menos). De acuerdo con la encuesta intercensal 2015, realizada por el INEGI, se estima un crecimiento de tan solo el 0.67% entre 2010 y 2015, mismo que para el periodo 2015-2020 se reporta como un decrecimiento, de tal forma que las proyecciones poblacionales estiman alcanzar los 1,723,707 habitantes para el año 2030 (CONAPO, 2019).</w:t>
      </w:r>
    </w:p>
    <w:p w14:paraId="63A38969" w14:textId="77777777" w:rsidR="00644151" w:rsidRDefault="00644151">
      <w:pPr>
        <w:spacing w:line="360" w:lineRule="auto"/>
      </w:pPr>
    </w:p>
    <w:p w14:paraId="13DB73A3" w14:textId="77777777" w:rsidR="00644151" w:rsidRDefault="00425878">
      <w:pPr>
        <w:spacing w:line="360" w:lineRule="auto"/>
        <w:jc w:val="center"/>
      </w:pPr>
      <w:r>
        <w:rPr>
          <w:noProof/>
        </w:rPr>
        <w:drawing>
          <wp:inline distT="0" distB="0" distL="0" distR="0" wp14:anchorId="4F2943F9" wp14:editId="7D218A36">
            <wp:extent cx="5600701" cy="3138489"/>
            <wp:effectExtent l="0" t="0" r="0" b="0"/>
            <wp:docPr id="97" name="Gráfico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4EFFCAB" w14:textId="77777777" w:rsidR="00644151" w:rsidRDefault="00425878">
      <w:pPr>
        <w:pBdr>
          <w:top w:val="nil"/>
          <w:left w:val="nil"/>
          <w:bottom w:val="nil"/>
          <w:right w:val="nil"/>
          <w:between w:val="nil"/>
        </w:pBdr>
        <w:spacing w:after="200" w:line="240" w:lineRule="auto"/>
        <w:jc w:val="center"/>
        <w:rPr>
          <w:color w:val="000000"/>
        </w:rPr>
      </w:pPr>
      <w:bookmarkStart w:id="80" w:name="_heading=h.3z7bk57" w:colFirst="0" w:colLast="0"/>
      <w:bookmarkEnd w:id="80"/>
      <w:r>
        <w:rPr>
          <w:i/>
          <w:color w:val="44546A"/>
          <w:sz w:val="18"/>
          <w:szCs w:val="18"/>
        </w:rPr>
        <w:t>Figura 13. Tendencia poblacional y crecimiento neto para el período 1990-2030, Alcaldía Iztapalapa, Ciudad de México.</w:t>
      </w:r>
    </w:p>
    <w:p w14:paraId="65BD1EC2" w14:textId="77777777" w:rsidR="00644151" w:rsidRDefault="00425878">
      <w:pPr>
        <w:spacing w:line="360" w:lineRule="auto"/>
        <w:rPr>
          <w:sz w:val="22"/>
          <w:szCs w:val="22"/>
        </w:rPr>
      </w:pPr>
      <w:r>
        <w:rPr>
          <w:sz w:val="22"/>
          <w:szCs w:val="22"/>
        </w:rPr>
        <w:t>Fuente: Elaboración propia con base a los censos población y vivienda, encuestas intercensales de INEGI y proyecciones de población 2015-2030 del CONAPO.</w:t>
      </w:r>
    </w:p>
    <w:p w14:paraId="2351F53C" w14:textId="77777777" w:rsidR="00644151" w:rsidRDefault="00644151">
      <w:pPr>
        <w:spacing w:line="360" w:lineRule="auto"/>
      </w:pPr>
    </w:p>
    <w:p w14:paraId="1A39C2D6" w14:textId="4B578FAA" w:rsidR="00644151" w:rsidRDefault="00D70445">
      <w:pPr>
        <w:pStyle w:val="Ttulo3"/>
      </w:pPr>
      <w:bookmarkStart w:id="81" w:name="_Toc89075409"/>
      <w:r>
        <w:t xml:space="preserve">4.1.2 </w:t>
      </w:r>
      <w:r w:rsidR="00425878">
        <w:t>Mortalidad y natalidad</w:t>
      </w:r>
      <w:bookmarkEnd w:id="81"/>
    </w:p>
    <w:p w14:paraId="34F43C86" w14:textId="77777777" w:rsidR="00644151" w:rsidRDefault="00425878">
      <w:pPr>
        <w:spacing w:line="360" w:lineRule="auto"/>
      </w:pPr>
      <w:r>
        <w:t>De acuerdo con las estadísticas vitales de mortalidad y natalidad del INEGI, entre 1990 y 2019 la tasa de natalidad se ha visto reducida casi a la mitad, pasó de 210 a 118 nacimientos por cada 10 000. De forma contraría, la tasa de mortalidad ha aumentado para el mismo periodo, de 41 a 63 defunciones por cada 10 000 habitantes. Cabe resaltar que en 1990 se tenía cinco nacimientos por cada defunción en la alcaldía, la cual se ha visto modificada para 2019 donde se reporta dos nacimientos por cada defunción, por lo que es de notarse que existe un mayor número de nacimientos que defunciones. Tendencias que continuarán creciendo hasta alcanzar lo que los economistas llaman punto de equilibrio, donde los nacimientos se igualan al mismo número de defunciones para el año 2025, según la proyección realizada mediante estimación curvilínea del software SPSS.</w:t>
      </w:r>
    </w:p>
    <w:p w14:paraId="18C29DAD" w14:textId="77777777" w:rsidR="00644151" w:rsidRDefault="00425878">
      <w:pPr>
        <w:spacing w:line="360" w:lineRule="auto"/>
      </w:pPr>
      <w:r>
        <w:lastRenderedPageBreak/>
        <w:t>La Figura 14 muestra la tendencia de las tasas de mortalidad y natalidad del periodo 1990-2019, así como las estimaciones hacia el año 2030, donde se observa que en el año 2025 se iguala el número de nacimientos con el número de defunciones, posterior a ello el crecimiento poblacional se volverá nulo y comenzará un decrecimiento en la alcaldía donde la mortalidad ahora será la predominante alcanzando 77</w:t>
      </w:r>
      <w:r>
        <w:rPr>
          <w:vertAlign w:val="superscript"/>
        </w:rPr>
        <w:footnoteReference w:id="12"/>
      </w:r>
      <w:r>
        <w:t xml:space="preserve"> defunciones por cada 10 000 habitantes para el año 2030, mientras que la tasa de natalidad se verá reducida hasta alcanzar la cifra de 24</w:t>
      </w:r>
      <w:r>
        <w:rPr>
          <w:vertAlign w:val="superscript"/>
        </w:rPr>
        <w:footnoteReference w:id="13"/>
      </w:r>
      <w:r>
        <w:t xml:space="preserve"> nacimientos por cada 10 000 habitantes para el mismo año, lo que se sugiere que habrá tres defunciones por cada nacimiento en la alcaldía</w:t>
      </w:r>
    </w:p>
    <w:p w14:paraId="7D27A3C6" w14:textId="77777777" w:rsidR="00644151" w:rsidRDefault="00425878">
      <w:pPr>
        <w:spacing w:line="360" w:lineRule="auto"/>
      </w:pPr>
      <w:r>
        <w:rPr>
          <w:noProof/>
        </w:rPr>
        <w:drawing>
          <wp:inline distT="0" distB="0" distL="0" distR="0" wp14:anchorId="0AC022E5" wp14:editId="0807669D">
            <wp:extent cx="5612130" cy="2667635"/>
            <wp:effectExtent l="0" t="0" r="0" b="0"/>
            <wp:docPr id="98" name="Gráfico 9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4C2F064" w14:textId="77777777" w:rsidR="00644151" w:rsidRDefault="00425878">
      <w:pPr>
        <w:pBdr>
          <w:top w:val="nil"/>
          <w:left w:val="nil"/>
          <w:bottom w:val="nil"/>
          <w:right w:val="nil"/>
          <w:between w:val="nil"/>
        </w:pBdr>
        <w:spacing w:after="200" w:line="240" w:lineRule="auto"/>
        <w:rPr>
          <w:color w:val="44546A"/>
          <w:sz w:val="18"/>
          <w:szCs w:val="18"/>
        </w:rPr>
      </w:pPr>
      <w:bookmarkStart w:id="82" w:name="_heading=h.34g0dwd" w:colFirst="0" w:colLast="0"/>
      <w:bookmarkEnd w:id="82"/>
      <w:r>
        <w:rPr>
          <w:i/>
          <w:color w:val="44546A"/>
          <w:sz w:val="18"/>
          <w:szCs w:val="18"/>
        </w:rPr>
        <w:t>Figura 14. Tendencia de las tasas de natalidad y de defunción por cada 10 000 habitantes para 2030.</w:t>
      </w:r>
    </w:p>
    <w:p w14:paraId="758D2A21" w14:textId="77777777" w:rsidR="00644151" w:rsidRDefault="00425878">
      <w:pPr>
        <w:spacing w:line="360" w:lineRule="auto"/>
        <w:rPr>
          <w:sz w:val="22"/>
          <w:szCs w:val="22"/>
        </w:rPr>
      </w:pPr>
      <w:r>
        <w:rPr>
          <w:sz w:val="22"/>
          <w:szCs w:val="22"/>
        </w:rPr>
        <w:t>Fuente: Elaboración propia con base a las estadísticas vitales de natalidad y mortalidad de INEGI.</w:t>
      </w:r>
    </w:p>
    <w:p w14:paraId="4396334B" w14:textId="77777777" w:rsidR="00644151" w:rsidRDefault="00644151">
      <w:pPr>
        <w:spacing w:line="360" w:lineRule="auto"/>
        <w:rPr>
          <w:sz w:val="22"/>
          <w:szCs w:val="22"/>
        </w:rPr>
      </w:pPr>
    </w:p>
    <w:p w14:paraId="743A8F19" w14:textId="7ED9A600" w:rsidR="00644151" w:rsidRDefault="00D70445">
      <w:pPr>
        <w:pStyle w:val="Ttulo3"/>
      </w:pPr>
      <w:bookmarkStart w:id="83" w:name="_Toc89075410"/>
      <w:r>
        <w:t xml:space="preserve">4.1.3 </w:t>
      </w:r>
      <w:r w:rsidR="00425878">
        <w:t>Morbilidad en la Alcaldía Iztapalapa</w:t>
      </w:r>
      <w:bookmarkEnd w:id="83"/>
    </w:p>
    <w:p w14:paraId="05909D88" w14:textId="77777777" w:rsidR="00644151" w:rsidRDefault="00425878">
      <w:pPr>
        <w:spacing w:line="360" w:lineRule="auto"/>
      </w:pPr>
      <w:bookmarkStart w:id="84" w:name="_heading=h.43ky6rz" w:colFirst="0" w:colLast="0"/>
      <w:bookmarkEnd w:id="84"/>
      <w:r>
        <w:t xml:space="preserve">Respecto al número de personas que fallecen por alguna enfermedad o síntoma de una enfermedad, la Secretaría de Salud reporta para el año 2000 que en la Alcaldía Iztapalapa presentaba un total de 7 361 defunciones de las cuales el 45.5% pertenecen al grupo de </w:t>
      </w:r>
      <w:r>
        <w:lastRenderedPageBreak/>
        <w:t xml:space="preserve">personas mayores de 65 años, el 29% a adultos mayores con edades entre los 40 a 64 años; ambos grupos representan el 74.5% del total de defunciones de ese año. </w:t>
      </w:r>
    </w:p>
    <w:p w14:paraId="17F8302B" w14:textId="77777777" w:rsidR="00644151" w:rsidRDefault="00425878">
      <w:pPr>
        <w:spacing w:line="360" w:lineRule="auto"/>
      </w:pPr>
      <w:r>
        <w:t>Las principales causas de muerte eran: diabetes mellitus (16%), infarto agudo de miocardio (8.1%), otras enfermedades del hígado (3.7%), enfermedades alcohólicas del hígado (3.5%) y agresiones (3.5%). La tasa de mortalidad general de la Alcaldía se encontraba en 42 defunciones por cada 10 000 habitantes, donde el grupo de 65 años y más, reporta la mayor tasa de mortalidad con respecto a su población, alcanzando las 479 defunciones por cada 10 000 habitantes y este mismo grupo concentraba el 45.5% de las defunciones de la alcaldía.</w:t>
      </w:r>
    </w:p>
    <w:p w14:paraId="275C9938" w14:textId="77777777" w:rsidR="00644151" w:rsidRDefault="00425878">
      <w:pPr>
        <w:spacing w:line="360" w:lineRule="auto"/>
      </w:pPr>
      <w:r>
        <w:t>La Tabla 9 muestra la población, número de defunciones, porcentaje de defunciones y la tasa de mortalidad para cada grupo de edad, así como el número de defunciones relacionadas de los tres grandes grupos de enfermedades: infecciosas, crónicas degenerativas y causadas por el hombre. Donde las enfermedades crónico-degenerativas predominan con el 67.6% que corresponde 4 976 registros del total de las defunciones de ese año, seguidas por el 19.9% causadas por el hombre con 1 462 registros.</w:t>
      </w:r>
    </w:p>
    <w:p w14:paraId="266ECAA5" w14:textId="77777777" w:rsidR="00644151" w:rsidRDefault="00425878">
      <w:pPr>
        <w:pBdr>
          <w:top w:val="nil"/>
          <w:left w:val="nil"/>
          <w:bottom w:val="nil"/>
          <w:right w:val="nil"/>
          <w:between w:val="nil"/>
        </w:pBdr>
        <w:spacing w:after="200" w:line="240" w:lineRule="auto"/>
        <w:rPr>
          <w:color w:val="44546A"/>
          <w:sz w:val="18"/>
          <w:szCs w:val="18"/>
        </w:rPr>
      </w:pPr>
      <w:bookmarkStart w:id="85" w:name="_heading=h.3dhjn8m" w:colFirst="0" w:colLast="0"/>
      <w:bookmarkEnd w:id="85"/>
      <w:r>
        <w:rPr>
          <w:i/>
          <w:color w:val="44546A"/>
          <w:sz w:val="18"/>
          <w:szCs w:val="18"/>
        </w:rPr>
        <w:t>Tabla 9. Defunciones por grupo de edades, grupos de enfermedad y tasa de defunción del año 2000.</w:t>
      </w:r>
    </w:p>
    <w:tbl>
      <w:tblPr>
        <w:tblStyle w:val="aff1"/>
        <w:tblW w:w="9206"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571"/>
        <w:gridCol w:w="935"/>
        <w:gridCol w:w="1236"/>
        <w:gridCol w:w="1169"/>
        <w:gridCol w:w="1169"/>
        <w:gridCol w:w="928"/>
        <w:gridCol w:w="1133"/>
        <w:gridCol w:w="1065"/>
      </w:tblGrid>
      <w:tr w:rsidR="00644151" w14:paraId="53FE69EB" w14:textId="77777777">
        <w:trPr>
          <w:trHeight w:val="591"/>
        </w:trPr>
        <w:tc>
          <w:tcPr>
            <w:tcW w:w="1572" w:type="dxa"/>
            <w:vMerge w:val="restart"/>
            <w:vAlign w:val="center"/>
          </w:tcPr>
          <w:p w14:paraId="0360D27E" w14:textId="77777777" w:rsidR="00644151" w:rsidRDefault="00425878">
            <w:pPr>
              <w:jc w:val="center"/>
              <w:rPr>
                <w:sz w:val="16"/>
                <w:szCs w:val="16"/>
              </w:rPr>
            </w:pPr>
            <w:r>
              <w:rPr>
                <w:sz w:val="16"/>
                <w:szCs w:val="16"/>
              </w:rPr>
              <w:t>Grupo de edades</w:t>
            </w:r>
          </w:p>
        </w:tc>
        <w:tc>
          <w:tcPr>
            <w:tcW w:w="935" w:type="dxa"/>
            <w:vMerge w:val="restart"/>
            <w:vAlign w:val="center"/>
          </w:tcPr>
          <w:p w14:paraId="3477E83E" w14:textId="77777777" w:rsidR="00644151" w:rsidRDefault="00425878">
            <w:pPr>
              <w:jc w:val="center"/>
              <w:rPr>
                <w:sz w:val="16"/>
                <w:szCs w:val="16"/>
              </w:rPr>
            </w:pPr>
            <w:r>
              <w:rPr>
                <w:sz w:val="16"/>
                <w:szCs w:val="16"/>
              </w:rPr>
              <w:t>Población</w:t>
            </w:r>
          </w:p>
        </w:tc>
        <w:tc>
          <w:tcPr>
            <w:tcW w:w="1236" w:type="dxa"/>
            <w:vMerge w:val="restart"/>
            <w:vAlign w:val="center"/>
          </w:tcPr>
          <w:p w14:paraId="77155C66" w14:textId="77777777" w:rsidR="00644151" w:rsidRDefault="00425878">
            <w:pPr>
              <w:jc w:val="center"/>
              <w:rPr>
                <w:sz w:val="16"/>
                <w:szCs w:val="16"/>
              </w:rPr>
            </w:pPr>
            <w:r>
              <w:rPr>
                <w:sz w:val="16"/>
                <w:szCs w:val="16"/>
              </w:rPr>
              <w:t>Número de defunciones</w:t>
            </w:r>
          </w:p>
        </w:tc>
        <w:tc>
          <w:tcPr>
            <w:tcW w:w="1169" w:type="dxa"/>
            <w:vMerge w:val="restart"/>
            <w:vAlign w:val="center"/>
          </w:tcPr>
          <w:p w14:paraId="0986B902" w14:textId="77777777" w:rsidR="00644151" w:rsidRDefault="00425878">
            <w:pPr>
              <w:jc w:val="center"/>
              <w:rPr>
                <w:sz w:val="16"/>
                <w:szCs w:val="16"/>
              </w:rPr>
            </w:pPr>
            <w:r>
              <w:rPr>
                <w:sz w:val="16"/>
                <w:szCs w:val="16"/>
              </w:rPr>
              <w:t xml:space="preserve">% de defunciones </w:t>
            </w:r>
          </w:p>
        </w:tc>
        <w:tc>
          <w:tcPr>
            <w:tcW w:w="1169" w:type="dxa"/>
            <w:vMerge w:val="restart"/>
            <w:vAlign w:val="center"/>
          </w:tcPr>
          <w:p w14:paraId="10743043" w14:textId="77777777" w:rsidR="00644151" w:rsidRDefault="00425878">
            <w:pPr>
              <w:jc w:val="center"/>
              <w:rPr>
                <w:sz w:val="16"/>
                <w:szCs w:val="16"/>
              </w:rPr>
            </w:pPr>
            <w:r>
              <w:rPr>
                <w:sz w:val="16"/>
                <w:szCs w:val="16"/>
              </w:rPr>
              <w:t>Tasa de mortalidad 2000*</w:t>
            </w:r>
          </w:p>
        </w:tc>
        <w:tc>
          <w:tcPr>
            <w:tcW w:w="3126" w:type="dxa"/>
            <w:gridSpan w:val="3"/>
            <w:vAlign w:val="center"/>
          </w:tcPr>
          <w:p w14:paraId="546C2619" w14:textId="77777777" w:rsidR="00644151" w:rsidRDefault="00425878">
            <w:pPr>
              <w:jc w:val="center"/>
              <w:rPr>
                <w:sz w:val="16"/>
                <w:szCs w:val="16"/>
              </w:rPr>
            </w:pPr>
            <w:r>
              <w:rPr>
                <w:sz w:val="16"/>
                <w:szCs w:val="16"/>
              </w:rPr>
              <w:t>Defunciones por grupo de enfermedades</w:t>
            </w:r>
          </w:p>
        </w:tc>
      </w:tr>
      <w:tr w:rsidR="00644151" w14:paraId="01EEA8EE" w14:textId="77777777">
        <w:trPr>
          <w:trHeight w:val="416"/>
        </w:trPr>
        <w:tc>
          <w:tcPr>
            <w:tcW w:w="1572" w:type="dxa"/>
            <w:vMerge/>
            <w:vAlign w:val="center"/>
          </w:tcPr>
          <w:p w14:paraId="6232383B" w14:textId="77777777" w:rsidR="00644151" w:rsidRDefault="00644151">
            <w:pPr>
              <w:widowControl w:val="0"/>
              <w:pBdr>
                <w:top w:val="nil"/>
                <w:left w:val="nil"/>
                <w:bottom w:val="nil"/>
                <w:right w:val="nil"/>
                <w:between w:val="nil"/>
              </w:pBdr>
              <w:spacing w:line="276" w:lineRule="auto"/>
              <w:jc w:val="left"/>
              <w:rPr>
                <w:sz w:val="16"/>
                <w:szCs w:val="16"/>
              </w:rPr>
            </w:pPr>
          </w:p>
        </w:tc>
        <w:tc>
          <w:tcPr>
            <w:tcW w:w="935" w:type="dxa"/>
            <w:vMerge/>
            <w:vAlign w:val="center"/>
          </w:tcPr>
          <w:p w14:paraId="3BA423CC" w14:textId="77777777" w:rsidR="00644151" w:rsidRDefault="00644151">
            <w:pPr>
              <w:widowControl w:val="0"/>
              <w:pBdr>
                <w:top w:val="nil"/>
                <w:left w:val="nil"/>
                <w:bottom w:val="nil"/>
                <w:right w:val="nil"/>
                <w:between w:val="nil"/>
              </w:pBdr>
              <w:spacing w:line="276" w:lineRule="auto"/>
              <w:jc w:val="left"/>
              <w:rPr>
                <w:sz w:val="16"/>
                <w:szCs w:val="16"/>
              </w:rPr>
            </w:pPr>
          </w:p>
        </w:tc>
        <w:tc>
          <w:tcPr>
            <w:tcW w:w="1236" w:type="dxa"/>
            <w:vMerge/>
            <w:vAlign w:val="center"/>
          </w:tcPr>
          <w:p w14:paraId="22FE2653" w14:textId="77777777" w:rsidR="00644151" w:rsidRDefault="00644151">
            <w:pPr>
              <w:widowControl w:val="0"/>
              <w:pBdr>
                <w:top w:val="nil"/>
                <w:left w:val="nil"/>
                <w:bottom w:val="nil"/>
                <w:right w:val="nil"/>
                <w:between w:val="nil"/>
              </w:pBdr>
              <w:spacing w:line="276" w:lineRule="auto"/>
              <w:jc w:val="left"/>
              <w:rPr>
                <w:sz w:val="16"/>
                <w:szCs w:val="16"/>
              </w:rPr>
            </w:pPr>
          </w:p>
        </w:tc>
        <w:tc>
          <w:tcPr>
            <w:tcW w:w="1169" w:type="dxa"/>
            <w:vMerge/>
            <w:vAlign w:val="center"/>
          </w:tcPr>
          <w:p w14:paraId="0B10F022" w14:textId="77777777" w:rsidR="00644151" w:rsidRDefault="00644151">
            <w:pPr>
              <w:widowControl w:val="0"/>
              <w:pBdr>
                <w:top w:val="nil"/>
                <w:left w:val="nil"/>
                <w:bottom w:val="nil"/>
                <w:right w:val="nil"/>
                <w:between w:val="nil"/>
              </w:pBdr>
              <w:spacing w:line="276" w:lineRule="auto"/>
              <w:jc w:val="left"/>
              <w:rPr>
                <w:sz w:val="16"/>
                <w:szCs w:val="16"/>
              </w:rPr>
            </w:pPr>
          </w:p>
        </w:tc>
        <w:tc>
          <w:tcPr>
            <w:tcW w:w="1169" w:type="dxa"/>
            <w:vMerge/>
            <w:vAlign w:val="center"/>
          </w:tcPr>
          <w:p w14:paraId="23D901C0" w14:textId="77777777" w:rsidR="00644151" w:rsidRDefault="00644151">
            <w:pPr>
              <w:widowControl w:val="0"/>
              <w:pBdr>
                <w:top w:val="nil"/>
                <w:left w:val="nil"/>
                <w:bottom w:val="nil"/>
                <w:right w:val="nil"/>
                <w:between w:val="nil"/>
              </w:pBdr>
              <w:spacing w:line="276" w:lineRule="auto"/>
              <w:jc w:val="left"/>
              <w:rPr>
                <w:sz w:val="16"/>
                <w:szCs w:val="16"/>
              </w:rPr>
            </w:pPr>
          </w:p>
        </w:tc>
        <w:tc>
          <w:tcPr>
            <w:tcW w:w="928" w:type="dxa"/>
            <w:vAlign w:val="center"/>
          </w:tcPr>
          <w:p w14:paraId="5724DB78" w14:textId="77777777" w:rsidR="00644151" w:rsidRDefault="00425878">
            <w:pPr>
              <w:jc w:val="center"/>
              <w:rPr>
                <w:sz w:val="14"/>
                <w:szCs w:val="14"/>
              </w:rPr>
            </w:pPr>
            <w:r>
              <w:rPr>
                <w:sz w:val="14"/>
                <w:szCs w:val="14"/>
              </w:rPr>
              <w:t>Infecciosas</w:t>
            </w:r>
          </w:p>
        </w:tc>
        <w:tc>
          <w:tcPr>
            <w:tcW w:w="1133" w:type="dxa"/>
            <w:vAlign w:val="center"/>
          </w:tcPr>
          <w:p w14:paraId="3C0477B1" w14:textId="77777777" w:rsidR="00644151" w:rsidRDefault="00425878">
            <w:pPr>
              <w:jc w:val="center"/>
              <w:rPr>
                <w:sz w:val="14"/>
                <w:szCs w:val="14"/>
              </w:rPr>
            </w:pPr>
            <w:r>
              <w:rPr>
                <w:sz w:val="14"/>
                <w:szCs w:val="14"/>
              </w:rPr>
              <w:t>Crónicas degenerativas</w:t>
            </w:r>
          </w:p>
        </w:tc>
        <w:tc>
          <w:tcPr>
            <w:tcW w:w="1065" w:type="dxa"/>
            <w:vAlign w:val="center"/>
          </w:tcPr>
          <w:p w14:paraId="127086C3" w14:textId="77777777" w:rsidR="00644151" w:rsidRDefault="00425878">
            <w:pPr>
              <w:jc w:val="center"/>
              <w:rPr>
                <w:sz w:val="14"/>
                <w:szCs w:val="14"/>
              </w:rPr>
            </w:pPr>
            <w:r>
              <w:rPr>
                <w:sz w:val="14"/>
                <w:szCs w:val="14"/>
              </w:rPr>
              <w:t>Causadas por el hombre</w:t>
            </w:r>
          </w:p>
        </w:tc>
      </w:tr>
      <w:tr w:rsidR="00644151" w14:paraId="1CC9F65A" w14:textId="77777777">
        <w:trPr>
          <w:trHeight w:val="300"/>
        </w:trPr>
        <w:tc>
          <w:tcPr>
            <w:tcW w:w="1572" w:type="dxa"/>
          </w:tcPr>
          <w:p w14:paraId="3BD36DE1" w14:textId="77777777" w:rsidR="00644151" w:rsidRDefault="00425878">
            <w:pPr>
              <w:jc w:val="left"/>
              <w:rPr>
                <w:sz w:val="16"/>
                <w:szCs w:val="16"/>
              </w:rPr>
            </w:pPr>
            <w:r>
              <w:rPr>
                <w:sz w:val="16"/>
                <w:szCs w:val="16"/>
              </w:rPr>
              <w:t>Niños (00 a 14 años)</w:t>
            </w:r>
          </w:p>
        </w:tc>
        <w:tc>
          <w:tcPr>
            <w:tcW w:w="935" w:type="dxa"/>
          </w:tcPr>
          <w:p w14:paraId="392B2C27" w14:textId="77777777" w:rsidR="00644151" w:rsidRDefault="00425878">
            <w:pPr>
              <w:jc w:val="center"/>
              <w:rPr>
                <w:sz w:val="16"/>
                <w:szCs w:val="16"/>
              </w:rPr>
            </w:pPr>
            <w:r>
              <w:rPr>
                <w:sz w:val="16"/>
                <w:szCs w:val="16"/>
              </w:rPr>
              <w:t>524,606</w:t>
            </w:r>
          </w:p>
        </w:tc>
        <w:tc>
          <w:tcPr>
            <w:tcW w:w="1236" w:type="dxa"/>
          </w:tcPr>
          <w:p w14:paraId="4849B5B9" w14:textId="77777777" w:rsidR="00644151" w:rsidRDefault="00425878">
            <w:pPr>
              <w:jc w:val="center"/>
              <w:rPr>
                <w:sz w:val="16"/>
                <w:szCs w:val="16"/>
              </w:rPr>
            </w:pPr>
            <w:r>
              <w:rPr>
                <w:sz w:val="16"/>
                <w:szCs w:val="16"/>
              </w:rPr>
              <w:t>913</w:t>
            </w:r>
          </w:p>
        </w:tc>
        <w:tc>
          <w:tcPr>
            <w:tcW w:w="1169" w:type="dxa"/>
          </w:tcPr>
          <w:p w14:paraId="4ECD6714" w14:textId="77777777" w:rsidR="00644151" w:rsidRDefault="00425878">
            <w:pPr>
              <w:jc w:val="center"/>
              <w:rPr>
                <w:sz w:val="16"/>
                <w:szCs w:val="16"/>
              </w:rPr>
            </w:pPr>
            <w:r>
              <w:rPr>
                <w:sz w:val="16"/>
                <w:szCs w:val="16"/>
              </w:rPr>
              <w:t>12.4%</w:t>
            </w:r>
          </w:p>
        </w:tc>
        <w:tc>
          <w:tcPr>
            <w:tcW w:w="1169" w:type="dxa"/>
          </w:tcPr>
          <w:p w14:paraId="38F8412F" w14:textId="77777777" w:rsidR="00644151" w:rsidRDefault="00425878">
            <w:pPr>
              <w:jc w:val="center"/>
              <w:rPr>
                <w:sz w:val="16"/>
                <w:szCs w:val="16"/>
              </w:rPr>
            </w:pPr>
            <w:r>
              <w:rPr>
                <w:sz w:val="16"/>
                <w:szCs w:val="16"/>
              </w:rPr>
              <w:t>17</w:t>
            </w:r>
          </w:p>
        </w:tc>
        <w:tc>
          <w:tcPr>
            <w:tcW w:w="928" w:type="dxa"/>
          </w:tcPr>
          <w:p w14:paraId="26E97687" w14:textId="77777777" w:rsidR="00644151" w:rsidRDefault="00425878">
            <w:pPr>
              <w:jc w:val="center"/>
              <w:rPr>
                <w:sz w:val="16"/>
                <w:szCs w:val="16"/>
              </w:rPr>
            </w:pPr>
            <w:r>
              <w:rPr>
                <w:sz w:val="16"/>
                <w:szCs w:val="16"/>
              </w:rPr>
              <w:t>172</w:t>
            </w:r>
          </w:p>
        </w:tc>
        <w:tc>
          <w:tcPr>
            <w:tcW w:w="1133" w:type="dxa"/>
          </w:tcPr>
          <w:p w14:paraId="6574D356" w14:textId="77777777" w:rsidR="00644151" w:rsidRDefault="00425878">
            <w:pPr>
              <w:jc w:val="center"/>
              <w:rPr>
                <w:sz w:val="16"/>
                <w:szCs w:val="16"/>
              </w:rPr>
            </w:pPr>
            <w:r>
              <w:rPr>
                <w:sz w:val="16"/>
                <w:szCs w:val="16"/>
              </w:rPr>
              <w:t>108</w:t>
            </w:r>
          </w:p>
        </w:tc>
        <w:tc>
          <w:tcPr>
            <w:tcW w:w="1065" w:type="dxa"/>
          </w:tcPr>
          <w:p w14:paraId="4DDC7038" w14:textId="77777777" w:rsidR="00644151" w:rsidRDefault="00425878">
            <w:pPr>
              <w:jc w:val="center"/>
              <w:rPr>
                <w:sz w:val="16"/>
                <w:szCs w:val="16"/>
              </w:rPr>
            </w:pPr>
            <w:r>
              <w:rPr>
                <w:sz w:val="16"/>
                <w:szCs w:val="16"/>
              </w:rPr>
              <w:t>633</w:t>
            </w:r>
          </w:p>
        </w:tc>
      </w:tr>
      <w:tr w:rsidR="00644151" w14:paraId="2E91538A" w14:textId="77777777">
        <w:trPr>
          <w:trHeight w:val="300"/>
        </w:trPr>
        <w:tc>
          <w:tcPr>
            <w:tcW w:w="1572" w:type="dxa"/>
          </w:tcPr>
          <w:p w14:paraId="0AFCA4A7" w14:textId="77777777" w:rsidR="00644151" w:rsidRDefault="00425878">
            <w:pPr>
              <w:jc w:val="left"/>
              <w:rPr>
                <w:sz w:val="16"/>
                <w:szCs w:val="16"/>
              </w:rPr>
            </w:pPr>
            <w:r>
              <w:rPr>
                <w:sz w:val="16"/>
                <w:szCs w:val="16"/>
              </w:rPr>
              <w:t>Jóvenes (15 a 24 años)</w:t>
            </w:r>
          </w:p>
        </w:tc>
        <w:tc>
          <w:tcPr>
            <w:tcW w:w="935" w:type="dxa"/>
          </w:tcPr>
          <w:p w14:paraId="194558DC" w14:textId="77777777" w:rsidR="00644151" w:rsidRDefault="00425878">
            <w:pPr>
              <w:jc w:val="center"/>
              <w:rPr>
                <w:sz w:val="16"/>
                <w:szCs w:val="16"/>
              </w:rPr>
            </w:pPr>
            <w:r>
              <w:rPr>
                <w:sz w:val="16"/>
                <w:szCs w:val="16"/>
              </w:rPr>
              <w:t>352,753</w:t>
            </w:r>
          </w:p>
        </w:tc>
        <w:tc>
          <w:tcPr>
            <w:tcW w:w="1236" w:type="dxa"/>
          </w:tcPr>
          <w:p w14:paraId="146EC09F" w14:textId="77777777" w:rsidR="00644151" w:rsidRDefault="00425878">
            <w:pPr>
              <w:jc w:val="center"/>
              <w:rPr>
                <w:sz w:val="16"/>
                <w:szCs w:val="16"/>
              </w:rPr>
            </w:pPr>
            <w:r>
              <w:rPr>
                <w:sz w:val="16"/>
                <w:szCs w:val="16"/>
              </w:rPr>
              <w:t>286</w:t>
            </w:r>
          </w:p>
        </w:tc>
        <w:tc>
          <w:tcPr>
            <w:tcW w:w="1169" w:type="dxa"/>
          </w:tcPr>
          <w:p w14:paraId="77E05F49" w14:textId="77777777" w:rsidR="00644151" w:rsidRDefault="00425878">
            <w:pPr>
              <w:jc w:val="center"/>
              <w:rPr>
                <w:sz w:val="16"/>
                <w:szCs w:val="16"/>
              </w:rPr>
            </w:pPr>
            <w:r>
              <w:rPr>
                <w:sz w:val="16"/>
                <w:szCs w:val="16"/>
              </w:rPr>
              <w:t>3.9%</w:t>
            </w:r>
          </w:p>
        </w:tc>
        <w:tc>
          <w:tcPr>
            <w:tcW w:w="1169" w:type="dxa"/>
          </w:tcPr>
          <w:p w14:paraId="75B47751" w14:textId="77777777" w:rsidR="00644151" w:rsidRDefault="00425878">
            <w:pPr>
              <w:jc w:val="center"/>
              <w:rPr>
                <w:sz w:val="16"/>
                <w:szCs w:val="16"/>
              </w:rPr>
            </w:pPr>
            <w:r>
              <w:rPr>
                <w:sz w:val="16"/>
                <w:szCs w:val="16"/>
              </w:rPr>
              <w:t>8</w:t>
            </w:r>
          </w:p>
        </w:tc>
        <w:tc>
          <w:tcPr>
            <w:tcW w:w="928" w:type="dxa"/>
          </w:tcPr>
          <w:p w14:paraId="27524BBF" w14:textId="77777777" w:rsidR="00644151" w:rsidRDefault="00425878">
            <w:pPr>
              <w:jc w:val="center"/>
              <w:rPr>
                <w:sz w:val="16"/>
                <w:szCs w:val="16"/>
              </w:rPr>
            </w:pPr>
            <w:r>
              <w:rPr>
                <w:sz w:val="16"/>
                <w:szCs w:val="16"/>
              </w:rPr>
              <w:t>17</w:t>
            </w:r>
          </w:p>
        </w:tc>
        <w:tc>
          <w:tcPr>
            <w:tcW w:w="1133" w:type="dxa"/>
          </w:tcPr>
          <w:p w14:paraId="1B30B8D4" w14:textId="77777777" w:rsidR="00644151" w:rsidRDefault="00425878">
            <w:pPr>
              <w:jc w:val="center"/>
              <w:rPr>
                <w:sz w:val="16"/>
                <w:szCs w:val="16"/>
              </w:rPr>
            </w:pPr>
            <w:r>
              <w:rPr>
                <w:sz w:val="16"/>
                <w:szCs w:val="16"/>
              </w:rPr>
              <w:t>79</w:t>
            </w:r>
          </w:p>
        </w:tc>
        <w:tc>
          <w:tcPr>
            <w:tcW w:w="1065" w:type="dxa"/>
          </w:tcPr>
          <w:p w14:paraId="372F59B5" w14:textId="77777777" w:rsidR="00644151" w:rsidRDefault="00425878">
            <w:pPr>
              <w:jc w:val="center"/>
              <w:rPr>
                <w:sz w:val="16"/>
                <w:szCs w:val="16"/>
              </w:rPr>
            </w:pPr>
            <w:r>
              <w:rPr>
                <w:sz w:val="16"/>
                <w:szCs w:val="16"/>
              </w:rPr>
              <w:t>190</w:t>
            </w:r>
          </w:p>
        </w:tc>
      </w:tr>
      <w:tr w:rsidR="00644151" w14:paraId="1AF46C04" w14:textId="77777777">
        <w:trPr>
          <w:trHeight w:val="300"/>
        </w:trPr>
        <w:tc>
          <w:tcPr>
            <w:tcW w:w="1572" w:type="dxa"/>
          </w:tcPr>
          <w:p w14:paraId="183EA65C" w14:textId="77777777" w:rsidR="00644151" w:rsidRDefault="00425878">
            <w:pPr>
              <w:jc w:val="left"/>
              <w:rPr>
                <w:sz w:val="16"/>
                <w:szCs w:val="16"/>
              </w:rPr>
            </w:pPr>
            <w:r>
              <w:rPr>
                <w:sz w:val="16"/>
                <w:szCs w:val="16"/>
              </w:rPr>
              <w:t>Adultos jóvenes (25 a 39 años)</w:t>
            </w:r>
          </w:p>
        </w:tc>
        <w:tc>
          <w:tcPr>
            <w:tcW w:w="935" w:type="dxa"/>
          </w:tcPr>
          <w:p w14:paraId="3680C701" w14:textId="77777777" w:rsidR="00644151" w:rsidRDefault="00425878">
            <w:pPr>
              <w:jc w:val="center"/>
              <w:rPr>
                <w:sz w:val="16"/>
                <w:szCs w:val="16"/>
              </w:rPr>
            </w:pPr>
            <w:r>
              <w:rPr>
                <w:sz w:val="16"/>
                <w:szCs w:val="16"/>
              </w:rPr>
              <w:t>462,404</w:t>
            </w:r>
          </w:p>
        </w:tc>
        <w:tc>
          <w:tcPr>
            <w:tcW w:w="1236" w:type="dxa"/>
          </w:tcPr>
          <w:p w14:paraId="055F31F5" w14:textId="77777777" w:rsidR="00644151" w:rsidRDefault="00425878">
            <w:pPr>
              <w:jc w:val="center"/>
              <w:rPr>
                <w:sz w:val="16"/>
                <w:szCs w:val="16"/>
              </w:rPr>
            </w:pPr>
            <w:r>
              <w:rPr>
                <w:sz w:val="16"/>
                <w:szCs w:val="16"/>
              </w:rPr>
              <w:t>678</w:t>
            </w:r>
          </w:p>
        </w:tc>
        <w:tc>
          <w:tcPr>
            <w:tcW w:w="1169" w:type="dxa"/>
          </w:tcPr>
          <w:p w14:paraId="300C2726" w14:textId="77777777" w:rsidR="00644151" w:rsidRDefault="00425878">
            <w:pPr>
              <w:jc w:val="center"/>
              <w:rPr>
                <w:sz w:val="16"/>
                <w:szCs w:val="16"/>
              </w:rPr>
            </w:pPr>
            <w:r>
              <w:rPr>
                <w:sz w:val="16"/>
                <w:szCs w:val="16"/>
              </w:rPr>
              <w:t>9.2%</w:t>
            </w:r>
          </w:p>
        </w:tc>
        <w:tc>
          <w:tcPr>
            <w:tcW w:w="1169" w:type="dxa"/>
          </w:tcPr>
          <w:p w14:paraId="5D46978C" w14:textId="77777777" w:rsidR="00644151" w:rsidRDefault="00425878">
            <w:pPr>
              <w:jc w:val="center"/>
              <w:rPr>
                <w:sz w:val="16"/>
                <w:szCs w:val="16"/>
              </w:rPr>
            </w:pPr>
            <w:r>
              <w:rPr>
                <w:sz w:val="16"/>
                <w:szCs w:val="16"/>
              </w:rPr>
              <w:t>15</w:t>
            </w:r>
          </w:p>
        </w:tc>
        <w:tc>
          <w:tcPr>
            <w:tcW w:w="928" w:type="dxa"/>
          </w:tcPr>
          <w:p w14:paraId="7830BF48" w14:textId="77777777" w:rsidR="00644151" w:rsidRDefault="00425878">
            <w:pPr>
              <w:jc w:val="center"/>
              <w:rPr>
                <w:sz w:val="16"/>
                <w:szCs w:val="16"/>
              </w:rPr>
            </w:pPr>
            <w:r>
              <w:rPr>
                <w:sz w:val="16"/>
                <w:szCs w:val="16"/>
              </w:rPr>
              <w:t>111</w:t>
            </w:r>
          </w:p>
        </w:tc>
        <w:tc>
          <w:tcPr>
            <w:tcW w:w="1133" w:type="dxa"/>
          </w:tcPr>
          <w:p w14:paraId="01271CCE" w14:textId="77777777" w:rsidR="00644151" w:rsidRDefault="00425878">
            <w:pPr>
              <w:jc w:val="center"/>
              <w:rPr>
                <w:sz w:val="16"/>
                <w:szCs w:val="16"/>
              </w:rPr>
            </w:pPr>
            <w:r>
              <w:rPr>
                <w:sz w:val="16"/>
                <w:szCs w:val="16"/>
              </w:rPr>
              <w:t>320</w:t>
            </w:r>
          </w:p>
        </w:tc>
        <w:tc>
          <w:tcPr>
            <w:tcW w:w="1065" w:type="dxa"/>
          </w:tcPr>
          <w:p w14:paraId="5488B0D3" w14:textId="77777777" w:rsidR="00644151" w:rsidRDefault="00425878">
            <w:pPr>
              <w:jc w:val="center"/>
              <w:rPr>
                <w:sz w:val="16"/>
                <w:szCs w:val="16"/>
              </w:rPr>
            </w:pPr>
            <w:r>
              <w:rPr>
                <w:sz w:val="16"/>
                <w:szCs w:val="16"/>
              </w:rPr>
              <w:t>247</w:t>
            </w:r>
          </w:p>
        </w:tc>
      </w:tr>
      <w:tr w:rsidR="00644151" w14:paraId="044A0B9E" w14:textId="77777777">
        <w:trPr>
          <w:trHeight w:val="300"/>
        </w:trPr>
        <w:tc>
          <w:tcPr>
            <w:tcW w:w="1572" w:type="dxa"/>
          </w:tcPr>
          <w:p w14:paraId="2DE0A0D5" w14:textId="77777777" w:rsidR="00644151" w:rsidRDefault="00425878">
            <w:pPr>
              <w:jc w:val="left"/>
              <w:rPr>
                <w:sz w:val="16"/>
                <w:szCs w:val="16"/>
              </w:rPr>
            </w:pPr>
            <w:r>
              <w:rPr>
                <w:sz w:val="16"/>
                <w:szCs w:val="16"/>
              </w:rPr>
              <w:t>Adultos (40 a 64 años)</w:t>
            </w:r>
          </w:p>
        </w:tc>
        <w:tc>
          <w:tcPr>
            <w:tcW w:w="935" w:type="dxa"/>
          </w:tcPr>
          <w:p w14:paraId="1D86DAE1" w14:textId="77777777" w:rsidR="00644151" w:rsidRDefault="00425878">
            <w:pPr>
              <w:jc w:val="center"/>
              <w:rPr>
                <w:sz w:val="16"/>
                <w:szCs w:val="16"/>
              </w:rPr>
            </w:pPr>
            <w:r>
              <w:rPr>
                <w:sz w:val="16"/>
                <w:szCs w:val="16"/>
              </w:rPr>
              <w:t>345,359</w:t>
            </w:r>
          </w:p>
        </w:tc>
        <w:tc>
          <w:tcPr>
            <w:tcW w:w="1236" w:type="dxa"/>
          </w:tcPr>
          <w:p w14:paraId="5987B8DC" w14:textId="77777777" w:rsidR="00644151" w:rsidRDefault="00425878">
            <w:pPr>
              <w:jc w:val="center"/>
              <w:rPr>
                <w:sz w:val="16"/>
                <w:szCs w:val="16"/>
              </w:rPr>
            </w:pPr>
            <w:r>
              <w:rPr>
                <w:sz w:val="16"/>
                <w:szCs w:val="16"/>
              </w:rPr>
              <w:t>2,134</w:t>
            </w:r>
          </w:p>
        </w:tc>
        <w:tc>
          <w:tcPr>
            <w:tcW w:w="1169" w:type="dxa"/>
          </w:tcPr>
          <w:p w14:paraId="46CBC8EE" w14:textId="77777777" w:rsidR="00644151" w:rsidRDefault="00425878">
            <w:pPr>
              <w:jc w:val="center"/>
              <w:rPr>
                <w:sz w:val="16"/>
                <w:szCs w:val="16"/>
              </w:rPr>
            </w:pPr>
            <w:r>
              <w:rPr>
                <w:sz w:val="16"/>
                <w:szCs w:val="16"/>
              </w:rPr>
              <w:t>29.0%</w:t>
            </w:r>
          </w:p>
        </w:tc>
        <w:tc>
          <w:tcPr>
            <w:tcW w:w="1169" w:type="dxa"/>
          </w:tcPr>
          <w:p w14:paraId="12E839B7" w14:textId="77777777" w:rsidR="00644151" w:rsidRDefault="00425878">
            <w:pPr>
              <w:jc w:val="center"/>
              <w:rPr>
                <w:sz w:val="16"/>
                <w:szCs w:val="16"/>
              </w:rPr>
            </w:pPr>
            <w:r>
              <w:rPr>
                <w:sz w:val="16"/>
                <w:szCs w:val="16"/>
              </w:rPr>
              <w:t>62</w:t>
            </w:r>
          </w:p>
        </w:tc>
        <w:tc>
          <w:tcPr>
            <w:tcW w:w="928" w:type="dxa"/>
          </w:tcPr>
          <w:p w14:paraId="71FAE07E" w14:textId="77777777" w:rsidR="00644151" w:rsidRDefault="00425878">
            <w:pPr>
              <w:jc w:val="center"/>
              <w:rPr>
                <w:sz w:val="16"/>
                <w:szCs w:val="16"/>
              </w:rPr>
            </w:pPr>
            <w:r>
              <w:rPr>
                <w:sz w:val="16"/>
                <w:szCs w:val="16"/>
              </w:rPr>
              <w:t>175</w:t>
            </w:r>
          </w:p>
        </w:tc>
        <w:tc>
          <w:tcPr>
            <w:tcW w:w="1133" w:type="dxa"/>
          </w:tcPr>
          <w:p w14:paraId="408338C3" w14:textId="77777777" w:rsidR="00644151" w:rsidRDefault="00425878">
            <w:pPr>
              <w:jc w:val="center"/>
              <w:rPr>
                <w:sz w:val="16"/>
                <w:szCs w:val="16"/>
              </w:rPr>
            </w:pPr>
            <w:r>
              <w:rPr>
                <w:sz w:val="16"/>
                <w:szCs w:val="16"/>
              </w:rPr>
              <w:t>1,754</w:t>
            </w:r>
          </w:p>
        </w:tc>
        <w:tc>
          <w:tcPr>
            <w:tcW w:w="1065" w:type="dxa"/>
          </w:tcPr>
          <w:p w14:paraId="05255567" w14:textId="77777777" w:rsidR="00644151" w:rsidRDefault="00425878">
            <w:pPr>
              <w:jc w:val="center"/>
              <w:rPr>
                <w:sz w:val="16"/>
                <w:szCs w:val="16"/>
              </w:rPr>
            </w:pPr>
            <w:r>
              <w:rPr>
                <w:sz w:val="16"/>
                <w:szCs w:val="16"/>
              </w:rPr>
              <w:t>205</w:t>
            </w:r>
          </w:p>
        </w:tc>
      </w:tr>
      <w:tr w:rsidR="00644151" w14:paraId="3CE4C8AA" w14:textId="77777777">
        <w:trPr>
          <w:trHeight w:val="315"/>
        </w:trPr>
        <w:tc>
          <w:tcPr>
            <w:tcW w:w="1572" w:type="dxa"/>
          </w:tcPr>
          <w:p w14:paraId="27AC4C8B" w14:textId="77777777" w:rsidR="00644151" w:rsidRDefault="00425878">
            <w:pPr>
              <w:jc w:val="left"/>
              <w:rPr>
                <w:sz w:val="16"/>
                <w:szCs w:val="16"/>
              </w:rPr>
            </w:pPr>
            <w:r>
              <w:rPr>
                <w:sz w:val="16"/>
                <w:szCs w:val="16"/>
              </w:rPr>
              <w:t>Adultos mayores (65 años y más)</w:t>
            </w:r>
          </w:p>
        </w:tc>
        <w:tc>
          <w:tcPr>
            <w:tcW w:w="935" w:type="dxa"/>
          </w:tcPr>
          <w:p w14:paraId="1801476A" w14:textId="77777777" w:rsidR="00644151" w:rsidRDefault="00425878">
            <w:pPr>
              <w:jc w:val="center"/>
              <w:rPr>
                <w:sz w:val="16"/>
                <w:szCs w:val="16"/>
              </w:rPr>
            </w:pPr>
            <w:r>
              <w:rPr>
                <w:sz w:val="16"/>
                <w:szCs w:val="16"/>
              </w:rPr>
              <w:t>69,871</w:t>
            </w:r>
          </w:p>
        </w:tc>
        <w:tc>
          <w:tcPr>
            <w:tcW w:w="1236" w:type="dxa"/>
          </w:tcPr>
          <w:p w14:paraId="041D7BF6" w14:textId="77777777" w:rsidR="00644151" w:rsidRDefault="00425878">
            <w:pPr>
              <w:jc w:val="center"/>
              <w:rPr>
                <w:sz w:val="16"/>
                <w:szCs w:val="16"/>
              </w:rPr>
            </w:pPr>
            <w:r>
              <w:rPr>
                <w:sz w:val="16"/>
                <w:szCs w:val="16"/>
              </w:rPr>
              <w:t>3,348</w:t>
            </w:r>
          </w:p>
        </w:tc>
        <w:tc>
          <w:tcPr>
            <w:tcW w:w="1169" w:type="dxa"/>
          </w:tcPr>
          <w:p w14:paraId="7A2946A8" w14:textId="77777777" w:rsidR="00644151" w:rsidRDefault="00425878">
            <w:pPr>
              <w:jc w:val="center"/>
              <w:rPr>
                <w:sz w:val="16"/>
                <w:szCs w:val="16"/>
              </w:rPr>
            </w:pPr>
            <w:r>
              <w:rPr>
                <w:sz w:val="16"/>
                <w:szCs w:val="16"/>
              </w:rPr>
              <w:t>45.5%</w:t>
            </w:r>
          </w:p>
        </w:tc>
        <w:tc>
          <w:tcPr>
            <w:tcW w:w="1169" w:type="dxa"/>
          </w:tcPr>
          <w:p w14:paraId="1C88A760" w14:textId="77777777" w:rsidR="00644151" w:rsidRDefault="00425878">
            <w:pPr>
              <w:jc w:val="center"/>
              <w:rPr>
                <w:sz w:val="16"/>
                <w:szCs w:val="16"/>
              </w:rPr>
            </w:pPr>
            <w:r>
              <w:rPr>
                <w:sz w:val="16"/>
                <w:szCs w:val="16"/>
              </w:rPr>
              <w:t>479</w:t>
            </w:r>
          </w:p>
        </w:tc>
        <w:tc>
          <w:tcPr>
            <w:tcW w:w="928" w:type="dxa"/>
          </w:tcPr>
          <w:p w14:paraId="4189C998" w14:textId="77777777" w:rsidR="00644151" w:rsidRDefault="00425878">
            <w:pPr>
              <w:jc w:val="center"/>
              <w:rPr>
                <w:sz w:val="16"/>
                <w:szCs w:val="16"/>
              </w:rPr>
            </w:pPr>
            <w:r>
              <w:rPr>
                <w:sz w:val="16"/>
                <w:szCs w:val="16"/>
              </w:rPr>
              <w:t>447</w:t>
            </w:r>
          </w:p>
        </w:tc>
        <w:tc>
          <w:tcPr>
            <w:tcW w:w="1133" w:type="dxa"/>
          </w:tcPr>
          <w:p w14:paraId="5E079D24" w14:textId="77777777" w:rsidR="00644151" w:rsidRDefault="00425878">
            <w:pPr>
              <w:jc w:val="center"/>
              <w:rPr>
                <w:sz w:val="16"/>
                <w:szCs w:val="16"/>
              </w:rPr>
            </w:pPr>
            <w:r>
              <w:rPr>
                <w:sz w:val="16"/>
                <w:szCs w:val="16"/>
              </w:rPr>
              <w:t>2,714</w:t>
            </w:r>
          </w:p>
        </w:tc>
        <w:tc>
          <w:tcPr>
            <w:tcW w:w="1065" w:type="dxa"/>
          </w:tcPr>
          <w:p w14:paraId="65244E82" w14:textId="77777777" w:rsidR="00644151" w:rsidRDefault="00425878">
            <w:pPr>
              <w:jc w:val="center"/>
              <w:rPr>
                <w:sz w:val="16"/>
                <w:szCs w:val="16"/>
              </w:rPr>
            </w:pPr>
            <w:r>
              <w:rPr>
                <w:sz w:val="16"/>
                <w:szCs w:val="16"/>
              </w:rPr>
              <w:t>187</w:t>
            </w:r>
          </w:p>
        </w:tc>
      </w:tr>
      <w:tr w:rsidR="00644151" w14:paraId="72F773E9" w14:textId="77777777">
        <w:trPr>
          <w:trHeight w:val="331"/>
        </w:trPr>
        <w:tc>
          <w:tcPr>
            <w:tcW w:w="1572" w:type="dxa"/>
          </w:tcPr>
          <w:p w14:paraId="2FF2E9C4" w14:textId="77777777" w:rsidR="00644151" w:rsidRDefault="00425878">
            <w:pPr>
              <w:jc w:val="left"/>
              <w:rPr>
                <w:sz w:val="16"/>
                <w:szCs w:val="16"/>
              </w:rPr>
            </w:pPr>
            <w:r>
              <w:rPr>
                <w:sz w:val="16"/>
                <w:szCs w:val="16"/>
              </w:rPr>
              <w:t>% de enfermedades</w:t>
            </w:r>
          </w:p>
        </w:tc>
        <w:tc>
          <w:tcPr>
            <w:tcW w:w="935" w:type="dxa"/>
          </w:tcPr>
          <w:p w14:paraId="14FECD09" w14:textId="77777777" w:rsidR="00644151" w:rsidRDefault="00425878">
            <w:pPr>
              <w:jc w:val="center"/>
              <w:rPr>
                <w:sz w:val="16"/>
                <w:szCs w:val="16"/>
              </w:rPr>
            </w:pPr>
            <w:r>
              <w:rPr>
                <w:sz w:val="16"/>
                <w:szCs w:val="16"/>
              </w:rPr>
              <w:t> </w:t>
            </w:r>
          </w:p>
        </w:tc>
        <w:tc>
          <w:tcPr>
            <w:tcW w:w="1236" w:type="dxa"/>
          </w:tcPr>
          <w:p w14:paraId="0E0C9B07" w14:textId="77777777" w:rsidR="00644151" w:rsidRDefault="00425878">
            <w:pPr>
              <w:jc w:val="center"/>
              <w:rPr>
                <w:sz w:val="16"/>
                <w:szCs w:val="16"/>
              </w:rPr>
            </w:pPr>
            <w:r>
              <w:rPr>
                <w:sz w:val="16"/>
                <w:szCs w:val="16"/>
              </w:rPr>
              <w:t> </w:t>
            </w:r>
          </w:p>
        </w:tc>
        <w:tc>
          <w:tcPr>
            <w:tcW w:w="1169" w:type="dxa"/>
          </w:tcPr>
          <w:p w14:paraId="14A41D55" w14:textId="77777777" w:rsidR="00644151" w:rsidRDefault="00644151">
            <w:pPr>
              <w:jc w:val="center"/>
              <w:rPr>
                <w:sz w:val="16"/>
                <w:szCs w:val="16"/>
              </w:rPr>
            </w:pPr>
          </w:p>
        </w:tc>
        <w:tc>
          <w:tcPr>
            <w:tcW w:w="1169" w:type="dxa"/>
          </w:tcPr>
          <w:p w14:paraId="77060BC9" w14:textId="77777777" w:rsidR="00644151" w:rsidRDefault="00425878">
            <w:pPr>
              <w:jc w:val="center"/>
              <w:rPr>
                <w:sz w:val="16"/>
                <w:szCs w:val="16"/>
              </w:rPr>
            </w:pPr>
            <w:r>
              <w:rPr>
                <w:sz w:val="16"/>
                <w:szCs w:val="16"/>
              </w:rPr>
              <w:t> </w:t>
            </w:r>
          </w:p>
        </w:tc>
        <w:tc>
          <w:tcPr>
            <w:tcW w:w="928" w:type="dxa"/>
          </w:tcPr>
          <w:p w14:paraId="3DFF09EB" w14:textId="77777777" w:rsidR="00644151" w:rsidRDefault="00425878">
            <w:pPr>
              <w:jc w:val="center"/>
              <w:rPr>
                <w:color w:val="808080"/>
                <w:sz w:val="16"/>
                <w:szCs w:val="16"/>
              </w:rPr>
            </w:pPr>
            <w:r>
              <w:rPr>
                <w:color w:val="808080"/>
                <w:sz w:val="16"/>
                <w:szCs w:val="16"/>
              </w:rPr>
              <w:t>12.5%</w:t>
            </w:r>
          </w:p>
        </w:tc>
        <w:tc>
          <w:tcPr>
            <w:tcW w:w="1133" w:type="dxa"/>
          </w:tcPr>
          <w:p w14:paraId="7C2C456C" w14:textId="77777777" w:rsidR="00644151" w:rsidRDefault="00425878">
            <w:pPr>
              <w:jc w:val="center"/>
              <w:rPr>
                <w:color w:val="808080"/>
                <w:sz w:val="16"/>
                <w:szCs w:val="16"/>
              </w:rPr>
            </w:pPr>
            <w:r>
              <w:rPr>
                <w:color w:val="808080"/>
                <w:sz w:val="16"/>
                <w:szCs w:val="16"/>
              </w:rPr>
              <w:t>67.6%</w:t>
            </w:r>
          </w:p>
        </w:tc>
        <w:tc>
          <w:tcPr>
            <w:tcW w:w="1065" w:type="dxa"/>
          </w:tcPr>
          <w:p w14:paraId="49704442" w14:textId="77777777" w:rsidR="00644151" w:rsidRDefault="00425878">
            <w:pPr>
              <w:jc w:val="center"/>
              <w:rPr>
                <w:color w:val="808080"/>
                <w:sz w:val="16"/>
                <w:szCs w:val="16"/>
              </w:rPr>
            </w:pPr>
            <w:r>
              <w:rPr>
                <w:color w:val="808080"/>
                <w:sz w:val="16"/>
                <w:szCs w:val="16"/>
              </w:rPr>
              <w:t>19.9%</w:t>
            </w:r>
          </w:p>
        </w:tc>
      </w:tr>
      <w:tr w:rsidR="00644151" w14:paraId="0869B6E3" w14:textId="77777777">
        <w:trPr>
          <w:trHeight w:val="300"/>
        </w:trPr>
        <w:tc>
          <w:tcPr>
            <w:tcW w:w="1572" w:type="dxa"/>
          </w:tcPr>
          <w:p w14:paraId="1A26ACFB" w14:textId="77777777" w:rsidR="00644151" w:rsidRDefault="00425878">
            <w:pPr>
              <w:rPr>
                <w:b/>
                <w:sz w:val="16"/>
                <w:szCs w:val="16"/>
              </w:rPr>
            </w:pPr>
            <w:r>
              <w:rPr>
                <w:b/>
                <w:sz w:val="16"/>
                <w:szCs w:val="16"/>
              </w:rPr>
              <w:t>Total, general</w:t>
            </w:r>
          </w:p>
        </w:tc>
        <w:tc>
          <w:tcPr>
            <w:tcW w:w="935" w:type="dxa"/>
          </w:tcPr>
          <w:p w14:paraId="58C6CC0F" w14:textId="77777777" w:rsidR="00644151" w:rsidRDefault="00425878">
            <w:pPr>
              <w:jc w:val="center"/>
              <w:rPr>
                <w:b/>
                <w:sz w:val="16"/>
                <w:szCs w:val="16"/>
              </w:rPr>
            </w:pPr>
            <w:r>
              <w:rPr>
                <w:b/>
                <w:sz w:val="16"/>
                <w:szCs w:val="16"/>
              </w:rPr>
              <w:t>1,773,343</w:t>
            </w:r>
          </w:p>
        </w:tc>
        <w:tc>
          <w:tcPr>
            <w:tcW w:w="1236" w:type="dxa"/>
          </w:tcPr>
          <w:p w14:paraId="5D8F4219" w14:textId="77777777" w:rsidR="00644151" w:rsidRDefault="00425878">
            <w:pPr>
              <w:jc w:val="center"/>
              <w:rPr>
                <w:b/>
                <w:sz w:val="16"/>
                <w:szCs w:val="16"/>
              </w:rPr>
            </w:pPr>
            <w:r>
              <w:rPr>
                <w:b/>
                <w:sz w:val="16"/>
                <w:szCs w:val="16"/>
              </w:rPr>
              <w:t>7,361</w:t>
            </w:r>
          </w:p>
        </w:tc>
        <w:tc>
          <w:tcPr>
            <w:tcW w:w="1169" w:type="dxa"/>
          </w:tcPr>
          <w:p w14:paraId="5BE7B370" w14:textId="77777777" w:rsidR="00644151" w:rsidRDefault="00425878">
            <w:pPr>
              <w:jc w:val="center"/>
              <w:rPr>
                <w:b/>
                <w:sz w:val="16"/>
                <w:szCs w:val="16"/>
              </w:rPr>
            </w:pPr>
            <w:r>
              <w:rPr>
                <w:b/>
                <w:sz w:val="16"/>
                <w:szCs w:val="16"/>
              </w:rPr>
              <w:t>100%</w:t>
            </w:r>
          </w:p>
        </w:tc>
        <w:tc>
          <w:tcPr>
            <w:tcW w:w="1169" w:type="dxa"/>
          </w:tcPr>
          <w:p w14:paraId="62DBC147" w14:textId="77777777" w:rsidR="00644151" w:rsidRDefault="00425878">
            <w:pPr>
              <w:jc w:val="center"/>
              <w:rPr>
                <w:b/>
                <w:sz w:val="16"/>
                <w:szCs w:val="16"/>
              </w:rPr>
            </w:pPr>
            <w:r>
              <w:rPr>
                <w:b/>
                <w:sz w:val="16"/>
                <w:szCs w:val="16"/>
              </w:rPr>
              <w:t>42*</w:t>
            </w:r>
          </w:p>
        </w:tc>
        <w:tc>
          <w:tcPr>
            <w:tcW w:w="928" w:type="dxa"/>
          </w:tcPr>
          <w:p w14:paraId="2392A8B8" w14:textId="77777777" w:rsidR="00644151" w:rsidRDefault="00425878">
            <w:pPr>
              <w:jc w:val="center"/>
              <w:rPr>
                <w:b/>
                <w:sz w:val="16"/>
                <w:szCs w:val="16"/>
              </w:rPr>
            </w:pPr>
            <w:r>
              <w:rPr>
                <w:b/>
                <w:sz w:val="16"/>
                <w:szCs w:val="16"/>
              </w:rPr>
              <w:t>923</w:t>
            </w:r>
          </w:p>
        </w:tc>
        <w:tc>
          <w:tcPr>
            <w:tcW w:w="1133" w:type="dxa"/>
          </w:tcPr>
          <w:p w14:paraId="4C5F7236" w14:textId="77777777" w:rsidR="00644151" w:rsidRDefault="00425878">
            <w:pPr>
              <w:jc w:val="center"/>
              <w:rPr>
                <w:b/>
                <w:sz w:val="16"/>
                <w:szCs w:val="16"/>
              </w:rPr>
            </w:pPr>
            <w:r>
              <w:rPr>
                <w:b/>
                <w:sz w:val="16"/>
                <w:szCs w:val="16"/>
              </w:rPr>
              <w:t>4,976</w:t>
            </w:r>
          </w:p>
        </w:tc>
        <w:tc>
          <w:tcPr>
            <w:tcW w:w="1065" w:type="dxa"/>
          </w:tcPr>
          <w:p w14:paraId="04AD5385" w14:textId="77777777" w:rsidR="00644151" w:rsidRDefault="00425878">
            <w:pPr>
              <w:jc w:val="center"/>
              <w:rPr>
                <w:b/>
                <w:sz w:val="16"/>
                <w:szCs w:val="16"/>
              </w:rPr>
            </w:pPr>
            <w:r>
              <w:rPr>
                <w:b/>
                <w:sz w:val="16"/>
                <w:szCs w:val="16"/>
              </w:rPr>
              <w:t>1,462</w:t>
            </w:r>
          </w:p>
        </w:tc>
      </w:tr>
    </w:tbl>
    <w:p w14:paraId="5A99E453" w14:textId="77777777" w:rsidR="00644151" w:rsidRDefault="00425878">
      <w:pPr>
        <w:spacing w:after="0"/>
        <w:rPr>
          <w:sz w:val="18"/>
          <w:szCs w:val="18"/>
        </w:rPr>
      </w:pPr>
      <w:r>
        <w:rPr>
          <w:sz w:val="18"/>
          <w:szCs w:val="18"/>
        </w:rPr>
        <w:t>*Por cada 10 000 habitantes</w:t>
      </w:r>
    </w:p>
    <w:p w14:paraId="5CD93764" w14:textId="77777777" w:rsidR="00644151" w:rsidRDefault="00425878">
      <w:pPr>
        <w:spacing w:after="0"/>
        <w:rPr>
          <w:sz w:val="22"/>
          <w:szCs w:val="22"/>
        </w:rPr>
      </w:pPr>
      <w:r>
        <w:rPr>
          <w:sz w:val="22"/>
          <w:szCs w:val="22"/>
        </w:rPr>
        <w:t>Fuente: Elaboración propia a partir de datos abiertos del registro de defunciones del año 2000 de la Secretaría de Salud.</w:t>
      </w:r>
    </w:p>
    <w:p w14:paraId="142EDF1B" w14:textId="77777777" w:rsidR="00644151" w:rsidRDefault="00644151">
      <w:pPr>
        <w:spacing w:after="0" w:line="240" w:lineRule="auto"/>
        <w:rPr>
          <w:sz w:val="16"/>
          <w:szCs w:val="16"/>
        </w:rPr>
      </w:pPr>
    </w:p>
    <w:p w14:paraId="6531D83D" w14:textId="77777777" w:rsidR="00644151" w:rsidRDefault="00644151">
      <w:pPr>
        <w:spacing w:after="0" w:line="240" w:lineRule="auto"/>
        <w:rPr>
          <w:sz w:val="16"/>
          <w:szCs w:val="16"/>
        </w:rPr>
      </w:pPr>
    </w:p>
    <w:p w14:paraId="4441764D" w14:textId="77777777" w:rsidR="00644151" w:rsidRDefault="00425878">
      <w:pPr>
        <w:spacing w:line="360" w:lineRule="auto"/>
      </w:pPr>
      <w:r>
        <w:t xml:space="preserve">De la misma forma, para el año 2019 en la Alcaldía Iztapalapa reporta un aumento en las defunciones con respecto al año 2000 con un total de 11 733 de las cuales, el 56.8% nuevamente pertenecen a personas mayores a los 65 años, el 30.6% a adultos con edades </w:t>
      </w:r>
      <w:r>
        <w:lastRenderedPageBreak/>
        <w:t xml:space="preserve">entre los 40 a 64 años; ambas representan el 87.4% (12.9% más que en 2000), del total de defunciones. </w:t>
      </w:r>
    </w:p>
    <w:p w14:paraId="1E642F28" w14:textId="77777777" w:rsidR="00644151" w:rsidRDefault="00425878">
      <w:pPr>
        <w:spacing w:line="360" w:lineRule="auto"/>
      </w:pPr>
      <w:r>
        <w:t xml:space="preserve">Las enfermedades que continúan predominando son las enfermedades crónico-degenerativas con el 77.3%, seguidas por el 12.2% causadas por el hombre; las principales causas de muerte son: diabetes mellitus (17.9%), infarto agudo de miocardio (12.5%), neumonía (4.5%), enfermedades alcohólicas del hígado (3.0%) y otras enfermedades del hígado (3.0%). </w:t>
      </w:r>
    </w:p>
    <w:p w14:paraId="0471DA71" w14:textId="77777777" w:rsidR="00644151" w:rsidRDefault="00425878">
      <w:pPr>
        <w:spacing w:line="360" w:lineRule="auto"/>
      </w:pPr>
      <w:r>
        <w:t xml:space="preserve">La tasa de mortalidad general reportada es de 64 defunciones por cada 10 000 donde el grupo de 65 años y más, concentra una vez más, el mayor porcentaje de defunciones con el 56.8% (11.3% más que en 2000). Con un descenso en su tasa de mortalidad grupal de 401 defunciones por cada 10 000 habitantes. </w:t>
      </w:r>
    </w:p>
    <w:p w14:paraId="1ED5CA6A" w14:textId="77777777" w:rsidR="00644151" w:rsidRDefault="00425878">
      <w:pPr>
        <w:pBdr>
          <w:top w:val="nil"/>
          <w:left w:val="nil"/>
          <w:bottom w:val="nil"/>
          <w:right w:val="nil"/>
          <w:between w:val="nil"/>
        </w:pBdr>
        <w:spacing w:after="200" w:line="240" w:lineRule="auto"/>
        <w:rPr>
          <w:color w:val="44546A"/>
          <w:sz w:val="18"/>
          <w:szCs w:val="18"/>
        </w:rPr>
      </w:pPr>
      <w:bookmarkStart w:id="86" w:name="_heading=h.1smtxgf" w:colFirst="0" w:colLast="0"/>
      <w:bookmarkEnd w:id="86"/>
      <w:r>
        <w:rPr>
          <w:i/>
          <w:color w:val="44546A"/>
          <w:sz w:val="18"/>
          <w:szCs w:val="18"/>
        </w:rPr>
        <w:t>Tabla 10. Defunciones por grupo de edades y tipos de enfermedad del año 2019.</w:t>
      </w:r>
    </w:p>
    <w:tbl>
      <w:tblPr>
        <w:tblStyle w:val="aff2"/>
        <w:tblW w:w="9215"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560"/>
        <w:gridCol w:w="994"/>
        <w:gridCol w:w="1134"/>
        <w:gridCol w:w="1275"/>
        <w:gridCol w:w="1135"/>
        <w:gridCol w:w="992"/>
        <w:gridCol w:w="992"/>
        <w:gridCol w:w="1133"/>
      </w:tblGrid>
      <w:tr w:rsidR="00644151" w14:paraId="2E986524" w14:textId="77777777">
        <w:trPr>
          <w:trHeight w:val="300"/>
        </w:trPr>
        <w:tc>
          <w:tcPr>
            <w:tcW w:w="1560" w:type="dxa"/>
            <w:vMerge w:val="restart"/>
            <w:vAlign w:val="center"/>
          </w:tcPr>
          <w:p w14:paraId="0AC3022D" w14:textId="77777777" w:rsidR="00644151" w:rsidRDefault="00425878">
            <w:pPr>
              <w:jc w:val="center"/>
              <w:rPr>
                <w:sz w:val="16"/>
                <w:szCs w:val="16"/>
              </w:rPr>
            </w:pPr>
            <w:r>
              <w:rPr>
                <w:sz w:val="16"/>
                <w:szCs w:val="16"/>
              </w:rPr>
              <w:t>Grupo de edades</w:t>
            </w:r>
          </w:p>
        </w:tc>
        <w:tc>
          <w:tcPr>
            <w:tcW w:w="994" w:type="dxa"/>
            <w:vMerge w:val="restart"/>
            <w:vAlign w:val="center"/>
          </w:tcPr>
          <w:p w14:paraId="76373EA1" w14:textId="77777777" w:rsidR="00644151" w:rsidRDefault="00425878">
            <w:pPr>
              <w:jc w:val="center"/>
              <w:rPr>
                <w:sz w:val="16"/>
                <w:szCs w:val="16"/>
              </w:rPr>
            </w:pPr>
            <w:r>
              <w:rPr>
                <w:sz w:val="16"/>
                <w:szCs w:val="16"/>
              </w:rPr>
              <w:t>Población</w:t>
            </w:r>
          </w:p>
        </w:tc>
        <w:tc>
          <w:tcPr>
            <w:tcW w:w="1134" w:type="dxa"/>
            <w:vMerge w:val="restart"/>
            <w:vAlign w:val="center"/>
          </w:tcPr>
          <w:p w14:paraId="406A8EDD" w14:textId="77777777" w:rsidR="00644151" w:rsidRDefault="00425878">
            <w:pPr>
              <w:jc w:val="center"/>
              <w:rPr>
                <w:sz w:val="16"/>
                <w:szCs w:val="16"/>
              </w:rPr>
            </w:pPr>
            <w:r>
              <w:rPr>
                <w:sz w:val="16"/>
                <w:szCs w:val="16"/>
              </w:rPr>
              <w:t>Número de defunciones</w:t>
            </w:r>
          </w:p>
        </w:tc>
        <w:tc>
          <w:tcPr>
            <w:tcW w:w="1275" w:type="dxa"/>
            <w:vMerge w:val="restart"/>
            <w:vAlign w:val="center"/>
          </w:tcPr>
          <w:p w14:paraId="52F78F2C" w14:textId="77777777" w:rsidR="00644151" w:rsidRDefault="00425878">
            <w:pPr>
              <w:jc w:val="center"/>
              <w:rPr>
                <w:sz w:val="16"/>
                <w:szCs w:val="16"/>
              </w:rPr>
            </w:pPr>
            <w:r>
              <w:rPr>
                <w:sz w:val="16"/>
                <w:szCs w:val="16"/>
              </w:rPr>
              <w:t>% de defunciones por grupo</w:t>
            </w:r>
          </w:p>
        </w:tc>
        <w:tc>
          <w:tcPr>
            <w:tcW w:w="1135" w:type="dxa"/>
            <w:vMerge w:val="restart"/>
            <w:vAlign w:val="center"/>
          </w:tcPr>
          <w:p w14:paraId="7E3C717C" w14:textId="77777777" w:rsidR="00644151" w:rsidRDefault="00425878">
            <w:pPr>
              <w:jc w:val="center"/>
              <w:rPr>
                <w:sz w:val="16"/>
                <w:szCs w:val="16"/>
              </w:rPr>
            </w:pPr>
            <w:r>
              <w:rPr>
                <w:sz w:val="16"/>
                <w:szCs w:val="16"/>
              </w:rPr>
              <w:t>Tasa de mortalidad 2019*</w:t>
            </w:r>
          </w:p>
        </w:tc>
        <w:tc>
          <w:tcPr>
            <w:tcW w:w="3117" w:type="dxa"/>
            <w:gridSpan w:val="3"/>
            <w:vAlign w:val="center"/>
          </w:tcPr>
          <w:p w14:paraId="6FDA8E77" w14:textId="77777777" w:rsidR="00644151" w:rsidRDefault="00425878">
            <w:pPr>
              <w:jc w:val="center"/>
              <w:rPr>
                <w:sz w:val="16"/>
                <w:szCs w:val="16"/>
              </w:rPr>
            </w:pPr>
            <w:r>
              <w:rPr>
                <w:sz w:val="16"/>
                <w:szCs w:val="16"/>
              </w:rPr>
              <w:t>Defunciones por grupo de enfermedades</w:t>
            </w:r>
          </w:p>
        </w:tc>
      </w:tr>
      <w:tr w:rsidR="00644151" w14:paraId="2A977FBD" w14:textId="77777777">
        <w:trPr>
          <w:trHeight w:val="300"/>
        </w:trPr>
        <w:tc>
          <w:tcPr>
            <w:tcW w:w="1560" w:type="dxa"/>
            <w:vMerge/>
            <w:vAlign w:val="center"/>
          </w:tcPr>
          <w:p w14:paraId="276CDDF0" w14:textId="77777777" w:rsidR="00644151" w:rsidRDefault="00644151">
            <w:pPr>
              <w:widowControl w:val="0"/>
              <w:pBdr>
                <w:top w:val="nil"/>
                <w:left w:val="nil"/>
                <w:bottom w:val="nil"/>
                <w:right w:val="nil"/>
                <w:between w:val="nil"/>
              </w:pBdr>
              <w:spacing w:line="276" w:lineRule="auto"/>
              <w:jc w:val="left"/>
              <w:rPr>
                <w:sz w:val="16"/>
                <w:szCs w:val="16"/>
              </w:rPr>
            </w:pPr>
          </w:p>
        </w:tc>
        <w:tc>
          <w:tcPr>
            <w:tcW w:w="994" w:type="dxa"/>
            <w:vMerge/>
            <w:vAlign w:val="center"/>
          </w:tcPr>
          <w:p w14:paraId="168AFB16" w14:textId="77777777" w:rsidR="00644151" w:rsidRDefault="00644151">
            <w:pPr>
              <w:widowControl w:val="0"/>
              <w:pBdr>
                <w:top w:val="nil"/>
                <w:left w:val="nil"/>
                <w:bottom w:val="nil"/>
                <w:right w:val="nil"/>
                <w:between w:val="nil"/>
              </w:pBdr>
              <w:spacing w:line="276" w:lineRule="auto"/>
              <w:jc w:val="left"/>
              <w:rPr>
                <w:sz w:val="16"/>
                <w:szCs w:val="16"/>
              </w:rPr>
            </w:pPr>
          </w:p>
        </w:tc>
        <w:tc>
          <w:tcPr>
            <w:tcW w:w="1134" w:type="dxa"/>
            <w:vMerge/>
            <w:vAlign w:val="center"/>
          </w:tcPr>
          <w:p w14:paraId="6CCF25A0" w14:textId="77777777" w:rsidR="00644151" w:rsidRDefault="00644151">
            <w:pPr>
              <w:widowControl w:val="0"/>
              <w:pBdr>
                <w:top w:val="nil"/>
                <w:left w:val="nil"/>
                <w:bottom w:val="nil"/>
                <w:right w:val="nil"/>
                <w:between w:val="nil"/>
              </w:pBdr>
              <w:spacing w:line="276" w:lineRule="auto"/>
              <w:jc w:val="left"/>
              <w:rPr>
                <w:sz w:val="16"/>
                <w:szCs w:val="16"/>
              </w:rPr>
            </w:pPr>
          </w:p>
        </w:tc>
        <w:tc>
          <w:tcPr>
            <w:tcW w:w="1275" w:type="dxa"/>
            <w:vMerge/>
            <w:vAlign w:val="center"/>
          </w:tcPr>
          <w:p w14:paraId="61E35286" w14:textId="77777777" w:rsidR="00644151" w:rsidRDefault="00644151">
            <w:pPr>
              <w:widowControl w:val="0"/>
              <w:pBdr>
                <w:top w:val="nil"/>
                <w:left w:val="nil"/>
                <w:bottom w:val="nil"/>
                <w:right w:val="nil"/>
                <w:between w:val="nil"/>
              </w:pBdr>
              <w:spacing w:line="276" w:lineRule="auto"/>
              <w:jc w:val="left"/>
              <w:rPr>
                <w:sz w:val="16"/>
                <w:szCs w:val="16"/>
              </w:rPr>
            </w:pPr>
          </w:p>
        </w:tc>
        <w:tc>
          <w:tcPr>
            <w:tcW w:w="1135" w:type="dxa"/>
            <w:vMerge/>
            <w:vAlign w:val="center"/>
          </w:tcPr>
          <w:p w14:paraId="68E1D1FE" w14:textId="77777777" w:rsidR="00644151" w:rsidRDefault="00644151">
            <w:pPr>
              <w:widowControl w:val="0"/>
              <w:pBdr>
                <w:top w:val="nil"/>
                <w:left w:val="nil"/>
                <w:bottom w:val="nil"/>
                <w:right w:val="nil"/>
                <w:between w:val="nil"/>
              </w:pBdr>
              <w:spacing w:line="276" w:lineRule="auto"/>
              <w:jc w:val="left"/>
              <w:rPr>
                <w:sz w:val="16"/>
                <w:szCs w:val="16"/>
              </w:rPr>
            </w:pPr>
          </w:p>
        </w:tc>
        <w:tc>
          <w:tcPr>
            <w:tcW w:w="992" w:type="dxa"/>
            <w:vAlign w:val="center"/>
          </w:tcPr>
          <w:p w14:paraId="3A41EC05" w14:textId="77777777" w:rsidR="00644151" w:rsidRDefault="00425878">
            <w:pPr>
              <w:jc w:val="center"/>
              <w:rPr>
                <w:sz w:val="14"/>
                <w:szCs w:val="14"/>
              </w:rPr>
            </w:pPr>
            <w:r>
              <w:rPr>
                <w:sz w:val="14"/>
                <w:szCs w:val="14"/>
              </w:rPr>
              <w:t>Infecciosas</w:t>
            </w:r>
          </w:p>
        </w:tc>
        <w:tc>
          <w:tcPr>
            <w:tcW w:w="992" w:type="dxa"/>
            <w:vAlign w:val="center"/>
          </w:tcPr>
          <w:p w14:paraId="0E084121" w14:textId="77777777" w:rsidR="00644151" w:rsidRDefault="00425878">
            <w:pPr>
              <w:jc w:val="center"/>
              <w:rPr>
                <w:sz w:val="14"/>
                <w:szCs w:val="14"/>
              </w:rPr>
            </w:pPr>
            <w:r>
              <w:rPr>
                <w:sz w:val="14"/>
                <w:szCs w:val="14"/>
              </w:rPr>
              <w:t>Crónicas degenerativas</w:t>
            </w:r>
          </w:p>
        </w:tc>
        <w:tc>
          <w:tcPr>
            <w:tcW w:w="1133" w:type="dxa"/>
            <w:vAlign w:val="center"/>
          </w:tcPr>
          <w:p w14:paraId="6DB74323" w14:textId="77777777" w:rsidR="00644151" w:rsidRDefault="00425878">
            <w:pPr>
              <w:jc w:val="center"/>
              <w:rPr>
                <w:sz w:val="14"/>
                <w:szCs w:val="14"/>
              </w:rPr>
            </w:pPr>
            <w:r>
              <w:rPr>
                <w:sz w:val="14"/>
                <w:szCs w:val="14"/>
              </w:rPr>
              <w:t>Causadas por el hombre</w:t>
            </w:r>
          </w:p>
        </w:tc>
      </w:tr>
      <w:tr w:rsidR="00644151" w14:paraId="434A4397" w14:textId="77777777">
        <w:trPr>
          <w:trHeight w:val="600"/>
        </w:trPr>
        <w:tc>
          <w:tcPr>
            <w:tcW w:w="1560" w:type="dxa"/>
            <w:vAlign w:val="center"/>
          </w:tcPr>
          <w:p w14:paraId="110C5067" w14:textId="77777777" w:rsidR="00644151" w:rsidRDefault="00425878">
            <w:pPr>
              <w:jc w:val="left"/>
              <w:rPr>
                <w:sz w:val="16"/>
                <w:szCs w:val="16"/>
              </w:rPr>
            </w:pPr>
            <w:r>
              <w:rPr>
                <w:sz w:val="16"/>
                <w:szCs w:val="16"/>
              </w:rPr>
              <w:t>Niños (00 a 14 años)</w:t>
            </w:r>
          </w:p>
        </w:tc>
        <w:tc>
          <w:tcPr>
            <w:tcW w:w="994" w:type="dxa"/>
            <w:vAlign w:val="center"/>
          </w:tcPr>
          <w:p w14:paraId="2075319F" w14:textId="77777777" w:rsidR="00644151" w:rsidRDefault="00425878">
            <w:pPr>
              <w:jc w:val="center"/>
              <w:rPr>
                <w:sz w:val="16"/>
                <w:szCs w:val="16"/>
              </w:rPr>
            </w:pPr>
            <w:r>
              <w:rPr>
                <w:sz w:val="16"/>
                <w:szCs w:val="16"/>
              </w:rPr>
              <w:t>374,535</w:t>
            </w:r>
          </w:p>
        </w:tc>
        <w:tc>
          <w:tcPr>
            <w:tcW w:w="1134" w:type="dxa"/>
            <w:vAlign w:val="center"/>
          </w:tcPr>
          <w:p w14:paraId="4AFD6F10" w14:textId="77777777" w:rsidR="00644151" w:rsidRDefault="00425878">
            <w:pPr>
              <w:jc w:val="center"/>
              <w:rPr>
                <w:sz w:val="16"/>
                <w:szCs w:val="16"/>
              </w:rPr>
            </w:pPr>
            <w:r>
              <w:rPr>
                <w:sz w:val="16"/>
                <w:szCs w:val="16"/>
              </w:rPr>
              <w:t>377</w:t>
            </w:r>
          </w:p>
        </w:tc>
        <w:tc>
          <w:tcPr>
            <w:tcW w:w="1275" w:type="dxa"/>
            <w:vAlign w:val="center"/>
          </w:tcPr>
          <w:p w14:paraId="779A8B88" w14:textId="77777777" w:rsidR="00644151" w:rsidRDefault="00425878">
            <w:pPr>
              <w:jc w:val="center"/>
              <w:rPr>
                <w:sz w:val="16"/>
                <w:szCs w:val="16"/>
              </w:rPr>
            </w:pPr>
            <w:r>
              <w:rPr>
                <w:sz w:val="16"/>
                <w:szCs w:val="16"/>
              </w:rPr>
              <w:t>3.2%</w:t>
            </w:r>
          </w:p>
        </w:tc>
        <w:tc>
          <w:tcPr>
            <w:tcW w:w="1135" w:type="dxa"/>
            <w:vAlign w:val="center"/>
          </w:tcPr>
          <w:p w14:paraId="7EE7CE9F" w14:textId="77777777" w:rsidR="00644151" w:rsidRDefault="00425878">
            <w:pPr>
              <w:jc w:val="center"/>
              <w:rPr>
                <w:sz w:val="16"/>
                <w:szCs w:val="16"/>
              </w:rPr>
            </w:pPr>
            <w:r>
              <w:rPr>
                <w:sz w:val="16"/>
                <w:szCs w:val="16"/>
              </w:rPr>
              <w:t>10</w:t>
            </w:r>
          </w:p>
        </w:tc>
        <w:tc>
          <w:tcPr>
            <w:tcW w:w="992" w:type="dxa"/>
            <w:vAlign w:val="center"/>
          </w:tcPr>
          <w:p w14:paraId="1DEEB176" w14:textId="77777777" w:rsidR="00644151" w:rsidRDefault="00425878">
            <w:pPr>
              <w:jc w:val="center"/>
              <w:rPr>
                <w:sz w:val="16"/>
                <w:szCs w:val="16"/>
              </w:rPr>
            </w:pPr>
            <w:r>
              <w:rPr>
                <w:sz w:val="16"/>
                <w:szCs w:val="16"/>
              </w:rPr>
              <w:t>281</w:t>
            </w:r>
          </w:p>
        </w:tc>
        <w:tc>
          <w:tcPr>
            <w:tcW w:w="992" w:type="dxa"/>
            <w:vAlign w:val="center"/>
          </w:tcPr>
          <w:p w14:paraId="691AAD8B" w14:textId="77777777" w:rsidR="00644151" w:rsidRDefault="00425878">
            <w:pPr>
              <w:jc w:val="center"/>
              <w:rPr>
                <w:sz w:val="16"/>
                <w:szCs w:val="16"/>
              </w:rPr>
            </w:pPr>
            <w:r>
              <w:rPr>
                <w:sz w:val="16"/>
                <w:szCs w:val="16"/>
              </w:rPr>
              <w:t>67</w:t>
            </w:r>
          </w:p>
        </w:tc>
        <w:tc>
          <w:tcPr>
            <w:tcW w:w="1133" w:type="dxa"/>
            <w:vAlign w:val="center"/>
          </w:tcPr>
          <w:p w14:paraId="3F8097BF" w14:textId="77777777" w:rsidR="00644151" w:rsidRDefault="00425878">
            <w:pPr>
              <w:jc w:val="center"/>
              <w:rPr>
                <w:sz w:val="16"/>
                <w:szCs w:val="16"/>
              </w:rPr>
            </w:pPr>
            <w:r>
              <w:rPr>
                <w:sz w:val="16"/>
                <w:szCs w:val="16"/>
              </w:rPr>
              <w:t>29</w:t>
            </w:r>
          </w:p>
        </w:tc>
      </w:tr>
      <w:tr w:rsidR="00644151" w14:paraId="0D560241" w14:textId="77777777">
        <w:trPr>
          <w:trHeight w:val="300"/>
        </w:trPr>
        <w:tc>
          <w:tcPr>
            <w:tcW w:w="1560" w:type="dxa"/>
            <w:vAlign w:val="center"/>
          </w:tcPr>
          <w:p w14:paraId="130FE375" w14:textId="77777777" w:rsidR="00644151" w:rsidRDefault="00425878">
            <w:pPr>
              <w:jc w:val="left"/>
              <w:rPr>
                <w:sz w:val="16"/>
                <w:szCs w:val="16"/>
              </w:rPr>
            </w:pPr>
            <w:r>
              <w:rPr>
                <w:sz w:val="16"/>
                <w:szCs w:val="16"/>
              </w:rPr>
              <w:t>Jóvenes (15 a 24 años)</w:t>
            </w:r>
          </w:p>
        </w:tc>
        <w:tc>
          <w:tcPr>
            <w:tcW w:w="994" w:type="dxa"/>
            <w:vAlign w:val="center"/>
          </w:tcPr>
          <w:p w14:paraId="6395ACAF" w14:textId="77777777" w:rsidR="00644151" w:rsidRDefault="00425878">
            <w:pPr>
              <w:jc w:val="center"/>
              <w:rPr>
                <w:sz w:val="16"/>
                <w:szCs w:val="16"/>
              </w:rPr>
            </w:pPr>
            <w:r>
              <w:rPr>
                <w:sz w:val="16"/>
                <w:szCs w:val="16"/>
              </w:rPr>
              <w:t>296,943</w:t>
            </w:r>
          </w:p>
        </w:tc>
        <w:tc>
          <w:tcPr>
            <w:tcW w:w="1134" w:type="dxa"/>
            <w:vAlign w:val="center"/>
          </w:tcPr>
          <w:p w14:paraId="000EA3B9" w14:textId="77777777" w:rsidR="00644151" w:rsidRDefault="00425878">
            <w:pPr>
              <w:jc w:val="center"/>
              <w:rPr>
                <w:sz w:val="16"/>
                <w:szCs w:val="16"/>
              </w:rPr>
            </w:pPr>
            <w:r>
              <w:rPr>
                <w:sz w:val="16"/>
                <w:szCs w:val="16"/>
              </w:rPr>
              <w:t>266</w:t>
            </w:r>
          </w:p>
        </w:tc>
        <w:tc>
          <w:tcPr>
            <w:tcW w:w="1275" w:type="dxa"/>
            <w:vAlign w:val="center"/>
          </w:tcPr>
          <w:p w14:paraId="4CABA422" w14:textId="77777777" w:rsidR="00644151" w:rsidRDefault="00425878">
            <w:pPr>
              <w:jc w:val="center"/>
              <w:rPr>
                <w:sz w:val="16"/>
                <w:szCs w:val="16"/>
              </w:rPr>
            </w:pPr>
            <w:r>
              <w:rPr>
                <w:sz w:val="16"/>
                <w:szCs w:val="16"/>
              </w:rPr>
              <w:t>2.3%</w:t>
            </w:r>
          </w:p>
        </w:tc>
        <w:tc>
          <w:tcPr>
            <w:tcW w:w="1135" w:type="dxa"/>
            <w:vAlign w:val="center"/>
          </w:tcPr>
          <w:p w14:paraId="6FC48178" w14:textId="77777777" w:rsidR="00644151" w:rsidRDefault="00425878">
            <w:pPr>
              <w:jc w:val="center"/>
              <w:rPr>
                <w:sz w:val="16"/>
                <w:szCs w:val="16"/>
              </w:rPr>
            </w:pPr>
            <w:r>
              <w:rPr>
                <w:sz w:val="16"/>
                <w:szCs w:val="16"/>
              </w:rPr>
              <w:t>9</w:t>
            </w:r>
          </w:p>
        </w:tc>
        <w:tc>
          <w:tcPr>
            <w:tcW w:w="992" w:type="dxa"/>
            <w:vAlign w:val="center"/>
          </w:tcPr>
          <w:p w14:paraId="60A7CD41" w14:textId="77777777" w:rsidR="00644151" w:rsidRDefault="00425878">
            <w:pPr>
              <w:jc w:val="center"/>
              <w:rPr>
                <w:sz w:val="16"/>
                <w:szCs w:val="16"/>
              </w:rPr>
            </w:pPr>
            <w:r>
              <w:rPr>
                <w:sz w:val="16"/>
                <w:szCs w:val="16"/>
              </w:rPr>
              <w:t>175</w:t>
            </w:r>
          </w:p>
        </w:tc>
        <w:tc>
          <w:tcPr>
            <w:tcW w:w="992" w:type="dxa"/>
            <w:vAlign w:val="center"/>
          </w:tcPr>
          <w:p w14:paraId="207A2FC6" w14:textId="77777777" w:rsidR="00644151" w:rsidRDefault="00425878">
            <w:pPr>
              <w:jc w:val="center"/>
              <w:rPr>
                <w:sz w:val="16"/>
                <w:szCs w:val="16"/>
              </w:rPr>
            </w:pPr>
            <w:r>
              <w:rPr>
                <w:sz w:val="16"/>
                <w:szCs w:val="16"/>
              </w:rPr>
              <w:t>76</w:t>
            </w:r>
          </w:p>
        </w:tc>
        <w:tc>
          <w:tcPr>
            <w:tcW w:w="1133" w:type="dxa"/>
            <w:vAlign w:val="center"/>
          </w:tcPr>
          <w:p w14:paraId="0A878DC2" w14:textId="77777777" w:rsidR="00644151" w:rsidRDefault="00425878">
            <w:pPr>
              <w:jc w:val="center"/>
              <w:rPr>
                <w:sz w:val="16"/>
                <w:szCs w:val="16"/>
              </w:rPr>
            </w:pPr>
            <w:r>
              <w:rPr>
                <w:sz w:val="16"/>
                <w:szCs w:val="16"/>
              </w:rPr>
              <w:t>15</w:t>
            </w:r>
          </w:p>
        </w:tc>
      </w:tr>
      <w:tr w:rsidR="00644151" w14:paraId="73ACFE4E" w14:textId="77777777">
        <w:trPr>
          <w:trHeight w:val="300"/>
        </w:trPr>
        <w:tc>
          <w:tcPr>
            <w:tcW w:w="1560" w:type="dxa"/>
            <w:vAlign w:val="center"/>
          </w:tcPr>
          <w:p w14:paraId="37A1229F" w14:textId="77777777" w:rsidR="00644151" w:rsidRDefault="00425878">
            <w:pPr>
              <w:jc w:val="left"/>
              <w:rPr>
                <w:sz w:val="16"/>
                <w:szCs w:val="16"/>
              </w:rPr>
            </w:pPr>
            <w:r>
              <w:rPr>
                <w:sz w:val="16"/>
                <w:szCs w:val="16"/>
              </w:rPr>
              <w:t>Adultos jóvenes (25 a 39 años)</w:t>
            </w:r>
          </w:p>
        </w:tc>
        <w:tc>
          <w:tcPr>
            <w:tcW w:w="994" w:type="dxa"/>
            <w:vAlign w:val="center"/>
          </w:tcPr>
          <w:p w14:paraId="3BBA11A4" w14:textId="77777777" w:rsidR="00644151" w:rsidRDefault="00425878">
            <w:pPr>
              <w:jc w:val="center"/>
              <w:rPr>
                <w:sz w:val="16"/>
                <w:szCs w:val="16"/>
              </w:rPr>
            </w:pPr>
            <w:r>
              <w:rPr>
                <w:sz w:val="16"/>
                <w:szCs w:val="16"/>
              </w:rPr>
              <w:t>434,724</w:t>
            </w:r>
          </w:p>
        </w:tc>
        <w:tc>
          <w:tcPr>
            <w:tcW w:w="1134" w:type="dxa"/>
            <w:vAlign w:val="center"/>
          </w:tcPr>
          <w:p w14:paraId="6C439F49" w14:textId="77777777" w:rsidR="00644151" w:rsidRDefault="00425878">
            <w:pPr>
              <w:jc w:val="center"/>
              <w:rPr>
                <w:sz w:val="16"/>
                <w:szCs w:val="16"/>
              </w:rPr>
            </w:pPr>
            <w:r>
              <w:rPr>
                <w:sz w:val="16"/>
                <w:szCs w:val="16"/>
              </w:rPr>
              <w:t>836</w:t>
            </w:r>
          </w:p>
        </w:tc>
        <w:tc>
          <w:tcPr>
            <w:tcW w:w="1275" w:type="dxa"/>
            <w:vAlign w:val="center"/>
          </w:tcPr>
          <w:p w14:paraId="7942A422" w14:textId="77777777" w:rsidR="00644151" w:rsidRDefault="00425878">
            <w:pPr>
              <w:jc w:val="center"/>
              <w:rPr>
                <w:sz w:val="16"/>
                <w:szCs w:val="16"/>
              </w:rPr>
            </w:pPr>
            <w:r>
              <w:rPr>
                <w:sz w:val="16"/>
                <w:szCs w:val="16"/>
              </w:rPr>
              <w:t>7.1%</w:t>
            </w:r>
          </w:p>
        </w:tc>
        <w:tc>
          <w:tcPr>
            <w:tcW w:w="1135" w:type="dxa"/>
            <w:vAlign w:val="center"/>
          </w:tcPr>
          <w:p w14:paraId="0C9FACDB" w14:textId="77777777" w:rsidR="00644151" w:rsidRDefault="00425878">
            <w:pPr>
              <w:jc w:val="center"/>
              <w:rPr>
                <w:sz w:val="16"/>
                <w:szCs w:val="16"/>
              </w:rPr>
            </w:pPr>
            <w:r>
              <w:rPr>
                <w:sz w:val="16"/>
                <w:szCs w:val="16"/>
              </w:rPr>
              <w:t>19</w:t>
            </w:r>
          </w:p>
        </w:tc>
        <w:tc>
          <w:tcPr>
            <w:tcW w:w="992" w:type="dxa"/>
            <w:vAlign w:val="center"/>
          </w:tcPr>
          <w:p w14:paraId="64B714D0" w14:textId="77777777" w:rsidR="00644151" w:rsidRDefault="00425878">
            <w:pPr>
              <w:jc w:val="center"/>
              <w:rPr>
                <w:sz w:val="16"/>
                <w:szCs w:val="16"/>
              </w:rPr>
            </w:pPr>
            <w:r>
              <w:rPr>
                <w:sz w:val="16"/>
                <w:szCs w:val="16"/>
              </w:rPr>
              <w:t>343</w:t>
            </w:r>
          </w:p>
        </w:tc>
        <w:tc>
          <w:tcPr>
            <w:tcW w:w="992" w:type="dxa"/>
            <w:vAlign w:val="center"/>
          </w:tcPr>
          <w:p w14:paraId="5EA665CC" w14:textId="77777777" w:rsidR="00644151" w:rsidRDefault="00425878">
            <w:pPr>
              <w:jc w:val="center"/>
              <w:rPr>
                <w:sz w:val="16"/>
                <w:szCs w:val="16"/>
              </w:rPr>
            </w:pPr>
            <w:r>
              <w:rPr>
                <w:sz w:val="16"/>
                <w:szCs w:val="16"/>
              </w:rPr>
              <w:t>385</w:t>
            </w:r>
          </w:p>
        </w:tc>
        <w:tc>
          <w:tcPr>
            <w:tcW w:w="1133" w:type="dxa"/>
            <w:vAlign w:val="center"/>
          </w:tcPr>
          <w:p w14:paraId="309C3514" w14:textId="77777777" w:rsidR="00644151" w:rsidRDefault="00425878">
            <w:pPr>
              <w:jc w:val="center"/>
              <w:rPr>
                <w:sz w:val="16"/>
                <w:szCs w:val="16"/>
              </w:rPr>
            </w:pPr>
            <w:r>
              <w:rPr>
                <w:sz w:val="16"/>
                <w:szCs w:val="16"/>
              </w:rPr>
              <w:t>108</w:t>
            </w:r>
          </w:p>
        </w:tc>
      </w:tr>
      <w:tr w:rsidR="00644151" w14:paraId="7B137467" w14:textId="77777777">
        <w:trPr>
          <w:trHeight w:val="300"/>
        </w:trPr>
        <w:tc>
          <w:tcPr>
            <w:tcW w:w="1560" w:type="dxa"/>
            <w:vAlign w:val="center"/>
          </w:tcPr>
          <w:p w14:paraId="4EA4DF76" w14:textId="56288168" w:rsidR="00644151" w:rsidRDefault="007A4743">
            <w:pPr>
              <w:jc w:val="left"/>
              <w:rPr>
                <w:sz w:val="16"/>
                <w:szCs w:val="16"/>
              </w:rPr>
            </w:pPr>
            <w:r>
              <w:rPr>
                <w:sz w:val="16"/>
                <w:szCs w:val="16"/>
              </w:rPr>
              <w:t>Adultos (</w:t>
            </w:r>
            <w:r w:rsidR="00425878">
              <w:rPr>
                <w:sz w:val="16"/>
                <w:szCs w:val="16"/>
              </w:rPr>
              <w:t>40 a 64 años)</w:t>
            </w:r>
          </w:p>
        </w:tc>
        <w:tc>
          <w:tcPr>
            <w:tcW w:w="994" w:type="dxa"/>
            <w:vAlign w:val="center"/>
          </w:tcPr>
          <w:p w14:paraId="261D85B7" w14:textId="77777777" w:rsidR="00644151" w:rsidRDefault="00425878">
            <w:pPr>
              <w:jc w:val="center"/>
              <w:rPr>
                <w:sz w:val="16"/>
                <w:szCs w:val="16"/>
              </w:rPr>
            </w:pPr>
            <w:r>
              <w:rPr>
                <w:sz w:val="16"/>
                <w:szCs w:val="16"/>
              </w:rPr>
              <w:t>555,141</w:t>
            </w:r>
          </w:p>
        </w:tc>
        <w:tc>
          <w:tcPr>
            <w:tcW w:w="1134" w:type="dxa"/>
            <w:vAlign w:val="center"/>
          </w:tcPr>
          <w:p w14:paraId="559F7AC5" w14:textId="77777777" w:rsidR="00644151" w:rsidRDefault="00425878">
            <w:pPr>
              <w:jc w:val="center"/>
              <w:rPr>
                <w:sz w:val="16"/>
                <w:szCs w:val="16"/>
              </w:rPr>
            </w:pPr>
            <w:r>
              <w:rPr>
                <w:sz w:val="16"/>
                <w:szCs w:val="16"/>
              </w:rPr>
              <w:t>3,588</w:t>
            </w:r>
          </w:p>
        </w:tc>
        <w:tc>
          <w:tcPr>
            <w:tcW w:w="1275" w:type="dxa"/>
            <w:vAlign w:val="center"/>
          </w:tcPr>
          <w:p w14:paraId="6235C7BB" w14:textId="77777777" w:rsidR="00644151" w:rsidRDefault="00425878">
            <w:pPr>
              <w:jc w:val="center"/>
              <w:rPr>
                <w:sz w:val="16"/>
                <w:szCs w:val="16"/>
              </w:rPr>
            </w:pPr>
            <w:r>
              <w:rPr>
                <w:sz w:val="16"/>
                <w:szCs w:val="16"/>
              </w:rPr>
              <w:t>30.6%</w:t>
            </w:r>
          </w:p>
        </w:tc>
        <w:tc>
          <w:tcPr>
            <w:tcW w:w="1135" w:type="dxa"/>
            <w:vAlign w:val="center"/>
          </w:tcPr>
          <w:p w14:paraId="443C4DEA" w14:textId="77777777" w:rsidR="00644151" w:rsidRDefault="00425878">
            <w:pPr>
              <w:jc w:val="center"/>
              <w:rPr>
                <w:sz w:val="16"/>
                <w:szCs w:val="16"/>
              </w:rPr>
            </w:pPr>
            <w:r>
              <w:rPr>
                <w:sz w:val="16"/>
                <w:szCs w:val="16"/>
              </w:rPr>
              <w:t>65</w:t>
            </w:r>
          </w:p>
        </w:tc>
        <w:tc>
          <w:tcPr>
            <w:tcW w:w="992" w:type="dxa"/>
            <w:vAlign w:val="center"/>
          </w:tcPr>
          <w:p w14:paraId="5885E2F2" w14:textId="77777777" w:rsidR="00644151" w:rsidRDefault="00425878">
            <w:pPr>
              <w:jc w:val="center"/>
              <w:rPr>
                <w:sz w:val="16"/>
                <w:szCs w:val="16"/>
              </w:rPr>
            </w:pPr>
            <w:r>
              <w:rPr>
                <w:sz w:val="16"/>
                <w:szCs w:val="16"/>
              </w:rPr>
              <w:t>300</w:t>
            </w:r>
          </w:p>
        </w:tc>
        <w:tc>
          <w:tcPr>
            <w:tcW w:w="992" w:type="dxa"/>
            <w:vAlign w:val="center"/>
          </w:tcPr>
          <w:p w14:paraId="23604F0F" w14:textId="77777777" w:rsidR="00644151" w:rsidRDefault="00425878">
            <w:pPr>
              <w:jc w:val="center"/>
              <w:rPr>
                <w:sz w:val="16"/>
                <w:szCs w:val="16"/>
              </w:rPr>
            </w:pPr>
            <w:r>
              <w:rPr>
                <w:sz w:val="16"/>
                <w:szCs w:val="16"/>
              </w:rPr>
              <w:t>2,928</w:t>
            </w:r>
          </w:p>
        </w:tc>
        <w:tc>
          <w:tcPr>
            <w:tcW w:w="1133" w:type="dxa"/>
            <w:vAlign w:val="center"/>
          </w:tcPr>
          <w:p w14:paraId="40C5B091" w14:textId="77777777" w:rsidR="00644151" w:rsidRDefault="00425878">
            <w:pPr>
              <w:jc w:val="center"/>
              <w:rPr>
                <w:sz w:val="16"/>
                <w:szCs w:val="16"/>
              </w:rPr>
            </w:pPr>
            <w:r>
              <w:rPr>
                <w:sz w:val="16"/>
                <w:szCs w:val="16"/>
              </w:rPr>
              <w:t>360</w:t>
            </w:r>
          </w:p>
        </w:tc>
      </w:tr>
      <w:tr w:rsidR="00644151" w14:paraId="185766A9" w14:textId="77777777">
        <w:trPr>
          <w:trHeight w:val="300"/>
        </w:trPr>
        <w:tc>
          <w:tcPr>
            <w:tcW w:w="1560" w:type="dxa"/>
            <w:vAlign w:val="center"/>
          </w:tcPr>
          <w:p w14:paraId="3465896E" w14:textId="78A14592" w:rsidR="00644151" w:rsidRDefault="00425878">
            <w:pPr>
              <w:jc w:val="left"/>
              <w:rPr>
                <w:sz w:val="16"/>
                <w:szCs w:val="16"/>
              </w:rPr>
            </w:pPr>
            <w:r>
              <w:rPr>
                <w:sz w:val="16"/>
                <w:szCs w:val="16"/>
              </w:rPr>
              <w:t xml:space="preserve">Adultos </w:t>
            </w:r>
            <w:r w:rsidR="007A4743">
              <w:rPr>
                <w:sz w:val="16"/>
                <w:szCs w:val="16"/>
              </w:rPr>
              <w:t>mayores (</w:t>
            </w:r>
            <w:r>
              <w:rPr>
                <w:sz w:val="16"/>
                <w:szCs w:val="16"/>
              </w:rPr>
              <w:t>65 años y más)</w:t>
            </w:r>
          </w:p>
        </w:tc>
        <w:tc>
          <w:tcPr>
            <w:tcW w:w="994" w:type="dxa"/>
            <w:vAlign w:val="center"/>
          </w:tcPr>
          <w:p w14:paraId="36561E19" w14:textId="77777777" w:rsidR="00644151" w:rsidRDefault="00425878">
            <w:pPr>
              <w:jc w:val="center"/>
              <w:rPr>
                <w:sz w:val="16"/>
                <w:szCs w:val="16"/>
              </w:rPr>
            </w:pPr>
            <w:r>
              <w:rPr>
                <w:sz w:val="16"/>
                <w:szCs w:val="16"/>
              </w:rPr>
              <w:t>166,281</w:t>
            </w:r>
          </w:p>
        </w:tc>
        <w:tc>
          <w:tcPr>
            <w:tcW w:w="1134" w:type="dxa"/>
            <w:vAlign w:val="center"/>
          </w:tcPr>
          <w:p w14:paraId="20CD7675" w14:textId="77777777" w:rsidR="00644151" w:rsidRDefault="00425878">
            <w:pPr>
              <w:jc w:val="center"/>
              <w:rPr>
                <w:sz w:val="16"/>
                <w:szCs w:val="16"/>
              </w:rPr>
            </w:pPr>
            <w:r>
              <w:rPr>
                <w:sz w:val="16"/>
                <w:szCs w:val="16"/>
              </w:rPr>
              <w:t>6,665</w:t>
            </w:r>
          </w:p>
        </w:tc>
        <w:tc>
          <w:tcPr>
            <w:tcW w:w="1275" w:type="dxa"/>
            <w:vAlign w:val="center"/>
          </w:tcPr>
          <w:p w14:paraId="05462406" w14:textId="77777777" w:rsidR="00644151" w:rsidRDefault="00425878">
            <w:pPr>
              <w:jc w:val="center"/>
              <w:rPr>
                <w:sz w:val="16"/>
                <w:szCs w:val="16"/>
              </w:rPr>
            </w:pPr>
            <w:r>
              <w:rPr>
                <w:sz w:val="16"/>
                <w:szCs w:val="16"/>
              </w:rPr>
              <w:t>56.8%</w:t>
            </w:r>
          </w:p>
        </w:tc>
        <w:tc>
          <w:tcPr>
            <w:tcW w:w="1135" w:type="dxa"/>
            <w:vAlign w:val="center"/>
          </w:tcPr>
          <w:p w14:paraId="6EE0B286" w14:textId="77777777" w:rsidR="00644151" w:rsidRDefault="00425878">
            <w:pPr>
              <w:jc w:val="center"/>
              <w:rPr>
                <w:sz w:val="16"/>
                <w:szCs w:val="16"/>
              </w:rPr>
            </w:pPr>
            <w:r>
              <w:rPr>
                <w:sz w:val="16"/>
                <w:szCs w:val="16"/>
              </w:rPr>
              <w:t>401</w:t>
            </w:r>
          </w:p>
        </w:tc>
        <w:tc>
          <w:tcPr>
            <w:tcW w:w="992" w:type="dxa"/>
            <w:vAlign w:val="center"/>
          </w:tcPr>
          <w:p w14:paraId="3D2DAF4C" w14:textId="77777777" w:rsidR="00644151" w:rsidRDefault="00425878">
            <w:pPr>
              <w:jc w:val="center"/>
              <w:rPr>
                <w:sz w:val="16"/>
                <w:szCs w:val="16"/>
              </w:rPr>
            </w:pPr>
            <w:r>
              <w:rPr>
                <w:sz w:val="16"/>
                <w:szCs w:val="16"/>
              </w:rPr>
              <w:t>137</w:t>
            </w:r>
          </w:p>
        </w:tc>
        <w:tc>
          <w:tcPr>
            <w:tcW w:w="992" w:type="dxa"/>
            <w:vAlign w:val="center"/>
          </w:tcPr>
          <w:p w14:paraId="1CAAD0C0" w14:textId="77777777" w:rsidR="00644151" w:rsidRDefault="00425878">
            <w:pPr>
              <w:jc w:val="center"/>
              <w:rPr>
                <w:sz w:val="16"/>
                <w:szCs w:val="16"/>
              </w:rPr>
            </w:pPr>
            <w:r>
              <w:rPr>
                <w:sz w:val="16"/>
                <w:szCs w:val="16"/>
              </w:rPr>
              <w:t>5,614</w:t>
            </w:r>
          </w:p>
        </w:tc>
        <w:tc>
          <w:tcPr>
            <w:tcW w:w="1133" w:type="dxa"/>
            <w:vAlign w:val="center"/>
          </w:tcPr>
          <w:p w14:paraId="60171CEE" w14:textId="77777777" w:rsidR="00644151" w:rsidRDefault="00425878">
            <w:pPr>
              <w:jc w:val="center"/>
              <w:rPr>
                <w:sz w:val="16"/>
                <w:szCs w:val="16"/>
              </w:rPr>
            </w:pPr>
            <w:r>
              <w:rPr>
                <w:sz w:val="16"/>
                <w:szCs w:val="16"/>
              </w:rPr>
              <w:t>914</w:t>
            </w:r>
          </w:p>
          <w:p w14:paraId="71BDC5BA" w14:textId="77777777" w:rsidR="00644151" w:rsidRDefault="00644151">
            <w:pPr>
              <w:jc w:val="center"/>
              <w:rPr>
                <w:sz w:val="16"/>
                <w:szCs w:val="16"/>
              </w:rPr>
            </w:pPr>
          </w:p>
        </w:tc>
      </w:tr>
      <w:tr w:rsidR="00644151" w14:paraId="0C08A17D" w14:textId="77777777">
        <w:trPr>
          <w:trHeight w:val="300"/>
        </w:trPr>
        <w:tc>
          <w:tcPr>
            <w:tcW w:w="1560" w:type="dxa"/>
            <w:vAlign w:val="center"/>
          </w:tcPr>
          <w:p w14:paraId="6C0A1F0F" w14:textId="77777777" w:rsidR="00644151" w:rsidRDefault="00425878">
            <w:pPr>
              <w:jc w:val="left"/>
              <w:rPr>
                <w:sz w:val="16"/>
                <w:szCs w:val="16"/>
              </w:rPr>
            </w:pPr>
            <w:r>
              <w:rPr>
                <w:sz w:val="16"/>
                <w:szCs w:val="16"/>
              </w:rPr>
              <w:t>% de enfermedades</w:t>
            </w:r>
          </w:p>
        </w:tc>
        <w:tc>
          <w:tcPr>
            <w:tcW w:w="994" w:type="dxa"/>
            <w:vAlign w:val="center"/>
          </w:tcPr>
          <w:p w14:paraId="5B566F18" w14:textId="77777777" w:rsidR="00644151" w:rsidRDefault="00644151">
            <w:pPr>
              <w:rPr>
                <w:sz w:val="16"/>
                <w:szCs w:val="16"/>
              </w:rPr>
            </w:pPr>
          </w:p>
        </w:tc>
        <w:tc>
          <w:tcPr>
            <w:tcW w:w="1134" w:type="dxa"/>
            <w:vAlign w:val="center"/>
          </w:tcPr>
          <w:p w14:paraId="1DF0D43F" w14:textId="77777777" w:rsidR="00644151" w:rsidRDefault="00644151">
            <w:pPr>
              <w:rPr>
                <w:sz w:val="16"/>
                <w:szCs w:val="16"/>
              </w:rPr>
            </w:pPr>
          </w:p>
        </w:tc>
        <w:tc>
          <w:tcPr>
            <w:tcW w:w="1275" w:type="dxa"/>
            <w:vAlign w:val="center"/>
          </w:tcPr>
          <w:p w14:paraId="3B0B3746" w14:textId="77777777" w:rsidR="00644151" w:rsidRDefault="00644151">
            <w:pPr>
              <w:rPr>
                <w:sz w:val="16"/>
                <w:szCs w:val="16"/>
              </w:rPr>
            </w:pPr>
          </w:p>
        </w:tc>
        <w:tc>
          <w:tcPr>
            <w:tcW w:w="1135" w:type="dxa"/>
            <w:vAlign w:val="center"/>
          </w:tcPr>
          <w:p w14:paraId="38544FB9" w14:textId="77777777" w:rsidR="00644151" w:rsidRDefault="00644151">
            <w:pPr>
              <w:rPr>
                <w:sz w:val="16"/>
                <w:szCs w:val="16"/>
              </w:rPr>
            </w:pPr>
          </w:p>
        </w:tc>
        <w:tc>
          <w:tcPr>
            <w:tcW w:w="992" w:type="dxa"/>
            <w:vAlign w:val="center"/>
          </w:tcPr>
          <w:p w14:paraId="15833723" w14:textId="77777777" w:rsidR="00644151" w:rsidRDefault="00425878">
            <w:pPr>
              <w:jc w:val="center"/>
              <w:rPr>
                <w:color w:val="808080"/>
                <w:sz w:val="16"/>
                <w:szCs w:val="16"/>
              </w:rPr>
            </w:pPr>
            <w:r>
              <w:rPr>
                <w:color w:val="808080"/>
                <w:sz w:val="16"/>
                <w:szCs w:val="16"/>
              </w:rPr>
              <w:t>10.5%</w:t>
            </w:r>
          </w:p>
        </w:tc>
        <w:tc>
          <w:tcPr>
            <w:tcW w:w="992" w:type="dxa"/>
            <w:vAlign w:val="center"/>
          </w:tcPr>
          <w:p w14:paraId="65E705C4" w14:textId="77777777" w:rsidR="00644151" w:rsidRDefault="00425878">
            <w:pPr>
              <w:jc w:val="center"/>
              <w:rPr>
                <w:color w:val="808080"/>
                <w:sz w:val="16"/>
                <w:szCs w:val="16"/>
              </w:rPr>
            </w:pPr>
            <w:r>
              <w:rPr>
                <w:color w:val="808080"/>
                <w:sz w:val="16"/>
                <w:szCs w:val="16"/>
              </w:rPr>
              <w:t>77.3%</w:t>
            </w:r>
          </w:p>
        </w:tc>
        <w:tc>
          <w:tcPr>
            <w:tcW w:w="1133" w:type="dxa"/>
            <w:vAlign w:val="center"/>
          </w:tcPr>
          <w:p w14:paraId="6AD5180D" w14:textId="77777777" w:rsidR="00644151" w:rsidRDefault="00425878">
            <w:pPr>
              <w:jc w:val="center"/>
              <w:rPr>
                <w:color w:val="808080"/>
                <w:sz w:val="16"/>
                <w:szCs w:val="16"/>
              </w:rPr>
            </w:pPr>
            <w:r>
              <w:rPr>
                <w:color w:val="808080"/>
                <w:sz w:val="16"/>
                <w:szCs w:val="16"/>
              </w:rPr>
              <w:t>12.2%</w:t>
            </w:r>
          </w:p>
        </w:tc>
      </w:tr>
      <w:tr w:rsidR="00644151" w14:paraId="74F3C471" w14:textId="77777777">
        <w:trPr>
          <w:trHeight w:val="300"/>
        </w:trPr>
        <w:tc>
          <w:tcPr>
            <w:tcW w:w="1560" w:type="dxa"/>
            <w:vAlign w:val="center"/>
          </w:tcPr>
          <w:p w14:paraId="4227E824" w14:textId="77777777" w:rsidR="00644151" w:rsidRDefault="00425878">
            <w:pPr>
              <w:rPr>
                <w:b/>
                <w:sz w:val="16"/>
                <w:szCs w:val="16"/>
              </w:rPr>
            </w:pPr>
            <w:r>
              <w:rPr>
                <w:b/>
                <w:sz w:val="16"/>
                <w:szCs w:val="16"/>
              </w:rPr>
              <w:t>Total, general</w:t>
            </w:r>
          </w:p>
        </w:tc>
        <w:tc>
          <w:tcPr>
            <w:tcW w:w="994" w:type="dxa"/>
            <w:vAlign w:val="center"/>
          </w:tcPr>
          <w:p w14:paraId="10017B9B" w14:textId="77777777" w:rsidR="00644151" w:rsidRDefault="00425878">
            <w:pPr>
              <w:jc w:val="center"/>
              <w:rPr>
                <w:b/>
                <w:sz w:val="16"/>
                <w:szCs w:val="16"/>
              </w:rPr>
            </w:pPr>
            <w:r>
              <w:rPr>
                <w:b/>
                <w:sz w:val="16"/>
                <w:szCs w:val="16"/>
              </w:rPr>
              <w:t>1,833,506</w:t>
            </w:r>
          </w:p>
        </w:tc>
        <w:tc>
          <w:tcPr>
            <w:tcW w:w="1134" w:type="dxa"/>
            <w:vAlign w:val="center"/>
          </w:tcPr>
          <w:p w14:paraId="23EFAA93" w14:textId="77777777" w:rsidR="00644151" w:rsidRDefault="00425878">
            <w:pPr>
              <w:jc w:val="center"/>
              <w:rPr>
                <w:b/>
                <w:sz w:val="16"/>
                <w:szCs w:val="16"/>
              </w:rPr>
            </w:pPr>
            <w:r>
              <w:rPr>
                <w:b/>
                <w:sz w:val="16"/>
                <w:szCs w:val="16"/>
              </w:rPr>
              <w:t>11,733</w:t>
            </w:r>
          </w:p>
        </w:tc>
        <w:tc>
          <w:tcPr>
            <w:tcW w:w="1275" w:type="dxa"/>
            <w:vAlign w:val="center"/>
          </w:tcPr>
          <w:p w14:paraId="3C6F84E5" w14:textId="77777777" w:rsidR="00644151" w:rsidRDefault="00425878">
            <w:pPr>
              <w:jc w:val="center"/>
              <w:rPr>
                <w:b/>
                <w:sz w:val="16"/>
                <w:szCs w:val="16"/>
              </w:rPr>
            </w:pPr>
            <w:r>
              <w:rPr>
                <w:b/>
                <w:sz w:val="16"/>
                <w:szCs w:val="16"/>
              </w:rPr>
              <w:t>100%</w:t>
            </w:r>
          </w:p>
        </w:tc>
        <w:tc>
          <w:tcPr>
            <w:tcW w:w="1135" w:type="dxa"/>
            <w:vAlign w:val="center"/>
          </w:tcPr>
          <w:p w14:paraId="1D4A2793" w14:textId="77777777" w:rsidR="00644151" w:rsidRDefault="00425878">
            <w:pPr>
              <w:jc w:val="center"/>
              <w:rPr>
                <w:b/>
                <w:sz w:val="16"/>
                <w:szCs w:val="16"/>
              </w:rPr>
            </w:pPr>
            <w:r>
              <w:rPr>
                <w:b/>
                <w:sz w:val="16"/>
                <w:szCs w:val="16"/>
              </w:rPr>
              <w:t>64*</w:t>
            </w:r>
          </w:p>
        </w:tc>
        <w:tc>
          <w:tcPr>
            <w:tcW w:w="992" w:type="dxa"/>
            <w:vAlign w:val="center"/>
          </w:tcPr>
          <w:p w14:paraId="40DCF8D6" w14:textId="77777777" w:rsidR="00644151" w:rsidRDefault="00425878">
            <w:pPr>
              <w:jc w:val="center"/>
              <w:rPr>
                <w:b/>
                <w:sz w:val="16"/>
                <w:szCs w:val="16"/>
              </w:rPr>
            </w:pPr>
            <w:r>
              <w:rPr>
                <w:b/>
                <w:sz w:val="16"/>
                <w:szCs w:val="16"/>
              </w:rPr>
              <w:t>1,236</w:t>
            </w:r>
          </w:p>
        </w:tc>
        <w:tc>
          <w:tcPr>
            <w:tcW w:w="992" w:type="dxa"/>
            <w:vAlign w:val="center"/>
          </w:tcPr>
          <w:p w14:paraId="7842F9B0" w14:textId="77777777" w:rsidR="00644151" w:rsidRDefault="00425878">
            <w:pPr>
              <w:jc w:val="center"/>
              <w:rPr>
                <w:b/>
                <w:sz w:val="16"/>
                <w:szCs w:val="16"/>
              </w:rPr>
            </w:pPr>
            <w:r>
              <w:rPr>
                <w:b/>
                <w:sz w:val="16"/>
                <w:szCs w:val="16"/>
              </w:rPr>
              <w:t>9,071</w:t>
            </w:r>
          </w:p>
        </w:tc>
        <w:tc>
          <w:tcPr>
            <w:tcW w:w="1133" w:type="dxa"/>
            <w:vAlign w:val="center"/>
          </w:tcPr>
          <w:p w14:paraId="3C71CDDF" w14:textId="77777777" w:rsidR="00644151" w:rsidRDefault="00425878">
            <w:pPr>
              <w:jc w:val="center"/>
              <w:rPr>
                <w:b/>
                <w:sz w:val="16"/>
                <w:szCs w:val="16"/>
              </w:rPr>
            </w:pPr>
            <w:r>
              <w:rPr>
                <w:b/>
                <w:sz w:val="16"/>
                <w:szCs w:val="16"/>
              </w:rPr>
              <w:t>1,426</w:t>
            </w:r>
          </w:p>
        </w:tc>
      </w:tr>
    </w:tbl>
    <w:p w14:paraId="46C41A7D" w14:textId="77777777" w:rsidR="00644151" w:rsidRDefault="00425878">
      <w:pPr>
        <w:spacing w:after="0"/>
        <w:rPr>
          <w:sz w:val="18"/>
          <w:szCs w:val="18"/>
        </w:rPr>
      </w:pPr>
      <w:r>
        <w:rPr>
          <w:sz w:val="18"/>
          <w:szCs w:val="18"/>
        </w:rPr>
        <w:t>*Por cada 10 000 habitantes</w:t>
      </w:r>
    </w:p>
    <w:p w14:paraId="6C38F590" w14:textId="77777777" w:rsidR="00644151" w:rsidRDefault="00425878">
      <w:pPr>
        <w:spacing w:after="0"/>
        <w:rPr>
          <w:sz w:val="22"/>
          <w:szCs w:val="22"/>
        </w:rPr>
      </w:pPr>
      <w:r>
        <w:rPr>
          <w:sz w:val="22"/>
          <w:szCs w:val="22"/>
        </w:rPr>
        <w:t>Fuente: Elaboración propia a partir de datos abiertos del registro de defunciones del año 2019 de la Secretaría de Salud.</w:t>
      </w:r>
    </w:p>
    <w:p w14:paraId="60319271" w14:textId="77777777" w:rsidR="00644151" w:rsidRDefault="00644151">
      <w:pPr>
        <w:spacing w:after="0"/>
        <w:rPr>
          <w:sz w:val="22"/>
          <w:szCs w:val="22"/>
        </w:rPr>
      </w:pPr>
    </w:p>
    <w:p w14:paraId="68CBE013" w14:textId="77777777" w:rsidR="00644151" w:rsidRDefault="00425878">
      <w:pPr>
        <w:spacing w:after="0" w:line="360" w:lineRule="auto"/>
      </w:pPr>
      <w:r>
        <w:t>Es importante destacar que durante este periodo las enfermedades infecciosas reportan un mayor número de defunciones con 313 registros más que en 2000 sin embargo en términos porcentuales estas se redujeron en un 2%, las enfermedades crónico-degenerativas reportan un alza significativa con 4 095 casos, 9.7% más que en el año 2000 y las enfermedades causadas por el hombre registran una diferencia de -34 defunciones que representa hasta el 7.7% menos que en 2000, por lo que es evidente que durante este periodo las enfermedades crónico degenerativas han aumentado en una proporción prácticamente de dos a uno.</w:t>
      </w:r>
    </w:p>
    <w:p w14:paraId="70602FBC" w14:textId="77777777" w:rsidR="00644151" w:rsidRDefault="00644151">
      <w:pPr>
        <w:spacing w:after="0" w:line="360" w:lineRule="auto"/>
        <w:rPr>
          <w:sz w:val="22"/>
          <w:szCs w:val="22"/>
        </w:rPr>
      </w:pPr>
    </w:p>
    <w:p w14:paraId="351442A6" w14:textId="47374177" w:rsidR="00644151" w:rsidRDefault="00D70445">
      <w:pPr>
        <w:pStyle w:val="Ttulo2"/>
      </w:pPr>
      <w:bookmarkStart w:id="87" w:name="_Toc89075411"/>
      <w:r>
        <w:lastRenderedPageBreak/>
        <w:t xml:space="preserve">4.2 </w:t>
      </w:r>
      <w:r w:rsidR="00425878">
        <w:t>Plantilla interactiva</w:t>
      </w:r>
      <w:bookmarkEnd w:id="87"/>
    </w:p>
    <w:p w14:paraId="654D9DD0" w14:textId="77777777" w:rsidR="00644151" w:rsidRDefault="00425878">
      <w:pPr>
        <w:spacing w:line="360" w:lineRule="auto"/>
      </w:pPr>
      <w:r>
        <w:t xml:space="preserve">Como resultado de la metodología utilizada se ha alcanzado el diseño y la construcción de una plantilla interactiva en una página web, la cual se encuentra almacenada en un servidor web </w:t>
      </w:r>
      <w:r>
        <w:rPr>
          <w:i/>
        </w:rPr>
        <w:t xml:space="preserve">HTTP </w:t>
      </w:r>
      <w:r>
        <w:t xml:space="preserve">local, capaz de servir documentos </w:t>
      </w:r>
      <w:r>
        <w:rPr>
          <w:i/>
        </w:rPr>
        <w:t>HTML</w:t>
      </w:r>
      <w:r>
        <w:t xml:space="preserve">. </w:t>
      </w:r>
    </w:p>
    <w:p w14:paraId="6DAC27A6" w14:textId="77777777" w:rsidR="00644151" w:rsidRDefault="00425878">
      <w:pPr>
        <w:spacing w:line="360" w:lineRule="auto"/>
      </w:pPr>
      <w:r>
        <w:t xml:space="preserve">La plantilla se encuentra estructurada en una página </w:t>
      </w:r>
      <w:r>
        <w:rPr>
          <w:i/>
        </w:rPr>
        <w:t xml:space="preserve">HTML </w:t>
      </w:r>
      <w:r>
        <w:t xml:space="preserve">que centraliza la información al usuario final, la cual se conforma por cuatro secciones generales; un encabezado, un formulario, un área de mapa y un pie de página. Mediante el uso de una hoja de estilo </w:t>
      </w:r>
      <w:r w:rsidRPr="003B4330">
        <w:rPr>
          <w:i/>
          <w:iCs/>
        </w:rPr>
        <w:t>CSS</w:t>
      </w:r>
      <w:r>
        <w:t xml:space="preserve"> se definió el diseño del documento </w:t>
      </w:r>
      <w:r>
        <w:rPr>
          <w:i/>
        </w:rPr>
        <w:t xml:space="preserve">HTML </w:t>
      </w:r>
      <w:r>
        <w:t>como es el color, fuente, alineación del texto, tamaño, bordes, espaciado, capas y otras características tipográficas.</w:t>
      </w:r>
    </w:p>
    <w:p w14:paraId="007A0B83" w14:textId="77777777" w:rsidR="00644151" w:rsidRDefault="00425878">
      <w:pPr>
        <w:spacing w:line="360" w:lineRule="auto"/>
      </w:pPr>
      <w:r>
        <w:t xml:space="preserve">Con base a la oferta y la demanda del servicio, se diseñó y modeló la base de datos, siguiendo un modelo lógico y físico, donde se llevó a cabo en proceso de recopilación, estandarización, homogeneización y normalización de la información, para ser cargada y almacenada en el gestor de datos denominado </w:t>
      </w:r>
      <w:proofErr w:type="spellStart"/>
      <w:r>
        <w:rPr>
          <w:i/>
        </w:rPr>
        <w:t>PgAdmin</w:t>
      </w:r>
      <w:proofErr w:type="spellEnd"/>
      <w:r>
        <w:rPr>
          <w:i/>
        </w:rPr>
        <w:t xml:space="preserve"> 4.</w:t>
      </w:r>
      <w:r>
        <w:t xml:space="preserve"> </w:t>
      </w:r>
    </w:p>
    <w:p w14:paraId="65184BF9" w14:textId="77777777" w:rsidR="00644151" w:rsidRDefault="00425878">
      <w:pPr>
        <w:spacing w:line="360" w:lineRule="auto"/>
      </w:pPr>
      <w:r>
        <w:t xml:space="preserve">Por medio del uso del lenguaje de programación </w:t>
      </w:r>
      <w:r>
        <w:rPr>
          <w:i/>
        </w:rPr>
        <w:t>PHP</w:t>
      </w:r>
      <w:r>
        <w:t xml:space="preserve"> (</w:t>
      </w:r>
      <w:proofErr w:type="spellStart"/>
      <w:r>
        <w:t>Hypertext</w:t>
      </w:r>
      <w:proofErr w:type="spellEnd"/>
      <w:r>
        <w:t xml:space="preserve"> </w:t>
      </w:r>
      <w:proofErr w:type="spellStart"/>
      <w:r>
        <w:t>Preprocessor</w:t>
      </w:r>
      <w:proofErr w:type="spellEnd"/>
      <w:r>
        <w:t>), se fijó la conexión con la base de datos hacia el formulario con lo cual se estableció el almacenamiento, procesamiento, y la representación gráfica de los resultados de las consultas efectuadas en la plantilla interactiva.</w:t>
      </w:r>
    </w:p>
    <w:p w14:paraId="70276FD0" w14:textId="77777777" w:rsidR="00644151" w:rsidRDefault="00425878">
      <w:pPr>
        <w:spacing w:line="360" w:lineRule="auto"/>
      </w:pPr>
      <w:r>
        <w:t xml:space="preserve">Con el uso de </w:t>
      </w:r>
      <w:r>
        <w:rPr>
          <w:i/>
        </w:rPr>
        <w:t xml:space="preserve">JavaScript </w:t>
      </w:r>
      <w:r>
        <w:t xml:space="preserve">se ha añadido algunas características interactivas al sitio web, como la funcionalidad en los botones de “Regresar, Play y Continuar”, así como la carga con algunos módulos externos, como es el de gráficos dinámicos, </w:t>
      </w:r>
      <w:proofErr w:type="spellStart"/>
      <w:r>
        <w:rPr>
          <w:i/>
        </w:rPr>
        <w:t>LeafLeat</w:t>
      </w:r>
      <w:proofErr w:type="spellEnd"/>
      <w:r>
        <w:t xml:space="preserve"> y </w:t>
      </w:r>
      <w:proofErr w:type="spellStart"/>
      <w:r>
        <w:rPr>
          <w:i/>
        </w:rPr>
        <w:t>Geoserver</w:t>
      </w:r>
      <w:proofErr w:type="spellEnd"/>
      <w:r>
        <w:rPr>
          <w:i/>
        </w:rPr>
        <w:t xml:space="preserve"> </w:t>
      </w:r>
      <w:r>
        <w:t>requeridos en las secciones del formulario y del mapa.</w:t>
      </w:r>
    </w:p>
    <w:p w14:paraId="33F97A7F" w14:textId="77777777" w:rsidR="00644151" w:rsidRDefault="00425878">
      <w:pPr>
        <w:spacing w:line="360" w:lineRule="auto"/>
      </w:pPr>
      <w:r>
        <w:t xml:space="preserve">La Figura 14. Muestra una vista general de la página </w:t>
      </w:r>
      <w:r>
        <w:rPr>
          <w:i/>
        </w:rPr>
        <w:t>HTML</w:t>
      </w:r>
      <w:r>
        <w:t>, resultado de la maquetación y programación web.</w:t>
      </w:r>
    </w:p>
    <w:p w14:paraId="04DD1E66" w14:textId="77777777" w:rsidR="00644151" w:rsidRDefault="00425878">
      <w:r>
        <w:rPr>
          <w:noProof/>
        </w:rPr>
        <w:lastRenderedPageBreak/>
        <w:drawing>
          <wp:inline distT="0" distB="0" distL="0" distR="0" wp14:anchorId="1EF84A16" wp14:editId="363EF88C">
            <wp:extent cx="5612130" cy="4375150"/>
            <wp:effectExtent l="88900" t="88900" r="88900" b="88900"/>
            <wp:docPr id="99" name="image5.png" descr="Interfaz de usuario gráfica, Map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Interfaz de usuario gráfica, Mapa&#10;&#10;Descripción generada automáticamente"/>
                    <pic:cNvPicPr preferRelativeResize="0"/>
                  </pic:nvPicPr>
                  <pic:blipFill>
                    <a:blip r:embed="rId28"/>
                    <a:srcRect/>
                    <a:stretch>
                      <a:fillRect/>
                    </a:stretch>
                  </pic:blipFill>
                  <pic:spPr>
                    <a:xfrm>
                      <a:off x="0" y="0"/>
                      <a:ext cx="5612130" cy="4375150"/>
                    </a:xfrm>
                    <a:prstGeom prst="rect">
                      <a:avLst/>
                    </a:prstGeom>
                    <a:ln w="88900">
                      <a:solidFill>
                        <a:srgbClr val="FFFFFF"/>
                      </a:solidFill>
                      <a:prstDash val="solid"/>
                    </a:ln>
                  </pic:spPr>
                </pic:pic>
              </a:graphicData>
            </a:graphic>
          </wp:inline>
        </w:drawing>
      </w:r>
    </w:p>
    <w:p w14:paraId="31E3F4BD" w14:textId="77777777" w:rsidR="00644151" w:rsidRDefault="00425878">
      <w:pPr>
        <w:pBdr>
          <w:top w:val="nil"/>
          <w:left w:val="nil"/>
          <w:bottom w:val="nil"/>
          <w:right w:val="nil"/>
          <w:between w:val="nil"/>
        </w:pBdr>
        <w:spacing w:after="200" w:line="240" w:lineRule="auto"/>
        <w:jc w:val="center"/>
        <w:rPr>
          <w:color w:val="44546A"/>
          <w:sz w:val="18"/>
          <w:szCs w:val="18"/>
        </w:rPr>
      </w:pPr>
      <w:bookmarkStart w:id="88" w:name="_heading=h.xvir7l" w:colFirst="0" w:colLast="0"/>
      <w:bookmarkEnd w:id="88"/>
      <w:r>
        <w:rPr>
          <w:i/>
          <w:color w:val="44546A"/>
          <w:sz w:val="18"/>
          <w:szCs w:val="18"/>
        </w:rPr>
        <w:t>Figura 15. Vista de la página HTML, resultado de la maquetación y programación web.</w:t>
      </w:r>
    </w:p>
    <w:p w14:paraId="1130CDA8" w14:textId="77777777" w:rsidR="00644151" w:rsidRDefault="00425878">
      <w:pPr>
        <w:rPr>
          <w:sz w:val="22"/>
          <w:szCs w:val="22"/>
        </w:rPr>
      </w:pPr>
      <w:r>
        <w:rPr>
          <w:sz w:val="22"/>
          <w:szCs w:val="22"/>
        </w:rPr>
        <w:t>Fuente: Elaboración propia (2021).</w:t>
      </w:r>
    </w:p>
    <w:p w14:paraId="184E5517" w14:textId="77777777" w:rsidR="00644151" w:rsidRDefault="00644151">
      <w:pPr>
        <w:rPr>
          <w:sz w:val="22"/>
          <w:szCs w:val="22"/>
        </w:rPr>
      </w:pPr>
    </w:p>
    <w:p w14:paraId="10230988" w14:textId="5F180DAA" w:rsidR="00644151" w:rsidRDefault="00D70445">
      <w:pPr>
        <w:pStyle w:val="Ttulo2"/>
        <w:rPr>
          <w:rFonts w:ascii="Calibri" w:eastAsia="Calibri" w:hAnsi="Calibri" w:cs="Calibri"/>
          <w:color w:val="2F5496"/>
        </w:rPr>
      </w:pPr>
      <w:bookmarkStart w:id="89" w:name="_Toc89075412"/>
      <w:r>
        <w:t xml:space="preserve">4.3 </w:t>
      </w:r>
      <w:r w:rsidR="00425878">
        <w:t>Tend</w:t>
      </w:r>
      <w:r w:rsidR="00425878">
        <w:rPr>
          <w:rFonts w:ascii="Calibri" w:eastAsia="Calibri" w:hAnsi="Calibri" w:cs="Calibri"/>
          <w:color w:val="2F5496"/>
        </w:rPr>
        <w:t>encia de la saturación del servicio</w:t>
      </w:r>
      <w:bookmarkEnd w:id="89"/>
    </w:p>
    <w:p w14:paraId="2B316666" w14:textId="77777777" w:rsidR="00644151" w:rsidRDefault="00425878">
      <w:pPr>
        <w:spacing w:line="360" w:lineRule="auto"/>
      </w:pPr>
      <w:r>
        <w:t>De acuerdo con la demanda media del servicio de entierro predominante hasta 2019, donde la tendencia de entierro es de tres servicios por cada 10 decesos, los panteones de la Alcaldía Iztapalapa llegarán a su máxima capacidad para el año 2025, donde el panteón delegacional Iztapalapa reporta agotadas la disponibilidad de fosas desde 2019, el panteón San Nicolás Tolentino, por su ubicación geográfica sería el segundo panteón en llegar a su máxima capacidad  para el año 2021, finalmente el panteón San Lorenzo Tezonco llegará a su máxima capacidad para el año 2025.</w:t>
      </w:r>
    </w:p>
    <w:p w14:paraId="21320F2E" w14:textId="77777777" w:rsidR="00644151" w:rsidRDefault="00425878">
      <w:pPr>
        <w:spacing w:line="360" w:lineRule="auto"/>
      </w:pPr>
      <w:r>
        <w:t xml:space="preserve">Sin embargo, este resultado puede verse directamente afectado por el número de fosas que son recuperadas a través de los años por concepto de vencimiento de temporalidad, cambio </w:t>
      </w:r>
      <w:r>
        <w:lastRenderedPageBreak/>
        <w:t>de régimen, ampliación y recuperación de fosas o un aumento o disminución de la demanda. He aquí donde radica la mayor contribución, de la programación y automatización de la plantilla web ya que permite plantear diversos escenarios con base a un aumento o disminución entre oferta y demanda del servicio.</w:t>
      </w:r>
    </w:p>
    <w:p w14:paraId="187D0D10" w14:textId="77777777" w:rsidR="00644151" w:rsidRDefault="00425878">
      <w:pPr>
        <w:spacing w:line="360" w:lineRule="auto"/>
      </w:pPr>
      <w:r>
        <w:t>La Tabla 11 muestra los resultados para dos casos en particular y para las 10 tendencias de entierro. Uno escenario donde hay una nula recuperación de fosas por parte de los panteones y otro donde se realiza un estimado del número de fosas recuperadas para cada panteón anualmente.</w:t>
      </w:r>
    </w:p>
    <w:p w14:paraId="106ADEE1" w14:textId="77777777" w:rsidR="00644151" w:rsidRDefault="00425878">
      <w:pPr>
        <w:pBdr>
          <w:top w:val="nil"/>
          <w:left w:val="nil"/>
          <w:bottom w:val="nil"/>
          <w:right w:val="nil"/>
          <w:between w:val="nil"/>
        </w:pBdr>
        <w:spacing w:after="200" w:line="240" w:lineRule="auto"/>
        <w:rPr>
          <w:color w:val="44546A"/>
          <w:sz w:val="18"/>
          <w:szCs w:val="18"/>
        </w:rPr>
      </w:pPr>
      <w:bookmarkStart w:id="90" w:name="_heading=h.16x20ju" w:colFirst="0" w:colLast="0"/>
      <w:bookmarkEnd w:id="90"/>
      <w:r>
        <w:rPr>
          <w:i/>
          <w:color w:val="44546A"/>
          <w:sz w:val="18"/>
          <w:szCs w:val="18"/>
        </w:rPr>
        <w:t>Tabla 11. Principales resultados</w:t>
      </w:r>
    </w:p>
    <w:tbl>
      <w:tblPr>
        <w:tblStyle w:val="aff3"/>
        <w:tblW w:w="8818" w:type="dxa"/>
        <w:tblInd w:w="0" w:type="dxa"/>
        <w:tblLayout w:type="fixed"/>
        <w:tblLook w:val="0400" w:firstRow="0" w:lastRow="0" w:firstColumn="0" w:lastColumn="0" w:noHBand="0" w:noVBand="1"/>
      </w:tblPr>
      <w:tblGrid>
        <w:gridCol w:w="1123"/>
        <w:gridCol w:w="1136"/>
        <w:gridCol w:w="1275"/>
        <w:gridCol w:w="1418"/>
        <w:gridCol w:w="1134"/>
        <w:gridCol w:w="1416"/>
        <w:gridCol w:w="1316"/>
      </w:tblGrid>
      <w:tr w:rsidR="00644151" w14:paraId="2C5D4DB0" w14:textId="77777777">
        <w:trPr>
          <w:trHeight w:val="330"/>
        </w:trPr>
        <w:tc>
          <w:tcPr>
            <w:tcW w:w="1123" w:type="dxa"/>
            <w:vMerge w:val="restart"/>
            <w:tcBorders>
              <w:top w:val="single" w:sz="8" w:space="0" w:color="000000"/>
              <w:left w:val="single" w:sz="8" w:space="0" w:color="000000"/>
              <w:bottom w:val="single" w:sz="8" w:space="0" w:color="BFBFBF"/>
              <w:right w:val="single" w:sz="8" w:space="0" w:color="000000"/>
            </w:tcBorders>
            <w:shd w:val="clear" w:color="auto" w:fill="auto"/>
            <w:vAlign w:val="center"/>
          </w:tcPr>
          <w:p w14:paraId="6EF51CD3" w14:textId="77777777" w:rsidR="00644151" w:rsidRDefault="00425878">
            <w:pPr>
              <w:spacing w:after="0" w:line="240" w:lineRule="auto"/>
              <w:jc w:val="center"/>
              <w:rPr>
                <w:color w:val="000000"/>
                <w:sz w:val="18"/>
                <w:szCs w:val="18"/>
              </w:rPr>
            </w:pPr>
            <w:r>
              <w:rPr>
                <w:color w:val="000000"/>
                <w:sz w:val="16"/>
                <w:szCs w:val="16"/>
              </w:rPr>
              <w:t>Tendencia de entierro (Por cada 10 decesos)</w:t>
            </w:r>
          </w:p>
        </w:tc>
        <w:tc>
          <w:tcPr>
            <w:tcW w:w="1136" w:type="dxa"/>
            <w:tcBorders>
              <w:top w:val="single" w:sz="8" w:space="0" w:color="000000"/>
              <w:left w:val="nil"/>
              <w:bottom w:val="single" w:sz="8" w:space="0" w:color="BFBFBF"/>
              <w:right w:val="single" w:sz="8" w:space="0" w:color="BFBFBF"/>
            </w:tcBorders>
            <w:shd w:val="clear" w:color="auto" w:fill="auto"/>
            <w:vAlign w:val="center"/>
          </w:tcPr>
          <w:p w14:paraId="4C5FC89B" w14:textId="77777777" w:rsidR="00644151" w:rsidRDefault="00425878">
            <w:pPr>
              <w:spacing w:after="0" w:line="240" w:lineRule="auto"/>
              <w:rPr>
                <w:color w:val="000000"/>
                <w:sz w:val="18"/>
                <w:szCs w:val="18"/>
              </w:rPr>
            </w:pPr>
            <w:r>
              <w:rPr>
                <w:color w:val="000000"/>
                <w:sz w:val="18"/>
                <w:szCs w:val="18"/>
              </w:rPr>
              <w:t>Delegacional</w:t>
            </w:r>
          </w:p>
        </w:tc>
        <w:tc>
          <w:tcPr>
            <w:tcW w:w="2693" w:type="dxa"/>
            <w:gridSpan w:val="2"/>
            <w:tcBorders>
              <w:top w:val="single" w:sz="8" w:space="0" w:color="000000"/>
              <w:left w:val="nil"/>
              <w:bottom w:val="single" w:sz="8" w:space="0" w:color="BFBFBF"/>
              <w:right w:val="single" w:sz="8" w:space="0" w:color="000000"/>
            </w:tcBorders>
            <w:shd w:val="clear" w:color="auto" w:fill="auto"/>
            <w:vAlign w:val="center"/>
          </w:tcPr>
          <w:p w14:paraId="119FC930" w14:textId="77777777" w:rsidR="00644151" w:rsidRDefault="00425878">
            <w:pPr>
              <w:spacing w:after="0" w:line="240" w:lineRule="auto"/>
              <w:jc w:val="center"/>
              <w:rPr>
                <w:color w:val="000000"/>
                <w:sz w:val="18"/>
                <w:szCs w:val="18"/>
              </w:rPr>
            </w:pPr>
            <w:r>
              <w:rPr>
                <w:color w:val="000000"/>
                <w:sz w:val="18"/>
                <w:szCs w:val="18"/>
              </w:rPr>
              <w:t>General</w:t>
            </w:r>
          </w:p>
        </w:tc>
        <w:tc>
          <w:tcPr>
            <w:tcW w:w="3866" w:type="dxa"/>
            <w:gridSpan w:val="3"/>
            <w:tcBorders>
              <w:top w:val="single" w:sz="8" w:space="0" w:color="000000"/>
              <w:left w:val="nil"/>
              <w:bottom w:val="single" w:sz="8" w:space="0" w:color="BFBFBF"/>
              <w:right w:val="single" w:sz="8" w:space="0" w:color="000000"/>
            </w:tcBorders>
            <w:shd w:val="clear" w:color="auto" w:fill="auto"/>
            <w:vAlign w:val="center"/>
          </w:tcPr>
          <w:p w14:paraId="39F5F8F9" w14:textId="77777777" w:rsidR="00644151" w:rsidRDefault="00425878">
            <w:pPr>
              <w:spacing w:after="0" w:line="240" w:lineRule="auto"/>
              <w:jc w:val="center"/>
              <w:rPr>
                <w:color w:val="000000"/>
                <w:sz w:val="18"/>
                <w:szCs w:val="18"/>
              </w:rPr>
            </w:pPr>
            <w:r>
              <w:rPr>
                <w:color w:val="000000"/>
                <w:sz w:val="18"/>
                <w:szCs w:val="18"/>
              </w:rPr>
              <w:t>Fosas recuperadas anualmente*</w:t>
            </w:r>
          </w:p>
        </w:tc>
      </w:tr>
      <w:tr w:rsidR="00644151" w14:paraId="0C6E78F2" w14:textId="77777777">
        <w:trPr>
          <w:trHeight w:val="525"/>
        </w:trPr>
        <w:tc>
          <w:tcPr>
            <w:tcW w:w="1123" w:type="dxa"/>
            <w:vMerge/>
            <w:tcBorders>
              <w:top w:val="single" w:sz="8" w:space="0" w:color="000000"/>
              <w:left w:val="single" w:sz="8" w:space="0" w:color="000000"/>
              <w:bottom w:val="single" w:sz="8" w:space="0" w:color="BFBFBF"/>
              <w:right w:val="single" w:sz="8" w:space="0" w:color="000000"/>
            </w:tcBorders>
            <w:shd w:val="clear" w:color="auto" w:fill="auto"/>
            <w:vAlign w:val="center"/>
          </w:tcPr>
          <w:p w14:paraId="127A1BA0" w14:textId="77777777" w:rsidR="00644151" w:rsidRDefault="00644151">
            <w:pPr>
              <w:widowControl w:val="0"/>
              <w:pBdr>
                <w:top w:val="nil"/>
                <w:left w:val="nil"/>
                <w:bottom w:val="nil"/>
                <w:right w:val="nil"/>
                <w:between w:val="nil"/>
              </w:pBdr>
              <w:spacing w:after="0" w:line="276" w:lineRule="auto"/>
              <w:jc w:val="left"/>
              <w:rPr>
                <w:color w:val="000000"/>
                <w:sz w:val="18"/>
                <w:szCs w:val="18"/>
              </w:rPr>
            </w:pPr>
          </w:p>
        </w:tc>
        <w:tc>
          <w:tcPr>
            <w:tcW w:w="1136" w:type="dxa"/>
            <w:tcBorders>
              <w:top w:val="nil"/>
              <w:left w:val="nil"/>
              <w:bottom w:val="single" w:sz="4" w:space="0" w:color="000000"/>
              <w:right w:val="single" w:sz="8" w:space="0" w:color="BFBFBF"/>
            </w:tcBorders>
            <w:shd w:val="clear" w:color="auto" w:fill="auto"/>
            <w:vAlign w:val="center"/>
          </w:tcPr>
          <w:p w14:paraId="718295EC" w14:textId="77777777" w:rsidR="00644151" w:rsidRDefault="00425878">
            <w:pPr>
              <w:spacing w:after="0" w:line="240" w:lineRule="auto"/>
              <w:jc w:val="center"/>
              <w:rPr>
                <w:color w:val="000000"/>
                <w:sz w:val="18"/>
                <w:szCs w:val="18"/>
              </w:rPr>
            </w:pPr>
            <w:r>
              <w:rPr>
                <w:color w:val="000000"/>
                <w:sz w:val="18"/>
                <w:szCs w:val="18"/>
              </w:rPr>
              <w:t>Iztapalapa</w:t>
            </w:r>
          </w:p>
          <w:p w14:paraId="39BE85E8" w14:textId="77777777" w:rsidR="00644151" w:rsidRDefault="00425878">
            <w:pPr>
              <w:spacing w:after="0" w:line="240" w:lineRule="auto"/>
              <w:jc w:val="center"/>
              <w:rPr>
                <w:color w:val="000000"/>
                <w:sz w:val="18"/>
                <w:szCs w:val="18"/>
              </w:rPr>
            </w:pPr>
            <w:r>
              <w:rPr>
                <w:color w:val="000000"/>
                <w:sz w:val="18"/>
                <w:szCs w:val="18"/>
              </w:rPr>
              <w:t>(0)</w:t>
            </w:r>
          </w:p>
        </w:tc>
        <w:tc>
          <w:tcPr>
            <w:tcW w:w="1275" w:type="dxa"/>
            <w:tcBorders>
              <w:top w:val="nil"/>
              <w:left w:val="nil"/>
              <w:bottom w:val="single" w:sz="4" w:space="0" w:color="000000"/>
              <w:right w:val="single" w:sz="8" w:space="0" w:color="BFBFBF"/>
            </w:tcBorders>
            <w:shd w:val="clear" w:color="auto" w:fill="auto"/>
            <w:vAlign w:val="center"/>
          </w:tcPr>
          <w:p w14:paraId="5D23E2D5" w14:textId="77777777" w:rsidR="00644151" w:rsidRDefault="00425878">
            <w:pPr>
              <w:spacing w:after="0" w:line="240" w:lineRule="auto"/>
              <w:jc w:val="center"/>
              <w:rPr>
                <w:color w:val="000000"/>
                <w:sz w:val="18"/>
                <w:szCs w:val="18"/>
              </w:rPr>
            </w:pPr>
            <w:r>
              <w:rPr>
                <w:color w:val="000000"/>
                <w:sz w:val="18"/>
                <w:szCs w:val="18"/>
              </w:rPr>
              <w:t>San Nicolás Tolentino (3,933)</w:t>
            </w:r>
          </w:p>
        </w:tc>
        <w:tc>
          <w:tcPr>
            <w:tcW w:w="1418" w:type="dxa"/>
            <w:tcBorders>
              <w:top w:val="nil"/>
              <w:left w:val="nil"/>
              <w:bottom w:val="single" w:sz="4" w:space="0" w:color="000000"/>
              <w:right w:val="single" w:sz="8" w:space="0" w:color="000000"/>
            </w:tcBorders>
            <w:shd w:val="clear" w:color="auto" w:fill="auto"/>
            <w:vAlign w:val="center"/>
          </w:tcPr>
          <w:p w14:paraId="44C1DF25" w14:textId="77777777" w:rsidR="00644151" w:rsidRDefault="00425878">
            <w:pPr>
              <w:spacing w:after="0" w:line="240" w:lineRule="auto"/>
              <w:jc w:val="center"/>
              <w:rPr>
                <w:color w:val="000000"/>
                <w:sz w:val="18"/>
                <w:szCs w:val="18"/>
              </w:rPr>
            </w:pPr>
            <w:r>
              <w:rPr>
                <w:color w:val="000000"/>
                <w:sz w:val="18"/>
                <w:szCs w:val="18"/>
              </w:rPr>
              <w:t>San Lorenzo Tezonco (17,369)</w:t>
            </w:r>
          </w:p>
        </w:tc>
        <w:tc>
          <w:tcPr>
            <w:tcW w:w="1134" w:type="dxa"/>
            <w:tcBorders>
              <w:top w:val="nil"/>
              <w:left w:val="nil"/>
              <w:bottom w:val="single" w:sz="4" w:space="0" w:color="000000"/>
              <w:right w:val="single" w:sz="8" w:space="0" w:color="BFBFBF"/>
            </w:tcBorders>
            <w:shd w:val="clear" w:color="auto" w:fill="auto"/>
            <w:vAlign w:val="center"/>
          </w:tcPr>
          <w:p w14:paraId="5C9A5925" w14:textId="77777777" w:rsidR="00644151" w:rsidRDefault="00425878">
            <w:pPr>
              <w:spacing w:after="0" w:line="240" w:lineRule="auto"/>
              <w:jc w:val="center"/>
              <w:rPr>
                <w:color w:val="000000"/>
                <w:sz w:val="18"/>
                <w:szCs w:val="18"/>
              </w:rPr>
            </w:pPr>
            <w:r>
              <w:rPr>
                <w:color w:val="000000"/>
                <w:sz w:val="18"/>
                <w:szCs w:val="18"/>
              </w:rPr>
              <w:t>Iztapalapa</w:t>
            </w:r>
          </w:p>
          <w:p w14:paraId="285ABDF4" w14:textId="77777777" w:rsidR="00644151" w:rsidRDefault="00425878">
            <w:pPr>
              <w:spacing w:after="0" w:line="240" w:lineRule="auto"/>
              <w:jc w:val="center"/>
              <w:rPr>
                <w:color w:val="000000"/>
                <w:sz w:val="18"/>
                <w:szCs w:val="18"/>
              </w:rPr>
            </w:pPr>
            <w:r>
              <w:rPr>
                <w:color w:val="000000"/>
                <w:sz w:val="18"/>
                <w:szCs w:val="18"/>
              </w:rPr>
              <w:t>(0)</w:t>
            </w:r>
          </w:p>
        </w:tc>
        <w:tc>
          <w:tcPr>
            <w:tcW w:w="1416" w:type="dxa"/>
            <w:tcBorders>
              <w:top w:val="nil"/>
              <w:left w:val="nil"/>
              <w:bottom w:val="single" w:sz="4" w:space="0" w:color="000000"/>
              <w:right w:val="single" w:sz="8" w:space="0" w:color="BFBFBF"/>
            </w:tcBorders>
            <w:shd w:val="clear" w:color="auto" w:fill="auto"/>
            <w:vAlign w:val="center"/>
          </w:tcPr>
          <w:p w14:paraId="3C36077E" w14:textId="77777777" w:rsidR="00644151" w:rsidRDefault="00425878">
            <w:pPr>
              <w:spacing w:after="0" w:line="240" w:lineRule="auto"/>
              <w:jc w:val="center"/>
              <w:rPr>
                <w:color w:val="000000"/>
                <w:sz w:val="18"/>
                <w:szCs w:val="18"/>
              </w:rPr>
            </w:pPr>
            <w:r>
              <w:rPr>
                <w:color w:val="000000"/>
                <w:sz w:val="18"/>
                <w:szCs w:val="18"/>
              </w:rPr>
              <w:t>San Nicolás Tolentino (3,933)</w:t>
            </w:r>
          </w:p>
        </w:tc>
        <w:tc>
          <w:tcPr>
            <w:tcW w:w="1316" w:type="dxa"/>
            <w:tcBorders>
              <w:top w:val="nil"/>
              <w:left w:val="nil"/>
              <w:bottom w:val="single" w:sz="4" w:space="0" w:color="000000"/>
              <w:right w:val="single" w:sz="8" w:space="0" w:color="000000"/>
            </w:tcBorders>
            <w:shd w:val="clear" w:color="auto" w:fill="auto"/>
            <w:vAlign w:val="center"/>
          </w:tcPr>
          <w:p w14:paraId="7FCA3C0B" w14:textId="77777777" w:rsidR="00644151" w:rsidRDefault="00425878">
            <w:pPr>
              <w:spacing w:after="0" w:line="240" w:lineRule="auto"/>
              <w:jc w:val="center"/>
              <w:rPr>
                <w:color w:val="000000"/>
                <w:sz w:val="18"/>
                <w:szCs w:val="18"/>
              </w:rPr>
            </w:pPr>
            <w:r>
              <w:rPr>
                <w:color w:val="000000"/>
                <w:sz w:val="18"/>
                <w:szCs w:val="18"/>
              </w:rPr>
              <w:t>San Lorenzo Tezonco (17,369)</w:t>
            </w:r>
          </w:p>
        </w:tc>
      </w:tr>
      <w:tr w:rsidR="00644151" w14:paraId="32E7B5A2" w14:textId="77777777">
        <w:trPr>
          <w:trHeight w:val="330"/>
        </w:trPr>
        <w:tc>
          <w:tcPr>
            <w:tcW w:w="1123" w:type="dxa"/>
            <w:tcBorders>
              <w:top w:val="nil"/>
              <w:left w:val="single" w:sz="8" w:space="0" w:color="000000"/>
              <w:bottom w:val="single" w:sz="8" w:space="0" w:color="BFBFBF"/>
              <w:right w:val="single" w:sz="4" w:space="0" w:color="000000"/>
            </w:tcBorders>
            <w:shd w:val="clear" w:color="auto" w:fill="auto"/>
            <w:vAlign w:val="center"/>
          </w:tcPr>
          <w:p w14:paraId="052294A4" w14:textId="77777777" w:rsidR="00644151" w:rsidRDefault="00425878">
            <w:pPr>
              <w:spacing w:after="0" w:line="240" w:lineRule="auto"/>
              <w:jc w:val="center"/>
              <w:rPr>
                <w:color w:val="000000"/>
                <w:sz w:val="18"/>
                <w:szCs w:val="18"/>
              </w:rPr>
            </w:pPr>
            <w:r>
              <w:rPr>
                <w:color w:val="000000"/>
                <w:sz w:val="18"/>
                <w:szCs w:val="18"/>
              </w:rPr>
              <w:t> </w:t>
            </w:r>
          </w:p>
        </w:tc>
        <w:tc>
          <w:tcPr>
            <w:tcW w:w="1136" w:type="dxa"/>
            <w:tcBorders>
              <w:top w:val="single" w:sz="4" w:space="0" w:color="000000"/>
              <w:left w:val="single" w:sz="4" w:space="0" w:color="000000"/>
              <w:bottom w:val="single" w:sz="4" w:space="0" w:color="000000"/>
              <w:right w:val="single" w:sz="8" w:space="0" w:color="BFBFBF"/>
            </w:tcBorders>
            <w:shd w:val="clear" w:color="auto" w:fill="auto"/>
            <w:vAlign w:val="center"/>
          </w:tcPr>
          <w:p w14:paraId="1AACF7F3" w14:textId="77777777" w:rsidR="00644151" w:rsidRDefault="00425878">
            <w:pPr>
              <w:spacing w:after="0" w:line="240" w:lineRule="auto"/>
              <w:jc w:val="center"/>
              <w:rPr>
                <w:color w:val="000000"/>
                <w:sz w:val="18"/>
                <w:szCs w:val="18"/>
              </w:rPr>
            </w:pPr>
            <w:r>
              <w:rPr>
                <w:color w:val="000000"/>
                <w:sz w:val="18"/>
                <w:szCs w:val="18"/>
              </w:rPr>
              <w:t>-</w:t>
            </w:r>
          </w:p>
        </w:tc>
        <w:tc>
          <w:tcPr>
            <w:tcW w:w="1275" w:type="dxa"/>
            <w:tcBorders>
              <w:top w:val="single" w:sz="4" w:space="0" w:color="000000"/>
              <w:left w:val="nil"/>
              <w:bottom w:val="single" w:sz="4" w:space="0" w:color="000000"/>
              <w:right w:val="single" w:sz="8" w:space="0" w:color="BFBFBF"/>
            </w:tcBorders>
            <w:shd w:val="clear" w:color="auto" w:fill="auto"/>
            <w:vAlign w:val="center"/>
          </w:tcPr>
          <w:p w14:paraId="78B0EABC" w14:textId="77777777" w:rsidR="00644151" w:rsidRDefault="00425878">
            <w:pPr>
              <w:spacing w:after="0" w:line="240" w:lineRule="auto"/>
              <w:jc w:val="center"/>
              <w:rPr>
                <w:color w:val="000000"/>
                <w:sz w:val="18"/>
                <w:szCs w:val="18"/>
              </w:rPr>
            </w:pPr>
            <w:r>
              <w:rPr>
                <w:color w:val="000000"/>
                <w:sz w:val="18"/>
                <w:szCs w:val="18"/>
              </w:rPr>
              <w:t>-</w:t>
            </w:r>
          </w:p>
        </w:tc>
        <w:tc>
          <w:tcPr>
            <w:tcW w:w="1418" w:type="dxa"/>
            <w:tcBorders>
              <w:top w:val="single" w:sz="4" w:space="0" w:color="000000"/>
              <w:left w:val="nil"/>
              <w:bottom w:val="single" w:sz="4" w:space="0" w:color="000000"/>
              <w:right w:val="single" w:sz="4" w:space="0" w:color="000000"/>
            </w:tcBorders>
            <w:shd w:val="clear" w:color="auto" w:fill="auto"/>
            <w:vAlign w:val="center"/>
          </w:tcPr>
          <w:p w14:paraId="362A16BF" w14:textId="77777777" w:rsidR="00644151" w:rsidRDefault="00425878">
            <w:pPr>
              <w:spacing w:after="0" w:line="240" w:lineRule="auto"/>
              <w:jc w:val="center"/>
              <w:rPr>
                <w:color w:val="000000"/>
                <w:sz w:val="18"/>
                <w:szCs w:val="18"/>
              </w:rPr>
            </w:pPr>
            <w:r>
              <w:rPr>
                <w:color w:val="000000"/>
                <w:sz w:val="18"/>
                <w:szCs w:val="18"/>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B77F52" w14:textId="77777777" w:rsidR="00644151" w:rsidRDefault="00425878">
            <w:pPr>
              <w:spacing w:after="0" w:line="240" w:lineRule="auto"/>
              <w:jc w:val="center"/>
              <w:rPr>
                <w:rFonts w:ascii="Calibri" w:eastAsia="Calibri" w:hAnsi="Calibri" w:cs="Calibri"/>
                <w:color w:val="000000"/>
                <w:sz w:val="18"/>
                <w:szCs w:val="18"/>
              </w:rPr>
            </w:pPr>
            <w:r>
              <w:rPr>
                <w:rFonts w:ascii="Calibri" w:eastAsia="Calibri" w:hAnsi="Calibri" w:cs="Calibri"/>
                <w:color w:val="000000"/>
                <w:sz w:val="18"/>
                <w:szCs w:val="18"/>
              </w:rPr>
              <w:t>290</w:t>
            </w:r>
          </w:p>
        </w:tc>
        <w:tc>
          <w:tcPr>
            <w:tcW w:w="141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9C2FC7" w14:textId="77777777" w:rsidR="00644151" w:rsidRDefault="00425878">
            <w:pPr>
              <w:spacing w:after="0" w:line="240" w:lineRule="auto"/>
              <w:jc w:val="center"/>
              <w:rPr>
                <w:rFonts w:ascii="Calibri" w:eastAsia="Calibri" w:hAnsi="Calibri" w:cs="Calibri"/>
                <w:color w:val="000000"/>
                <w:sz w:val="18"/>
                <w:szCs w:val="18"/>
              </w:rPr>
            </w:pPr>
            <w:r>
              <w:rPr>
                <w:rFonts w:ascii="Calibri" w:eastAsia="Calibri" w:hAnsi="Calibri" w:cs="Calibri"/>
                <w:color w:val="000000"/>
                <w:sz w:val="18"/>
                <w:szCs w:val="18"/>
              </w:rPr>
              <w:t>548</w:t>
            </w: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E1A79A" w14:textId="77777777" w:rsidR="00644151" w:rsidRDefault="00425878">
            <w:pPr>
              <w:spacing w:after="0" w:line="240" w:lineRule="auto"/>
              <w:jc w:val="center"/>
              <w:rPr>
                <w:rFonts w:ascii="Calibri" w:eastAsia="Calibri" w:hAnsi="Calibri" w:cs="Calibri"/>
                <w:color w:val="000000"/>
                <w:sz w:val="18"/>
                <w:szCs w:val="18"/>
              </w:rPr>
            </w:pPr>
            <w:r>
              <w:rPr>
                <w:rFonts w:ascii="Calibri" w:eastAsia="Calibri" w:hAnsi="Calibri" w:cs="Calibri"/>
                <w:color w:val="000000"/>
                <w:sz w:val="18"/>
                <w:szCs w:val="18"/>
              </w:rPr>
              <w:t>1295</w:t>
            </w:r>
          </w:p>
        </w:tc>
      </w:tr>
      <w:tr w:rsidR="00644151" w14:paraId="03FE90E4"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7E2FD6E6" w14:textId="77777777" w:rsidR="00644151" w:rsidRDefault="00425878">
            <w:pPr>
              <w:spacing w:after="0" w:line="240" w:lineRule="auto"/>
              <w:jc w:val="center"/>
              <w:rPr>
                <w:color w:val="000000"/>
                <w:sz w:val="18"/>
                <w:szCs w:val="18"/>
              </w:rPr>
            </w:pPr>
            <w:r>
              <w:rPr>
                <w:color w:val="000000"/>
                <w:sz w:val="18"/>
                <w:szCs w:val="18"/>
              </w:rPr>
              <w:t>1</w:t>
            </w:r>
          </w:p>
        </w:tc>
        <w:tc>
          <w:tcPr>
            <w:tcW w:w="1136" w:type="dxa"/>
            <w:tcBorders>
              <w:top w:val="single" w:sz="4" w:space="0" w:color="000000"/>
              <w:left w:val="nil"/>
              <w:bottom w:val="single" w:sz="8" w:space="0" w:color="BFBFBF"/>
              <w:right w:val="single" w:sz="8" w:space="0" w:color="BFBFBF"/>
            </w:tcBorders>
            <w:shd w:val="clear" w:color="auto" w:fill="auto"/>
            <w:vAlign w:val="center"/>
          </w:tcPr>
          <w:p w14:paraId="0C542799"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single" w:sz="4" w:space="0" w:color="000000"/>
              <w:left w:val="nil"/>
              <w:bottom w:val="single" w:sz="8" w:space="0" w:color="BFBFBF"/>
              <w:right w:val="single" w:sz="8" w:space="0" w:color="BFBFBF"/>
            </w:tcBorders>
            <w:shd w:val="clear" w:color="auto" w:fill="auto"/>
            <w:vAlign w:val="center"/>
          </w:tcPr>
          <w:p w14:paraId="137FDDBE" w14:textId="77777777" w:rsidR="00644151" w:rsidRDefault="00425878">
            <w:pPr>
              <w:spacing w:after="0" w:line="240" w:lineRule="auto"/>
              <w:jc w:val="center"/>
              <w:rPr>
                <w:color w:val="000000"/>
                <w:sz w:val="18"/>
                <w:szCs w:val="18"/>
              </w:rPr>
            </w:pPr>
            <w:r>
              <w:rPr>
                <w:color w:val="000000"/>
                <w:sz w:val="18"/>
                <w:szCs w:val="18"/>
              </w:rPr>
              <w:t>2024, (403)</w:t>
            </w:r>
          </w:p>
        </w:tc>
        <w:tc>
          <w:tcPr>
            <w:tcW w:w="1418" w:type="dxa"/>
            <w:tcBorders>
              <w:top w:val="single" w:sz="4" w:space="0" w:color="000000"/>
              <w:left w:val="nil"/>
              <w:bottom w:val="single" w:sz="8" w:space="0" w:color="BFBFBF"/>
              <w:right w:val="single" w:sz="8" w:space="0" w:color="000000"/>
            </w:tcBorders>
            <w:shd w:val="clear" w:color="auto" w:fill="auto"/>
            <w:vAlign w:val="center"/>
          </w:tcPr>
          <w:p w14:paraId="2B6A8E9A" w14:textId="77777777" w:rsidR="00644151" w:rsidRDefault="00425878">
            <w:pPr>
              <w:spacing w:after="0" w:line="240" w:lineRule="auto"/>
              <w:jc w:val="center"/>
              <w:rPr>
                <w:color w:val="000000"/>
                <w:sz w:val="18"/>
                <w:szCs w:val="18"/>
              </w:rPr>
            </w:pPr>
            <w:r>
              <w:rPr>
                <w:color w:val="000000"/>
                <w:sz w:val="18"/>
                <w:szCs w:val="18"/>
              </w:rPr>
              <w:t>2030, (5 291)</w:t>
            </w:r>
          </w:p>
        </w:tc>
        <w:tc>
          <w:tcPr>
            <w:tcW w:w="1134" w:type="dxa"/>
            <w:tcBorders>
              <w:top w:val="single" w:sz="4" w:space="0" w:color="000000"/>
              <w:left w:val="nil"/>
              <w:bottom w:val="single" w:sz="8" w:space="0" w:color="BFBFBF"/>
              <w:right w:val="single" w:sz="8" w:space="0" w:color="BFBFBF"/>
            </w:tcBorders>
            <w:shd w:val="clear" w:color="auto" w:fill="auto"/>
            <w:vAlign w:val="center"/>
          </w:tcPr>
          <w:p w14:paraId="31ED75D9" w14:textId="77777777" w:rsidR="00644151" w:rsidRDefault="00425878">
            <w:pPr>
              <w:spacing w:after="0" w:line="240" w:lineRule="auto"/>
              <w:jc w:val="center"/>
              <w:rPr>
                <w:color w:val="000000"/>
                <w:sz w:val="18"/>
                <w:szCs w:val="18"/>
              </w:rPr>
            </w:pPr>
            <w:r>
              <w:rPr>
                <w:color w:val="000000"/>
                <w:sz w:val="18"/>
                <w:szCs w:val="18"/>
              </w:rPr>
              <w:t>2021, (7 063)</w:t>
            </w:r>
          </w:p>
        </w:tc>
        <w:tc>
          <w:tcPr>
            <w:tcW w:w="1416" w:type="dxa"/>
            <w:tcBorders>
              <w:top w:val="single" w:sz="4" w:space="0" w:color="000000"/>
              <w:left w:val="nil"/>
              <w:bottom w:val="single" w:sz="8" w:space="0" w:color="BFBFBF"/>
              <w:right w:val="single" w:sz="8" w:space="0" w:color="BFBFBF"/>
            </w:tcBorders>
            <w:shd w:val="clear" w:color="auto" w:fill="auto"/>
            <w:vAlign w:val="center"/>
          </w:tcPr>
          <w:p w14:paraId="7DCEDFBE" w14:textId="77777777" w:rsidR="00644151" w:rsidRDefault="00425878">
            <w:pPr>
              <w:spacing w:after="0" w:line="240" w:lineRule="auto"/>
              <w:jc w:val="center"/>
              <w:rPr>
                <w:color w:val="000000"/>
                <w:sz w:val="18"/>
                <w:szCs w:val="18"/>
              </w:rPr>
            </w:pPr>
            <w:r>
              <w:rPr>
                <w:color w:val="000000"/>
                <w:sz w:val="18"/>
                <w:szCs w:val="18"/>
              </w:rPr>
              <w:t>2029, (2 657)</w:t>
            </w:r>
          </w:p>
        </w:tc>
        <w:tc>
          <w:tcPr>
            <w:tcW w:w="1316" w:type="dxa"/>
            <w:tcBorders>
              <w:top w:val="single" w:sz="4" w:space="0" w:color="000000"/>
              <w:left w:val="nil"/>
              <w:bottom w:val="single" w:sz="8" w:space="0" w:color="BFBFBF"/>
              <w:right w:val="single" w:sz="8" w:space="0" w:color="000000"/>
            </w:tcBorders>
            <w:shd w:val="clear" w:color="auto" w:fill="auto"/>
            <w:vAlign w:val="center"/>
          </w:tcPr>
          <w:p w14:paraId="046A7B08" w14:textId="77777777" w:rsidR="00644151" w:rsidRDefault="00425878">
            <w:pPr>
              <w:spacing w:after="0" w:line="240" w:lineRule="auto"/>
              <w:jc w:val="center"/>
              <w:rPr>
                <w:color w:val="000000"/>
                <w:sz w:val="18"/>
                <w:szCs w:val="18"/>
              </w:rPr>
            </w:pPr>
            <w:r>
              <w:rPr>
                <w:color w:val="000000"/>
                <w:sz w:val="18"/>
                <w:szCs w:val="18"/>
              </w:rPr>
              <w:t>2030, (25 720)</w:t>
            </w:r>
          </w:p>
        </w:tc>
      </w:tr>
      <w:tr w:rsidR="00644151" w14:paraId="56806B0F"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58092A08" w14:textId="77777777" w:rsidR="00644151" w:rsidRDefault="00425878">
            <w:pPr>
              <w:spacing w:after="0" w:line="240" w:lineRule="auto"/>
              <w:jc w:val="center"/>
              <w:rPr>
                <w:color w:val="000000"/>
                <w:sz w:val="18"/>
                <w:szCs w:val="18"/>
              </w:rPr>
            </w:pPr>
            <w:r>
              <w:rPr>
                <w:color w:val="000000"/>
                <w:sz w:val="18"/>
                <w:szCs w:val="18"/>
              </w:rPr>
              <w:t>2</w:t>
            </w:r>
          </w:p>
        </w:tc>
        <w:tc>
          <w:tcPr>
            <w:tcW w:w="1136" w:type="dxa"/>
            <w:tcBorders>
              <w:top w:val="nil"/>
              <w:left w:val="nil"/>
              <w:bottom w:val="single" w:sz="8" w:space="0" w:color="BFBFBF"/>
              <w:right w:val="single" w:sz="8" w:space="0" w:color="BFBFBF"/>
            </w:tcBorders>
            <w:shd w:val="clear" w:color="auto" w:fill="auto"/>
            <w:vAlign w:val="center"/>
          </w:tcPr>
          <w:p w14:paraId="729E5F60"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40BDEA59" w14:textId="77777777" w:rsidR="00644151" w:rsidRDefault="00425878">
            <w:pPr>
              <w:spacing w:after="0" w:line="240" w:lineRule="auto"/>
              <w:jc w:val="center"/>
              <w:rPr>
                <w:color w:val="000000"/>
                <w:sz w:val="18"/>
                <w:szCs w:val="18"/>
              </w:rPr>
            </w:pPr>
            <w:r>
              <w:rPr>
                <w:color w:val="000000"/>
                <w:sz w:val="18"/>
                <w:szCs w:val="18"/>
              </w:rPr>
              <w:t>2022, (540)</w:t>
            </w:r>
          </w:p>
        </w:tc>
        <w:tc>
          <w:tcPr>
            <w:tcW w:w="1418" w:type="dxa"/>
            <w:tcBorders>
              <w:top w:val="nil"/>
              <w:left w:val="nil"/>
              <w:bottom w:val="single" w:sz="8" w:space="0" w:color="BFBFBF"/>
              <w:right w:val="single" w:sz="8" w:space="0" w:color="000000"/>
            </w:tcBorders>
            <w:shd w:val="clear" w:color="auto" w:fill="auto"/>
            <w:vAlign w:val="center"/>
          </w:tcPr>
          <w:p w14:paraId="50D43791" w14:textId="77777777" w:rsidR="00644151" w:rsidRDefault="00425878">
            <w:pPr>
              <w:spacing w:after="0" w:line="240" w:lineRule="auto"/>
              <w:jc w:val="center"/>
              <w:rPr>
                <w:color w:val="000000"/>
                <w:sz w:val="18"/>
                <w:szCs w:val="18"/>
              </w:rPr>
            </w:pPr>
            <w:r>
              <w:rPr>
                <w:color w:val="000000"/>
                <w:sz w:val="18"/>
                <w:szCs w:val="18"/>
              </w:rPr>
              <w:t>2027, (2 598)</w:t>
            </w:r>
          </w:p>
        </w:tc>
        <w:tc>
          <w:tcPr>
            <w:tcW w:w="1134" w:type="dxa"/>
            <w:tcBorders>
              <w:top w:val="nil"/>
              <w:left w:val="nil"/>
              <w:bottom w:val="single" w:sz="8" w:space="0" w:color="BFBFBF"/>
              <w:right w:val="single" w:sz="8" w:space="0" w:color="BFBFBF"/>
            </w:tcBorders>
            <w:shd w:val="clear" w:color="auto" w:fill="auto"/>
            <w:vAlign w:val="center"/>
          </w:tcPr>
          <w:p w14:paraId="78648A57" w14:textId="77777777" w:rsidR="00644151" w:rsidRDefault="00425878">
            <w:pPr>
              <w:spacing w:after="0" w:line="240" w:lineRule="auto"/>
              <w:jc w:val="center"/>
              <w:rPr>
                <w:color w:val="000000"/>
                <w:sz w:val="18"/>
                <w:szCs w:val="18"/>
              </w:rPr>
            </w:pPr>
            <w:r>
              <w:rPr>
                <w:color w:val="00000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441C358C" w14:textId="77777777" w:rsidR="00644151" w:rsidRDefault="00425878">
            <w:pPr>
              <w:spacing w:after="0" w:line="240" w:lineRule="auto"/>
              <w:jc w:val="center"/>
              <w:rPr>
                <w:color w:val="000000"/>
                <w:sz w:val="18"/>
                <w:szCs w:val="18"/>
              </w:rPr>
            </w:pPr>
            <w:r>
              <w:rPr>
                <w:color w:val="000000"/>
                <w:sz w:val="18"/>
                <w:szCs w:val="18"/>
              </w:rPr>
              <w:t>2024, (210)</w:t>
            </w:r>
          </w:p>
        </w:tc>
        <w:tc>
          <w:tcPr>
            <w:tcW w:w="1316" w:type="dxa"/>
            <w:tcBorders>
              <w:top w:val="nil"/>
              <w:left w:val="nil"/>
              <w:bottom w:val="single" w:sz="8" w:space="0" w:color="BFBFBF"/>
              <w:right w:val="single" w:sz="8" w:space="0" w:color="000000"/>
            </w:tcBorders>
            <w:shd w:val="clear" w:color="auto" w:fill="auto"/>
            <w:vAlign w:val="center"/>
          </w:tcPr>
          <w:p w14:paraId="093F2523" w14:textId="77777777" w:rsidR="00644151" w:rsidRDefault="00425878">
            <w:pPr>
              <w:spacing w:after="0" w:line="240" w:lineRule="auto"/>
              <w:jc w:val="center"/>
              <w:rPr>
                <w:color w:val="000000"/>
                <w:sz w:val="18"/>
                <w:szCs w:val="18"/>
              </w:rPr>
            </w:pPr>
            <w:r>
              <w:rPr>
                <w:color w:val="000000"/>
                <w:sz w:val="18"/>
                <w:szCs w:val="18"/>
              </w:rPr>
              <w:t>2030, (14 106)</w:t>
            </w:r>
          </w:p>
        </w:tc>
      </w:tr>
      <w:tr w:rsidR="00644151" w14:paraId="119DBF17"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1797F2E5" w14:textId="77777777" w:rsidR="00644151" w:rsidRDefault="00425878">
            <w:pPr>
              <w:spacing w:after="0" w:line="240" w:lineRule="auto"/>
              <w:jc w:val="center"/>
              <w:rPr>
                <w:b/>
                <w:color w:val="000000"/>
                <w:sz w:val="18"/>
                <w:szCs w:val="18"/>
              </w:rPr>
            </w:pPr>
            <w:r>
              <w:rPr>
                <w:b/>
                <w:color w:val="000000"/>
                <w:sz w:val="18"/>
                <w:szCs w:val="18"/>
              </w:rPr>
              <w:t>3</w:t>
            </w:r>
          </w:p>
        </w:tc>
        <w:tc>
          <w:tcPr>
            <w:tcW w:w="1136" w:type="dxa"/>
            <w:tcBorders>
              <w:top w:val="nil"/>
              <w:left w:val="nil"/>
              <w:bottom w:val="single" w:sz="8" w:space="0" w:color="BFBFBF"/>
              <w:right w:val="single" w:sz="8" w:space="0" w:color="BFBFBF"/>
            </w:tcBorders>
            <w:shd w:val="clear" w:color="auto" w:fill="auto"/>
            <w:vAlign w:val="center"/>
          </w:tcPr>
          <w:p w14:paraId="3B4E09DE" w14:textId="77777777" w:rsidR="00644151" w:rsidRDefault="00425878">
            <w:pPr>
              <w:spacing w:after="0" w:line="240" w:lineRule="auto"/>
              <w:jc w:val="center"/>
              <w:rPr>
                <w:b/>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3BDD58D9" w14:textId="77777777" w:rsidR="00644151" w:rsidRDefault="00425878">
            <w:pPr>
              <w:spacing w:after="0" w:line="240" w:lineRule="auto"/>
              <w:jc w:val="center"/>
              <w:rPr>
                <w:b/>
                <w:color w:val="000000"/>
                <w:sz w:val="18"/>
                <w:szCs w:val="18"/>
              </w:rPr>
            </w:pPr>
            <w:r>
              <w:rPr>
                <w:b/>
                <w:color w:val="000000"/>
                <w:sz w:val="18"/>
                <w:szCs w:val="18"/>
              </w:rPr>
              <w:t>2021, (1 445)</w:t>
            </w:r>
          </w:p>
        </w:tc>
        <w:tc>
          <w:tcPr>
            <w:tcW w:w="1418" w:type="dxa"/>
            <w:tcBorders>
              <w:top w:val="nil"/>
              <w:left w:val="nil"/>
              <w:bottom w:val="single" w:sz="8" w:space="0" w:color="BFBFBF"/>
              <w:right w:val="single" w:sz="8" w:space="0" w:color="000000"/>
            </w:tcBorders>
            <w:shd w:val="clear" w:color="auto" w:fill="auto"/>
            <w:vAlign w:val="center"/>
          </w:tcPr>
          <w:p w14:paraId="35A65672" w14:textId="77777777" w:rsidR="00644151" w:rsidRDefault="00425878">
            <w:pPr>
              <w:spacing w:after="0" w:line="240" w:lineRule="auto"/>
              <w:jc w:val="center"/>
              <w:rPr>
                <w:b/>
                <w:color w:val="000000"/>
                <w:sz w:val="18"/>
                <w:szCs w:val="18"/>
              </w:rPr>
            </w:pPr>
            <w:r>
              <w:rPr>
                <w:b/>
                <w:color w:val="000000"/>
                <w:sz w:val="18"/>
                <w:szCs w:val="18"/>
              </w:rPr>
              <w:t>2025, (2 081)</w:t>
            </w:r>
          </w:p>
        </w:tc>
        <w:tc>
          <w:tcPr>
            <w:tcW w:w="1134" w:type="dxa"/>
            <w:tcBorders>
              <w:top w:val="nil"/>
              <w:left w:val="nil"/>
              <w:bottom w:val="single" w:sz="8" w:space="0" w:color="BFBFBF"/>
              <w:right w:val="single" w:sz="8" w:space="0" w:color="BFBFBF"/>
            </w:tcBorders>
            <w:shd w:val="clear" w:color="auto" w:fill="auto"/>
            <w:vAlign w:val="center"/>
          </w:tcPr>
          <w:p w14:paraId="494F368B" w14:textId="77777777" w:rsidR="00644151" w:rsidRDefault="00425878">
            <w:pPr>
              <w:spacing w:after="0" w:line="240" w:lineRule="auto"/>
              <w:jc w:val="center"/>
              <w:rPr>
                <w:b/>
                <w:color w:val="000000"/>
                <w:sz w:val="18"/>
                <w:szCs w:val="18"/>
              </w:rPr>
            </w:pPr>
            <w:r>
              <w:rPr>
                <w:b/>
                <w:color w:val="00000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7EEC583F" w14:textId="77777777" w:rsidR="00644151" w:rsidRDefault="00425878">
            <w:pPr>
              <w:spacing w:after="0" w:line="240" w:lineRule="auto"/>
              <w:jc w:val="center"/>
              <w:rPr>
                <w:b/>
                <w:color w:val="000000"/>
                <w:sz w:val="18"/>
                <w:szCs w:val="18"/>
              </w:rPr>
            </w:pPr>
            <w:r>
              <w:rPr>
                <w:b/>
                <w:color w:val="000000"/>
                <w:sz w:val="18"/>
                <w:szCs w:val="18"/>
              </w:rPr>
              <w:t>2022, (504)</w:t>
            </w:r>
          </w:p>
        </w:tc>
        <w:tc>
          <w:tcPr>
            <w:tcW w:w="1316" w:type="dxa"/>
            <w:tcBorders>
              <w:top w:val="nil"/>
              <w:left w:val="nil"/>
              <w:bottom w:val="single" w:sz="8" w:space="0" w:color="BFBFBF"/>
              <w:right w:val="single" w:sz="8" w:space="0" w:color="000000"/>
            </w:tcBorders>
            <w:shd w:val="clear" w:color="auto" w:fill="auto"/>
            <w:vAlign w:val="center"/>
          </w:tcPr>
          <w:p w14:paraId="4C025C5A" w14:textId="77777777" w:rsidR="00644151" w:rsidRDefault="00425878">
            <w:pPr>
              <w:spacing w:after="0" w:line="240" w:lineRule="auto"/>
              <w:jc w:val="center"/>
              <w:rPr>
                <w:b/>
                <w:color w:val="000000"/>
                <w:sz w:val="18"/>
                <w:szCs w:val="18"/>
              </w:rPr>
            </w:pPr>
            <w:r>
              <w:rPr>
                <w:b/>
                <w:color w:val="000000"/>
                <w:sz w:val="18"/>
                <w:szCs w:val="18"/>
              </w:rPr>
              <w:t>2029, (2 812)</w:t>
            </w:r>
          </w:p>
        </w:tc>
      </w:tr>
      <w:tr w:rsidR="00644151" w14:paraId="3EBBACCB"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6BB89963" w14:textId="77777777" w:rsidR="00644151" w:rsidRDefault="00425878">
            <w:pPr>
              <w:spacing w:after="0" w:line="240" w:lineRule="auto"/>
              <w:jc w:val="center"/>
              <w:rPr>
                <w:color w:val="000000"/>
                <w:sz w:val="18"/>
                <w:szCs w:val="18"/>
              </w:rPr>
            </w:pPr>
            <w:r>
              <w:rPr>
                <w:color w:val="000000"/>
                <w:sz w:val="18"/>
                <w:szCs w:val="18"/>
              </w:rPr>
              <w:t>4</w:t>
            </w:r>
          </w:p>
        </w:tc>
        <w:tc>
          <w:tcPr>
            <w:tcW w:w="1136" w:type="dxa"/>
            <w:tcBorders>
              <w:top w:val="nil"/>
              <w:left w:val="nil"/>
              <w:bottom w:val="single" w:sz="8" w:space="0" w:color="BFBFBF"/>
              <w:right w:val="single" w:sz="8" w:space="0" w:color="BFBFBF"/>
            </w:tcBorders>
            <w:shd w:val="clear" w:color="auto" w:fill="auto"/>
            <w:vAlign w:val="center"/>
          </w:tcPr>
          <w:p w14:paraId="23E16879"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1971A707" w14:textId="77777777" w:rsidR="00644151" w:rsidRDefault="00425878">
            <w:pPr>
              <w:spacing w:after="0" w:line="240" w:lineRule="auto"/>
              <w:jc w:val="center"/>
              <w:rPr>
                <w:color w:val="000000"/>
                <w:sz w:val="18"/>
                <w:szCs w:val="18"/>
              </w:rPr>
            </w:pPr>
            <w:r>
              <w:rPr>
                <w:color w:val="000000"/>
                <w:sz w:val="18"/>
                <w:szCs w:val="18"/>
              </w:rPr>
              <w:t>2021, (615)</w:t>
            </w:r>
          </w:p>
        </w:tc>
        <w:tc>
          <w:tcPr>
            <w:tcW w:w="1418" w:type="dxa"/>
            <w:tcBorders>
              <w:top w:val="nil"/>
              <w:left w:val="nil"/>
              <w:bottom w:val="single" w:sz="8" w:space="0" w:color="BFBFBF"/>
              <w:right w:val="single" w:sz="8" w:space="0" w:color="000000"/>
            </w:tcBorders>
            <w:shd w:val="clear" w:color="auto" w:fill="auto"/>
            <w:vAlign w:val="center"/>
          </w:tcPr>
          <w:p w14:paraId="38216C71" w14:textId="77777777" w:rsidR="00644151" w:rsidRDefault="00425878">
            <w:pPr>
              <w:spacing w:after="0" w:line="240" w:lineRule="auto"/>
              <w:jc w:val="center"/>
              <w:rPr>
                <w:color w:val="000000"/>
                <w:sz w:val="18"/>
                <w:szCs w:val="18"/>
              </w:rPr>
            </w:pPr>
            <w:r>
              <w:rPr>
                <w:color w:val="000000"/>
                <w:sz w:val="18"/>
                <w:szCs w:val="18"/>
              </w:rPr>
              <w:t>2024, (1 200)</w:t>
            </w:r>
          </w:p>
        </w:tc>
        <w:tc>
          <w:tcPr>
            <w:tcW w:w="1134" w:type="dxa"/>
            <w:tcBorders>
              <w:top w:val="nil"/>
              <w:left w:val="nil"/>
              <w:bottom w:val="single" w:sz="8" w:space="0" w:color="BFBFBF"/>
              <w:right w:val="single" w:sz="8" w:space="0" w:color="BFBFBF"/>
            </w:tcBorders>
            <w:shd w:val="clear" w:color="auto" w:fill="auto"/>
            <w:vAlign w:val="center"/>
          </w:tcPr>
          <w:p w14:paraId="754A0E07" w14:textId="77777777" w:rsidR="00644151" w:rsidRDefault="00425878">
            <w:pPr>
              <w:spacing w:after="0" w:line="240" w:lineRule="auto"/>
              <w:jc w:val="center"/>
              <w:rPr>
                <w:color w:val="000000"/>
                <w:sz w:val="18"/>
                <w:szCs w:val="18"/>
              </w:rPr>
            </w:pPr>
            <w:r>
              <w:rPr>
                <w:color w:val="00000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350920B9" w14:textId="77777777" w:rsidR="00644151" w:rsidRDefault="00425878">
            <w:pPr>
              <w:spacing w:after="0" w:line="240" w:lineRule="auto"/>
              <w:jc w:val="center"/>
              <w:rPr>
                <w:color w:val="000000"/>
                <w:sz w:val="18"/>
                <w:szCs w:val="18"/>
              </w:rPr>
            </w:pPr>
            <w:r>
              <w:rPr>
                <w:color w:val="000000"/>
                <w:sz w:val="18"/>
                <w:szCs w:val="18"/>
              </w:rPr>
              <w:t>2021, (1 443)</w:t>
            </w:r>
          </w:p>
        </w:tc>
        <w:tc>
          <w:tcPr>
            <w:tcW w:w="1316" w:type="dxa"/>
            <w:tcBorders>
              <w:top w:val="nil"/>
              <w:left w:val="nil"/>
              <w:bottom w:val="single" w:sz="8" w:space="0" w:color="BFBFBF"/>
              <w:right w:val="single" w:sz="8" w:space="0" w:color="000000"/>
            </w:tcBorders>
            <w:shd w:val="clear" w:color="auto" w:fill="auto"/>
            <w:vAlign w:val="center"/>
          </w:tcPr>
          <w:p w14:paraId="3A392E8D" w14:textId="77777777" w:rsidR="00644151" w:rsidRDefault="00425878">
            <w:pPr>
              <w:spacing w:after="0" w:line="240" w:lineRule="auto"/>
              <w:jc w:val="center"/>
              <w:rPr>
                <w:color w:val="000000"/>
                <w:sz w:val="18"/>
                <w:szCs w:val="18"/>
              </w:rPr>
            </w:pPr>
            <w:r>
              <w:rPr>
                <w:color w:val="000000"/>
                <w:sz w:val="18"/>
                <w:szCs w:val="18"/>
              </w:rPr>
              <w:t>2026, (2 627)</w:t>
            </w:r>
          </w:p>
        </w:tc>
      </w:tr>
      <w:tr w:rsidR="00644151" w14:paraId="515B7503"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40E0ABDB" w14:textId="77777777" w:rsidR="00644151" w:rsidRDefault="00425878">
            <w:pPr>
              <w:spacing w:after="0" w:line="240" w:lineRule="auto"/>
              <w:jc w:val="center"/>
              <w:rPr>
                <w:color w:val="000000"/>
                <w:sz w:val="18"/>
                <w:szCs w:val="18"/>
              </w:rPr>
            </w:pPr>
            <w:r>
              <w:rPr>
                <w:color w:val="000000"/>
                <w:sz w:val="18"/>
                <w:szCs w:val="18"/>
              </w:rPr>
              <w:t>5</w:t>
            </w:r>
          </w:p>
        </w:tc>
        <w:tc>
          <w:tcPr>
            <w:tcW w:w="1136" w:type="dxa"/>
            <w:tcBorders>
              <w:top w:val="nil"/>
              <w:left w:val="nil"/>
              <w:bottom w:val="single" w:sz="8" w:space="0" w:color="BFBFBF"/>
              <w:right w:val="single" w:sz="8" w:space="0" w:color="BFBFBF"/>
            </w:tcBorders>
            <w:shd w:val="clear" w:color="auto" w:fill="auto"/>
            <w:vAlign w:val="center"/>
          </w:tcPr>
          <w:p w14:paraId="062DCEAC"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265E555B" w14:textId="77777777" w:rsidR="00644151" w:rsidRDefault="00425878">
            <w:pPr>
              <w:spacing w:after="0" w:line="240" w:lineRule="auto"/>
              <w:jc w:val="center"/>
              <w:rPr>
                <w:color w:val="000000"/>
                <w:sz w:val="18"/>
                <w:szCs w:val="18"/>
              </w:rPr>
            </w:pPr>
            <w:r>
              <w:rPr>
                <w:color w:val="000000"/>
                <w:sz w:val="18"/>
                <w:szCs w:val="18"/>
              </w:rPr>
              <w:t>2020, (3 993)</w:t>
            </w:r>
          </w:p>
        </w:tc>
        <w:tc>
          <w:tcPr>
            <w:tcW w:w="1418" w:type="dxa"/>
            <w:tcBorders>
              <w:top w:val="nil"/>
              <w:left w:val="nil"/>
              <w:bottom w:val="single" w:sz="8" w:space="0" w:color="BFBFBF"/>
              <w:right w:val="single" w:sz="8" w:space="0" w:color="000000"/>
            </w:tcBorders>
            <w:shd w:val="clear" w:color="auto" w:fill="auto"/>
            <w:vAlign w:val="center"/>
          </w:tcPr>
          <w:p w14:paraId="0BFD58BB" w14:textId="77777777" w:rsidR="00644151" w:rsidRDefault="00425878">
            <w:pPr>
              <w:spacing w:after="0" w:line="240" w:lineRule="auto"/>
              <w:jc w:val="center"/>
              <w:rPr>
                <w:color w:val="000000"/>
                <w:sz w:val="18"/>
                <w:szCs w:val="18"/>
              </w:rPr>
            </w:pPr>
            <w:r>
              <w:rPr>
                <w:color w:val="000000"/>
                <w:sz w:val="18"/>
                <w:szCs w:val="18"/>
              </w:rPr>
              <w:t>2024, (2 826)</w:t>
            </w:r>
          </w:p>
        </w:tc>
        <w:tc>
          <w:tcPr>
            <w:tcW w:w="1134" w:type="dxa"/>
            <w:tcBorders>
              <w:top w:val="nil"/>
              <w:left w:val="nil"/>
              <w:bottom w:val="single" w:sz="8" w:space="0" w:color="BFBFBF"/>
              <w:right w:val="single" w:sz="8" w:space="0" w:color="BFBFBF"/>
            </w:tcBorders>
            <w:shd w:val="clear" w:color="auto" w:fill="auto"/>
            <w:vAlign w:val="center"/>
          </w:tcPr>
          <w:p w14:paraId="1141BB27" w14:textId="77777777" w:rsidR="00644151" w:rsidRDefault="00425878">
            <w:pPr>
              <w:spacing w:after="0" w:line="240" w:lineRule="auto"/>
              <w:jc w:val="center"/>
              <w:rPr>
                <w:color w:val="000000"/>
                <w:sz w:val="18"/>
                <w:szCs w:val="18"/>
              </w:rPr>
            </w:pPr>
            <w:r>
              <w:rPr>
                <w:color w:val="00000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21B58A02" w14:textId="77777777" w:rsidR="00644151" w:rsidRDefault="00425878">
            <w:pPr>
              <w:spacing w:after="0" w:line="240" w:lineRule="auto"/>
              <w:jc w:val="center"/>
              <w:rPr>
                <w:color w:val="000000"/>
                <w:sz w:val="18"/>
                <w:szCs w:val="18"/>
              </w:rPr>
            </w:pPr>
            <w:r>
              <w:rPr>
                <w:color w:val="000000"/>
                <w:sz w:val="18"/>
                <w:szCs w:val="18"/>
              </w:rPr>
              <w:t>2021, (615)</w:t>
            </w:r>
          </w:p>
        </w:tc>
        <w:tc>
          <w:tcPr>
            <w:tcW w:w="1316" w:type="dxa"/>
            <w:tcBorders>
              <w:top w:val="nil"/>
              <w:left w:val="nil"/>
              <w:bottom w:val="single" w:sz="8" w:space="0" w:color="BFBFBF"/>
              <w:right w:val="single" w:sz="8" w:space="0" w:color="000000"/>
            </w:tcBorders>
            <w:shd w:val="clear" w:color="auto" w:fill="auto"/>
            <w:vAlign w:val="center"/>
          </w:tcPr>
          <w:p w14:paraId="4C7C231A" w14:textId="77777777" w:rsidR="00644151" w:rsidRDefault="00425878">
            <w:pPr>
              <w:spacing w:after="0" w:line="240" w:lineRule="auto"/>
              <w:jc w:val="center"/>
              <w:rPr>
                <w:color w:val="000000"/>
                <w:sz w:val="18"/>
                <w:szCs w:val="18"/>
              </w:rPr>
            </w:pPr>
            <w:r>
              <w:rPr>
                <w:color w:val="000000"/>
                <w:sz w:val="18"/>
                <w:szCs w:val="18"/>
              </w:rPr>
              <w:t>2024, (4 664)</w:t>
            </w:r>
          </w:p>
        </w:tc>
      </w:tr>
      <w:tr w:rsidR="00644151" w14:paraId="1C937DC6"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3CA4C264" w14:textId="77777777" w:rsidR="00644151" w:rsidRDefault="00425878">
            <w:pPr>
              <w:spacing w:after="0" w:line="240" w:lineRule="auto"/>
              <w:jc w:val="center"/>
              <w:rPr>
                <w:color w:val="000000"/>
                <w:sz w:val="18"/>
                <w:szCs w:val="18"/>
              </w:rPr>
            </w:pPr>
            <w:r>
              <w:rPr>
                <w:color w:val="000000"/>
                <w:sz w:val="18"/>
                <w:szCs w:val="18"/>
              </w:rPr>
              <w:t>6</w:t>
            </w:r>
          </w:p>
        </w:tc>
        <w:tc>
          <w:tcPr>
            <w:tcW w:w="1136" w:type="dxa"/>
            <w:tcBorders>
              <w:top w:val="nil"/>
              <w:left w:val="nil"/>
              <w:bottom w:val="single" w:sz="8" w:space="0" w:color="BFBFBF"/>
              <w:right w:val="single" w:sz="8" w:space="0" w:color="BFBFBF"/>
            </w:tcBorders>
            <w:shd w:val="clear" w:color="auto" w:fill="auto"/>
            <w:vAlign w:val="center"/>
          </w:tcPr>
          <w:p w14:paraId="17C2490D"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13793F95" w14:textId="77777777" w:rsidR="00644151" w:rsidRDefault="00425878">
            <w:pPr>
              <w:spacing w:after="0" w:line="240" w:lineRule="auto"/>
              <w:jc w:val="center"/>
              <w:rPr>
                <w:color w:val="000000"/>
                <w:sz w:val="18"/>
                <w:szCs w:val="18"/>
              </w:rPr>
            </w:pPr>
            <w:r>
              <w:rPr>
                <w:color w:val="000000"/>
                <w:sz w:val="18"/>
                <w:szCs w:val="18"/>
              </w:rPr>
              <w:t>2020, (3 993)</w:t>
            </w:r>
          </w:p>
        </w:tc>
        <w:tc>
          <w:tcPr>
            <w:tcW w:w="1418" w:type="dxa"/>
            <w:tcBorders>
              <w:top w:val="nil"/>
              <w:left w:val="nil"/>
              <w:bottom w:val="single" w:sz="8" w:space="0" w:color="BFBFBF"/>
              <w:right w:val="single" w:sz="8" w:space="0" w:color="000000"/>
            </w:tcBorders>
            <w:shd w:val="clear" w:color="auto" w:fill="auto"/>
            <w:vAlign w:val="center"/>
          </w:tcPr>
          <w:p w14:paraId="2D88F206" w14:textId="77777777" w:rsidR="00644151" w:rsidRDefault="00425878">
            <w:pPr>
              <w:spacing w:after="0" w:line="240" w:lineRule="auto"/>
              <w:jc w:val="center"/>
              <w:rPr>
                <w:color w:val="000000"/>
                <w:sz w:val="18"/>
                <w:szCs w:val="18"/>
              </w:rPr>
            </w:pPr>
            <w:r>
              <w:rPr>
                <w:color w:val="000000"/>
                <w:sz w:val="18"/>
                <w:szCs w:val="18"/>
              </w:rPr>
              <w:t>2022, (6 826)</w:t>
            </w:r>
          </w:p>
        </w:tc>
        <w:tc>
          <w:tcPr>
            <w:tcW w:w="1134" w:type="dxa"/>
            <w:tcBorders>
              <w:top w:val="nil"/>
              <w:left w:val="nil"/>
              <w:bottom w:val="single" w:sz="8" w:space="0" w:color="BFBFBF"/>
              <w:right w:val="single" w:sz="8" w:space="0" w:color="BFBFBF"/>
            </w:tcBorders>
            <w:shd w:val="clear" w:color="auto" w:fill="auto"/>
            <w:vAlign w:val="center"/>
          </w:tcPr>
          <w:p w14:paraId="79B9A12D" w14:textId="77777777" w:rsidR="00644151" w:rsidRDefault="00425878">
            <w:pPr>
              <w:spacing w:after="0" w:line="240" w:lineRule="auto"/>
              <w:jc w:val="center"/>
              <w:rPr>
                <w:color w:val="808080"/>
                <w:sz w:val="18"/>
                <w:szCs w:val="18"/>
              </w:rPr>
            </w:pPr>
            <w:r>
              <w:rPr>
                <w:color w:val="80808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616922BF" w14:textId="77777777" w:rsidR="00644151" w:rsidRDefault="00425878">
            <w:pPr>
              <w:spacing w:after="0" w:line="240" w:lineRule="auto"/>
              <w:jc w:val="center"/>
              <w:rPr>
                <w:color w:val="808080"/>
                <w:sz w:val="18"/>
                <w:szCs w:val="18"/>
              </w:rPr>
            </w:pPr>
            <w:r>
              <w:rPr>
                <w:color w:val="808080"/>
                <w:sz w:val="18"/>
                <w:szCs w:val="18"/>
              </w:rPr>
              <w:t>2020, (4 481)</w:t>
            </w:r>
          </w:p>
        </w:tc>
        <w:tc>
          <w:tcPr>
            <w:tcW w:w="1316" w:type="dxa"/>
            <w:tcBorders>
              <w:top w:val="nil"/>
              <w:left w:val="nil"/>
              <w:bottom w:val="single" w:sz="8" w:space="0" w:color="BFBFBF"/>
              <w:right w:val="single" w:sz="8" w:space="0" w:color="000000"/>
            </w:tcBorders>
            <w:shd w:val="clear" w:color="auto" w:fill="auto"/>
            <w:vAlign w:val="center"/>
          </w:tcPr>
          <w:p w14:paraId="1966ECB4" w14:textId="77777777" w:rsidR="00644151" w:rsidRDefault="00425878">
            <w:pPr>
              <w:spacing w:after="0" w:line="240" w:lineRule="auto"/>
              <w:jc w:val="center"/>
              <w:rPr>
                <w:color w:val="000000"/>
                <w:sz w:val="18"/>
                <w:szCs w:val="18"/>
              </w:rPr>
            </w:pPr>
            <w:r>
              <w:rPr>
                <w:color w:val="000000"/>
                <w:sz w:val="18"/>
                <w:szCs w:val="18"/>
              </w:rPr>
              <w:t>2023, (5 419)</w:t>
            </w:r>
          </w:p>
        </w:tc>
      </w:tr>
      <w:tr w:rsidR="00644151" w14:paraId="32401A0B"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614CDA3D" w14:textId="77777777" w:rsidR="00644151" w:rsidRDefault="00425878">
            <w:pPr>
              <w:spacing w:after="0" w:line="240" w:lineRule="auto"/>
              <w:jc w:val="center"/>
              <w:rPr>
                <w:color w:val="000000"/>
                <w:sz w:val="18"/>
                <w:szCs w:val="18"/>
              </w:rPr>
            </w:pPr>
            <w:r>
              <w:rPr>
                <w:color w:val="000000"/>
                <w:sz w:val="18"/>
                <w:szCs w:val="18"/>
              </w:rPr>
              <w:t>7</w:t>
            </w:r>
          </w:p>
        </w:tc>
        <w:tc>
          <w:tcPr>
            <w:tcW w:w="1136" w:type="dxa"/>
            <w:tcBorders>
              <w:top w:val="nil"/>
              <w:left w:val="nil"/>
              <w:bottom w:val="single" w:sz="8" w:space="0" w:color="BFBFBF"/>
              <w:right w:val="single" w:sz="8" w:space="0" w:color="BFBFBF"/>
            </w:tcBorders>
            <w:shd w:val="clear" w:color="auto" w:fill="auto"/>
            <w:vAlign w:val="center"/>
          </w:tcPr>
          <w:p w14:paraId="5C5D30AC"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7E212081" w14:textId="77777777" w:rsidR="00644151" w:rsidRDefault="00425878">
            <w:pPr>
              <w:spacing w:after="0" w:line="240" w:lineRule="auto"/>
              <w:jc w:val="center"/>
              <w:rPr>
                <w:color w:val="000000"/>
                <w:sz w:val="18"/>
                <w:szCs w:val="18"/>
              </w:rPr>
            </w:pPr>
            <w:r>
              <w:rPr>
                <w:color w:val="000000"/>
                <w:sz w:val="18"/>
                <w:szCs w:val="18"/>
              </w:rPr>
              <w:t>2020, (3 993)</w:t>
            </w:r>
          </w:p>
        </w:tc>
        <w:tc>
          <w:tcPr>
            <w:tcW w:w="1418" w:type="dxa"/>
            <w:tcBorders>
              <w:top w:val="nil"/>
              <w:left w:val="nil"/>
              <w:bottom w:val="single" w:sz="8" w:space="0" w:color="BFBFBF"/>
              <w:right w:val="single" w:sz="8" w:space="0" w:color="000000"/>
            </w:tcBorders>
            <w:shd w:val="clear" w:color="auto" w:fill="auto"/>
            <w:vAlign w:val="center"/>
          </w:tcPr>
          <w:p w14:paraId="57E8F5E4" w14:textId="77777777" w:rsidR="00644151" w:rsidRDefault="00425878">
            <w:pPr>
              <w:spacing w:after="0" w:line="240" w:lineRule="auto"/>
              <w:jc w:val="center"/>
              <w:rPr>
                <w:color w:val="000000"/>
                <w:sz w:val="18"/>
                <w:szCs w:val="18"/>
              </w:rPr>
            </w:pPr>
            <w:r>
              <w:rPr>
                <w:color w:val="000000"/>
                <w:sz w:val="18"/>
                <w:szCs w:val="18"/>
              </w:rPr>
              <w:t>2022, (4 414)</w:t>
            </w:r>
          </w:p>
        </w:tc>
        <w:tc>
          <w:tcPr>
            <w:tcW w:w="1134" w:type="dxa"/>
            <w:tcBorders>
              <w:top w:val="nil"/>
              <w:left w:val="nil"/>
              <w:bottom w:val="single" w:sz="8" w:space="0" w:color="BFBFBF"/>
              <w:right w:val="single" w:sz="8" w:space="0" w:color="BFBFBF"/>
            </w:tcBorders>
            <w:shd w:val="clear" w:color="auto" w:fill="auto"/>
            <w:vAlign w:val="center"/>
          </w:tcPr>
          <w:p w14:paraId="1F2DFD94" w14:textId="77777777" w:rsidR="00644151" w:rsidRDefault="00425878">
            <w:pPr>
              <w:spacing w:after="0" w:line="240" w:lineRule="auto"/>
              <w:jc w:val="center"/>
              <w:rPr>
                <w:color w:val="808080"/>
                <w:sz w:val="18"/>
                <w:szCs w:val="18"/>
              </w:rPr>
            </w:pPr>
            <w:r>
              <w:rPr>
                <w:color w:val="80808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4265D0C3" w14:textId="77777777" w:rsidR="00644151" w:rsidRDefault="00425878">
            <w:pPr>
              <w:spacing w:after="0" w:line="240" w:lineRule="auto"/>
              <w:jc w:val="center"/>
              <w:rPr>
                <w:color w:val="808080"/>
                <w:sz w:val="18"/>
                <w:szCs w:val="18"/>
              </w:rPr>
            </w:pPr>
            <w:r>
              <w:rPr>
                <w:color w:val="808080"/>
                <w:sz w:val="18"/>
                <w:szCs w:val="18"/>
              </w:rPr>
              <w:t>2020, (4 481)</w:t>
            </w:r>
          </w:p>
        </w:tc>
        <w:tc>
          <w:tcPr>
            <w:tcW w:w="1316" w:type="dxa"/>
            <w:tcBorders>
              <w:top w:val="nil"/>
              <w:left w:val="nil"/>
              <w:bottom w:val="single" w:sz="8" w:space="0" w:color="BFBFBF"/>
              <w:right w:val="single" w:sz="8" w:space="0" w:color="000000"/>
            </w:tcBorders>
            <w:shd w:val="clear" w:color="auto" w:fill="auto"/>
            <w:vAlign w:val="center"/>
          </w:tcPr>
          <w:p w14:paraId="570692F1" w14:textId="77777777" w:rsidR="00644151" w:rsidRDefault="00425878">
            <w:pPr>
              <w:spacing w:after="0" w:line="240" w:lineRule="auto"/>
              <w:jc w:val="center"/>
              <w:rPr>
                <w:color w:val="000000"/>
                <w:sz w:val="18"/>
                <w:szCs w:val="18"/>
              </w:rPr>
            </w:pPr>
            <w:r>
              <w:rPr>
                <w:color w:val="000000"/>
                <w:sz w:val="18"/>
                <w:szCs w:val="18"/>
              </w:rPr>
              <w:t>2023, (1 761)</w:t>
            </w:r>
          </w:p>
        </w:tc>
      </w:tr>
      <w:tr w:rsidR="00644151" w14:paraId="709F57CC"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6033E073" w14:textId="77777777" w:rsidR="00644151" w:rsidRDefault="00425878">
            <w:pPr>
              <w:spacing w:after="0" w:line="240" w:lineRule="auto"/>
              <w:jc w:val="center"/>
              <w:rPr>
                <w:color w:val="000000"/>
                <w:sz w:val="18"/>
                <w:szCs w:val="18"/>
              </w:rPr>
            </w:pPr>
            <w:r>
              <w:rPr>
                <w:color w:val="000000"/>
                <w:sz w:val="18"/>
                <w:szCs w:val="18"/>
              </w:rPr>
              <w:t>8</w:t>
            </w:r>
          </w:p>
        </w:tc>
        <w:tc>
          <w:tcPr>
            <w:tcW w:w="1136" w:type="dxa"/>
            <w:tcBorders>
              <w:top w:val="nil"/>
              <w:left w:val="nil"/>
              <w:bottom w:val="single" w:sz="8" w:space="0" w:color="BFBFBF"/>
              <w:right w:val="single" w:sz="8" w:space="0" w:color="BFBFBF"/>
            </w:tcBorders>
            <w:shd w:val="clear" w:color="auto" w:fill="auto"/>
            <w:vAlign w:val="center"/>
          </w:tcPr>
          <w:p w14:paraId="41368E6B"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65027543" w14:textId="77777777" w:rsidR="00644151" w:rsidRDefault="00425878">
            <w:pPr>
              <w:spacing w:after="0" w:line="240" w:lineRule="auto"/>
              <w:jc w:val="center"/>
              <w:rPr>
                <w:color w:val="000000"/>
                <w:sz w:val="18"/>
                <w:szCs w:val="18"/>
              </w:rPr>
            </w:pPr>
            <w:r>
              <w:rPr>
                <w:color w:val="000000"/>
                <w:sz w:val="18"/>
                <w:szCs w:val="18"/>
              </w:rPr>
              <w:t>2020, (1 997)</w:t>
            </w:r>
          </w:p>
        </w:tc>
        <w:tc>
          <w:tcPr>
            <w:tcW w:w="1418" w:type="dxa"/>
            <w:tcBorders>
              <w:top w:val="nil"/>
              <w:left w:val="nil"/>
              <w:bottom w:val="single" w:sz="8" w:space="0" w:color="BFBFBF"/>
              <w:right w:val="single" w:sz="8" w:space="0" w:color="000000"/>
            </w:tcBorders>
            <w:shd w:val="clear" w:color="auto" w:fill="auto"/>
            <w:vAlign w:val="center"/>
          </w:tcPr>
          <w:p w14:paraId="2A5975BD" w14:textId="77777777" w:rsidR="00644151" w:rsidRDefault="00425878">
            <w:pPr>
              <w:spacing w:after="0" w:line="240" w:lineRule="auto"/>
              <w:jc w:val="center"/>
              <w:rPr>
                <w:color w:val="000000"/>
                <w:sz w:val="18"/>
                <w:szCs w:val="18"/>
              </w:rPr>
            </w:pPr>
            <w:r>
              <w:rPr>
                <w:color w:val="000000"/>
                <w:sz w:val="18"/>
                <w:szCs w:val="18"/>
              </w:rPr>
              <w:t>2022, (4 414)</w:t>
            </w:r>
          </w:p>
        </w:tc>
        <w:tc>
          <w:tcPr>
            <w:tcW w:w="1134" w:type="dxa"/>
            <w:tcBorders>
              <w:top w:val="nil"/>
              <w:left w:val="nil"/>
              <w:bottom w:val="single" w:sz="8" w:space="0" w:color="BFBFBF"/>
              <w:right w:val="single" w:sz="8" w:space="0" w:color="BFBFBF"/>
            </w:tcBorders>
            <w:shd w:val="clear" w:color="auto" w:fill="auto"/>
            <w:vAlign w:val="center"/>
          </w:tcPr>
          <w:p w14:paraId="4506AACD" w14:textId="77777777" w:rsidR="00644151" w:rsidRDefault="00425878">
            <w:pPr>
              <w:spacing w:after="0" w:line="240" w:lineRule="auto"/>
              <w:jc w:val="center"/>
              <w:rPr>
                <w:color w:val="808080"/>
                <w:sz w:val="18"/>
                <w:szCs w:val="18"/>
              </w:rPr>
            </w:pPr>
            <w:r>
              <w:rPr>
                <w:color w:val="80808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2BD35DD4" w14:textId="77777777" w:rsidR="00644151" w:rsidRDefault="00425878">
            <w:pPr>
              <w:spacing w:after="0" w:line="240" w:lineRule="auto"/>
              <w:jc w:val="center"/>
              <w:rPr>
                <w:color w:val="808080"/>
                <w:sz w:val="18"/>
                <w:szCs w:val="18"/>
              </w:rPr>
            </w:pPr>
            <w:r>
              <w:rPr>
                <w:color w:val="808080"/>
                <w:sz w:val="18"/>
                <w:szCs w:val="18"/>
              </w:rPr>
              <w:t>2020, (4 481)</w:t>
            </w:r>
          </w:p>
        </w:tc>
        <w:tc>
          <w:tcPr>
            <w:tcW w:w="1316" w:type="dxa"/>
            <w:tcBorders>
              <w:top w:val="nil"/>
              <w:left w:val="nil"/>
              <w:bottom w:val="single" w:sz="8" w:space="0" w:color="BFBFBF"/>
              <w:right w:val="single" w:sz="8" w:space="0" w:color="000000"/>
            </w:tcBorders>
            <w:shd w:val="clear" w:color="auto" w:fill="auto"/>
            <w:vAlign w:val="center"/>
          </w:tcPr>
          <w:p w14:paraId="66C3624F" w14:textId="77777777" w:rsidR="00644151" w:rsidRDefault="00425878">
            <w:pPr>
              <w:spacing w:after="0" w:line="240" w:lineRule="auto"/>
              <w:jc w:val="center"/>
              <w:rPr>
                <w:color w:val="000000"/>
                <w:sz w:val="18"/>
                <w:szCs w:val="18"/>
              </w:rPr>
            </w:pPr>
            <w:r>
              <w:rPr>
                <w:color w:val="000000"/>
                <w:sz w:val="18"/>
                <w:szCs w:val="18"/>
              </w:rPr>
              <w:t>2022, (6 165)</w:t>
            </w:r>
          </w:p>
        </w:tc>
      </w:tr>
      <w:tr w:rsidR="00644151" w14:paraId="1C66B796" w14:textId="77777777">
        <w:trPr>
          <w:trHeight w:val="330"/>
        </w:trPr>
        <w:tc>
          <w:tcPr>
            <w:tcW w:w="1123" w:type="dxa"/>
            <w:tcBorders>
              <w:top w:val="nil"/>
              <w:left w:val="single" w:sz="8" w:space="0" w:color="000000"/>
              <w:bottom w:val="single" w:sz="8" w:space="0" w:color="BFBFBF"/>
              <w:right w:val="single" w:sz="8" w:space="0" w:color="000000"/>
            </w:tcBorders>
            <w:shd w:val="clear" w:color="auto" w:fill="auto"/>
            <w:vAlign w:val="center"/>
          </w:tcPr>
          <w:p w14:paraId="2BF82AEA" w14:textId="77777777" w:rsidR="00644151" w:rsidRDefault="00425878">
            <w:pPr>
              <w:spacing w:after="0" w:line="240" w:lineRule="auto"/>
              <w:jc w:val="center"/>
              <w:rPr>
                <w:color w:val="000000"/>
                <w:sz w:val="18"/>
                <w:szCs w:val="18"/>
              </w:rPr>
            </w:pPr>
            <w:r>
              <w:rPr>
                <w:color w:val="000000"/>
                <w:sz w:val="18"/>
                <w:szCs w:val="18"/>
              </w:rPr>
              <w:t>9</w:t>
            </w:r>
          </w:p>
        </w:tc>
        <w:tc>
          <w:tcPr>
            <w:tcW w:w="1136" w:type="dxa"/>
            <w:tcBorders>
              <w:top w:val="nil"/>
              <w:left w:val="nil"/>
              <w:bottom w:val="single" w:sz="8" w:space="0" w:color="BFBFBF"/>
              <w:right w:val="single" w:sz="8" w:space="0" w:color="BFBFBF"/>
            </w:tcBorders>
            <w:shd w:val="clear" w:color="auto" w:fill="auto"/>
            <w:vAlign w:val="center"/>
          </w:tcPr>
          <w:p w14:paraId="6A932BF2"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BFBFBF"/>
              <w:right w:val="single" w:sz="8" w:space="0" w:color="BFBFBF"/>
            </w:tcBorders>
            <w:shd w:val="clear" w:color="auto" w:fill="auto"/>
            <w:vAlign w:val="center"/>
          </w:tcPr>
          <w:p w14:paraId="2B09D40F" w14:textId="77777777" w:rsidR="00644151" w:rsidRDefault="00425878">
            <w:pPr>
              <w:spacing w:after="0" w:line="240" w:lineRule="auto"/>
              <w:jc w:val="center"/>
              <w:rPr>
                <w:color w:val="000000"/>
                <w:sz w:val="18"/>
                <w:szCs w:val="18"/>
              </w:rPr>
            </w:pPr>
            <w:r>
              <w:rPr>
                <w:color w:val="000000"/>
                <w:sz w:val="18"/>
                <w:szCs w:val="18"/>
              </w:rPr>
              <w:t>2020, (1 997)</w:t>
            </w:r>
          </w:p>
        </w:tc>
        <w:tc>
          <w:tcPr>
            <w:tcW w:w="1418" w:type="dxa"/>
            <w:tcBorders>
              <w:top w:val="nil"/>
              <w:left w:val="nil"/>
              <w:bottom w:val="single" w:sz="8" w:space="0" w:color="BFBFBF"/>
              <w:right w:val="single" w:sz="8" w:space="0" w:color="000000"/>
            </w:tcBorders>
            <w:shd w:val="clear" w:color="auto" w:fill="auto"/>
            <w:vAlign w:val="center"/>
          </w:tcPr>
          <w:p w14:paraId="33190191" w14:textId="77777777" w:rsidR="00644151" w:rsidRDefault="00425878">
            <w:pPr>
              <w:spacing w:after="0" w:line="240" w:lineRule="auto"/>
              <w:jc w:val="center"/>
              <w:rPr>
                <w:color w:val="000000"/>
                <w:sz w:val="18"/>
                <w:szCs w:val="18"/>
              </w:rPr>
            </w:pPr>
            <w:r>
              <w:rPr>
                <w:color w:val="000000"/>
                <w:sz w:val="18"/>
                <w:szCs w:val="18"/>
              </w:rPr>
              <w:t>2021, (10 688)</w:t>
            </w:r>
          </w:p>
        </w:tc>
        <w:tc>
          <w:tcPr>
            <w:tcW w:w="1134" w:type="dxa"/>
            <w:tcBorders>
              <w:top w:val="nil"/>
              <w:left w:val="nil"/>
              <w:bottom w:val="single" w:sz="8" w:space="0" w:color="BFBFBF"/>
              <w:right w:val="single" w:sz="8" w:space="0" w:color="BFBFBF"/>
            </w:tcBorders>
            <w:shd w:val="clear" w:color="auto" w:fill="auto"/>
            <w:vAlign w:val="center"/>
          </w:tcPr>
          <w:p w14:paraId="615DE167" w14:textId="77777777" w:rsidR="00644151" w:rsidRDefault="00425878">
            <w:pPr>
              <w:spacing w:after="0" w:line="240" w:lineRule="auto"/>
              <w:jc w:val="center"/>
              <w:rPr>
                <w:color w:val="808080"/>
                <w:sz w:val="18"/>
                <w:szCs w:val="18"/>
              </w:rPr>
            </w:pPr>
            <w:r>
              <w:rPr>
                <w:color w:val="808080"/>
                <w:sz w:val="18"/>
                <w:szCs w:val="18"/>
              </w:rPr>
              <w:t>2020, (290)</w:t>
            </w:r>
          </w:p>
        </w:tc>
        <w:tc>
          <w:tcPr>
            <w:tcW w:w="1416" w:type="dxa"/>
            <w:tcBorders>
              <w:top w:val="nil"/>
              <w:left w:val="nil"/>
              <w:bottom w:val="single" w:sz="8" w:space="0" w:color="BFBFBF"/>
              <w:right w:val="single" w:sz="8" w:space="0" w:color="BFBFBF"/>
            </w:tcBorders>
            <w:shd w:val="clear" w:color="auto" w:fill="auto"/>
            <w:vAlign w:val="center"/>
          </w:tcPr>
          <w:p w14:paraId="699D226E" w14:textId="77777777" w:rsidR="00644151" w:rsidRDefault="00425878">
            <w:pPr>
              <w:spacing w:after="0" w:line="240" w:lineRule="auto"/>
              <w:jc w:val="center"/>
              <w:rPr>
                <w:color w:val="808080"/>
                <w:sz w:val="18"/>
                <w:szCs w:val="18"/>
              </w:rPr>
            </w:pPr>
            <w:r>
              <w:rPr>
                <w:color w:val="808080"/>
                <w:sz w:val="18"/>
                <w:szCs w:val="18"/>
              </w:rPr>
              <w:t>2020, (4 481)</w:t>
            </w:r>
          </w:p>
        </w:tc>
        <w:tc>
          <w:tcPr>
            <w:tcW w:w="1316" w:type="dxa"/>
            <w:tcBorders>
              <w:top w:val="nil"/>
              <w:left w:val="nil"/>
              <w:bottom w:val="single" w:sz="8" w:space="0" w:color="BFBFBF"/>
              <w:right w:val="single" w:sz="8" w:space="0" w:color="000000"/>
            </w:tcBorders>
            <w:shd w:val="clear" w:color="auto" w:fill="auto"/>
            <w:vAlign w:val="center"/>
          </w:tcPr>
          <w:p w14:paraId="4C3EB305" w14:textId="77777777" w:rsidR="00644151" w:rsidRDefault="00425878">
            <w:pPr>
              <w:spacing w:after="0" w:line="240" w:lineRule="auto"/>
              <w:jc w:val="center"/>
              <w:rPr>
                <w:color w:val="000000"/>
                <w:sz w:val="18"/>
                <w:szCs w:val="18"/>
              </w:rPr>
            </w:pPr>
            <w:r>
              <w:rPr>
                <w:color w:val="000000"/>
                <w:sz w:val="18"/>
                <w:szCs w:val="18"/>
              </w:rPr>
              <w:t>2022, (3 789)</w:t>
            </w:r>
          </w:p>
        </w:tc>
      </w:tr>
      <w:tr w:rsidR="00644151" w14:paraId="33991C16" w14:textId="77777777">
        <w:trPr>
          <w:trHeight w:val="330"/>
        </w:trPr>
        <w:tc>
          <w:tcPr>
            <w:tcW w:w="1123" w:type="dxa"/>
            <w:tcBorders>
              <w:top w:val="nil"/>
              <w:left w:val="single" w:sz="8" w:space="0" w:color="000000"/>
              <w:bottom w:val="single" w:sz="8" w:space="0" w:color="000000"/>
              <w:right w:val="single" w:sz="8" w:space="0" w:color="000000"/>
            </w:tcBorders>
            <w:shd w:val="clear" w:color="auto" w:fill="auto"/>
            <w:vAlign w:val="center"/>
          </w:tcPr>
          <w:p w14:paraId="2B9DB722" w14:textId="77777777" w:rsidR="00644151" w:rsidRDefault="00425878">
            <w:pPr>
              <w:spacing w:after="0" w:line="240" w:lineRule="auto"/>
              <w:jc w:val="center"/>
              <w:rPr>
                <w:color w:val="000000"/>
                <w:sz w:val="18"/>
                <w:szCs w:val="18"/>
              </w:rPr>
            </w:pPr>
            <w:r>
              <w:rPr>
                <w:color w:val="000000"/>
                <w:sz w:val="18"/>
                <w:szCs w:val="18"/>
              </w:rPr>
              <w:t>10</w:t>
            </w:r>
          </w:p>
        </w:tc>
        <w:tc>
          <w:tcPr>
            <w:tcW w:w="1136" w:type="dxa"/>
            <w:tcBorders>
              <w:top w:val="nil"/>
              <w:left w:val="nil"/>
              <w:bottom w:val="single" w:sz="8" w:space="0" w:color="000000"/>
              <w:right w:val="single" w:sz="8" w:space="0" w:color="BFBFBF"/>
            </w:tcBorders>
            <w:shd w:val="clear" w:color="auto" w:fill="auto"/>
            <w:vAlign w:val="center"/>
          </w:tcPr>
          <w:p w14:paraId="5C874B52" w14:textId="77777777" w:rsidR="00644151" w:rsidRDefault="00425878">
            <w:pPr>
              <w:spacing w:after="0" w:line="240" w:lineRule="auto"/>
              <w:jc w:val="center"/>
              <w:rPr>
                <w:color w:val="000000"/>
                <w:sz w:val="18"/>
                <w:szCs w:val="18"/>
              </w:rPr>
            </w:pPr>
            <w:r>
              <w:rPr>
                <w:color w:val="000000"/>
                <w:sz w:val="18"/>
                <w:szCs w:val="18"/>
              </w:rPr>
              <w:t>Agotado</w:t>
            </w:r>
          </w:p>
        </w:tc>
        <w:tc>
          <w:tcPr>
            <w:tcW w:w="1275" w:type="dxa"/>
            <w:tcBorders>
              <w:top w:val="nil"/>
              <w:left w:val="nil"/>
              <w:bottom w:val="single" w:sz="8" w:space="0" w:color="000000"/>
              <w:right w:val="single" w:sz="8" w:space="0" w:color="BFBFBF"/>
            </w:tcBorders>
            <w:shd w:val="clear" w:color="auto" w:fill="auto"/>
            <w:vAlign w:val="center"/>
          </w:tcPr>
          <w:p w14:paraId="4D617CED" w14:textId="77777777" w:rsidR="00644151" w:rsidRDefault="00425878">
            <w:pPr>
              <w:spacing w:after="0" w:line="240" w:lineRule="auto"/>
              <w:jc w:val="center"/>
              <w:rPr>
                <w:color w:val="000000"/>
                <w:sz w:val="18"/>
                <w:szCs w:val="18"/>
              </w:rPr>
            </w:pPr>
            <w:r>
              <w:rPr>
                <w:color w:val="000000"/>
                <w:sz w:val="18"/>
                <w:szCs w:val="18"/>
              </w:rPr>
              <w:t>2020, (1 997)</w:t>
            </w:r>
          </w:p>
        </w:tc>
        <w:tc>
          <w:tcPr>
            <w:tcW w:w="1418" w:type="dxa"/>
            <w:tcBorders>
              <w:top w:val="nil"/>
              <w:left w:val="nil"/>
              <w:bottom w:val="single" w:sz="8" w:space="0" w:color="000000"/>
              <w:right w:val="single" w:sz="8" w:space="0" w:color="000000"/>
            </w:tcBorders>
            <w:shd w:val="clear" w:color="auto" w:fill="auto"/>
            <w:vAlign w:val="center"/>
          </w:tcPr>
          <w:p w14:paraId="30027EC5" w14:textId="77777777" w:rsidR="00644151" w:rsidRDefault="00425878">
            <w:pPr>
              <w:spacing w:after="0" w:line="240" w:lineRule="auto"/>
              <w:jc w:val="center"/>
              <w:rPr>
                <w:color w:val="000000"/>
                <w:sz w:val="18"/>
                <w:szCs w:val="18"/>
              </w:rPr>
            </w:pPr>
            <w:r>
              <w:rPr>
                <w:color w:val="000000"/>
                <w:sz w:val="18"/>
                <w:szCs w:val="18"/>
              </w:rPr>
              <w:t>2021, (9 501)</w:t>
            </w:r>
          </w:p>
        </w:tc>
        <w:tc>
          <w:tcPr>
            <w:tcW w:w="1134" w:type="dxa"/>
            <w:tcBorders>
              <w:top w:val="nil"/>
              <w:left w:val="nil"/>
              <w:bottom w:val="single" w:sz="8" w:space="0" w:color="000000"/>
              <w:right w:val="single" w:sz="8" w:space="0" w:color="BFBFBF"/>
            </w:tcBorders>
            <w:shd w:val="clear" w:color="auto" w:fill="auto"/>
            <w:vAlign w:val="center"/>
          </w:tcPr>
          <w:p w14:paraId="6AC609E8" w14:textId="77777777" w:rsidR="00644151" w:rsidRDefault="00425878">
            <w:pPr>
              <w:spacing w:after="0" w:line="240" w:lineRule="auto"/>
              <w:jc w:val="center"/>
              <w:rPr>
                <w:color w:val="808080"/>
                <w:sz w:val="18"/>
                <w:szCs w:val="18"/>
              </w:rPr>
            </w:pPr>
            <w:r>
              <w:rPr>
                <w:color w:val="808080"/>
                <w:sz w:val="18"/>
                <w:szCs w:val="18"/>
              </w:rPr>
              <w:t>2020, (290)</w:t>
            </w:r>
          </w:p>
        </w:tc>
        <w:tc>
          <w:tcPr>
            <w:tcW w:w="1416" w:type="dxa"/>
            <w:tcBorders>
              <w:top w:val="nil"/>
              <w:left w:val="nil"/>
              <w:bottom w:val="single" w:sz="8" w:space="0" w:color="000000"/>
              <w:right w:val="single" w:sz="8" w:space="0" w:color="BFBFBF"/>
            </w:tcBorders>
            <w:shd w:val="clear" w:color="auto" w:fill="auto"/>
            <w:vAlign w:val="center"/>
          </w:tcPr>
          <w:p w14:paraId="4A76E7EA" w14:textId="77777777" w:rsidR="00644151" w:rsidRDefault="00425878">
            <w:pPr>
              <w:spacing w:after="0" w:line="240" w:lineRule="auto"/>
              <w:jc w:val="center"/>
              <w:rPr>
                <w:color w:val="808080"/>
                <w:sz w:val="18"/>
                <w:szCs w:val="18"/>
              </w:rPr>
            </w:pPr>
            <w:r>
              <w:rPr>
                <w:color w:val="808080"/>
                <w:sz w:val="18"/>
                <w:szCs w:val="18"/>
              </w:rPr>
              <w:t>2020, (4 481)</w:t>
            </w:r>
          </w:p>
        </w:tc>
        <w:tc>
          <w:tcPr>
            <w:tcW w:w="1316" w:type="dxa"/>
            <w:tcBorders>
              <w:top w:val="nil"/>
              <w:left w:val="nil"/>
              <w:bottom w:val="single" w:sz="8" w:space="0" w:color="000000"/>
              <w:right w:val="single" w:sz="8" w:space="0" w:color="000000"/>
            </w:tcBorders>
            <w:shd w:val="clear" w:color="auto" w:fill="auto"/>
            <w:vAlign w:val="center"/>
          </w:tcPr>
          <w:p w14:paraId="4EABE5BB" w14:textId="77777777" w:rsidR="00644151" w:rsidRDefault="00425878">
            <w:pPr>
              <w:spacing w:after="0" w:line="240" w:lineRule="auto"/>
              <w:jc w:val="center"/>
              <w:rPr>
                <w:color w:val="000000"/>
                <w:sz w:val="18"/>
                <w:szCs w:val="18"/>
              </w:rPr>
            </w:pPr>
            <w:r>
              <w:rPr>
                <w:color w:val="000000"/>
                <w:sz w:val="18"/>
                <w:szCs w:val="18"/>
              </w:rPr>
              <w:t>2022, (1 391)</w:t>
            </w:r>
          </w:p>
        </w:tc>
      </w:tr>
    </w:tbl>
    <w:p w14:paraId="13D75A14" w14:textId="77777777" w:rsidR="00644151" w:rsidRDefault="00425878">
      <w:pPr>
        <w:rPr>
          <w:sz w:val="20"/>
          <w:szCs w:val="20"/>
        </w:rPr>
      </w:pPr>
      <w:r>
        <w:rPr>
          <w:sz w:val="20"/>
          <w:szCs w:val="20"/>
        </w:rPr>
        <w:t xml:space="preserve">*Para el panteón delegacional Iztapalapa y el panteón general San Lorenzo Tezonco el estimado ha sido propuesto con base a la media del servicio de inhumación prestados de 2016 a 2019 (Ver tabla 6), para el panteón general San Nicolas Tolentino solo se ha tomado un tercio de la media de ese mismo periodo por tratarse de un panteón que brinda el servicio de refrendo hasta por un periodo de 21 años. </w:t>
      </w:r>
    </w:p>
    <w:p w14:paraId="47A75BD3" w14:textId="77777777" w:rsidR="00644151" w:rsidRDefault="00425878">
      <w:pPr>
        <w:rPr>
          <w:sz w:val="22"/>
          <w:szCs w:val="22"/>
        </w:rPr>
      </w:pPr>
      <w:r>
        <w:rPr>
          <w:sz w:val="22"/>
          <w:szCs w:val="22"/>
        </w:rPr>
        <w:t>Fuente: Elaboración propia (2021).</w:t>
      </w:r>
    </w:p>
    <w:p w14:paraId="7A7A8E15" w14:textId="77777777" w:rsidR="00644151" w:rsidRDefault="00644151">
      <w:pPr>
        <w:rPr>
          <w:sz w:val="22"/>
          <w:szCs w:val="22"/>
        </w:rPr>
      </w:pPr>
    </w:p>
    <w:p w14:paraId="4AA9B310" w14:textId="62F745ED" w:rsidR="00644151" w:rsidRDefault="00425878">
      <w:pPr>
        <w:spacing w:line="360" w:lineRule="auto"/>
      </w:pPr>
      <w:r>
        <w:t xml:space="preserve">La tendencia de saturación </w:t>
      </w:r>
      <w:r w:rsidR="003B4330">
        <w:t>se comporta de la siguiente manera</w:t>
      </w:r>
      <w:r>
        <w:t>: el panteón delegacional Iztapalapa en todos los escenarios permanecerá con un agotamiento de sus fosas o bien, el número de fosas recuperadas anualmente será menor a la demanda recibida.</w:t>
      </w:r>
    </w:p>
    <w:p w14:paraId="6B475B54" w14:textId="18F0B161" w:rsidR="00644151" w:rsidRDefault="00425878">
      <w:pPr>
        <w:spacing w:line="360" w:lineRule="auto"/>
      </w:pPr>
      <w:r>
        <w:lastRenderedPageBreak/>
        <w:t>El panteón General San Nicolás Tolentino será el primer panteón (de los dos generales), en llegar a su máxima capacidad en un periodo no mayor al año 2025, sólo en uno de los escenarios planteados con recuperación de fosas, donde la tendencia es de un solo entierro por cada diez decesos, permitiría llegar a este panteón al año 2029 con 2 657 fosas para ofertar ese año</w:t>
      </w:r>
      <w:r w:rsidR="003B4330">
        <w:t xml:space="preserve"> y después agotar su oferta</w:t>
      </w:r>
      <w:r>
        <w:t xml:space="preserve">. </w:t>
      </w:r>
    </w:p>
    <w:p w14:paraId="2B87A2A6" w14:textId="77777777" w:rsidR="00644151" w:rsidRDefault="00425878">
      <w:pPr>
        <w:spacing w:line="360" w:lineRule="auto"/>
      </w:pPr>
      <w:r>
        <w:t xml:space="preserve">Mientras que el panteón general San Lorenzo Tezonco en todos los escenarios será el panteón que agotará sus espacios al final. En los escenarios sin recuperación de fosas en solo un escenario con una tendencia de un solo entierro por cada diez decesos llegaría al año 2030 con 5 291 fosas para ofertar en los siguientes años.  En los escenarios con recuperación de fosas los resultados son diversos, en dos de ellos llegaría al año 2030 con una demanda de uno y dos entierros por cada diez decesos. De acuerdo con la tendencia predominante de tres entierros por cada 10 decesos, el panteón San Lorenzo Tezonco agotará sus fosas en el año 2029 y para los siguientes años, los tres panteones solo podrán ofertar las fosas recuperadas por concepto de vencimiento de los años previos.  </w:t>
      </w:r>
    </w:p>
    <w:p w14:paraId="0D777AF9" w14:textId="77777777" w:rsidR="00644151" w:rsidRDefault="00644151">
      <w:pPr>
        <w:spacing w:line="360" w:lineRule="auto"/>
      </w:pPr>
    </w:p>
    <w:p w14:paraId="3BB54C91" w14:textId="698BE5D9" w:rsidR="00644151" w:rsidRDefault="00D70445">
      <w:pPr>
        <w:pStyle w:val="Ttulo2"/>
      </w:pPr>
      <w:bookmarkStart w:id="91" w:name="_Toc89075413"/>
      <w:r>
        <w:t xml:space="preserve">4.4 </w:t>
      </w:r>
      <w:r w:rsidR="00425878">
        <w:t>Análisis de los resultados</w:t>
      </w:r>
      <w:bookmarkEnd w:id="91"/>
    </w:p>
    <w:p w14:paraId="354733AA" w14:textId="77777777" w:rsidR="00644151" w:rsidRDefault="00425878">
      <w:pPr>
        <w:spacing w:line="360" w:lineRule="auto"/>
      </w:pPr>
      <w:r>
        <w:t xml:space="preserve">De acuerdo con los resultados obtenidos y con base a la tendencia demográfica de la Alcaldía Iztapalapa, esta se encuentra transitando a la cuarta etapa que plantea la teoría de la transición demográfica que se caracteriza por un bajo, nulo y en ocasiones, negativo crecimiento de la población; la cual dependerá de movimientos migratorios para lograr un aumento en su población. Los datos de natalidad reafirman lo planteado ya que a partir del año 1994 se reporta la mayor tasa de natalidad con 223 nacimientos por cada 10 000 habitantes, cifra que se ha visto significativamente reducida a partir del año 2000 donde se registra 190 y para 2019 tan solo 118 nacimientos por cada 10 000 habitantes. Lo que sugiere que la Alcaldía Iztapalapa ha transitado por el tercer estadio de la teoría de la transición demográfica, donde los índices de natalidad coinciden con un inicio e importante descenso y que se encuentra en esa transición a la cuarta etapa. </w:t>
      </w:r>
    </w:p>
    <w:p w14:paraId="0795C432" w14:textId="3B5969B3" w:rsidR="00644151" w:rsidRDefault="00425878">
      <w:pPr>
        <w:spacing w:line="360" w:lineRule="auto"/>
      </w:pPr>
      <w:r>
        <w:t xml:space="preserve">Según </w:t>
      </w:r>
      <w:proofErr w:type="spellStart"/>
      <w:r>
        <w:t>Salil</w:t>
      </w:r>
      <w:proofErr w:type="spellEnd"/>
      <w:r>
        <w:t xml:space="preserve"> (2020) en la cuarta etapa la tasa de natalidad y la tasa de mortalidad disminuyen, el crecimiento de la población tiende a cero, e inclusive puede llegar a ser negativo, debido a que la tasa de natalidad puede ser menor que la tasa de mortalidad, lo que resulta en una </w:t>
      </w:r>
      <w:r>
        <w:lastRenderedPageBreak/>
        <w:t>disminución neta de la población. La tendencia poblacional planteadas por la CONAPO para el año 2030 y las tendencias de natalidad y mortalidad para el mismo año, reafirmaron que en los próximos años la alcaldía Iztapalapa se hallaría en la cuarta etapa, ya que el crecimiento demográfico se ha ralentizado, obteniendo un bajo crecimiento y en ocasiones nulo llegando a decrecer en el último censo poblacional de 2020. Se estima que en los próximos años esta tendencia continúe a la baja (Ver figura 13), mientras que las tendencias de la tasa de natalidad y de mortalidad se comportan inversamente proporcional, mientras que la tasa de natalidad va aminorando al pasar de los años, la tasa de mortalidad va en aumento, estimando que en 2030 exista un mayor número de defunciones que de nacimientos a razón de tres a uno.</w:t>
      </w:r>
    </w:p>
    <w:p w14:paraId="179477ED" w14:textId="173A5926" w:rsidR="00644151" w:rsidRDefault="00425878">
      <w:pPr>
        <w:spacing w:line="360" w:lineRule="auto"/>
      </w:pPr>
      <w:r>
        <w:t xml:space="preserve">Con relación con la teoría de la transición epidemiológica, esta sugiere que la Alcaldía transita por la edad que corresponde a enfermedades degenerativas y producidas por el hombre ya que las enfermedades crónico-degenerativas son la principal causa de muerte. En el año 2000 de las 7 361 defunciones reportadas el 67.6% (4 976) estaban relacionadas con alguna enfermedad crónico-degenerativa, para 2019 de las 11,733 defunciones el 77.3% (9 071) </w:t>
      </w:r>
      <w:r w:rsidR="002C0D9E">
        <w:t>correspondían</w:t>
      </w:r>
      <w:r>
        <w:t xml:space="preserve"> nuevamente a enfermedad</w:t>
      </w:r>
      <w:r w:rsidR="002C0D9E">
        <w:t>es</w:t>
      </w:r>
      <w:r>
        <w:t xml:space="preserve"> crónico-degenerativas, esto representa un aumento del 9.7% en términos porcentuales, cabe resaltar que en términos absolutos representa 4 095 nuevas defunciones, casi el doble de las defunciones relacionadas </w:t>
      </w:r>
      <w:r w:rsidR="00174186">
        <w:t>con</w:t>
      </w:r>
      <w:r>
        <w:t xml:space="preserve"> alguna enfermedad crónico-degenerativa que en 2000, cifra similar al aumento del número de fallecimiento general (4 372) del mismo periodo.</w:t>
      </w:r>
    </w:p>
    <w:p w14:paraId="0CDB5BF7" w14:textId="18641CE0" w:rsidR="00644151" w:rsidRDefault="00425878">
      <w:pPr>
        <w:spacing w:line="360" w:lineRule="auto"/>
      </w:pPr>
      <w:r>
        <w:t xml:space="preserve">Las enfermedades que imperaban en 2019 en la alcaldía son diabetes mellitus (17.9%), infarto agudo de miocardio (12.5%), neumonía (4.5%) enfermedades alcohólicas </w:t>
      </w:r>
      <w:r w:rsidR="007A4743">
        <w:t>y eventos</w:t>
      </w:r>
      <w:r>
        <w:t xml:space="preserve"> causados por el hombre (12.2%).</w:t>
      </w:r>
      <w:r w:rsidR="002C0D9E">
        <w:t xml:space="preserve"> </w:t>
      </w:r>
      <w:r>
        <w:t>La población perteneciente al grupo de 40 a 64 años y del grupo 65 años y más es fundamental para comprender el comportamiento de la mortalidad de la Alcaldía para los próximos años, ya que, estos grupos concentran el mayor número de decesos anuales. Tan solo para el año 2000 concentraba el 74.5% de las defunciones y para el año 2019 pasó a concentrar el 87.4% de las defunciones de la alcaldía.</w:t>
      </w:r>
    </w:p>
    <w:p w14:paraId="5663C947" w14:textId="77777777" w:rsidR="00644151" w:rsidRDefault="00425878">
      <w:pPr>
        <w:spacing w:line="360" w:lineRule="auto"/>
      </w:pPr>
      <w:r>
        <w:t>La Tabla 12, muestra el porcentaje de defunciones con respecto al número de defunciones totales de la alcaldía, población, defunciones anuales, tasa de mortalidad y el número de defunciones a causa de alguna enfermedad relacionada con enfermedades crónico-</w:t>
      </w:r>
      <w:r>
        <w:lastRenderedPageBreak/>
        <w:t>degenerativas en adultos (40 a 64 años) y adultos mayores (65 años y más) para los años 2000 y 2019, así como el acumulado de ambos grupos de ambos periodos.</w:t>
      </w:r>
    </w:p>
    <w:p w14:paraId="4D2D8B9F" w14:textId="77777777" w:rsidR="00644151" w:rsidRDefault="00425878">
      <w:pPr>
        <w:pBdr>
          <w:top w:val="nil"/>
          <w:left w:val="nil"/>
          <w:bottom w:val="nil"/>
          <w:right w:val="nil"/>
          <w:between w:val="nil"/>
        </w:pBdr>
        <w:spacing w:after="200" w:line="240" w:lineRule="auto"/>
        <w:rPr>
          <w:color w:val="44546A"/>
          <w:sz w:val="18"/>
          <w:szCs w:val="18"/>
        </w:rPr>
      </w:pPr>
      <w:bookmarkStart w:id="92" w:name="_heading=h.261ztfg" w:colFirst="0" w:colLast="0"/>
      <w:bookmarkEnd w:id="92"/>
      <w:r>
        <w:rPr>
          <w:i/>
          <w:color w:val="44546A"/>
          <w:sz w:val="18"/>
          <w:szCs w:val="18"/>
        </w:rPr>
        <w:t>Tabla 12. Defunciones en adultos (40 a 64) años y adultos mayores (65 años y más) de los años 2000 y 2019.</w:t>
      </w:r>
    </w:p>
    <w:tbl>
      <w:tblPr>
        <w:tblStyle w:val="aff4"/>
        <w:tblW w:w="9060"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860"/>
        <w:gridCol w:w="1200"/>
        <w:gridCol w:w="1200"/>
        <w:gridCol w:w="1171"/>
        <w:gridCol w:w="1229"/>
        <w:gridCol w:w="1200"/>
        <w:gridCol w:w="1200"/>
      </w:tblGrid>
      <w:tr w:rsidR="00644151" w14:paraId="2C54F178" w14:textId="77777777">
        <w:trPr>
          <w:trHeight w:val="315"/>
        </w:trPr>
        <w:tc>
          <w:tcPr>
            <w:tcW w:w="1860" w:type="dxa"/>
            <w:vAlign w:val="center"/>
          </w:tcPr>
          <w:p w14:paraId="67524301" w14:textId="77777777" w:rsidR="00644151" w:rsidRDefault="00425878">
            <w:pPr>
              <w:jc w:val="left"/>
              <w:rPr>
                <w:rFonts w:ascii="Calibri" w:eastAsia="Calibri" w:hAnsi="Calibri" w:cs="Calibri"/>
                <w:color w:val="000000"/>
                <w:sz w:val="22"/>
                <w:szCs w:val="22"/>
              </w:rPr>
            </w:pPr>
            <w:r>
              <w:rPr>
                <w:rFonts w:ascii="Calibri" w:eastAsia="Calibri" w:hAnsi="Calibri" w:cs="Calibri"/>
                <w:color w:val="000000"/>
                <w:sz w:val="22"/>
                <w:szCs w:val="22"/>
              </w:rPr>
              <w:t> </w:t>
            </w:r>
          </w:p>
        </w:tc>
        <w:tc>
          <w:tcPr>
            <w:tcW w:w="2400" w:type="dxa"/>
            <w:gridSpan w:val="2"/>
            <w:vAlign w:val="center"/>
          </w:tcPr>
          <w:p w14:paraId="59E15AF3" w14:textId="77777777" w:rsidR="00644151" w:rsidRDefault="00425878">
            <w:pPr>
              <w:jc w:val="center"/>
              <w:rPr>
                <w:color w:val="000000"/>
                <w:sz w:val="16"/>
                <w:szCs w:val="16"/>
              </w:rPr>
            </w:pPr>
            <w:r>
              <w:rPr>
                <w:color w:val="000000"/>
                <w:sz w:val="16"/>
                <w:szCs w:val="16"/>
              </w:rPr>
              <w:t>Adultos</w:t>
            </w:r>
          </w:p>
          <w:p w14:paraId="356AF119" w14:textId="77777777" w:rsidR="00644151" w:rsidRDefault="00425878">
            <w:pPr>
              <w:jc w:val="center"/>
              <w:rPr>
                <w:color w:val="000000"/>
                <w:sz w:val="16"/>
                <w:szCs w:val="16"/>
              </w:rPr>
            </w:pPr>
            <w:r>
              <w:rPr>
                <w:color w:val="000000"/>
                <w:sz w:val="16"/>
                <w:szCs w:val="16"/>
              </w:rPr>
              <w:t>(40 a 64 años)</w:t>
            </w:r>
          </w:p>
        </w:tc>
        <w:tc>
          <w:tcPr>
            <w:tcW w:w="2400" w:type="dxa"/>
            <w:gridSpan w:val="2"/>
            <w:vAlign w:val="center"/>
          </w:tcPr>
          <w:p w14:paraId="62B0173C" w14:textId="77777777" w:rsidR="00644151" w:rsidRDefault="00425878">
            <w:pPr>
              <w:jc w:val="center"/>
              <w:rPr>
                <w:color w:val="000000"/>
                <w:sz w:val="16"/>
                <w:szCs w:val="16"/>
              </w:rPr>
            </w:pPr>
            <w:r>
              <w:rPr>
                <w:sz w:val="16"/>
                <w:szCs w:val="16"/>
              </w:rPr>
              <w:t>Adultos m</w:t>
            </w:r>
            <w:r>
              <w:rPr>
                <w:color w:val="000000"/>
                <w:sz w:val="16"/>
                <w:szCs w:val="16"/>
              </w:rPr>
              <w:t xml:space="preserve">ayores </w:t>
            </w:r>
          </w:p>
          <w:p w14:paraId="187839C2" w14:textId="77777777" w:rsidR="00644151" w:rsidRDefault="00425878">
            <w:pPr>
              <w:jc w:val="center"/>
              <w:rPr>
                <w:color w:val="000000"/>
                <w:sz w:val="16"/>
                <w:szCs w:val="16"/>
              </w:rPr>
            </w:pPr>
            <w:r>
              <w:rPr>
                <w:color w:val="000000"/>
                <w:sz w:val="16"/>
                <w:szCs w:val="16"/>
              </w:rPr>
              <w:t>(65 años y más)</w:t>
            </w:r>
          </w:p>
        </w:tc>
        <w:tc>
          <w:tcPr>
            <w:tcW w:w="2400" w:type="dxa"/>
            <w:gridSpan w:val="2"/>
            <w:vAlign w:val="center"/>
          </w:tcPr>
          <w:p w14:paraId="574C7C9A" w14:textId="77777777" w:rsidR="00644151" w:rsidRDefault="00425878">
            <w:pPr>
              <w:jc w:val="center"/>
              <w:rPr>
                <w:color w:val="000000"/>
                <w:sz w:val="16"/>
                <w:szCs w:val="16"/>
              </w:rPr>
            </w:pPr>
            <w:r>
              <w:rPr>
                <w:color w:val="000000"/>
                <w:sz w:val="16"/>
                <w:szCs w:val="16"/>
              </w:rPr>
              <w:t xml:space="preserve">Acumulado 40 a 64 y 65 años y más </w:t>
            </w:r>
          </w:p>
        </w:tc>
      </w:tr>
      <w:tr w:rsidR="00644151" w14:paraId="1FD6D047" w14:textId="77777777">
        <w:trPr>
          <w:trHeight w:val="315"/>
        </w:trPr>
        <w:tc>
          <w:tcPr>
            <w:tcW w:w="1860" w:type="dxa"/>
            <w:vAlign w:val="center"/>
          </w:tcPr>
          <w:p w14:paraId="51C0540C" w14:textId="77777777" w:rsidR="00644151" w:rsidRDefault="00425878">
            <w:pPr>
              <w:jc w:val="left"/>
              <w:rPr>
                <w:color w:val="000000"/>
                <w:sz w:val="16"/>
                <w:szCs w:val="16"/>
              </w:rPr>
            </w:pPr>
            <w:r>
              <w:rPr>
                <w:color w:val="000000"/>
                <w:sz w:val="16"/>
                <w:szCs w:val="16"/>
              </w:rPr>
              <w:t>Año</w:t>
            </w:r>
          </w:p>
        </w:tc>
        <w:tc>
          <w:tcPr>
            <w:tcW w:w="1200" w:type="dxa"/>
            <w:vAlign w:val="center"/>
          </w:tcPr>
          <w:p w14:paraId="5A6526D3"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2000</w:t>
            </w:r>
          </w:p>
        </w:tc>
        <w:tc>
          <w:tcPr>
            <w:tcW w:w="1200" w:type="dxa"/>
            <w:vAlign w:val="center"/>
          </w:tcPr>
          <w:p w14:paraId="758F5E04"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2019</w:t>
            </w:r>
          </w:p>
        </w:tc>
        <w:tc>
          <w:tcPr>
            <w:tcW w:w="1171" w:type="dxa"/>
            <w:vAlign w:val="center"/>
          </w:tcPr>
          <w:p w14:paraId="1816B8D7"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2000</w:t>
            </w:r>
          </w:p>
        </w:tc>
        <w:tc>
          <w:tcPr>
            <w:tcW w:w="1229" w:type="dxa"/>
            <w:vAlign w:val="center"/>
          </w:tcPr>
          <w:p w14:paraId="3ABDCD79"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2019</w:t>
            </w:r>
          </w:p>
        </w:tc>
        <w:tc>
          <w:tcPr>
            <w:tcW w:w="1200" w:type="dxa"/>
            <w:vAlign w:val="center"/>
          </w:tcPr>
          <w:p w14:paraId="1E806BBB"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2000</w:t>
            </w:r>
          </w:p>
        </w:tc>
        <w:tc>
          <w:tcPr>
            <w:tcW w:w="1200" w:type="dxa"/>
            <w:vAlign w:val="center"/>
          </w:tcPr>
          <w:p w14:paraId="3FB1B76E" w14:textId="77777777" w:rsidR="00644151" w:rsidRDefault="00425878">
            <w:pPr>
              <w:jc w:val="center"/>
              <w:rPr>
                <w:rFonts w:ascii="Calibri" w:eastAsia="Calibri" w:hAnsi="Calibri" w:cs="Calibri"/>
                <w:b/>
                <w:color w:val="000000"/>
                <w:sz w:val="16"/>
                <w:szCs w:val="16"/>
              </w:rPr>
            </w:pPr>
            <w:r>
              <w:rPr>
                <w:rFonts w:ascii="Calibri" w:eastAsia="Calibri" w:hAnsi="Calibri" w:cs="Calibri"/>
                <w:b/>
                <w:color w:val="000000"/>
                <w:sz w:val="16"/>
                <w:szCs w:val="16"/>
              </w:rPr>
              <w:t>2019</w:t>
            </w:r>
          </w:p>
        </w:tc>
      </w:tr>
      <w:tr w:rsidR="00644151" w14:paraId="740BC4C3" w14:textId="77777777">
        <w:trPr>
          <w:trHeight w:val="315"/>
        </w:trPr>
        <w:tc>
          <w:tcPr>
            <w:tcW w:w="1860" w:type="dxa"/>
            <w:vAlign w:val="center"/>
          </w:tcPr>
          <w:p w14:paraId="0F00FB0E" w14:textId="77777777" w:rsidR="00644151" w:rsidRDefault="00425878">
            <w:pPr>
              <w:jc w:val="left"/>
              <w:rPr>
                <w:color w:val="000000"/>
                <w:sz w:val="16"/>
                <w:szCs w:val="16"/>
              </w:rPr>
            </w:pPr>
            <w:r>
              <w:rPr>
                <w:color w:val="000000"/>
                <w:sz w:val="16"/>
                <w:szCs w:val="16"/>
              </w:rPr>
              <w:t>% de defunciones</w:t>
            </w:r>
          </w:p>
        </w:tc>
        <w:tc>
          <w:tcPr>
            <w:tcW w:w="1200" w:type="dxa"/>
            <w:vAlign w:val="center"/>
          </w:tcPr>
          <w:p w14:paraId="33ABF199" w14:textId="77777777" w:rsidR="00644151" w:rsidRDefault="00425878">
            <w:pPr>
              <w:jc w:val="center"/>
              <w:rPr>
                <w:color w:val="000000"/>
                <w:sz w:val="16"/>
                <w:szCs w:val="16"/>
              </w:rPr>
            </w:pPr>
            <w:r>
              <w:rPr>
                <w:color w:val="000000"/>
                <w:sz w:val="16"/>
                <w:szCs w:val="16"/>
              </w:rPr>
              <w:t>29%</w:t>
            </w:r>
          </w:p>
        </w:tc>
        <w:tc>
          <w:tcPr>
            <w:tcW w:w="1200" w:type="dxa"/>
            <w:vAlign w:val="center"/>
          </w:tcPr>
          <w:p w14:paraId="6660462F" w14:textId="77777777" w:rsidR="00644151" w:rsidRDefault="00425878">
            <w:pPr>
              <w:jc w:val="center"/>
              <w:rPr>
                <w:color w:val="000000"/>
                <w:sz w:val="16"/>
                <w:szCs w:val="16"/>
              </w:rPr>
            </w:pPr>
            <w:r>
              <w:rPr>
                <w:color w:val="000000"/>
                <w:sz w:val="16"/>
                <w:szCs w:val="16"/>
              </w:rPr>
              <w:t>30.6%</w:t>
            </w:r>
          </w:p>
        </w:tc>
        <w:tc>
          <w:tcPr>
            <w:tcW w:w="1171" w:type="dxa"/>
            <w:vAlign w:val="center"/>
          </w:tcPr>
          <w:p w14:paraId="16715D7B" w14:textId="77777777" w:rsidR="00644151" w:rsidRDefault="00425878">
            <w:pPr>
              <w:jc w:val="center"/>
              <w:rPr>
                <w:color w:val="000000"/>
                <w:sz w:val="16"/>
                <w:szCs w:val="16"/>
              </w:rPr>
            </w:pPr>
            <w:r>
              <w:rPr>
                <w:color w:val="000000"/>
                <w:sz w:val="16"/>
                <w:szCs w:val="16"/>
              </w:rPr>
              <w:t>45.5%</w:t>
            </w:r>
          </w:p>
        </w:tc>
        <w:tc>
          <w:tcPr>
            <w:tcW w:w="1229" w:type="dxa"/>
            <w:vAlign w:val="center"/>
          </w:tcPr>
          <w:p w14:paraId="161BFA73" w14:textId="77777777" w:rsidR="00644151" w:rsidRDefault="00425878">
            <w:pPr>
              <w:jc w:val="center"/>
              <w:rPr>
                <w:color w:val="000000"/>
                <w:sz w:val="16"/>
                <w:szCs w:val="16"/>
              </w:rPr>
            </w:pPr>
            <w:r>
              <w:rPr>
                <w:color w:val="000000"/>
                <w:sz w:val="16"/>
                <w:szCs w:val="16"/>
              </w:rPr>
              <w:t>56.8%</w:t>
            </w:r>
          </w:p>
        </w:tc>
        <w:tc>
          <w:tcPr>
            <w:tcW w:w="1200" w:type="dxa"/>
            <w:vAlign w:val="center"/>
          </w:tcPr>
          <w:p w14:paraId="4A63BB2F" w14:textId="77777777" w:rsidR="00644151" w:rsidRDefault="00425878">
            <w:pPr>
              <w:jc w:val="center"/>
              <w:rPr>
                <w:color w:val="000000"/>
                <w:sz w:val="16"/>
                <w:szCs w:val="16"/>
              </w:rPr>
            </w:pPr>
            <w:r>
              <w:rPr>
                <w:color w:val="000000"/>
                <w:sz w:val="16"/>
                <w:szCs w:val="16"/>
              </w:rPr>
              <w:t>74.5%</w:t>
            </w:r>
          </w:p>
        </w:tc>
        <w:tc>
          <w:tcPr>
            <w:tcW w:w="1200" w:type="dxa"/>
            <w:vAlign w:val="center"/>
          </w:tcPr>
          <w:p w14:paraId="6F10D6C2" w14:textId="77777777" w:rsidR="00644151" w:rsidRDefault="00425878">
            <w:pPr>
              <w:jc w:val="center"/>
              <w:rPr>
                <w:color w:val="000000"/>
                <w:sz w:val="16"/>
                <w:szCs w:val="16"/>
              </w:rPr>
            </w:pPr>
            <w:r>
              <w:rPr>
                <w:color w:val="000000"/>
                <w:sz w:val="16"/>
                <w:szCs w:val="16"/>
              </w:rPr>
              <w:t>87.4%</w:t>
            </w:r>
          </w:p>
        </w:tc>
      </w:tr>
      <w:tr w:rsidR="00644151" w14:paraId="4C4E1E70" w14:textId="77777777">
        <w:trPr>
          <w:trHeight w:val="690"/>
        </w:trPr>
        <w:tc>
          <w:tcPr>
            <w:tcW w:w="1860" w:type="dxa"/>
            <w:vAlign w:val="center"/>
          </w:tcPr>
          <w:p w14:paraId="02886973" w14:textId="77777777" w:rsidR="00644151" w:rsidRDefault="00425878">
            <w:pPr>
              <w:jc w:val="left"/>
              <w:rPr>
                <w:color w:val="000000"/>
                <w:sz w:val="16"/>
                <w:szCs w:val="16"/>
              </w:rPr>
            </w:pPr>
            <w:r>
              <w:rPr>
                <w:color w:val="000000"/>
                <w:sz w:val="16"/>
                <w:szCs w:val="16"/>
              </w:rPr>
              <w:t>Población</w:t>
            </w:r>
          </w:p>
        </w:tc>
        <w:tc>
          <w:tcPr>
            <w:tcW w:w="1200" w:type="dxa"/>
            <w:vAlign w:val="center"/>
          </w:tcPr>
          <w:p w14:paraId="464216F3" w14:textId="77777777" w:rsidR="00644151" w:rsidRDefault="00425878">
            <w:pPr>
              <w:jc w:val="center"/>
              <w:rPr>
                <w:color w:val="000000"/>
                <w:sz w:val="16"/>
                <w:szCs w:val="16"/>
              </w:rPr>
            </w:pPr>
            <w:r>
              <w:rPr>
                <w:color w:val="000000"/>
                <w:sz w:val="16"/>
                <w:szCs w:val="16"/>
              </w:rPr>
              <w:t>345,359</w:t>
            </w:r>
          </w:p>
        </w:tc>
        <w:tc>
          <w:tcPr>
            <w:tcW w:w="1200" w:type="dxa"/>
            <w:vAlign w:val="center"/>
          </w:tcPr>
          <w:p w14:paraId="70774EA1" w14:textId="77777777" w:rsidR="00644151" w:rsidRDefault="00425878">
            <w:pPr>
              <w:jc w:val="center"/>
              <w:rPr>
                <w:color w:val="000000"/>
                <w:sz w:val="16"/>
                <w:szCs w:val="16"/>
              </w:rPr>
            </w:pPr>
            <w:r>
              <w:rPr>
                <w:color w:val="000000"/>
                <w:sz w:val="16"/>
                <w:szCs w:val="16"/>
              </w:rPr>
              <w:t>555,141</w:t>
            </w:r>
          </w:p>
        </w:tc>
        <w:tc>
          <w:tcPr>
            <w:tcW w:w="1171" w:type="dxa"/>
            <w:vAlign w:val="center"/>
          </w:tcPr>
          <w:p w14:paraId="2C106BFA" w14:textId="77777777" w:rsidR="00644151" w:rsidRDefault="00425878">
            <w:pPr>
              <w:jc w:val="center"/>
              <w:rPr>
                <w:color w:val="000000"/>
                <w:sz w:val="16"/>
                <w:szCs w:val="16"/>
              </w:rPr>
            </w:pPr>
            <w:r>
              <w:rPr>
                <w:color w:val="000000"/>
                <w:sz w:val="16"/>
                <w:szCs w:val="16"/>
              </w:rPr>
              <w:t>69,871</w:t>
            </w:r>
          </w:p>
        </w:tc>
        <w:tc>
          <w:tcPr>
            <w:tcW w:w="1229" w:type="dxa"/>
            <w:vAlign w:val="center"/>
          </w:tcPr>
          <w:p w14:paraId="0D0B2878" w14:textId="77777777" w:rsidR="00644151" w:rsidRDefault="00425878">
            <w:pPr>
              <w:jc w:val="center"/>
              <w:rPr>
                <w:color w:val="000000"/>
                <w:sz w:val="16"/>
                <w:szCs w:val="16"/>
              </w:rPr>
            </w:pPr>
            <w:r>
              <w:rPr>
                <w:color w:val="000000"/>
                <w:sz w:val="16"/>
                <w:szCs w:val="16"/>
              </w:rPr>
              <w:t>166,281</w:t>
            </w:r>
          </w:p>
        </w:tc>
        <w:tc>
          <w:tcPr>
            <w:tcW w:w="1200" w:type="dxa"/>
            <w:vAlign w:val="center"/>
          </w:tcPr>
          <w:p w14:paraId="001C447C" w14:textId="77777777" w:rsidR="00644151" w:rsidRDefault="00425878">
            <w:pPr>
              <w:jc w:val="center"/>
              <w:rPr>
                <w:color w:val="000000"/>
                <w:sz w:val="16"/>
                <w:szCs w:val="16"/>
              </w:rPr>
            </w:pPr>
            <w:r>
              <w:rPr>
                <w:color w:val="000000"/>
                <w:sz w:val="16"/>
                <w:szCs w:val="16"/>
              </w:rPr>
              <w:t>415,230</w:t>
            </w:r>
          </w:p>
        </w:tc>
        <w:tc>
          <w:tcPr>
            <w:tcW w:w="1200" w:type="dxa"/>
            <w:vAlign w:val="center"/>
          </w:tcPr>
          <w:p w14:paraId="577C080F" w14:textId="77777777" w:rsidR="00644151" w:rsidRDefault="00425878">
            <w:pPr>
              <w:jc w:val="center"/>
              <w:rPr>
                <w:color w:val="000000"/>
                <w:sz w:val="16"/>
                <w:szCs w:val="16"/>
              </w:rPr>
            </w:pPr>
            <w:r>
              <w:rPr>
                <w:color w:val="000000"/>
                <w:sz w:val="16"/>
                <w:szCs w:val="16"/>
              </w:rPr>
              <w:t>721,422</w:t>
            </w:r>
          </w:p>
        </w:tc>
      </w:tr>
      <w:tr w:rsidR="00644151" w14:paraId="06A16A72" w14:textId="77777777">
        <w:trPr>
          <w:trHeight w:val="690"/>
        </w:trPr>
        <w:tc>
          <w:tcPr>
            <w:tcW w:w="1860" w:type="dxa"/>
            <w:vAlign w:val="center"/>
          </w:tcPr>
          <w:p w14:paraId="6BF281A1" w14:textId="77777777" w:rsidR="00644151" w:rsidRDefault="00425878">
            <w:pPr>
              <w:jc w:val="left"/>
              <w:rPr>
                <w:color w:val="000000"/>
                <w:sz w:val="16"/>
                <w:szCs w:val="16"/>
              </w:rPr>
            </w:pPr>
            <w:r>
              <w:rPr>
                <w:sz w:val="16"/>
                <w:szCs w:val="16"/>
              </w:rPr>
              <w:t>D</w:t>
            </w:r>
            <w:r>
              <w:rPr>
                <w:color w:val="000000"/>
                <w:sz w:val="16"/>
                <w:szCs w:val="16"/>
              </w:rPr>
              <w:t>efunciones anuales</w:t>
            </w:r>
          </w:p>
        </w:tc>
        <w:tc>
          <w:tcPr>
            <w:tcW w:w="1200" w:type="dxa"/>
            <w:vAlign w:val="center"/>
          </w:tcPr>
          <w:p w14:paraId="5164009D" w14:textId="77777777" w:rsidR="00644151" w:rsidRDefault="00425878">
            <w:pPr>
              <w:jc w:val="center"/>
              <w:rPr>
                <w:color w:val="000000"/>
                <w:sz w:val="16"/>
                <w:szCs w:val="16"/>
              </w:rPr>
            </w:pPr>
            <w:r>
              <w:rPr>
                <w:color w:val="000000"/>
                <w:sz w:val="16"/>
                <w:szCs w:val="16"/>
              </w:rPr>
              <w:t>2,134</w:t>
            </w:r>
          </w:p>
        </w:tc>
        <w:tc>
          <w:tcPr>
            <w:tcW w:w="1200" w:type="dxa"/>
            <w:vAlign w:val="center"/>
          </w:tcPr>
          <w:p w14:paraId="04785C15" w14:textId="77777777" w:rsidR="00644151" w:rsidRDefault="00425878">
            <w:pPr>
              <w:jc w:val="center"/>
              <w:rPr>
                <w:color w:val="000000"/>
                <w:sz w:val="16"/>
                <w:szCs w:val="16"/>
              </w:rPr>
            </w:pPr>
            <w:r>
              <w:rPr>
                <w:color w:val="000000"/>
                <w:sz w:val="16"/>
                <w:szCs w:val="16"/>
              </w:rPr>
              <w:t>3,588</w:t>
            </w:r>
          </w:p>
        </w:tc>
        <w:tc>
          <w:tcPr>
            <w:tcW w:w="1171" w:type="dxa"/>
            <w:vAlign w:val="center"/>
          </w:tcPr>
          <w:p w14:paraId="18714B54" w14:textId="77777777" w:rsidR="00644151" w:rsidRDefault="00425878">
            <w:pPr>
              <w:jc w:val="center"/>
              <w:rPr>
                <w:color w:val="000000"/>
                <w:sz w:val="16"/>
                <w:szCs w:val="16"/>
              </w:rPr>
            </w:pPr>
            <w:r>
              <w:rPr>
                <w:color w:val="000000"/>
                <w:sz w:val="16"/>
                <w:szCs w:val="16"/>
              </w:rPr>
              <w:t>3,348</w:t>
            </w:r>
          </w:p>
        </w:tc>
        <w:tc>
          <w:tcPr>
            <w:tcW w:w="1229" w:type="dxa"/>
            <w:vAlign w:val="center"/>
          </w:tcPr>
          <w:p w14:paraId="4D6383BF" w14:textId="77777777" w:rsidR="00644151" w:rsidRDefault="00425878">
            <w:pPr>
              <w:jc w:val="center"/>
              <w:rPr>
                <w:color w:val="000000"/>
                <w:sz w:val="16"/>
                <w:szCs w:val="16"/>
              </w:rPr>
            </w:pPr>
            <w:r>
              <w:rPr>
                <w:color w:val="000000"/>
                <w:sz w:val="16"/>
                <w:szCs w:val="16"/>
              </w:rPr>
              <w:t>6,665</w:t>
            </w:r>
          </w:p>
        </w:tc>
        <w:tc>
          <w:tcPr>
            <w:tcW w:w="1200" w:type="dxa"/>
            <w:vAlign w:val="center"/>
          </w:tcPr>
          <w:p w14:paraId="7DC212FF" w14:textId="77777777" w:rsidR="00644151" w:rsidRDefault="00425878">
            <w:pPr>
              <w:jc w:val="center"/>
              <w:rPr>
                <w:color w:val="000000"/>
                <w:sz w:val="16"/>
                <w:szCs w:val="16"/>
              </w:rPr>
            </w:pPr>
            <w:r>
              <w:rPr>
                <w:color w:val="000000"/>
                <w:sz w:val="16"/>
                <w:szCs w:val="16"/>
              </w:rPr>
              <w:t>5,482</w:t>
            </w:r>
          </w:p>
        </w:tc>
        <w:tc>
          <w:tcPr>
            <w:tcW w:w="1200" w:type="dxa"/>
            <w:vAlign w:val="center"/>
          </w:tcPr>
          <w:p w14:paraId="195FADF6" w14:textId="77777777" w:rsidR="00644151" w:rsidRDefault="00425878">
            <w:pPr>
              <w:jc w:val="center"/>
              <w:rPr>
                <w:color w:val="000000"/>
                <w:sz w:val="16"/>
                <w:szCs w:val="16"/>
              </w:rPr>
            </w:pPr>
            <w:r>
              <w:rPr>
                <w:color w:val="000000"/>
                <w:sz w:val="16"/>
                <w:szCs w:val="16"/>
              </w:rPr>
              <w:t>10,253</w:t>
            </w:r>
          </w:p>
        </w:tc>
      </w:tr>
      <w:tr w:rsidR="00644151" w14:paraId="4A4206A2" w14:textId="77777777">
        <w:trPr>
          <w:trHeight w:val="315"/>
        </w:trPr>
        <w:tc>
          <w:tcPr>
            <w:tcW w:w="1860" w:type="dxa"/>
            <w:vAlign w:val="center"/>
          </w:tcPr>
          <w:p w14:paraId="797D541A" w14:textId="77777777" w:rsidR="00644151" w:rsidRDefault="00425878">
            <w:pPr>
              <w:jc w:val="left"/>
              <w:rPr>
                <w:color w:val="000000"/>
                <w:sz w:val="16"/>
                <w:szCs w:val="16"/>
              </w:rPr>
            </w:pPr>
            <w:r>
              <w:rPr>
                <w:color w:val="000000"/>
                <w:sz w:val="16"/>
                <w:szCs w:val="16"/>
              </w:rPr>
              <w:t xml:space="preserve">Tasa de mortalidad </w:t>
            </w:r>
          </w:p>
        </w:tc>
        <w:tc>
          <w:tcPr>
            <w:tcW w:w="1200" w:type="dxa"/>
            <w:vAlign w:val="center"/>
          </w:tcPr>
          <w:p w14:paraId="58106E97" w14:textId="77777777" w:rsidR="00644151" w:rsidRDefault="00425878">
            <w:pPr>
              <w:jc w:val="center"/>
              <w:rPr>
                <w:color w:val="000000"/>
                <w:sz w:val="16"/>
                <w:szCs w:val="16"/>
              </w:rPr>
            </w:pPr>
            <w:r>
              <w:rPr>
                <w:color w:val="000000"/>
                <w:sz w:val="16"/>
                <w:szCs w:val="16"/>
              </w:rPr>
              <w:t>62</w:t>
            </w:r>
          </w:p>
        </w:tc>
        <w:tc>
          <w:tcPr>
            <w:tcW w:w="1200" w:type="dxa"/>
            <w:vAlign w:val="center"/>
          </w:tcPr>
          <w:p w14:paraId="096F8E85" w14:textId="77777777" w:rsidR="00644151" w:rsidRDefault="00425878">
            <w:pPr>
              <w:jc w:val="center"/>
              <w:rPr>
                <w:color w:val="000000"/>
                <w:sz w:val="16"/>
                <w:szCs w:val="16"/>
              </w:rPr>
            </w:pPr>
            <w:r>
              <w:rPr>
                <w:color w:val="000000"/>
                <w:sz w:val="16"/>
                <w:szCs w:val="16"/>
              </w:rPr>
              <w:t>65</w:t>
            </w:r>
          </w:p>
        </w:tc>
        <w:tc>
          <w:tcPr>
            <w:tcW w:w="1171" w:type="dxa"/>
            <w:vAlign w:val="center"/>
          </w:tcPr>
          <w:p w14:paraId="17BB3ADE" w14:textId="77777777" w:rsidR="00644151" w:rsidRDefault="00425878">
            <w:pPr>
              <w:jc w:val="center"/>
              <w:rPr>
                <w:color w:val="000000"/>
                <w:sz w:val="16"/>
                <w:szCs w:val="16"/>
              </w:rPr>
            </w:pPr>
            <w:r>
              <w:rPr>
                <w:color w:val="000000"/>
                <w:sz w:val="16"/>
                <w:szCs w:val="16"/>
              </w:rPr>
              <w:t>479</w:t>
            </w:r>
          </w:p>
        </w:tc>
        <w:tc>
          <w:tcPr>
            <w:tcW w:w="1229" w:type="dxa"/>
            <w:vAlign w:val="center"/>
          </w:tcPr>
          <w:p w14:paraId="04CE131F" w14:textId="77777777" w:rsidR="00644151" w:rsidRDefault="00425878">
            <w:pPr>
              <w:jc w:val="center"/>
              <w:rPr>
                <w:color w:val="000000"/>
                <w:sz w:val="16"/>
                <w:szCs w:val="16"/>
              </w:rPr>
            </w:pPr>
            <w:r>
              <w:rPr>
                <w:color w:val="000000"/>
                <w:sz w:val="16"/>
                <w:szCs w:val="16"/>
              </w:rPr>
              <w:t>401</w:t>
            </w:r>
          </w:p>
        </w:tc>
        <w:tc>
          <w:tcPr>
            <w:tcW w:w="1200" w:type="dxa"/>
            <w:vAlign w:val="center"/>
          </w:tcPr>
          <w:p w14:paraId="70C02FC6" w14:textId="77777777" w:rsidR="00644151" w:rsidRDefault="00425878">
            <w:pPr>
              <w:jc w:val="center"/>
              <w:rPr>
                <w:color w:val="000000"/>
                <w:sz w:val="16"/>
                <w:szCs w:val="16"/>
              </w:rPr>
            </w:pPr>
            <w:r>
              <w:rPr>
                <w:color w:val="000000"/>
                <w:sz w:val="16"/>
                <w:szCs w:val="16"/>
              </w:rPr>
              <w:t>541</w:t>
            </w:r>
          </w:p>
        </w:tc>
        <w:tc>
          <w:tcPr>
            <w:tcW w:w="1200" w:type="dxa"/>
            <w:vAlign w:val="center"/>
          </w:tcPr>
          <w:p w14:paraId="17F5C2E2" w14:textId="77777777" w:rsidR="00644151" w:rsidRDefault="00425878">
            <w:pPr>
              <w:jc w:val="center"/>
              <w:rPr>
                <w:color w:val="000000"/>
                <w:sz w:val="16"/>
                <w:szCs w:val="16"/>
              </w:rPr>
            </w:pPr>
            <w:r>
              <w:rPr>
                <w:color w:val="000000"/>
                <w:sz w:val="16"/>
                <w:szCs w:val="16"/>
              </w:rPr>
              <w:t>466</w:t>
            </w:r>
          </w:p>
        </w:tc>
      </w:tr>
      <w:tr w:rsidR="00644151" w14:paraId="131B5C96" w14:textId="77777777">
        <w:trPr>
          <w:trHeight w:val="315"/>
        </w:trPr>
        <w:tc>
          <w:tcPr>
            <w:tcW w:w="1860" w:type="dxa"/>
            <w:vAlign w:val="center"/>
          </w:tcPr>
          <w:p w14:paraId="620546F9" w14:textId="77777777" w:rsidR="00644151" w:rsidRDefault="00425878">
            <w:pPr>
              <w:jc w:val="left"/>
              <w:rPr>
                <w:color w:val="000000"/>
                <w:sz w:val="16"/>
                <w:szCs w:val="16"/>
              </w:rPr>
            </w:pPr>
            <w:r>
              <w:rPr>
                <w:sz w:val="16"/>
                <w:szCs w:val="16"/>
              </w:rPr>
              <w:t>G</w:t>
            </w:r>
            <w:r>
              <w:rPr>
                <w:color w:val="000000"/>
                <w:sz w:val="16"/>
                <w:szCs w:val="16"/>
              </w:rPr>
              <w:t>rupo de enfermedades predominante (Crónicas degenerativas)</w:t>
            </w:r>
          </w:p>
        </w:tc>
        <w:tc>
          <w:tcPr>
            <w:tcW w:w="1200" w:type="dxa"/>
            <w:vAlign w:val="center"/>
          </w:tcPr>
          <w:p w14:paraId="7F809B4A" w14:textId="77777777" w:rsidR="00644151" w:rsidRDefault="00425878">
            <w:pPr>
              <w:jc w:val="center"/>
              <w:rPr>
                <w:color w:val="000000"/>
                <w:sz w:val="16"/>
                <w:szCs w:val="16"/>
              </w:rPr>
            </w:pPr>
            <w:r>
              <w:rPr>
                <w:color w:val="000000"/>
                <w:sz w:val="16"/>
                <w:szCs w:val="16"/>
              </w:rPr>
              <w:t>1,754</w:t>
            </w:r>
          </w:p>
        </w:tc>
        <w:tc>
          <w:tcPr>
            <w:tcW w:w="1200" w:type="dxa"/>
            <w:vAlign w:val="center"/>
          </w:tcPr>
          <w:p w14:paraId="03D2681D" w14:textId="77777777" w:rsidR="00644151" w:rsidRDefault="00425878">
            <w:pPr>
              <w:jc w:val="center"/>
              <w:rPr>
                <w:color w:val="000000"/>
                <w:sz w:val="16"/>
                <w:szCs w:val="16"/>
              </w:rPr>
            </w:pPr>
            <w:r>
              <w:rPr>
                <w:color w:val="000000"/>
                <w:sz w:val="16"/>
                <w:szCs w:val="16"/>
              </w:rPr>
              <w:t>2,928</w:t>
            </w:r>
          </w:p>
        </w:tc>
        <w:tc>
          <w:tcPr>
            <w:tcW w:w="1171" w:type="dxa"/>
            <w:vAlign w:val="center"/>
          </w:tcPr>
          <w:p w14:paraId="39F0C853" w14:textId="77777777" w:rsidR="00644151" w:rsidRDefault="00425878">
            <w:pPr>
              <w:jc w:val="center"/>
              <w:rPr>
                <w:color w:val="000000"/>
                <w:sz w:val="16"/>
                <w:szCs w:val="16"/>
              </w:rPr>
            </w:pPr>
            <w:r>
              <w:rPr>
                <w:color w:val="000000"/>
                <w:sz w:val="16"/>
                <w:szCs w:val="16"/>
              </w:rPr>
              <w:t>2,714</w:t>
            </w:r>
          </w:p>
        </w:tc>
        <w:tc>
          <w:tcPr>
            <w:tcW w:w="1229" w:type="dxa"/>
            <w:vAlign w:val="center"/>
          </w:tcPr>
          <w:p w14:paraId="6541DCEF" w14:textId="77777777" w:rsidR="00644151" w:rsidRDefault="00425878">
            <w:pPr>
              <w:jc w:val="center"/>
              <w:rPr>
                <w:color w:val="000000"/>
                <w:sz w:val="16"/>
                <w:szCs w:val="16"/>
              </w:rPr>
            </w:pPr>
            <w:r>
              <w:rPr>
                <w:color w:val="000000"/>
                <w:sz w:val="16"/>
                <w:szCs w:val="16"/>
              </w:rPr>
              <w:t>5,614</w:t>
            </w:r>
          </w:p>
        </w:tc>
        <w:tc>
          <w:tcPr>
            <w:tcW w:w="1200" w:type="dxa"/>
            <w:vAlign w:val="center"/>
          </w:tcPr>
          <w:p w14:paraId="2AC5B34A" w14:textId="77777777" w:rsidR="00644151" w:rsidRDefault="00425878">
            <w:pPr>
              <w:jc w:val="center"/>
              <w:rPr>
                <w:color w:val="000000"/>
                <w:sz w:val="16"/>
                <w:szCs w:val="16"/>
              </w:rPr>
            </w:pPr>
            <w:r>
              <w:rPr>
                <w:color w:val="000000"/>
                <w:sz w:val="16"/>
                <w:szCs w:val="16"/>
              </w:rPr>
              <w:t>4,468</w:t>
            </w:r>
          </w:p>
        </w:tc>
        <w:tc>
          <w:tcPr>
            <w:tcW w:w="1200" w:type="dxa"/>
            <w:vAlign w:val="center"/>
          </w:tcPr>
          <w:p w14:paraId="7D7BD806" w14:textId="77777777" w:rsidR="00644151" w:rsidRDefault="00425878">
            <w:pPr>
              <w:jc w:val="center"/>
              <w:rPr>
                <w:color w:val="000000"/>
                <w:sz w:val="16"/>
                <w:szCs w:val="16"/>
              </w:rPr>
            </w:pPr>
            <w:r>
              <w:rPr>
                <w:color w:val="000000"/>
                <w:sz w:val="16"/>
                <w:szCs w:val="16"/>
              </w:rPr>
              <w:t>8,542</w:t>
            </w:r>
          </w:p>
        </w:tc>
      </w:tr>
    </w:tbl>
    <w:p w14:paraId="1BBBAA74" w14:textId="77777777" w:rsidR="00644151" w:rsidRDefault="00425878">
      <w:pPr>
        <w:rPr>
          <w:sz w:val="22"/>
          <w:szCs w:val="22"/>
        </w:rPr>
      </w:pPr>
      <w:r>
        <w:rPr>
          <w:sz w:val="22"/>
          <w:szCs w:val="22"/>
        </w:rPr>
        <w:t>Fuente: Elaboración propia a partir de datos abiertos del registro de defunciones año 2000 y 2019 de la Secretaría de Salud.</w:t>
      </w:r>
    </w:p>
    <w:p w14:paraId="0986F451" w14:textId="77777777" w:rsidR="00644151" w:rsidRDefault="00644151">
      <w:pPr>
        <w:rPr>
          <w:sz w:val="22"/>
          <w:szCs w:val="22"/>
        </w:rPr>
      </w:pPr>
    </w:p>
    <w:p w14:paraId="1957888B" w14:textId="3072C69D" w:rsidR="00644151" w:rsidRDefault="00425878">
      <w:pPr>
        <w:spacing w:line="360" w:lineRule="auto"/>
        <w:rPr>
          <w:highlight w:val="yellow"/>
        </w:rPr>
      </w:pPr>
      <w:r>
        <w:t xml:space="preserve">Cabe destacar que durante este periodo la población de adultos (40 a 64 años) tuvo un crecimiento neto del 60.7% al pasar de 345 359 a 555 141 mientras que la población de adultos mayores un 138% que representa un cambio de 69 871 a 166 281 adultos, que representa una población de 2.4 veces más adultos mayores en 2019 que en el año 2000. La relación de adultos y adultos mayores también se ha visto modificada ya que en año 2000 había cinco adultos por cada adulto </w:t>
      </w:r>
      <w:r w:rsidR="003B3F4A">
        <w:t>mayor, para</w:t>
      </w:r>
      <w:r>
        <w:t xml:space="preserve"> 2019 se redujo a tres </w:t>
      </w:r>
      <w:r w:rsidR="003B3F4A">
        <w:t>adultos por</w:t>
      </w:r>
      <w:r>
        <w:t xml:space="preserve"> cada adulto mayor lo que podría sugerir que existe un aumento en la esperanza de vida al tener mayor cantidad de personas mayores. La tasa de mortalidad acumulada de ambos grupos (adultos y adultos mayores), sugieren que el aumento en la esperanza de vida es contundente, ya que la tasa de mortalidad se ha visto reducida en 75 defunciones, pasando de 541 a 466 por cada 10 000 habitantes mayores </w:t>
      </w:r>
      <w:r w:rsidR="003B3F4A">
        <w:t>a los</w:t>
      </w:r>
      <w:r>
        <w:t xml:space="preserve"> 40 años.</w:t>
      </w:r>
    </w:p>
    <w:p w14:paraId="4E1DEA0D" w14:textId="77777777" w:rsidR="00644151" w:rsidRDefault="00425878">
      <w:pPr>
        <w:spacing w:line="360" w:lineRule="auto"/>
      </w:pPr>
      <w:r>
        <w:t xml:space="preserve">Las estimaciones poblacionales del CONAPO consideran llegar a los 572 315 adultos y 215 227 adultos mayores en 2030 que en conjunto representan el 46% de la población estimada para ese mismo año, de este modo se aprecia un panorama en la alcaldía de una población predominante adulta en un corto plazo, aunado a un crecimiento en la tasa de mortalidad y teniendo en consideración que estos grupos son los que concentran el mayor porcentaje de </w:t>
      </w:r>
      <w:r>
        <w:lastRenderedPageBreak/>
        <w:t>defunciones, representaría un aumento potencial en la demanda del servicio de inhumación para los panteones de la alcaldía.</w:t>
      </w:r>
    </w:p>
    <w:p w14:paraId="6CA8DF58" w14:textId="77777777" w:rsidR="00644151" w:rsidRDefault="00425878">
      <w:pPr>
        <w:spacing w:line="360" w:lineRule="auto"/>
      </w:pPr>
      <w:r>
        <w:t xml:space="preserve">Los panteones que alberga la Alcaldía, la gran mayoría de panteones vecinales han agotado su disponibilidad, así como el panteón delegacional, son los panteones generales los que aún cuentan con disponibilidad, sin embargo, a pesar del gran número de fosas que poseen, esta cantidad se ha visto reducido significativamente. </w:t>
      </w:r>
    </w:p>
    <w:p w14:paraId="258D1F04" w14:textId="4C7A2A07" w:rsidR="00644151" w:rsidRDefault="00425878">
      <w:pPr>
        <w:spacing w:line="360" w:lineRule="auto"/>
      </w:pPr>
      <w:r>
        <w:t xml:space="preserve">De acuerdo con los resultados y los escenarios planteados, los panteones generales tienen un gran desafío en los próximos años ya que estos son los panteones que harán frente a la demanda que continuará en aumento, por lo que será necesario, a corto plazo, plantear los mecanismos </w:t>
      </w:r>
      <w:r w:rsidR="007A4743">
        <w:t>y estrategias</w:t>
      </w:r>
      <w:r>
        <w:t xml:space="preserve"> a ser llevadas a cabo con el fin de evitar el agotamiento de estos espacios, para continuar brindando el servicio y </w:t>
      </w:r>
      <w:r w:rsidR="007A4743">
        <w:t>evitar posibles</w:t>
      </w:r>
      <w:r>
        <w:t xml:space="preserve"> problemas de planeación </w:t>
      </w:r>
      <w:r w:rsidR="007A4743">
        <w:t>urbana,</w:t>
      </w:r>
      <w:r>
        <w:t xml:space="preserve"> así como de salud pública.</w:t>
      </w:r>
    </w:p>
    <w:p w14:paraId="31EBB399" w14:textId="591F7491" w:rsidR="00644151" w:rsidRDefault="00644151">
      <w:pPr>
        <w:spacing w:line="360" w:lineRule="auto"/>
      </w:pPr>
    </w:p>
    <w:p w14:paraId="26C7B9B7" w14:textId="572C6F8E" w:rsidR="007A4743" w:rsidRDefault="007A4743">
      <w:pPr>
        <w:spacing w:line="360" w:lineRule="auto"/>
      </w:pPr>
    </w:p>
    <w:p w14:paraId="5EC07EC3" w14:textId="19CBF96D" w:rsidR="007A4743" w:rsidRDefault="007A4743">
      <w:pPr>
        <w:spacing w:line="360" w:lineRule="auto"/>
      </w:pPr>
    </w:p>
    <w:p w14:paraId="412C845E" w14:textId="63DEE5B5" w:rsidR="007A4743" w:rsidRDefault="007A4743">
      <w:pPr>
        <w:spacing w:line="360" w:lineRule="auto"/>
      </w:pPr>
    </w:p>
    <w:p w14:paraId="791F4F9B" w14:textId="413DDB01" w:rsidR="007A4743" w:rsidRDefault="007A4743">
      <w:pPr>
        <w:spacing w:line="360" w:lineRule="auto"/>
      </w:pPr>
    </w:p>
    <w:p w14:paraId="7D078C34" w14:textId="259A94BD" w:rsidR="007A4743" w:rsidRDefault="007A4743">
      <w:pPr>
        <w:spacing w:line="360" w:lineRule="auto"/>
      </w:pPr>
    </w:p>
    <w:p w14:paraId="3648D53A" w14:textId="2328DF40" w:rsidR="007A4743" w:rsidRDefault="007A4743">
      <w:pPr>
        <w:spacing w:line="360" w:lineRule="auto"/>
      </w:pPr>
    </w:p>
    <w:p w14:paraId="7209512B" w14:textId="6A7BE44A" w:rsidR="007A4743" w:rsidRDefault="007A4743">
      <w:pPr>
        <w:spacing w:line="360" w:lineRule="auto"/>
      </w:pPr>
    </w:p>
    <w:p w14:paraId="2DF1ECE3" w14:textId="35197990" w:rsidR="007A4743" w:rsidRDefault="007A4743">
      <w:pPr>
        <w:spacing w:line="360" w:lineRule="auto"/>
      </w:pPr>
    </w:p>
    <w:p w14:paraId="2D594C86" w14:textId="77777777" w:rsidR="007A4743" w:rsidRDefault="007A4743">
      <w:pPr>
        <w:spacing w:line="360" w:lineRule="auto"/>
      </w:pPr>
    </w:p>
    <w:p w14:paraId="3A55B193" w14:textId="77777777" w:rsidR="00644151" w:rsidRDefault="00644151">
      <w:pPr>
        <w:spacing w:line="360" w:lineRule="auto"/>
      </w:pPr>
    </w:p>
    <w:p w14:paraId="048A28B3" w14:textId="77777777" w:rsidR="00644151" w:rsidRDefault="00644151">
      <w:pPr>
        <w:spacing w:line="360" w:lineRule="auto"/>
      </w:pPr>
    </w:p>
    <w:p w14:paraId="43481BC4" w14:textId="77777777" w:rsidR="00644151" w:rsidRDefault="00425878">
      <w:pPr>
        <w:pStyle w:val="Ttulo1"/>
      </w:pPr>
      <w:bookmarkStart w:id="93" w:name="_Toc89075414"/>
      <w:r>
        <w:lastRenderedPageBreak/>
        <w:t>Conclusiones</w:t>
      </w:r>
      <w:bookmarkEnd w:id="93"/>
    </w:p>
    <w:p w14:paraId="405E05A5" w14:textId="77777777" w:rsidR="00644151" w:rsidRDefault="00425878">
      <w:pPr>
        <w:spacing w:line="360" w:lineRule="auto"/>
      </w:pPr>
      <w:r>
        <w:t xml:space="preserve">El presente proyecto cumplió con el objetivo del trabajo, que es el de diseñar y desarrollar un sitio web que permita alojar una plantilla interactiva para simular escenarios de ocupación del servicio público de panteones. </w:t>
      </w:r>
    </w:p>
    <w:p w14:paraId="720B63CE" w14:textId="49511036" w:rsidR="00644151" w:rsidRDefault="00425878">
      <w:pPr>
        <w:spacing w:line="360" w:lineRule="auto"/>
      </w:pPr>
      <w:r>
        <w:t xml:space="preserve">Los resultados obtenidos permiten visualizar que el crecimiento poblacional de la alcaldía se ha ralentizado, la población que alberga la alcaldía se trata de una población adulta que innegablemente tiende al envejecimiento, la población de adultos y adultos mayores en los años venideros continuarán en aumento y </w:t>
      </w:r>
      <w:r w:rsidR="0068071B">
        <w:t xml:space="preserve">son </w:t>
      </w:r>
      <w:r>
        <w:t xml:space="preserve">estos los grupos que concentran el mayor número de defunciones, junto con un aumento en la tasa de mortalidad es innegable que el número de defunciones continuará aumentando, por lo que cada vez habrá un </w:t>
      </w:r>
      <w:r w:rsidR="0044485B">
        <w:t xml:space="preserve">menor </w:t>
      </w:r>
      <w:r>
        <w:t>número de fosas en la alcaldía para brindar el servicio de inhumación, por lo que será necesario en un corto plazo, realizar las intervenciones pertinentes con el fin de evitar el agotamiento de estos espacios.</w:t>
      </w:r>
    </w:p>
    <w:p w14:paraId="3A00C003" w14:textId="33FA7AB8" w:rsidR="00644151" w:rsidRDefault="00425878">
      <w:pPr>
        <w:spacing w:line="360" w:lineRule="auto"/>
      </w:pPr>
      <w:r>
        <w:t xml:space="preserve">La plantilla interactiva presenta la información espacial desde un enfoque de un visualizador web que se presenta como una herramienta de consulta </w:t>
      </w:r>
      <w:r w:rsidR="00230999">
        <w:t xml:space="preserve">capaz de </w:t>
      </w:r>
      <w:r w:rsidR="00230999" w:rsidRPr="00230999">
        <w:t>integrar información textual, gráfica y espacial en un mismo lugar para facilitar la comprensión y análisis a cualquier usuario</w:t>
      </w:r>
      <w:r w:rsidR="00230999">
        <w:t>,</w:t>
      </w:r>
      <w:r w:rsidR="00230999" w:rsidRPr="00230999">
        <w:t xml:space="preserve"> </w:t>
      </w:r>
      <w:r w:rsidR="0068071B">
        <w:t xml:space="preserve">la cual se encuentra </w:t>
      </w:r>
      <w:r>
        <w:t>plantead</w:t>
      </w:r>
      <w:r w:rsidR="0068071B">
        <w:t>a</w:t>
      </w:r>
      <w:r>
        <w:t xml:space="preserve"> desde un entorno SIG, donde se puede observar las capas que lo componen, consultar algunos de sus atributos al realizar un clic en la entidad de interés, sin embargo, el desarrollo de procesamientos o análisis más sofisticados requeriría la réplica de algunas herramientas propias de un SIG, convirtiendo en un SIG propio, que no es el objetivo del proyecto. </w:t>
      </w:r>
    </w:p>
    <w:p w14:paraId="55266B95" w14:textId="0A5804FF" w:rsidR="005E3F10" w:rsidRPr="00A675FC" w:rsidRDefault="00425878" w:rsidP="005E3F10">
      <w:pPr>
        <w:spacing w:line="360" w:lineRule="auto"/>
      </w:pPr>
      <w:r>
        <w:t>Si bien los SIG han demostrado ser una herramienta valiosa en la consulta, visualización y análisis geoespaciales, las tecnologías de la información permiten socializar la información de forma sencilla, mediante un navegador en la web, en donde el usuario o usuarios finales puedan observar con mayor claridad los datos y verse más inmiscuidos en los procesos y resultado</w:t>
      </w:r>
      <w:r w:rsidR="005E3F10">
        <w:t>s, con la</w:t>
      </w:r>
      <w:r w:rsidR="0044485B">
        <w:t xml:space="preserve"> </w:t>
      </w:r>
      <w:r w:rsidR="005E3F10" w:rsidRPr="00A675FC">
        <w:t>finalidad de mejorar o diseñar políticas públicas regulatorias que favorezcan la creación o ampliación de nuevos espacios destinados a este servicio, promoviendo la implementación de programas que contribuyan al ordenamiento de estos espacios mejorando su aspecto visual, o bien favorecer nuevas técnicas para la inhumación.</w:t>
      </w:r>
    </w:p>
    <w:p w14:paraId="193FFA8B" w14:textId="3DFA1B5B" w:rsidR="005E3F10" w:rsidRDefault="005E3F10" w:rsidP="0044485B">
      <w:pPr>
        <w:spacing w:line="360" w:lineRule="auto"/>
      </w:pPr>
    </w:p>
    <w:p w14:paraId="71C44AE6" w14:textId="7C24578F" w:rsidR="0044485B" w:rsidRDefault="0044485B" w:rsidP="0044485B">
      <w:pPr>
        <w:spacing w:line="360" w:lineRule="auto"/>
      </w:pPr>
      <w:r>
        <w:lastRenderedPageBreak/>
        <w:t xml:space="preserve">La programación y automatización muestra la importancia de adaptar las tecnologías actuales para plantear escenarios futuros, aportando a la toma de decisiones en el proceso de planificación en el sector público. Por ello, la importancia de contar con información de calidad y preferentemente actualizada, con el fin de plantear modelos que concuerden con nuestra realidad.  </w:t>
      </w:r>
    </w:p>
    <w:p w14:paraId="214F1B70" w14:textId="548AE478" w:rsidR="0044485B" w:rsidRDefault="005E3F10" w:rsidP="0044485B">
      <w:pPr>
        <w:spacing w:line="360" w:lineRule="auto"/>
      </w:pPr>
      <w:r>
        <w:t xml:space="preserve">Cabe resaltar que el </w:t>
      </w:r>
      <w:r w:rsidR="0044485B">
        <w:t xml:space="preserve">modelo planteado para la plantilla de escenarios de ocupación </w:t>
      </w:r>
      <w:r>
        <w:t xml:space="preserve">del servicio público de panteones </w:t>
      </w:r>
      <w:r w:rsidR="0044485B">
        <w:t>tiene la ventaja de</w:t>
      </w:r>
      <w:r>
        <w:t xml:space="preserve">l poder </w:t>
      </w:r>
      <w:r w:rsidR="0044485B">
        <w:t>ser replicad</w:t>
      </w:r>
      <w:r>
        <w:t>o</w:t>
      </w:r>
      <w:r w:rsidR="0044485B">
        <w:t xml:space="preserve"> para cualquier</w:t>
      </w:r>
      <w:r w:rsidR="0044485B" w:rsidRPr="0068071B">
        <w:t xml:space="preserve"> </w:t>
      </w:r>
      <w:r w:rsidR="0044485B">
        <w:t xml:space="preserve">otra </w:t>
      </w:r>
      <w:r>
        <w:t>a</w:t>
      </w:r>
      <w:r w:rsidR="0044485B" w:rsidRPr="0068071B">
        <w:t>lcaldía, municipio</w:t>
      </w:r>
      <w:r>
        <w:t>,</w:t>
      </w:r>
      <w:r w:rsidR="0044485B" w:rsidRPr="0068071B">
        <w:t xml:space="preserve"> ciudad</w:t>
      </w:r>
      <w:r>
        <w:t xml:space="preserve"> e inclusive zona metropolitana</w:t>
      </w:r>
      <w:r w:rsidR="0044485B" w:rsidRPr="0068071B">
        <w:t>.</w:t>
      </w:r>
    </w:p>
    <w:p w14:paraId="6A1D32D5" w14:textId="127A51F8" w:rsidR="0044485B" w:rsidRDefault="0044485B">
      <w:pPr>
        <w:spacing w:line="360" w:lineRule="auto"/>
      </w:pPr>
    </w:p>
    <w:p w14:paraId="26498813" w14:textId="77777777" w:rsidR="00644151" w:rsidRDefault="00644151">
      <w:pPr>
        <w:spacing w:line="360" w:lineRule="auto"/>
      </w:pPr>
    </w:p>
    <w:p w14:paraId="1D93A4CC" w14:textId="55D987E5" w:rsidR="00644151" w:rsidRDefault="00644151">
      <w:pPr>
        <w:spacing w:line="360" w:lineRule="auto"/>
      </w:pPr>
    </w:p>
    <w:p w14:paraId="153F4685" w14:textId="77777777" w:rsidR="007A4743" w:rsidRDefault="007A4743">
      <w:pPr>
        <w:spacing w:line="360" w:lineRule="auto"/>
      </w:pPr>
    </w:p>
    <w:p w14:paraId="4425DADC" w14:textId="77777777" w:rsidR="00644151" w:rsidRDefault="00644151">
      <w:pPr>
        <w:spacing w:line="360" w:lineRule="auto"/>
      </w:pPr>
    </w:p>
    <w:p w14:paraId="7B49FEF6" w14:textId="77777777" w:rsidR="00644151" w:rsidRDefault="00644151">
      <w:pPr>
        <w:spacing w:line="360" w:lineRule="auto"/>
      </w:pPr>
    </w:p>
    <w:p w14:paraId="60C729C9" w14:textId="77777777" w:rsidR="00644151" w:rsidRDefault="00644151">
      <w:pPr>
        <w:spacing w:line="360" w:lineRule="auto"/>
      </w:pPr>
    </w:p>
    <w:p w14:paraId="539AFF20" w14:textId="77777777" w:rsidR="00644151" w:rsidRDefault="00644151">
      <w:pPr>
        <w:spacing w:line="360" w:lineRule="auto"/>
      </w:pPr>
    </w:p>
    <w:p w14:paraId="7C3A592B" w14:textId="77777777" w:rsidR="00644151" w:rsidRDefault="00644151">
      <w:pPr>
        <w:spacing w:line="360" w:lineRule="auto"/>
      </w:pPr>
    </w:p>
    <w:p w14:paraId="657BD210" w14:textId="78AFA4C4" w:rsidR="00644151" w:rsidRDefault="00644151">
      <w:pPr>
        <w:spacing w:line="360" w:lineRule="auto"/>
      </w:pPr>
    </w:p>
    <w:p w14:paraId="0550E360" w14:textId="0B2F8A35" w:rsidR="00A675FC" w:rsidRDefault="00A675FC">
      <w:pPr>
        <w:spacing w:line="360" w:lineRule="auto"/>
      </w:pPr>
    </w:p>
    <w:p w14:paraId="39D5CCCD" w14:textId="5A1E9B21" w:rsidR="00A675FC" w:rsidRDefault="00A675FC">
      <w:pPr>
        <w:spacing w:line="360" w:lineRule="auto"/>
      </w:pPr>
    </w:p>
    <w:p w14:paraId="633225D7" w14:textId="15E295AE" w:rsidR="00A675FC" w:rsidRDefault="00A675FC">
      <w:pPr>
        <w:spacing w:line="360" w:lineRule="auto"/>
      </w:pPr>
    </w:p>
    <w:p w14:paraId="3094EF41" w14:textId="77777777" w:rsidR="00A675FC" w:rsidRDefault="00A675FC">
      <w:pPr>
        <w:spacing w:line="360" w:lineRule="auto"/>
      </w:pPr>
    </w:p>
    <w:p w14:paraId="5A368B00" w14:textId="77777777" w:rsidR="00644151" w:rsidRDefault="00644151">
      <w:pPr>
        <w:spacing w:line="360" w:lineRule="auto"/>
      </w:pPr>
    </w:p>
    <w:p w14:paraId="797F5B02" w14:textId="77777777" w:rsidR="00644151" w:rsidRDefault="00644151">
      <w:pPr>
        <w:spacing w:line="360" w:lineRule="auto"/>
      </w:pPr>
    </w:p>
    <w:p w14:paraId="6AE926D0" w14:textId="77777777" w:rsidR="00644151" w:rsidRDefault="00425878">
      <w:pPr>
        <w:pStyle w:val="Ttulo1"/>
      </w:pPr>
      <w:bookmarkStart w:id="94" w:name="_Toc89075415"/>
      <w:r>
        <w:lastRenderedPageBreak/>
        <w:t>Recomendaciones</w:t>
      </w:r>
      <w:bookmarkEnd w:id="94"/>
    </w:p>
    <w:p w14:paraId="0D82FC8A" w14:textId="24B4261B" w:rsidR="00644151" w:rsidRDefault="00425878">
      <w:pPr>
        <w:spacing w:line="360" w:lineRule="auto"/>
      </w:pPr>
      <w:r>
        <w:t xml:space="preserve">Se recomienda a los tomadores de decisiones, autoridades competentes y encargados de los panteones impulsar e incentivar un programa para realizar el censo en los panteones, con la finalidad de conocer puntualmente el número de fosas con las que cuenta cada panteón, el régimen al que pertenece, así como algunos otros atributos que faciliten la caracterización y diagnóstico de los panteones. Debido a la falta de suelo urbanizable, para la apertura de un nuevo panteón, se recomienda considerar, en conjunto con las autoridades capitalinas, el incentivar el régimen de temporalidad mínima en panteones delegacionales y generales, o </w:t>
      </w:r>
      <w:r w:rsidR="007A4743">
        <w:t>bien incentivar</w:t>
      </w:r>
      <w:r>
        <w:t xml:space="preserve"> la cremación como práctica mortuoria principal. Así como retomar el programa de regularización de títulos de fosas a perpetuidad en cementerios públicos en la Ciudad de México con el fin aumentar el número de fosas para ofertar. </w:t>
      </w:r>
    </w:p>
    <w:p w14:paraId="751F0116" w14:textId="6F9A84B4" w:rsidR="00644151" w:rsidRDefault="00425878">
      <w:pPr>
        <w:spacing w:line="360" w:lineRule="auto"/>
      </w:pPr>
      <w:r>
        <w:t xml:space="preserve">La herramienta web ha sido ejecutada con base a los datos reportados por la Unidad Departamental de Panteones de la alcaldía Iztapalapa con datos pertenecientes </w:t>
      </w:r>
      <w:r w:rsidR="007A4743">
        <w:t>al año</w:t>
      </w:r>
      <w:r>
        <w:t xml:space="preserve"> 2019 y por medio de aproximaciones, sin </w:t>
      </w:r>
      <w:r w:rsidR="003B3F4A">
        <w:t>embargo,</w:t>
      </w:r>
      <w:r>
        <w:t xml:space="preserve"> con datos actualizados y con el conocimiento del número de fosas recuperadas para cada panteón los escenarios tenderían a ofrecer una mejor certeza. Por esta razón es necesario que los administradores de estos lugares consideren la posibilidad del uso de medios digitales para la administración y planeación de los panteones públicos, con la finalidad de mantener ordenado y actualizado el censo de cada uno de estos.</w:t>
      </w:r>
    </w:p>
    <w:p w14:paraId="4179A9B8" w14:textId="77777777" w:rsidR="00644151" w:rsidRDefault="00425878">
      <w:pPr>
        <w:spacing w:line="360" w:lineRule="auto"/>
      </w:pPr>
      <w:r>
        <w:t xml:space="preserve">La herramienta geoinformática permite realizar aproximaciones de los escenarios planteados solo hasta el año 2030, sin embargo, la programación puede ser modificada para agregar un mayor periodo de años e inclusive, teniendo los datos actualizados, los resultados podrían ser entregados en una unidad de tiempo menor, por ejemplo: semestral, trimestral, bimestral, mensual, semanal e inclusive en tiempo real. </w:t>
      </w:r>
    </w:p>
    <w:p w14:paraId="37E32D05" w14:textId="77777777" w:rsidR="00A675FC" w:rsidRDefault="00425878" w:rsidP="00A675FC">
      <w:pPr>
        <w:spacing w:line="360" w:lineRule="auto"/>
      </w:pPr>
      <w:r>
        <w:t xml:space="preserve">Sería de gran utilidad que los registros de defunción estuvieran disponibles a un nivel mayor de desagregación como: colonia, </w:t>
      </w:r>
      <w:proofErr w:type="spellStart"/>
      <w:r w:rsidR="00174186">
        <w:t>ageb</w:t>
      </w:r>
      <w:proofErr w:type="spellEnd"/>
      <w:r>
        <w:t>, sección electoral e inclusive manzana, lo que podría incentivar a realizar estudios específicos para comprender cómo se distribuye la mortalidad en la alcaldía y si existen relaciones o factores sociales y ambientales que puedan estar influyendo en está.</w:t>
      </w:r>
      <w:r w:rsidR="00A675FC">
        <w:t xml:space="preserve"> De esta forma el carácter espacial es importante ya que, a través de diferentes variables como población georreferenciada por </w:t>
      </w:r>
      <w:proofErr w:type="spellStart"/>
      <w:r w:rsidR="00A675FC">
        <w:t>ageb</w:t>
      </w:r>
      <w:proofErr w:type="spellEnd"/>
      <w:r w:rsidR="00A675FC">
        <w:t xml:space="preserve"> se puede calcular un estimado </w:t>
      </w:r>
      <w:r w:rsidR="00A675FC">
        <w:lastRenderedPageBreak/>
        <w:t>del número de defunciones, distinguiendo las áreas con una mayor concentración para su intervención en un corto o largo plazo, de la misma forma es posible plantear algún índice de mortalidad, tomando en consideración la población perteneciente al grupo de 40 a 64 años y del grupo 65 años y más, sexo, características socioeconómicas entre algunas otras con la finalidad de abonar un mayor conocimiento en esta área.</w:t>
      </w:r>
    </w:p>
    <w:p w14:paraId="4A84F41B" w14:textId="77777777" w:rsidR="00644151" w:rsidRDefault="00425878">
      <w:pPr>
        <w:spacing w:line="360" w:lineRule="auto"/>
      </w:pPr>
      <w:r>
        <w:t xml:space="preserve">Por último, sería recomendable tener un mayor acercamiento en conjunto con las autoridades competentes como es la Consejería Jurídica y de servicios legales de la Ciudad de México, la o las Jefaturas de Unidad Departamento de panteones y servicios funerarios, encargados y administradores de panteones con la finalidad de adaptar el modelo a necesidades específicas.  </w:t>
      </w:r>
    </w:p>
    <w:p w14:paraId="69959EED" w14:textId="77777777" w:rsidR="00644151" w:rsidRDefault="00644151">
      <w:pPr>
        <w:spacing w:line="360" w:lineRule="auto"/>
      </w:pPr>
    </w:p>
    <w:p w14:paraId="2BFED240" w14:textId="77777777" w:rsidR="00644151" w:rsidRDefault="00644151">
      <w:pPr>
        <w:spacing w:line="360" w:lineRule="auto"/>
      </w:pPr>
    </w:p>
    <w:p w14:paraId="69D4A728" w14:textId="77777777" w:rsidR="00644151" w:rsidRDefault="00644151">
      <w:pPr>
        <w:spacing w:line="360" w:lineRule="auto"/>
      </w:pPr>
    </w:p>
    <w:p w14:paraId="1E1D956E" w14:textId="77777777" w:rsidR="00644151" w:rsidRDefault="00644151">
      <w:pPr>
        <w:spacing w:line="360" w:lineRule="auto"/>
      </w:pPr>
    </w:p>
    <w:p w14:paraId="6FFA6603" w14:textId="77777777" w:rsidR="00644151" w:rsidRDefault="00644151">
      <w:pPr>
        <w:spacing w:line="360" w:lineRule="auto"/>
      </w:pPr>
    </w:p>
    <w:p w14:paraId="7428851C" w14:textId="77777777" w:rsidR="00644151" w:rsidRDefault="00644151">
      <w:pPr>
        <w:spacing w:line="360" w:lineRule="auto"/>
      </w:pPr>
    </w:p>
    <w:p w14:paraId="51878579" w14:textId="77777777" w:rsidR="00644151" w:rsidRDefault="00644151">
      <w:pPr>
        <w:spacing w:line="360" w:lineRule="auto"/>
      </w:pPr>
    </w:p>
    <w:p w14:paraId="57184800" w14:textId="37810621" w:rsidR="00644151" w:rsidRDefault="00644151">
      <w:pPr>
        <w:spacing w:line="360" w:lineRule="auto"/>
      </w:pPr>
    </w:p>
    <w:p w14:paraId="6BD4E119" w14:textId="60CC765D" w:rsidR="007A4743" w:rsidRDefault="007A4743">
      <w:pPr>
        <w:spacing w:line="360" w:lineRule="auto"/>
      </w:pPr>
    </w:p>
    <w:p w14:paraId="1EE5B869" w14:textId="6DE059D3" w:rsidR="007A4743" w:rsidRDefault="007A4743">
      <w:pPr>
        <w:spacing w:line="360" w:lineRule="auto"/>
      </w:pPr>
    </w:p>
    <w:p w14:paraId="52E2F102" w14:textId="6744AF38" w:rsidR="007A4743" w:rsidRDefault="007A4743">
      <w:pPr>
        <w:spacing w:line="360" w:lineRule="auto"/>
      </w:pPr>
    </w:p>
    <w:p w14:paraId="5102DAD9" w14:textId="7592990F" w:rsidR="007A4743" w:rsidRDefault="007A4743">
      <w:pPr>
        <w:spacing w:line="360" w:lineRule="auto"/>
      </w:pPr>
    </w:p>
    <w:p w14:paraId="1406D9AD" w14:textId="77777777" w:rsidR="007A4743" w:rsidRDefault="007A4743">
      <w:pPr>
        <w:spacing w:line="360" w:lineRule="auto"/>
      </w:pPr>
    </w:p>
    <w:p w14:paraId="598F080F" w14:textId="77777777" w:rsidR="00644151" w:rsidRDefault="00644151">
      <w:pPr>
        <w:spacing w:line="360" w:lineRule="auto"/>
      </w:pPr>
    </w:p>
    <w:p w14:paraId="5F34FC0B" w14:textId="77777777" w:rsidR="00644151" w:rsidRDefault="00644151">
      <w:pPr>
        <w:spacing w:line="360" w:lineRule="auto"/>
      </w:pPr>
    </w:p>
    <w:p w14:paraId="0EB60E9C" w14:textId="77777777" w:rsidR="00644151" w:rsidRDefault="00644151">
      <w:pPr>
        <w:spacing w:line="360" w:lineRule="auto"/>
      </w:pPr>
    </w:p>
    <w:p w14:paraId="03FE7645" w14:textId="7F485807" w:rsidR="00644151" w:rsidRDefault="00425878" w:rsidP="00D70445">
      <w:pPr>
        <w:pStyle w:val="Ttulo1"/>
        <w:rPr>
          <w:rFonts w:eastAsia="Calibri"/>
        </w:rPr>
      </w:pPr>
      <w:r>
        <w:rPr>
          <w:rFonts w:eastAsia="Calibri"/>
        </w:rPr>
        <w:lastRenderedPageBreak/>
        <w:t xml:space="preserve">Referencia </w:t>
      </w:r>
      <w:r w:rsidR="00D70445">
        <w:rPr>
          <w:rFonts w:eastAsia="Calibri"/>
        </w:rPr>
        <w:t>bibliográfica</w:t>
      </w:r>
    </w:p>
    <w:p w14:paraId="5597455A"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fr-FR"/>
        </w:rPr>
      </w:pPr>
      <w:r w:rsidRPr="00D60680">
        <w:rPr>
          <w:rFonts w:ascii="Palatino Linotype" w:hAnsi="Palatino Linotype" w:cs="Helvetica"/>
          <w:color w:val="000000"/>
        </w:rPr>
        <w:t>Alcaraz, S. (2010). Las pestilentes “mansiones de la muerte”. Los cementerios de la ciudad de México 1870-1990. </w:t>
      </w:r>
      <w:r w:rsidRPr="00D60680">
        <w:rPr>
          <w:rFonts w:ascii="Palatino Linotype" w:hAnsi="Palatino Linotype" w:cs="Helvetica"/>
          <w:i/>
          <w:iCs/>
          <w:color w:val="000000"/>
          <w:lang w:val="fr-FR"/>
        </w:rPr>
        <w:t>Travaux et Recherches dans les Amériques du Centre</w:t>
      </w:r>
      <w:r w:rsidRPr="00D60680">
        <w:rPr>
          <w:rFonts w:ascii="Palatino Linotype" w:hAnsi="Palatino Linotype" w:cs="Helvetica"/>
          <w:color w:val="000000"/>
          <w:lang w:val="fr-FR"/>
        </w:rPr>
        <w:t>, </w:t>
      </w:r>
      <w:r w:rsidRPr="00D60680">
        <w:rPr>
          <w:rFonts w:ascii="Palatino Linotype" w:hAnsi="Palatino Linotype" w:cs="Helvetica"/>
          <w:i/>
          <w:iCs/>
          <w:color w:val="000000"/>
          <w:lang w:val="fr-FR"/>
        </w:rPr>
        <w:t>58</w:t>
      </w:r>
      <w:r w:rsidRPr="00D60680">
        <w:rPr>
          <w:rFonts w:ascii="Palatino Linotype" w:hAnsi="Palatino Linotype" w:cs="Helvetica"/>
          <w:color w:val="000000"/>
          <w:lang w:val="fr-FR"/>
        </w:rPr>
        <w:t>, 93–102.</w:t>
      </w:r>
    </w:p>
    <w:p w14:paraId="274C7480" w14:textId="50043E71" w:rsidR="00DD1922"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lang w:val="fr-FR"/>
        </w:rPr>
        <w:t xml:space="preserve">Arias, J., &amp; Durango, C. (2017). </w:t>
      </w:r>
      <w:r w:rsidRPr="00D60680">
        <w:rPr>
          <w:rFonts w:ascii="Palatino Linotype" w:hAnsi="Palatino Linotype" w:cs="Helvetica"/>
          <w:color w:val="000000"/>
        </w:rPr>
        <w:t>Despliegue de información en un servidor geográfico. En M. Serna (Ed.), </w:t>
      </w:r>
      <w:r w:rsidRPr="00D60680">
        <w:rPr>
          <w:rFonts w:ascii="Palatino Linotype" w:hAnsi="Palatino Linotype" w:cs="Helvetica"/>
          <w:i/>
          <w:iCs/>
          <w:color w:val="000000"/>
        </w:rPr>
        <w:t>Geoinformática aplicada con aprendizaje basado en problemas</w:t>
      </w:r>
      <w:r w:rsidRPr="00D60680">
        <w:rPr>
          <w:rFonts w:ascii="Palatino Linotype" w:hAnsi="Palatino Linotype" w:cs="Helvetica"/>
          <w:color w:val="000000"/>
        </w:rPr>
        <w:t> (pp. 251–262). Instituto Antiqueño de Investigación.</w:t>
      </w:r>
    </w:p>
    <w:p w14:paraId="4DDC5FD3" w14:textId="7930BD27" w:rsidR="00CF2DBC" w:rsidRPr="00CF2DBC" w:rsidRDefault="00CF2DBC" w:rsidP="00CF2DBC">
      <w:pPr>
        <w:spacing w:before="100" w:beforeAutospacing="1" w:after="0" w:line="276" w:lineRule="auto"/>
        <w:ind w:left="720" w:hanging="720"/>
        <w:rPr>
          <w:rFonts w:ascii="Palatino Linotype" w:hAnsi="Palatino Linotype" w:cs="Helvetica"/>
          <w:color w:val="000000"/>
          <w:lang w:val="fr-FR"/>
        </w:rPr>
      </w:pPr>
      <w:proofErr w:type="spellStart"/>
      <w:r w:rsidRPr="00CF2DBC">
        <w:rPr>
          <w:rFonts w:ascii="Palatino Linotype" w:hAnsi="Palatino Linotype" w:cs="Helvetica"/>
          <w:color w:val="000000"/>
          <w:lang w:val="fr-FR"/>
        </w:rPr>
        <w:t>Bosque</w:t>
      </w:r>
      <w:proofErr w:type="spellEnd"/>
      <w:r w:rsidRPr="00CF2DBC">
        <w:rPr>
          <w:rFonts w:ascii="Palatino Linotype" w:hAnsi="Palatino Linotype" w:cs="Helvetica"/>
          <w:color w:val="000000"/>
          <w:lang w:val="fr-FR"/>
        </w:rPr>
        <w:t xml:space="preserve">, J., &amp; Franco, S. (1995). </w:t>
      </w:r>
      <w:proofErr w:type="spellStart"/>
      <w:r w:rsidRPr="00CF2DBC">
        <w:rPr>
          <w:rFonts w:ascii="Palatino Linotype" w:hAnsi="Palatino Linotype" w:cs="Helvetica"/>
          <w:color w:val="000000"/>
          <w:lang w:val="fr-FR"/>
        </w:rPr>
        <w:t>Modelos</w:t>
      </w:r>
      <w:proofErr w:type="spellEnd"/>
      <w:r w:rsidRPr="00CF2DBC">
        <w:rPr>
          <w:rFonts w:ascii="Palatino Linotype" w:hAnsi="Palatino Linotype" w:cs="Helvetica"/>
          <w:color w:val="000000"/>
          <w:lang w:val="fr-FR"/>
        </w:rPr>
        <w:t xml:space="preserve"> de </w:t>
      </w:r>
      <w:proofErr w:type="spellStart"/>
      <w:r w:rsidRPr="00CF2DBC">
        <w:rPr>
          <w:rFonts w:ascii="Palatino Linotype" w:hAnsi="Palatino Linotype" w:cs="Helvetica"/>
          <w:color w:val="000000"/>
          <w:lang w:val="fr-FR"/>
        </w:rPr>
        <w:t>localización</w:t>
      </w:r>
      <w:proofErr w:type="spellEnd"/>
      <w:r w:rsidRPr="00CF2DBC">
        <w:rPr>
          <w:rFonts w:ascii="Palatino Linotype" w:hAnsi="Palatino Linotype" w:cs="Helvetica"/>
          <w:color w:val="000000"/>
          <w:lang w:val="fr-FR"/>
        </w:rPr>
        <w:t xml:space="preserve">- </w:t>
      </w:r>
      <w:proofErr w:type="spellStart"/>
      <w:r w:rsidRPr="00CF2DBC">
        <w:rPr>
          <w:rFonts w:ascii="Palatino Linotype" w:hAnsi="Palatino Linotype" w:cs="Helvetica"/>
          <w:color w:val="000000"/>
          <w:lang w:val="fr-FR"/>
        </w:rPr>
        <w:t>asignación</w:t>
      </w:r>
      <w:proofErr w:type="spellEnd"/>
      <w:r w:rsidRPr="00CF2DBC">
        <w:rPr>
          <w:rFonts w:ascii="Palatino Linotype" w:hAnsi="Palatino Linotype" w:cs="Helvetica"/>
          <w:color w:val="000000"/>
          <w:lang w:val="fr-FR"/>
        </w:rPr>
        <w:t xml:space="preserve"> y </w:t>
      </w:r>
      <w:proofErr w:type="spellStart"/>
      <w:r w:rsidRPr="00CF2DBC">
        <w:rPr>
          <w:rFonts w:ascii="Palatino Linotype" w:hAnsi="Palatino Linotype" w:cs="Helvetica"/>
          <w:color w:val="000000"/>
          <w:lang w:val="fr-FR"/>
        </w:rPr>
        <w:t>evaluación</w:t>
      </w:r>
      <w:proofErr w:type="spellEnd"/>
      <w:r w:rsidRPr="00CF2DBC">
        <w:rPr>
          <w:rFonts w:ascii="Palatino Linotype" w:hAnsi="Palatino Linotype" w:cs="Helvetica"/>
          <w:color w:val="000000"/>
          <w:lang w:val="fr-FR"/>
        </w:rPr>
        <w:t xml:space="preserve"> </w:t>
      </w:r>
      <w:proofErr w:type="spellStart"/>
      <w:r w:rsidRPr="00CF2DBC">
        <w:rPr>
          <w:rFonts w:ascii="Palatino Linotype" w:hAnsi="Palatino Linotype" w:cs="Helvetica"/>
          <w:color w:val="000000"/>
          <w:lang w:val="fr-FR"/>
        </w:rPr>
        <w:t>multicriterio</w:t>
      </w:r>
      <w:proofErr w:type="spellEnd"/>
      <w:r w:rsidRPr="00CF2DBC">
        <w:rPr>
          <w:rFonts w:ascii="Palatino Linotype" w:hAnsi="Palatino Linotype" w:cs="Helvetica"/>
          <w:color w:val="000000"/>
          <w:lang w:val="fr-FR"/>
        </w:rPr>
        <w:t xml:space="preserve"> para la </w:t>
      </w:r>
      <w:proofErr w:type="spellStart"/>
      <w:r w:rsidRPr="00CF2DBC">
        <w:rPr>
          <w:rFonts w:ascii="Palatino Linotype" w:hAnsi="Palatino Linotype" w:cs="Helvetica"/>
          <w:color w:val="000000"/>
          <w:lang w:val="fr-FR"/>
        </w:rPr>
        <w:t>localización</w:t>
      </w:r>
      <w:proofErr w:type="spellEnd"/>
      <w:r w:rsidRPr="00CF2DBC">
        <w:rPr>
          <w:rFonts w:ascii="Palatino Linotype" w:hAnsi="Palatino Linotype" w:cs="Helvetica"/>
          <w:color w:val="000000"/>
          <w:lang w:val="fr-FR"/>
        </w:rPr>
        <w:t xml:space="preserve"> de </w:t>
      </w:r>
      <w:proofErr w:type="spellStart"/>
      <w:r w:rsidRPr="00CF2DBC">
        <w:rPr>
          <w:rFonts w:ascii="Palatino Linotype" w:hAnsi="Palatino Linotype" w:cs="Helvetica"/>
          <w:color w:val="000000"/>
          <w:lang w:val="fr-FR"/>
        </w:rPr>
        <w:t>instalaciones</w:t>
      </w:r>
      <w:proofErr w:type="spellEnd"/>
      <w:r w:rsidRPr="00CF2DBC">
        <w:rPr>
          <w:rFonts w:ascii="Palatino Linotype" w:hAnsi="Palatino Linotype" w:cs="Helvetica"/>
          <w:color w:val="000000"/>
          <w:lang w:val="fr-FR"/>
        </w:rPr>
        <w:t xml:space="preserve"> no </w:t>
      </w:r>
      <w:proofErr w:type="spellStart"/>
      <w:r w:rsidRPr="00CF2DBC">
        <w:rPr>
          <w:rFonts w:ascii="Palatino Linotype" w:hAnsi="Palatino Linotype" w:cs="Helvetica"/>
          <w:color w:val="000000"/>
          <w:lang w:val="fr-FR"/>
        </w:rPr>
        <w:t>deseables</w:t>
      </w:r>
      <w:proofErr w:type="spellEnd"/>
      <w:r w:rsidRPr="00CF2DBC">
        <w:rPr>
          <w:rFonts w:ascii="Palatino Linotype" w:hAnsi="Palatino Linotype" w:cs="Helvetica"/>
          <w:color w:val="000000"/>
          <w:lang w:val="fr-FR"/>
        </w:rPr>
        <w:t>. </w:t>
      </w:r>
      <w:proofErr w:type="spellStart"/>
      <w:r w:rsidRPr="00CF2DBC">
        <w:rPr>
          <w:rFonts w:ascii="Palatino Linotype" w:hAnsi="Palatino Linotype" w:cs="Helvetica"/>
          <w:color w:val="000000"/>
          <w:lang w:val="fr-FR"/>
        </w:rPr>
        <w:t>Serie</w:t>
      </w:r>
      <w:proofErr w:type="spellEnd"/>
      <w:r w:rsidRPr="00CF2DBC">
        <w:rPr>
          <w:rFonts w:ascii="Palatino Linotype" w:hAnsi="Palatino Linotype" w:cs="Helvetica"/>
          <w:color w:val="000000"/>
          <w:lang w:val="fr-FR"/>
        </w:rPr>
        <w:t xml:space="preserve"> </w:t>
      </w:r>
      <w:proofErr w:type="spellStart"/>
      <w:r w:rsidRPr="00CF2DBC">
        <w:rPr>
          <w:rFonts w:ascii="Palatino Linotype" w:hAnsi="Palatino Linotype" w:cs="Helvetica"/>
          <w:color w:val="000000"/>
          <w:lang w:val="fr-FR"/>
        </w:rPr>
        <w:t>geográfica</w:t>
      </w:r>
      <w:proofErr w:type="spellEnd"/>
      <w:r w:rsidRPr="00CF2DBC">
        <w:rPr>
          <w:rFonts w:ascii="Palatino Linotype" w:hAnsi="Palatino Linotype" w:cs="Helvetica"/>
          <w:color w:val="000000"/>
          <w:lang w:val="fr-FR"/>
        </w:rPr>
        <w:t>, 5, 97–112.</w:t>
      </w:r>
    </w:p>
    <w:p w14:paraId="3B1E0E12" w14:textId="7A3C844E"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 xml:space="preserve">Bustamante, P., </w:t>
      </w:r>
      <w:proofErr w:type="spellStart"/>
      <w:r w:rsidRPr="00D60680">
        <w:rPr>
          <w:rFonts w:ascii="Palatino Linotype" w:hAnsi="Palatino Linotype" w:cs="Helvetica"/>
          <w:color w:val="000000"/>
        </w:rPr>
        <w:t>Lezana</w:t>
      </w:r>
      <w:proofErr w:type="spellEnd"/>
      <w:r w:rsidRPr="00D60680">
        <w:rPr>
          <w:rFonts w:ascii="Palatino Linotype" w:hAnsi="Palatino Linotype" w:cs="Helvetica"/>
          <w:color w:val="000000"/>
        </w:rPr>
        <w:t xml:space="preserve">, </w:t>
      </w:r>
      <w:proofErr w:type="spellStart"/>
      <w:proofErr w:type="gramStart"/>
      <w:r>
        <w:rPr>
          <w:rFonts w:ascii="Palatino Linotype" w:hAnsi="Palatino Linotype" w:cs="Helvetica"/>
          <w:color w:val="000000"/>
        </w:rPr>
        <w:t>A</w:t>
      </w:r>
      <w:r w:rsidRPr="00D60680">
        <w:rPr>
          <w:rFonts w:ascii="Palatino Linotype" w:hAnsi="Palatino Linotype" w:cs="Helvetica"/>
          <w:color w:val="000000"/>
        </w:rPr>
        <w:t>.</w:t>
      </w:r>
      <w:r>
        <w:rPr>
          <w:rFonts w:ascii="Palatino Linotype" w:hAnsi="Palatino Linotype" w:cs="Helvetica"/>
          <w:color w:val="000000"/>
        </w:rPr>
        <w:t>,</w:t>
      </w:r>
      <w:r w:rsidRPr="00D60680">
        <w:rPr>
          <w:rFonts w:ascii="Palatino Linotype" w:hAnsi="Palatino Linotype" w:cs="Helvetica"/>
          <w:color w:val="000000"/>
        </w:rPr>
        <w:t>Villa</w:t>
      </w:r>
      <w:proofErr w:type="spellEnd"/>
      <w:proofErr w:type="gramEnd"/>
      <w:r w:rsidRPr="00D60680">
        <w:rPr>
          <w:rFonts w:ascii="Palatino Linotype" w:hAnsi="Palatino Linotype" w:cs="Helvetica"/>
          <w:color w:val="000000"/>
        </w:rPr>
        <w:t>, A., &amp; B</w:t>
      </w:r>
      <w:r>
        <w:rPr>
          <w:rFonts w:ascii="Palatino Linotype" w:hAnsi="Palatino Linotype" w:cs="Helvetica"/>
          <w:color w:val="000000"/>
        </w:rPr>
        <w:t>oria</w:t>
      </w:r>
      <w:r w:rsidRPr="00D60680">
        <w:rPr>
          <w:rFonts w:ascii="Palatino Linotype" w:hAnsi="Palatino Linotype" w:cs="Helvetica"/>
          <w:color w:val="000000"/>
        </w:rPr>
        <w:t xml:space="preserve"> </w:t>
      </w:r>
      <w:r>
        <w:rPr>
          <w:rFonts w:ascii="Palatino Linotype" w:hAnsi="Palatino Linotype" w:cs="Helvetica"/>
          <w:color w:val="000000"/>
        </w:rPr>
        <w:t>H</w:t>
      </w:r>
      <w:r w:rsidRPr="00D60680">
        <w:rPr>
          <w:rFonts w:ascii="Palatino Linotype" w:hAnsi="Palatino Linotype" w:cs="Helvetica"/>
          <w:color w:val="000000"/>
        </w:rPr>
        <w:t>. (1990). El análisis de la mortalidad por causa múltiple: un nuevo enfoque. </w:t>
      </w:r>
      <w:r w:rsidRPr="00D60680">
        <w:rPr>
          <w:rFonts w:ascii="Palatino Linotype" w:hAnsi="Palatino Linotype" w:cs="Helvetica"/>
          <w:i/>
          <w:iCs/>
          <w:color w:val="000000"/>
        </w:rPr>
        <w:t>Salud Pública de México</w:t>
      </w:r>
      <w:r w:rsidRPr="00D60680">
        <w:rPr>
          <w:rFonts w:ascii="Palatino Linotype" w:hAnsi="Palatino Linotype" w:cs="Helvetica"/>
          <w:color w:val="000000"/>
        </w:rPr>
        <w:t>, </w:t>
      </w:r>
      <w:r w:rsidRPr="00D60680">
        <w:rPr>
          <w:rFonts w:ascii="Palatino Linotype" w:hAnsi="Palatino Linotype" w:cs="Helvetica"/>
          <w:i/>
          <w:iCs/>
          <w:color w:val="000000"/>
        </w:rPr>
        <w:t>32</w:t>
      </w:r>
      <w:r w:rsidRPr="00D60680">
        <w:rPr>
          <w:rFonts w:ascii="Palatino Linotype" w:hAnsi="Palatino Linotype" w:cs="Helvetica"/>
          <w:color w:val="000000"/>
        </w:rPr>
        <w:t>(3), 309–319.</w:t>
      </w:r>
    </w:p>
    <w:p w14:paraId="0B0E8B87" w14:textId="0AF87F69"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G. (1998). </w:t>
      </w:r>
      <w:r w:rsidRPr="00D60680">
        <w:rPr>
          <w:rFonts w:ascii="Palatino Linotype" w:hAnsi="Palatino Linotype" w:cs="Helvetica"/>
          <w:i/>
          <w:iCs/>
          <w:color w:val="000000"/>
        </w:rPr>
        <w:t>Impacto de la geotecnología en el desarrollo teórico-metodológico de la ciencia geográfica. Hacia un nuevo paradigma en los albores del siglo XXI</w:t>
      </w:r>
      <w:r w:rsidRPr="00D60680">
        <w:rPr>
          <w:rFonts w:ascii="Palatino Linotype" w:hAnsi="Palatino Linotype" w:cs="Helvetica"/>
          <w:color w:val="000000"/>
        </w:rPr>
        <w:t xml:space="preserve">. </w:t>
      </w:r>
      <w:r>
        <w:rPr>
          <w:rFonts w:ascii="Palatino Linotype" w:hAnsi="Palatino Linotype" w:cs="Helvetica"/>
          <w:color w:val="000000"/>
        </w:rPr>
        <w:t>U</w:t>
      </w:r>
      <w:r w:rsidRPr="00D60680">
        <w:rPr>
          <w:rFonts w:ascii="Palatino Linotype" w:hAnsi="Palatino Linotype" w:cs="Helvetica"/>
          <w:color w:val="000000"/>
        </w:rPr>
        <w:t xml:space="preserve">niversidad </w:t>
      </w:r>
      <w:r>
        <w:rPr>
          <w:rFonts w:ascii="Palatino Linotype" w:hAnsi="Palatino Linotype" w:cs="Helvetica"/>
          <w:color w:val="000000"/>
        </w:rPr>
        <w:t>N</w:t>
      </w:r>
      <w:r w:rsidRPr="00D60680">
        <w:rPr>
          <w:rFonts w:ascii="Palatino Linotype" w:hAnsi="Palatino Linotype" w:cs="Helvetica"/>
          <w:color w:val="000000"/>
        </w:rPr>
        <w:t xml:space="preserve">acional de </w:t>
      </w:r>
      <w:r>
        <w:rPr>
          <w:rFonts w:ascii="Palatino Linotype" w:hAnsi="Palatino Linotype" w:cs="Helvetica"/>
          <w:color w:val="000000"/>
        </w:rPr>
        <w:t>C</w:t>
      </w:r>
      <w:r w:rsidRPr="00D60680">
        <w:rPr>
          <w:rFonts w:ascii="Palatino Linotype" w:hAnsi="Palatino Linotype" w:cs="Helvetica"/>
          <w:color w:val="000000"/>
        </w:rPr>
        <w:t>uyo.</w:t>
      </w:r>
    </w:p>
    <w:p w14:paraId="480B7C5B"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G. (2001). Geografía global el paradigma geotecnológico y el espacio interdisciplinario en la interpretación del mundo del siglo XXI. </w:t>
      </w:r>
      <w:r w:rsidRPr="00D60680">
        <w:rPr>
          <w:rFonts w:ascii="Palatino Linotype" w:hAnsi="Palatino Linotype" w:cs="Helvetica"/>
          <w:i/>
          <w:iCs/>
          <w:color w:val="000000"/>
        </w:rPr>
        <w:t>Estudios Geográficos</w:t>
      </w:r>
      <w:r w:rsidRPr="00D60680">
        <w:rPr>
          <w:rFonts w:ascii="Palatino Linotype" w:hAnsi="Palatino Linotype" w:cs="Helvetica"/>
          <w:color w:val="000000"/>
        </w:rPr>
        <w:t>, 621–648.</w:t>
      </w:r>
    </w:p>
    <w:p w14:paraId="7BAE7F61"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G. (2011). Modelos de localización- asignación aplicados a servicios públicos urbanos: análisis espacial de Centros de Atención Primaria de Salud (CAPS) en la ciudad de Luján, Argentina. </w:t>
      </w:r>
      <w:r w:rsidRPr="00D60680">
        <w:rPr>
          <w:rFonts w:ascii="Palatino Linotype" w:hAnsi="Palatino Linotype" w:cs="Helvetica"/>
          <w:i/>
          <w:iCs/>
          <w:color w:val="000000"/>
        </w:rPr>
        <w:t>Revista colombiana de geografía</w:t>
      </w:r>
      <w:r w:rsidRPr="00D60680">
        <w:rPr>
          <w:rFonts w:ascii="Palatino Linotype" w:hAnsi="Palatino Linotype" w:cs="Helvetica"/>
          <w:color w:val="000000"/>
        </w:rPr>
        <w:t>, </w:t>
      </w:r>
      <w:r w:rsidRPr="00D60680">
        <w:rPr>
          <w:rFonts w:ascii="Palatino Linotype" w:hAnsi="Palatino Linotype" w:cs="Helvetica"/>
          <w:i/>
          <w:iCs/>
          <w:color w:val="000000"/>
        </w:rPr>
        <w:t>20</w:t>
      </w:r>
      <w:r w:rsidRPr="00D60680">
        <w:rPr>
          <w:rFonts w:ascii="Palatino Linotype" w:hAnsi="Palatino Linotype" w:cs="Helvetica"/>
          <w:color w:val="000000"/>
        </w:rPr>
        <w:t>(2), 111–123.</w:t>
      </w:r>
    </w:p>
    <w:p w14:paraId="7059A1A6"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xml:space="preserve">, G. (2014). Geografía Global + </w:t>
      </w:r>
      <w:proofErr w:type="spellStart"/>
      <w:r w:rsidRPr="00D60680">
        <w:rPr>
          <w:rFonts w:ascii="Palatino Linotype" w:hAnsi="Palatino Linotype" w:cs="Helvetica"/>
          <w:color w:val="000000"/>
        </w:rPr>
        <w:t>NeoGeografía</w:t>
      </w:r>
      <w:proofErr w:type="spellEnd"/>
      <w:r w:rsidRPr="00D60680">
        <w:rPr>
          <w:rFonts w:ascii="Palatino Linotype" w:hAnsi="Palatino Linotype" w:cs="Helvetica"/>
          <w:color w:val="000000"/>
        </w:rPr>
        <w:t>. Actuales espacios de integración científica y social en entornos digitales. </w:t>
      </w:r>
      <w:r w:rsidRPr="00D60680">
        <w:rPr>
          <w:rFonts w:ascii="Palatino Linotype" w:hAnsi="Palatino Linotype" w:cs="Helvetica"/>
          <w:i/>
          <w:iCs/>
          <w:color w:val="000000"/>
        </w:rPr>
        <w:t xml:space="preserve">Estudios </w:t>
      </w:r>
      <w:proofErr w:type="spellStart"/>
      <w:r w:rsidRPr="00D60680">
        <w:rPr>
          <w:rFonts w:ascii="Palatino Linotype" w:hAnsi="Palatino Linotype" w:cs="Helvetica"/>
          <w:i/>
          <w:iCs/>
          <w:color w:val="000000"/>
        </w:rPr>
        <w:t>socioterritoriales</w:t>
      </w:r>
      <w:proofErr w:type="spellEnd"/>
      <w:r w:rsidRPr="00D60680">
        <w:rPr>
          <w:rFonts w:ascii="Palatino Linotype" w:hAnsi="Palatino Linotype" w:cs="Helvetica"/>
          <w:color w:val="000000"/>
        </w:rPr>
        <w:t>, </w:t>
      </w:r>
      <w:r w:rsidRPr="00D60680">
        <w:rPr>
          <w:rFonts w:ascii="Palatino Linotype" w:hAnsi="Palatino Linotype" w:cs="Helvetica"/>
          <w:i/>
          <w:iCs/>
          <w:color w:val="000000"/>
        </w:rPr>
        <w:t>2</w:t>
      </w:r>
      <w:r w:rsidRPr="00D60680">
        <w:rPr>
          <w:rFonts w:ascii="Palatino Linotype" w:hAnsi="Palatino Linotype" w:cs="Helvetica"/>
          <w:color w:val="000000"/>
        </w:rPr>
        <w:t>(16), 13–24.</w:t>
      </w:r>
    </w:p>
    <w:p w14:paraId="399B4F6C" w14:textId="77777777" w:rsidR="00DD1922"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xml:space="preserve">, G. (2015a). Conceptos fundamentales del análisis espacial que sustentan las investigaciones científicas basadas en geotecnologías. En M. Fuenzalida, G. </w:t>
      </w: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A. Moreno, &amp; A. García (Eds.), </w:t>
      </w:r>
      <w:r w:rsidRPr="00D60680">
        <w:rPr>
          <w:rFonts w:ascii="Palatino Linotype" w:hAnsi="Palatino Linotype" w:cs="Helvetica"/>
          <w:i/>
          <w:iCs/>
          <w:color w:val="000000"/>
        </w:rPr>
        <w:t>Geografía, geotecnología y análisis espacial: tendencias, métodos y aplicaciones</w:t>
      </w:r>
      <w:r w:rsidRPr="00D60680">
        <w:rPr>
          <w:rFonts w:ascii="Palatino Linotype" w:hAnsi="Palatino Linotype" w:cs="Helvetica"/>
          <w:color w:val="000000"/>
        </w:rPr>
        <w:t> (pp. 56–72). Triángulo.</w:t>
      </w:r>
    </w:p>
    <w:p w14:paraId="1642AE4A" w14:textId="77777777" w:rsidR="00DD1922"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lastRenderedPageBreak/>
        <w:t>Buzai</w:t>
      </w:r>
      <w:proofErr w:type="spellEnd"/>
      <w:r w:rsidRPr="00D60680">
        <w:rPr>
          <w:rFonts w:ascii="Palatino Linotype" w:hAnsi="Palatino Linotype" w:cs="Helvetica"/>
          <w:color w:val="000000"/>
        </w:rPr>
        <w:t xml:space="preserve">, G. (2015b). Evolución del pensamiento geográfico hacia la Geografía global y la </w:t>
      </w:r>
      <w:proofErr w:type="spellStart"/>
      <w:r w:rsidRPr="00D60680">
        <w:rPr>
          <w:rFonts w:ascii="Palatino Linotype" w:hAnsi="Palatino Linotype" w:cs="Helvetica"/>
          <w:color w:val="000000"/>
        </w:rPr>
        <w:t>neogeografía</w:t>
      </w:r>
      <w:proofErr w:type="spellEnd"/>
      <w:r w:rsidRPr="00D60680">
        <w:rPr>
          <w:rFonts w:ascii="Palatino Linotype" w:hAnsi="Palatino Linotype" w:cs="Helvetica"/>
          <w:color w:val="000000"/>
        </w:rPr>
        <w:t xml:space="preserve">. En M. Fuenzalida, G. </w:t>
      </w: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A. Moreno, &amp; A. García (Eds.), </w:t>
      </w:r>
      <w:r w:rsidRPr="00D60680">
        <w:rPr>
          <w:rFonts w:ascii="Palatino Linotype" w:hAnsi="Palatino Linotype" w:cs="Helvetica"/>
          <w:i/>
          <w:iCs/>
          <w:color w:val="000000"/>
        </w:rPr>
        <w:t>Geografía, geotecnología y análisis espacial: tendencias, métodos y aplicaciones</w:t>
      </w:r>
      <w:r w:rsidRPr="00D60680">
        <w:rPr>
          <w:rFonts w:ascii="Palatino Linotype" w:hAnsi="Palatino Linotype" w:cs="Helvetica"/>
          <w:color w:val="000000"/>
        </w:rPr>
        <w:t> (pp. 4–16). Triángulo.</w:t>
      </w:r>
    </w:p>
    <w:p w14:paraId="17250E5F"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G. (2016). Geografía aplicada a la solución de problemáticas sociales. En S. Linares (Ed.), </w:t>
      </w:r>
      <w:r w:rsidRPr="00D60680">
        <w:rPr>
          <w:rFonts w:ascii="Palatino Linotype" w:hAnsi="Palatino Linotype" w:cs="Helvetica"/>
          <w:i/>
          <w:iCs/>
          <w:color w:val="000000"/>
        </w:rPr>
        <w:t>Soluciones espaciales a problemas sociales urbanos</w:t>
      </w:r>
      <w:r w:rsidRPr="00D60680">
        <w:rPr>
          <w:rFonts w:ascii="Palatino Linotype" w:hAnsi="Palatino Linotype" w:cs="Helvetica"/>
          <w:color w:val="000000"/>
        </w:rPr>
        <w:t> (pp. 17–29). Universidad Nacional del Centro de la Provincia de Buenos Aires.</w:t>
      </w:r>
    </w:p>
    <w:p w14:paraId="03A522EA"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Carreto, F., &amp; González, R. (2014). </w:t>
      </w:r>
      <w:r w:rsidRPr="00D60680">
        <w:rPr>
          <w:rFonts w:ascii="Palatino Linotype" w:hAnsi="Palatino Linotype" w:cs="Helvetica"/>
          <w:i/>
          <w:iCs/>
          <w:color w:val="000000"/>
        </w:rPr>
        <w:t>Geografía ambiente y sociedad</w:t>
      </w:r>
      <w:r w:rsidRPr="00D60680">
        <w:rPr>
          <w:rFonts w:ascii="Palatino Linotype" w:hAnsi="Palatino Linotype" w:cs="Helvetica"/>
          <w:color w:val="000000"/>
        </w:rPr>
        <w:t>. UAEM.</w:t>
      </w:r>
    </w:p>
    <w:p w14:paraId="71391AA9"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CEPAL. (2009). </w:t>
      </w:r>
      <w:r w:rsidRPr="00D60680">
        <w:rPr>
          <w:rFonts w:ascii="Palatino Linotype" w:hAnsi="Palatino Linotype" w:cs="Helvetica"/>
          <w:i/>
          <w:iCs/>
          <w:color w:val="000000"/>
        </w:rPr>
        <w:t>Tasa bruta de mortalidad</w:t>
      </w:r>
      <w:r w:rsidRPr="00D60680">
        <w:rPr>
          <w:rFonts w:ascii="Palatino Linotype" w:hAnsi="Palatino Linotype" w:cs="Helvetica"/>
          <w:color w:val="000000"/>
        </w:rPr>
        <w:t>. Observatorio demográfico. http://www.cepal.org/celade</w:t>
      </w:r>
    </w:p>
    <w:p w14:paraId="36C0B351"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CONAPO. (2019). </w:t>
      </w:r>
      <w:r w:rsidRPr="00D60680">
        <w:rPr>
          <w:rFonts w:ascii="Palatino Linotype" w:hAnsi="Palatino Linotype" w:cs="Helvetica"/>
          <w:i/>
          <w:iCs/>
          <w:color w:val="000000"/>
        </w:rPr>
        <w:t>Proyecciones de la Población de los municipios de México, 2015-2030</w:t>
      </w:r>
      <w:r w:rsidRPr="00D60680">
        <w:rPr>
          <w:rFonts w:ascii="Palatino Linotype" w:hAnsi="Palatino Linotype" w:cs="Helvetica"/>
          <w:color w:val="000000"/>
        </w:rPr>
        <w:t>. Gobierno de México. https://www.gob.mx/conapo/documentos/proyecciones-de-la-poblacion-de-los-municipios-de-mexico-2015-2030?idiom=es</w:t>
      </w:r>
    </w:p>
    <w:p w14:paraId="19ABEFE3"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Cuadra, D. (2014). Los enfoques de la geografía en su evolución como ciencia. </w:t>
      </w:r>
      <w:r w:rsidRPr="00D60680">
        <w:rPr>
          <w:rFonts w:ascii="Palatino Linotype" w:hAnsi="Palatino Linotype" w:cs="Helvetica"/>
          <w:i/>
          <w:iCs/>
          <w:color w:val="000000"/>
        </w:rPr>
        <w:t>Revista Geográfica Digital</w:t>
      </w:r>
      <w:r w:rsidRPr="00D60680">
        <w:rPr>
          <w:rFonts w:ascii="Palatino Linotype" w:hAnsi="Palatino Linotype" w:cs="Helvetica"/>
          <w:color w:val="000000"/>
        </w:rPr>
        <w:t>, 1–11.</w:t>
      </w:r>
    </w:p>
    <w:p w14:paraId="741E998C"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rPr>
        <w:t>Cuenya</w:t>
      </w:r>
      <w:proofErr w:type="spellEnd"/>
      <w:r w:rsidRPr="00D60680">
        <w:rPr>
          <w:rFonts w:ascii="Palatino Linotype" w:hAnsi="Palatino Linotype" w:cs="Helvetica"/>
          <w:color w:val="000000"/>
        </w:rPr>
        <w:t>, M. (2008). Los espacios de la muerte. De panteones, camposantos y cementerios en la ciudad de Puebla. De la Colonia a la Revolución. </w:t>
      </w:r>
      <w:r w:rsidRPr="00D60680">
        <w:rPr>
          <w:rFonts w:ascii="Palatino Linotype" w:hAnsi="Palatino Linotype" w:cs="Helvetica"/>
          <w:i/>
          <w:iCs/>
          <w:color w:val="000000"/>
        </w:rPr>
        <w:t xml:space="preserve">Open </w:t>
      </w:r>
      <w:proofErr w:type="spellStart"/>
      <w:r w:rsidRPr="00D60680">
        <w:rPr>
          <w:rFonts w:ascii="Palatino Linotype" w:hAnsi="Palatino Linotype" w:cs="Helvetica"/>
          <w:i/>
          <w:iCs/>
          <w:color w:val="000000"/>
        </w:rPr>
        <w:t>Edition</w:t>
      </w:r>
      <w:proofErr w:type="spellEnd"/>
      <w:r w:rsidRPr="00D60680">
        <w:rPr>
          <w:rFonts w:ascii="Palatino Linotype" w:hAnsi="Palatino Linotype" w:cs="Helvetica"/>
          <w:i/>
          <w:iCs/>
          <w:color w:val="000000"/>
        </w:rPr>
        <w:t xml:space="preserve"> </w:t>
      </w:r>
      <w:proofErr w:type="spellStart"/>
      <w:r w:rsidRPr="00D60680">
        <w:rPr>
          <w:rFonts w:ascii="Palatino Linotype" w:hAnsi="Palatino Linotype" w:cs="Helvetica"/>
          <w:i/>
          <w:iCs/>
          <w:color w:val="000000"/>
        </w:rPr>
        <w:t>Journals</w:t>
      </w:r>
      <w:proofErr w:type="spellEnd"/>
      <w:r w:rsidRPr="00D60680">
        <w:rPr>
          <w:rFonts w:ascii="Palatino Linotype" w:hAnsi="Palatino Linotype" w:cs="Helvetica"/>
          <w:color w:val="000000"/>
        </w:rPr>
        <w:t>, 1–46.</w:t>
      </w:r>
    </w:p>
    <w:p w14:paraId="54F59801"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 xml:space="preserve">Delgado, A., </w:t>
      </w:r>
      <w:proofErr w:type="spellStart"/>
      <w:r w:rsidRPr="00D60680">
        <w:rPr>
          <w:rFonts w:ascii="Palatino Linotype" w:hAnsi="Palatino Linotype" w:cs="Helvetica"/>
          <w:color w:val="000000"/>
        </w:rPr>
        <w:t>Fagundo</w:t>
      </w:r>
      <w:proofErr w:type="spellEnd"/>
      <w:r w:rsidRPr="00D60680">
        <w:rPr>
          <w:rFonts w:ascii="Palatino Linotype" w:hAnsi="Palatino Linotype" w:cs="Helvetica"/>
          <w:color w:val="000000"/>
        </w:rPr>
        <w:t xml:space="preserve">, F., López, E., Valdés, C., &amp; </w:t>
      </w:r>
      <w:proofErr w:type="spellStart"/>
      <w:r w:rsidRPr="00D60680">
        <w:rPr>
          <w:rFonts w:ascii="Palatino Linotype" w:hAnsi="Palatino Linotype" w:cs="Helvetica"/>
          <w:color w:val="000000"/>
        </w:rPr>
        <w:t>Salabert</w:t>
      </w:r>
      <w:proofErr w:type="spellEnd"/>
      <w:r w:rsidRPr="00D60680">
        <w:rPr>
          <w:rFonts w:ascii="Palatino Linotype" w:hAnsi="Palatino Linotype" w:cs="Helvetica"/>
          <w:color w:val="000000"/>
        </w:rPr>
        <w:t>, I. (2003). Transición epidemiológica. </w:t>
      </w:r>
      <w:r w:rsidRPr="00D60680">
        <w:rPr>
          <w:rFonts w:ascii="Palatino Linotype" w:hAnsi="Palatino Linotype" w:cs="Helvetica"/>
          <w:i/>
          <w:iCs/>
          <w:color w:val="000000"/>
        </w:rPr>
        <w:t>Revista médica electrónica</w:t>
      </w:r>
      <w:r w:rsidRPr="00D60680">
        <w:rPr>
          <w:rFonts w:ascii="Palatino Linotype" w:hAnsi="Palatino Linotype" w:cs="Helvetica"/>
          <w:color w:val="000000"/>
        </w:rPr>
        <w:t>, 1–5.</w:t>
      </w:r>
    </w:p>
    <w:p w14:paraId="6CD539D9"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Delgado, O. (2003). </w:t>
      </w:r>
      <w:r w:rsidRPr="00D60680">
        <w:rPr>
          <w:rFonts w:ascii="Palatino Linotype" w:hAnsi="Palatino Linotype" w:cs="Helvetica"/>
          <w:i/>
          <w:iCs/>
          <w:color w:val="000000"/>
        </w:rPr>
        <w:t>Debates sobre el espacio en la geografía contemporánea</w:t>
      </w:r>
      <w:r w:rsidRPr="00D60680">
        <w:rPr>
          <w:rFonts w:ascii="Palatino Linotype" w:hAnsi="Palatino Linotype" w:cs="Helvetica"/>
          <w:color w:val="000000"/>
        </w:rPr>
        <w:t>. Universidad Nacional de Colombia.</w:t>
      </w:r>
    </w:p>
    <w:p w14:paraId="4B1931B8"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Diario Oficial de la Federación. (1984). </w:t>
      </w:r>
      <w:r w:rsidRPr="00D60680">
        <w:rPr>
          <w:rFonts w:ascii="Palatino Linotype" w:hAnsi="Palatino Linotype" w:cs="Helvetica"/>
          <w:i/>
          <w:iCs/>
          <w:color w:val="000000"/>
        </w:rPr>
        <w:t>Reglamento de Cementerios del Distrito Federal</w:t>
      </w:r>
      <w:r w:rsidRPr="00D60680">
        <w:rPr>
          <w:rFonts w:ascii="Palatino Linotype" w:hAnsi="Palatino Linotype" w:cs="Helvetica"/>
          <w:color w:val="000000"/>
        </w:rPr>
        <w:t>. http://cgservicios.df.gob.mx/prontuario/vigente/3209.htm</w:t>
      </w:r>
    </w:p>
    <w:p w14:paraId="20952B4C"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Fernández, R. (1983). ¿Cuáles son realmente las principales causas de defunción en México? </w:t>
      </w:r>
      <w:r w:rsidRPr="00D60680">
        <w:rPr>
          <w:rFonts w:ascii="Palatino Linotype" w:hAnsi="Palatino Linotype" w:cs="Helvetica"/>
          <w:i/>
          <w:iCs/>
          <w:color w:val="000000"/>
        </w:rPr>
        <w:t>Salud Pública Mex</w:t>
      </w:r>
      <w:r w:rsidRPr="00D60680">
        <w:rPr>
          <w:rFonts w:ascii="Palatino Linotype" w:hAnsi="Palatino Linotype" w:cs="Helvetica"/>
          <w:color w:val="000000"/>
        </w:rPr>
        <w:t>, </w:t>
      </w:r>
      <w:r w:rsidRPr="00D60680">
        <w:rPr>
          <w:rFonts w:ascii="Palatino Linotype" w:hAnsi="Palatino Linotype" w:cs="Helvetica"/>
          <w:i/>
          <w:iCs/>
          <w:color w:val="000000"/>
        </w:rPr>
        <w:t>25</w:t>
      </w:r>
      <w:r w:rsidRPr="00D60680">
        <w:rPr>
          <w:rFonts w:ascii="Palatino Linotype" w:hAnsi="Palatino Linotype" w:cs="Helvetica"/>
          <w:color w:val="000000"/>
        </w:rPr>
        <w:t>, 241–264.</w:t>
      </w:r>
    </w:p>
    <w:p w14:paraId="15AAD914"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rPr>
        <w:lastRenderedPageBreak/>
        <w:t>Fernández, F. (2003). La economía funeraria: demanda y oferta en el mercado de servicios funerarios. </w:t>
      </w:r>
      <w:r w:rsidRPr="00D60680">
        <w:rPr>
          <w:rFonts w:ascii="Palatino Linotype" w:hAnsi="Palatino Linotype" w:cs="Helvetica"/>
          <w:i/>
          <w:iCs/>
          <w:color w:val="000000"/>
          <w:lang w:val="en-US"/>
        </w:rPr>
        <w:t>IE Working Paper</w:t>
      </w:r>
      <w:r w:rsidRPr="00D60680">
        <w:rPr>
          <w:rFonts w:ascii="Palatino Linotype" w:hAnsi="Palatino Linotype" w:cs="Helvetica"/>
          <w:color w:val="000000"/>
          <w:lang w:val="en-US"/>
        </w:rPr>
        <w:t>, 1–18.</w:t>
      </w:r>
    </w:p>
    <w:p w14:paraId="56569F45" w14:textId="5F72920E" w:rsidR="00DD1922"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lang w:val="en-US"/>
        </w:rPr>
        <w:t>Frenk</w:t>
      </w:r>
      <w:proofErr w:type="spellEnd"/>
      <w:r w:rsidRPr="00D60680">
        <w:rPr>
          <w:rFonts w:ascii="Palatino Linotype" w:hAnsi="Palatino Linotype" w:cs="Helvetica"/>
          <w:color w:val="000000"/>
          <w:lang w:val="en-US"/>
        </w:rPr>
        <w:t xml:space="preserve">, J., </w:t>
      </w:r>
      <w:proofErr w:type="spellStart"/>
      <w:r w:rsidRPr="00D60680">
        <w:rPr>
          <w:rFonts w:ascii="Palatino Linotype" w:hAnsi="Palatino Linotype" w:cs="Helvetica"/>
          <w:color w:val="000000"/>
          <w:lang w:val="en-US"/>
        </w:rPr>
        <w:t>Frejka</w:t>
      </w:r>
      <w:proofErr w:type="spellEnd"/>
      <w:r w:rsidRPr="00D60680">
        <w:rPr>
          <w:rFonts w:ascii="Palatino Linotype" w:hAnsi="Palatino Linotype" w:cs="Helvetica"/>
          <w:color w:val="000000"/>
          <w:lang w:val="en-US"/>
        </w:rPr>
        <w:t xml:space="preserve">, T., Bobadilla, J., Stern, C., Lozano, R., Sepulveda, J., &amp; Jose, M. (1991). </w:t>
      </w:r>
      <w:r w:rsidRPr="00D60680">
        <w:rPr>
          <w:rFonts w:ascii="Palatino Linotype" w:hAnsi="Palatino Linotype" w:cs="Helvetica"/>
          <w:color w:val="000000"/>
        </w:rPr>
        <w:t>La transición epidemiológica en América Latina. </w:t>
      </w:r>
      <w:r w:rsidRPr="00D60680">
        <w:rPr>
          <w:rFonts w:ascii="Palatino Linotype" w:hAnsi="Palatino Linotype" w:cs="Helvetica"/>
          <w:i/>
          <w:iCs/>
          <w:color w:val="000000"/>
        </w:rPr>
        <w:t xml:space="preserve">Bol </w:t>
      </w:r>
      <w:proofErr w:type="spellStart"/>
      <w:r w:rsidRPr="00D60680">
        <w:rPr>
          <w:rFonts w:ascii="Palatino Linotype" w:hAnsi="Palatino Linotype" w:cs="Helvetica"/>
          <w:i/>
          <w:iCs/>
          <w:color w:val="000000"/>
        </w:rPr>
        <w:t>Of</w:t>
      </w:r>
      <w:proofErr w:type="spellEnd"/>
      <w:r w:rsidRPr="00D60680">
        <w:rPr>
          <w:rFonts w:ascii="Palatino Linotype" w:hAnsi="Palatino Linotype" w:cs="Helvetica"/>
          <w:i/>
          <w:iCs/>
          <w:color w:val="000000"/>
        </w:rPr>
        <w:t xml:space="preserve"> </w:t>
      </w:r>
      <w:proofErr w:type="spellStart"/>
      <w:r w:rsidRPr="00D60680">
        <w:rPr>
          <w:rFonts w:ascii="Palatino Linotype" w:hAnsi="Palatino Linotype" w:cs="Helvetica"/>
          <w:i/>
          <w:iCs/>
          <w:color w:val="000000"/>
        </w:rPr>
        <w:t>Sanit</w:t>
      </w:r>
      <w:proofErr w:type="spellEnd"/>
      <w:r w:rsidRPr="00D60680">
        <w:rPr>
          <w:rFonts w:ascii="Palatino Linotype" w:hAnsi="Palatino Linotype" w:cs="Helvetica"/>
          <w:i/>
          <w:iCs/>
          <w:color w:val="000000"/>
        </w:rPr>
        <w:t xml:space="preserve"> </w:t>
      </w:r>
      <w:proofErr w:type="spellStart"/>
      <w:r w:rsidRPr="00D60680">
        <w:rPr>
          <w:rFonts w:ascii="Palatino Linotype" w:hAnsi="Palatino Linotype" w:cs="Helvetica"/>
          <w:i/>
          <w:iCs/>
          <w:color w:val="000000"/>
        </w:rPr>
        <w:t>Panam</w:t>
      </w:r>
      <w:proofErr w:type="spellEnd"/>
      <w:r w:rsidRPr="00D60680">
        <w:rPr>
          <w:rFonts w:ascii="Palatino Linotype" w:hAnsi="Palatino Linotype" w:cs="Helvetica"/>
          <w:color w:val="000000"/>
        </w:rPr>
        <w:t>, </w:t>
      </w:r>
      <w:r w:rsidRPr="00D60680">
        <w:rPr>
          <w:rFonts w:ascii="Palatino Linotype" w:hAnsi="Palatino Linotype" w:cs="Helvetica"/>
          <w:i/>
          <w:iCs/>
          <w:color w:val="000000"/>
        </w:rPr>
        <w:t>6</w:t>
      </w:r>
      <w:r w:rsidRPr="00D60680">
        <w:rPr>
          <w:rFonts w:ascii="Palatino Linotype" w:hAnsi="Palatino Linotype" w:cs="Helvetica"/>
          <w:color w:val="000000"/>
        </w:rPr>
        <w:t>(111), 485–496.</w:t>
      </w:r>
    </w:p>
    <w:p w14:paraId="495A0C23" w14:textId="31D873F9" w:rsidR="00CF2DBC" w:rsidRPr="00CF2DBC" w:rsidRDefault="00CF2DBC" w:rsidP="00CF2DBC">
      <w:pPr>
        <w:pStyle w:val="NormalWeb"/>
        <w:spacing w:after="0" w:afterAutospacing="0" w:line="360" w:lineRule="auto"/>
        <w:ind w:left="709" w:hanging="709"/>
        <w:rPr>
          <w:rFonts w:ascii="Georgia" w:hAnsi="Georgia"/>
        </w:rPr>
      </w:pPr>
      <w:r>
        <w:rPr>
          <w:rFonts w:ascii="Georgia" w:hAnsi="Georgia"/>
        </w:rPr>
        <w:t xml:space="preserve">Flores, E. (2004). Geoinformática </w:t>
      </w:r>
      <w:r w:rsidRPr="00CF2DBC">
        <w:rPr>
          <w:rFonts w:ascii="Palatino Linotype" w:hAnsi="Palatino Linotype" w:cs="Helvetica"/>
          <w:color w:val="000000"/>
        </w:rPr>
        <w:t xml:space="preserve">e investigación geográfica, situación actual y perspectiva. Rev. </w:t>
      </w:r>
      <w:proofErr w:type="spellStart"/>
      <w:r w:rsidRPr="00CF2DBC">
        <w:rPr>
          <w:rFonts w:ascii="Palatino Linotype" w:hAnsi="Palatino Linotype" w:cs="Helvetica"/>
          <w:color w:val="000000"/>
        </w:rPr>
        <w:t>For</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Lat</w:t>
      </w:r>
      <w:proofErr w:type="spellEnd"/>
      <w:r w:rsidRPr="00CF2DBC">
        <w:rPr>
          <w:rFonts w:ascii="Palatino Linotype" w:hAnsi="Palatino Linotype" w:cs="Helvetica"/>
          <w:color w:val="000000"/>
        </w:rPr>
        <w:t>, 59–81.</w:t>
      </w:r>
    </w:p>
    <w:p w14:paraId="5428ED16"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 xml:space="preserve">Fuenzalida, M., </w:t>
      </w:r>
      <w:proofErr w:type="spellStart"/>
      <w:r w:rsidRPr="00D60680">
        <w:rPr>
          <w:rFonts w:ascii="Palatino Linotype" w:hAnsi="Palatino Linotype" w:cs="Helvetica"/>
          <w:color w:val="000000"/>
        </w:rPr>
        <w:t>Buzai</w:t>
      </w:r>
      <w:proofErr w:type="spellEnd"/>
      <w:r w:rsidRPr="00D60680">
        <w:rPr>
          <w:rFonts w:ascii="Palatino Linotype" w:hAnsi="Palatino Linotype" w:cs="Helvetica"/>
          <w:color w:val="000000"/>
        </w:rPr>
        <w:t>, G., Moreno, A., &amp; García, A. (2015). </w:t>
      </w:r>
      <w:r w:rsidRPr="00D60680">
        <w:rPr>
          <w:rFonts w:ascii="Palatino Linotype" w:hAnsi="Palatino Linotype" w:cs="Helvetica"/>
          <w:i/>
          <w:iCs/>
          <w:color w:val="000000"/>
        </w:rPr>
        <w:t>Geografía, geotecnología y análisis espacial: tendencias, métodos y aplicaciones</w:t>
      </w:r>
      <w:r w:rsidRPr="00D60680">
        <w:rPr>
          <w:rFonts w:ascii="Palatino Linotype" w:hAnsi="Palatino Linotype" w:cs="Helvetica"/>
          <w:color w:val="000000"/>
        </w:rPr>
        <w:t>. Triángulo.</w:t>
      </w:r>
    </w:p>
    <w:p w14:paraId="411C48B9"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Gaceta oficial. (2004). </w:t>
      </w:r>
      <w:r w:rsidRPr="00D60680">
        <w:rPr>
          <w:rFonts w:ascii="Palatino Linotype" w:hAnsi="Palatino Linotype" w:cs="Helvetica"/>
          <w:i/>
          <w:iCs/>
          <w:color w:val="000000"/>
        </w:rPr>
        <w:t>Administración pública del Distrito Federal: No. 129-BIS. Distrito Federal: Décima cuarta época</w:t>
      </w:r>
      <w:r w:rsidRPr="00D60680">
        <w:rPr>
          <w:rFonts w:ascii="Palatino Linotype" w:hAnsi="Palatino Linotype" w:cs="Helvetica"/>
          <w:color w:val="000000"/>
        </w:rPr>
        <w:t>.</w:t>
      </w:r>
    </w:p>
    <w:p w14:paraId="751EB1FA"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Gaceta Oficial del Distrito Federal. (2008). </w:t>
      </w:r>
      <w:r w:rsidRPr="00D60680">
        <w:rPr>
          <w:rFonts w:ascii="Palatino Linotype" w:hAnsi="Palatino Linotype" w:cs="Helvetica"/>
          <w:i/>
          <w:iCs/>
          <w:color w:val="000000"/>
        </w:rPr>
        <w:t>Programa Delegacional de Desarrollo Urbano</w:t>
      </w:r>
      <w:r w:rsidRPr="00D60680">
        <w:rPr>
          <w:rFonts w:ascii="Palatino Linotype" w:hAnsi="Palatino Linotype" w:cs="Helvetica"/>
          <w:color w:val="000000"/>
        </w:rPr>
        <w:t>. http://www.data.seduvi.cdmx.gob.mx/portal/docs/programas/PDDU_Gacetas/2015/PPDU-IZTAPALAPA.pdf</w:t>
      </w:r>
    </w:p>
    <w:p w14:paraId="359EBCAE" w14:textId="60602832" w:rsidR="00DD1922"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Garrocho, C. (1992). </w:t>
      </w:r>
      <w:r w:rsidRPr="00D60680">
        <w:rPr>
          <w:rFonts w:ascii="Palatino Linotype" w:hAnsi="Palatino Linotype" w:cs="Helvetica"/>
          <w:i/>
          <w:iCs/>
          <w:color w:val="000000"/>
        </w:rPr>
        <w:t>Localización de servicios en la planeación urbana y regional: aspectos básicos y ejemplos de aplicación</w:t>
      </w:r>
      <w:r w:rsidRPr="00D60680">
        <w:rPr>
          <w:rFonts w:ascii="Palatino Linotype" w:hAnsi="Palatino Linotype" w:cs="Helvetica"/>
          <w:color w:val="000000"/>
        </w:rPr>
        <w:t>. El Colegio Mexiquense, A.C.</w:t>
      </w:r>
    </w:p>
    <w:p w14:paraId="63F2E53F" w14:textId="1AAA7D18" w:rsidR="00CF2DBC" w:rsidRPr="00CF2DBC" w:rsidRDefault="00CF2DBC" w:rsidP="00CF2DBC">
      <w:pPr>
        <w:pStyle w:val="NormalWeb"/>
        <w:spacing w:after="0" w:afterAutospacing="0" w:line="360" w:lineRule="auto"/>
        <w:ind w:left="720" w:hanging="720"/>
        <w:jc w:val="both"/>
        <w:rPr>
          <w:rFonts w:ascii="Georgia" w:hAnsi="Georgia"/>
        </w:rPr>
      </w:pPr>
      <w:proofErr w:type="spellStart"/>
      <w:r w:rsidRPr="00CF2DBC">
        <w:rPr>
          <w:rFonts w:ascii="Palatino Linotype" w:hAnsi="Palatino Linotype" w:cs="Helvetica"/>
          <w:color w:val="000000"/>
        </w:rPr>
        <w:t>Geertman</w:t>
      </w:r>
      <w:proofErr w:type="spellEnd"/>
      <w:r w:rsidRPr="00CF2DBC">
        <w:rPr>
          <w:rFonts w:ascii="Palatino Linotype" w:hAnsi="Palatino Linotype" w:cs="Helvetica"/>
          <w:color w:val="000000"/>
        </w:rPr>
        <w:t xml:space="preserve">, S., &amp; </w:t>
      </w:r>
      <w:proofErr w:type="spellStart"/>
      <w:r w:rsidRPr="00CF2DBC">
        <w:rPr>
          <w:rFonts w:ascii="Palatino Linotype" w:hAnsi="Palatino Linotype" w:cs="Helvetica"/>
          <w:color w:val="000000"/>
        </w:rPr>
        <w:t>Ritsema</w:t>
      </w:r>
      <w:proofErr w:type="spellEnd"/>
      <w:r w:rsidRPr="00CF2DBC">
        <w:rPr>
          <w:rFonts w:ascii="Palatino Linotype" w:hAnsi="Palatino Linotype" w:cs="Helvetica"/>
          <w:color w:val="000000"/>
        </w:rPr>
        <w:t xml:space="preserve">, J. (1995). GIS and </w:t>
      </w:r>
      <w:proofErr w:type="spellStart"/>
      <w:r w:rsidRPr="00CF2DBC">
        <w:rPr>
          <w:rFonts w:ascii="Palatino Linotype" w:hAnsi="Palatino Linotype" w:cs="Helvetica"/>
          <w:color w:val="000000"/>
        </w:rPr>
        <w:t>models</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of</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accessibility</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potential</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an</w:t>
      </w:r>
      <w:proofErr w:type="spellEnd"/>
      <w:r w:rsidRPr="00CF2DBC">
        <w:rPr>
          <w:rFonts w:ascii="Palatino Linotype" w:hAnsi="Palatino Linotype" w:cs="Helvetica"/>
          <w:color w:val="000000"/>
        </w:rPr>
        <w:t xml:space="preserve"> </w:t>
      </w:r>
      <w:proofErr w:type="spellStart"/>
      <w:r w:rsidRPr="00CF2DBC">
        <w:rPr>
          <w:rFonts w:ascii="Palatino Linotype" w:hAnsi="Palatino Linotype" w:cs="Helvetica"/>
          <w:color w:val="000000"/>
        </w:rPr>
        <w:t>application</w:t>
      </w:r>
      <w:proofErr w:type="spellEnd"/>
      <w:r w:rsidRPr="00CF2DBC">
        <w:rPr>
          <w:rFonts w:ascii="Palatino Linotype" w:hAnsi="Palatino Linotype" w:cs="Helvetica"/>
          <w:color w:val="000000"/>
        </w:rPr>
        <w:t xml:space="preserve"> in </w:t>
      </w:r>
      <w:proofErr w:type="spellStart"/>
      <w:r w:rsidRPr="00CF2DBC">
        <w:rPr>
          <w:rFonts w:ascii="Palatino Linotype" w:hAnsi="Palatino Linotype" w:cs="Helvetica"/>
          <w:color w:val="000000"/>
        </w:rPr>
        <w:t>planning</w:t>
      </w:r>
      <w:proofErr w:type="spellEnd"/>
      <w:r w:rsidRPr="00CF2DBC">
        <w:rPr>
          <w:rFonts w:ascii="Palatino Linotype" w:hAnsi="Palatino Linotype" w:cs="Helvetica"/>
          <w:color w:val="000000"/>
        </w:rPr>
        <w:t>.</w:t>
      </w:r>
      <w:r w:rsidRPr="00CE7169">
        <w:rPr>
          <w:rFonts w:ascii="Georgia" w:hAnsi="Georgia"/>
          <w:lang w:val="en-US"/>
        </w:rPr>
        <w:t> </w:t>
      </w:r>
      <w:proofErr w:type="spellStart"/>
      <w:r w:rsidRPr="00CF2DBC">
        <w:rPr>
          <w:rFonts w:ascii="Palatino Linotype" w:hAnsi="Palatino Linotype" w:cs="Helvetica"/>
          <w:i/>
          <w:iCs/>
          <w:color w:val="000000"/>
        </w:rPr>
        <w:t>Geographical</w:t>
      </w:r>
      <w:proofErr w:type="spellEnd"/>
      <w:r w:rsidRPr="00CF2DBC">
        <w:rPr>
          <w:rFonts w:ascii="Palatino Linotype" w:hAnsi="Palatino Linotype" w:cs="Helvetica"/>
          <w:i/>
          <w:iCs/>
          <w:color w:val="000000"/>
        </w:rPr>
        <w:t xml:space="preserve"> </w:t>
      </w:r>
      <w:proofErr w:type="spellStart"/>
      <w:r w:rsidRPr="00CF2DBC">
        <w:rPr>
          <w:rFonts w:ascii="Palatino Linotype" w:hAnsi="Palatino Linotype" w:cs="Helvetica"/>
          <w:i/>
          <w:iCs/>
          <w:color w:val="000000"/>
        </w:rPr>
        <w:t>Information</w:t>
      </w:r>
      <w:proofErr w:type="spellEnd"/>
      <w:r w:rsidRPr="00CF2DBC">
        <w:rPr>
          <w:rFonts w:ascii="Palatino Linotype" w:hAnsi="Palatino Linotype" w:cs="Helvetica"/>
          <w:i/>
          <w:iCs/>
          <w:color w:val="000000"/>
        </w:rPr>
        <w:t xml:space="preserve"> </w:t>
      </w:r>
      <w:proofErr w:type="spellStart"/>
      <w:r w:rsidRPr="00CF2DBC">
        <w:rPr>
          <w:rFonts w:ascii="Palatino Linotype" w:hAnsi="Palatino Linotype" w:cs="Helvetica"/>
          <w:i/>
          <w:iCs/>
          <w:color w:val="000000"/>
        </w:rPr>
        <w:t>Systems</w:t>
      </w:r>
      <w:proofErr w:type="spellEnd"/>
      <w:r>
        <w:rPr>
          <w:rFonts w:ascii="Georgia" w:hAnsi="Georgia"/>
        </w:rPr>
        <w:t>, </w:t>
      </w:r>
      <w:r>
        <w:rPr>
          <w:rFonts w:ascii="Georgia" w:hAnsi="Georgia"/>
          <w:i/>
          <w:iCs/>
        </w:rPr>
        <w:t>9</w:t>
      </w:r>
      <w:r>
        <w:rPr>
          <w:rFonts w:ascii="Georgia" w:hAnsi="Georgia"/>
        </w:rPr>
        <w:t>(1), 67–80.</w:t>
      </w:r>
    </w:p>
    <w:p w14:paraId="25B9389A" w14:textId="4E757439"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Gómez, A. (2001). La transición en epidemiología y salud pública: ¿explicación o condena? </w:t>
      </w:r>
      <w:r w:rsidRPr="00D60680">
        <w:rPr>
          <w:rFonts w:ascii="Palatino Linotype" w:hAnsi="Palatino Linotype" w:cs="Helvetica"/>
          <w:i/>
          <w:iCs/>
          <w:color w:val="000000"/>
        </w:rPr>
        <w:t>Revista Facultad Nacional de Salud Pública</w:t>
      </w:r>
      <w:r w:rsidRPr="00D60680">
        <w:rPr>
          <w:rFonts w:ascii="Palatino Linotype" w:hAnsi="Palatino Linotype" w:cs="Helvetica"/>
          <w:color w:val="000000"/>
        </w:rPr>
        <w:t>, </w:t>
      </w:r>
      <w:r w:rsidRPr="00D60680">
        <w:rPr>
          <w:rFonts w:ascii="Palatino Linotype" w:hAnsi="Palatino Linotype" w:cs="Helvetica"/>
          <w:i/>
          <w:iCs/>
          <w:color w:val="000000"/>
        </w:rPr>
        <w:t>19</w:t>
      </w:r>
      <w:r w:rsidRPr="00D60680">
        <w:rPr>
          <w:rFonts w:ascii="Palatino Linotype" w:hAnsi="Palatino Linotype" w:cs="Helvetica"/>
          <w:color w:val="000000"/>
        </w:rPr>
        <w:t>(2), 57–74.</w:t>
      </w:r>
    </w:p>
    <w:p w14:paraId="4DBD3A2C"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González, J. (Ed.). (2019). </w:t>
      </w:r>
      <w:r w:rsidRPr="00D60680">
        <w:rPr>
          <w:rFonts w:ascii="Palatino Linotype" w:hAnsi="Palatino Linotype" w:cs="Helvetica"/>
          <w:i/>
          <w:iCs/>
          <w:color w:val="000000"/>
        </w:rPr>
        <w:t>Sin espacio para la muerte</w:t>
      </w:r>
      <w:r w:rsidRPr="00D60680">
        <w:rPr>
          <w:rFonts w:ascii="Palatino Linotype" w:hAnsi="Palatino Linotype" w:cs="Helvetica"/>
          <w:color w:val="000000"/>
        </w:rPr>
        <w:t>. El universal.</w:t>
      </w:r>
    </w:p>
    <w:p w14:paraId="6F6D75BC" w14:textId="5C07E04B"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(2016). </w:t>
      </w:r>
      <w:r w:rsidRPr="00D60680">
        <w:rPr>
          <w:rFonts w:ascii="Palatino Linotype" w:hAnsi="Palatino Linotype" w:cs="Helvetica"/>
          <w:i/>
          <w:iCs/>
          <w:color w:val="000000"/>
        </w:rPr>
        <w:t>Estadística de defunciones generales: marco metodol</w:t>
      </w:r>
      <w:r w:rsidRPr="00D60680">
        <w:rPr>
          <w:rFonts w:ascii="Palatino Linotype" w:hAnsi="Palatino Linotype" w:cs="Georgia"/>
          <w:i/>
          <w:iCs/>
          <w:color w:val="000000"/>
        </w:rPr>
        <w:t>ó</w:t>
      </w:r>
      <w:r w:rsidRPr="00D60680">
        <w:rPr>
          <w:rFonts w:ascii="Palatino Linotype" w:hAnsi="Palatino Linotype" w:cs="Helvetica"/>
          <w:i/>
          <w:iCs/>
          <w:color w:val="000000"/>
        </w:rPr>
        <w:t>gico</w:t>
      </w:r>
      <w:r w:rsidRPr="00D60680">
        <w:rPr>
          <w:rFonts w:ascii="Palatino Linotype" w:hAnsi="Palatino Linotype" w:cs="Helvetica"/>
          <w:color w:val="000000"/>
        </w:rPr>
        <w:t>. INEGI.</w:t>
      </w:r>
    </w:p>
    <w:p w14:paraId="554A9FA3"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(2018). </w:t>
      </w:r>
      <w:r w:rsidRPr="00D60680">
        <w:rPr>
          <w:rFonts w:ascii="Palatino Linotype" w:hAnsi="Palatino Linotype" w:cs="Helvetica"/>
          <w:i/>
          <w:iCs/>
          <w:color w:val="000000"/>
        </w:rPr>
        <w:t>Características de las defunciones registradas en México durante 2018. CDMX: Comunicado de prensa Núm. 538/19</w:t>
      </w:r>
      <w:r w:rsidRPr="00D60680">
        <w:rPr>
          <w:rFonts w:ascii="Palatino Linotype" w:hAnsi="Palatino Linotype" w:cs="Helvetica"/>
          <w:color w:val="000000"/>
        </w:rPr>
        <w:t xml:space="preserve">. </w:t>
      </w:r>
      <w:r w:rsidRPr="00D60680">
        <w:rPr>
          <w:rFonts w:ascii="Palatino Linotype" w:hAnsi="Palatino Linotype" w:cs="Helvetica"/>
          <w:color w:val="000000"/>
        </w:rPr>
        <w:lastRenderedPageBreak/>
        <w:t>https://www.inegi.org.mx/contenidos/saladeprensa/boletines/2019/EstSociodemo/DefuncionesRegistradas2019.pdf</w:t>
      </w:r>
    </w:p>
    <w:p w14:paraId="2ADB1140"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(2019a). </w:t>
      </w:r>
      <w:r w:rsidRPr="00D60680">
        <w:rPr>
          <w:rFonts w:ascii="Palatino Linotype" w:hAnsi="Palatino Linotype" w:cs="Helvetica"/>
          <w:i/>
          <w:iCs/>
          <w:color w:val="000000"/>
        </w:rPr>
        <w:t>Estadística de defunciones registradas</w:t>
      </w:r>
      <w:r w:rsidRPr="00D60680">
        <w:rPr>
          <w:rFonts w:ascii="Palatino Linotype" w:hAnsi="Palatino Linotype" w:cs="Helvetica"/>
          <w:color w:val="000000"/>
        </w:rPr>
        <w:t>. Mortalidad. https://www.inegi.org.mx/app/descarga/?t=127&amp;ag=00</w:t>
      </w:r>
    </w:p>
    <w:p w14:paraId="31318058"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(2019b). </w:t>
      </w:r>
      <w:r w:rsidRPr="00D60680">
        <w:rPr>
          <w:rFonts w:ascii="Palatino Linotype" w:hAnsi="Palatino Linotype" w:cs="Helvetica"/>
          <w:i/>
          <w:iCs/>
          <w:color w:val="000000"/>
        </w:rPr>
        <w:t>Registros administrativos estadísticas</w:t>
      </w:r>
      <w:r w:rsidRPr="00D60680">
        <w:rPr>
          <w:rFonts w:ascii="Palatino Linotype" w:hAnsi="Palatino Linotype" w:cs="Helvetica"/>
          <w:color w:val="000000"/>
        </w:rPr>
        <w:t>. Natalidad. https://www.inegi.org.mx/programas/natalidad/#Datos_abiertos</w:t>
      </w:r>
    </w:p>
    <w:p w14:paraId="53157D5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(2020a). </w:t>
      </w:r>
      <w:r w:rsidRPr="00D60680">
        <w:rPr>
          <w:rFonts w:ascii="Palatino Linotype" w:hAnsi="Palatino Linotype" w:cs="Helvetica"/>
          <w:i/>
          <w:iCs/>
          <w:color w:val="000000"/>
        </w:rPr>
        <w:t>Población total por entidad federativa y grupo quinquenal de edad según sexo</w:t>
      </w:r>
      <w:r w:rsidRPr="00D60680">
        <w:rPr>
          <w:rFonts w:ascii="Palatino Linotype" w:hAnsi="Palatino Linotype" w:cs="Helvetica"/>
          <w:color w:val="000000"/>
        </w:rPr>
        <w:t>. Población. https://www.inegi.org.mx/temas/estructura/default.html#Tabulados</w:t>
      </w:r>
    </w:p>
    <w:p w14:paraId="7A777156" w14:textId="03D77D86" w:rsidR="00DD1922"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INEGI. (2020b). </w:t>
      </w:r>
      <w:r w:rsidRPr="00D60680">
        <w:rPr>
          <w:rFonts w:ascii="Palatino Linotype" w:hAnsi="Palatino Linotype" w:cs="Helvetica"/>
          <w:i/>
          <w:iCs/>
          <w:color w:val="000000"/>
        </w:rPr>
        <w:t>Recopilación de Información de los Panteones Públicos en las Zonas Metropolitanas del País</w:t>
      </w:r>
      <w:r w:rsidRPr="00D60680">
        <w:rPr>
          <w:rFonts w:ascii="Palatino Linotype" w:hAnsi="Palatino Linotype" w:cs="Helvetica"/>
          <w:color w:val="000000"/>
        </w:rPr>
        <w:t>. https://www.inegi.org.mx/contenidos/programas/ricpzmp/2020/doc/resultados_ricpzmp.pdf</w:t>
      </w:r>
    </w:p>
    <w:p w14:paraId="7CF72AB5" w14:textId="118A14A1" w:rsidR="00CF2DBC" w:rsidRPr="00CF2DBC" w:rsidRDefault="00CF2DBC" w:rsidP="00CF2DBC">
      <w:pPr>
        <w:pStyle w:val="NormalWeb"/>
        <w:spacing w:after="0" w:afterAutospacing="0" w:line="360" w:lineRule="auto"/>
        <w:ind w:left="720" w:hanging="720"/>
        <w:rPr>
          <w:rFonts w:ascii="Georgia" w:hAnsi="Georgia"/>
        </w:rPr>
      </w:pPr>
      <w:r>
        <w:rPr>
          <w:rFonts w:ascii="Georgia" w:hAnsi="Georgia"/>
        </w:rPr>
        <w:t>Luján, M. (2002). </w:t>
      </w:r>
      <w:r w:rsidRPr="00CF2DBC">
        <w:rPr>
          <w:rFonts w:ascii="Palatino Linotype" w:hAnsi="Palatino Linotype" w:cs="Helvetica"/>
          <w:i/>
          <w:iCs/>
          <w:color w:val="000000"/>
        </w:rPr>
        <w:t>Programación de aplicaciones web: historia, principios básicos y clientes web</w:t>
      </w:r>
      <w:r>
        <w:rPr>
          <w:rFonts w:ascii="Georgia" w:hAnsi="Georgia"/>
        </w:rPr>
        <w:t>. Club Universitario.</w:t>
      </w:r>
    </w:p>
    <w:p w14:paraId="5343E98D"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Martínez, J. (Ed.). (2009). </w:t>
      </w:r>
      <w:r w:rsidRPr="00D60680">
        <w:rPr>
          <w:rFonts w:ascii="Palatino Linotype" w:hAnsi="Palatino Linotype" w:cs="Helvetica"/>
          <w:i/>
          <w:iCs/>
          <w:color w:val="000000"/>
        </w:rPr>
        <w:t>Cementerios que la ciudad enterró</w:t>
      </w:r>
      <w:r w:rsidRPr="00D60680">
        <w:rPr>
          <w:rFonts w:ascii="Palatino Linotype" w:hAnsi="Palatino Linotype" w:cs="Helvetica"/>
          <w:color w:val="000000"/>
        </w:rPr>
        <w:t>. El universal.</w:t>
      </w:r>
    </w:p>
    <w:p w14:paraId="6F63A30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rPr>
        <w:t>Martínez, W. (2013). Dinámica demográfica y crisis socioeconómica en Ciudad Juárez, México, 2000-2010. </w:t>
      </w:r>
      <w:proofErr w:type="spellStart"/>
      <w:r w:rsidRPr="00D60680">
        <w:rPr>
          <w:rFonts w:ascii="Palatino Linotype" w:hAnsi="Palatino Linotype" w:cs="Helvetica"/>
          <w:i/>
          <w:iCs/>
          <w:color w:val="000000"/>
          <w:lang w:val="en-US"/>
        </w:rPr>
        <w:t>Cuadernos</w:t>
      </w:r>
      <w:proofErr w:type="spellEnd"/>
      <w:r w:rsidRPr="00D60680">
        <w:rPr>
          <w:rFonts w:ascii="Palatino Linotype" w:hAnsi="Palatino Linotype" w:cs="Helvetica"/>
          <w:i/>
          <w:iCs/>
          <w:color w:val="000000"/>
          <w:lang w:val="en-US"/>
        </w:rPr>
        <w:t xml:space="preserve"> de </w:t>
      </w:r>
      <w:proofErr w:type="spellStart"/>
      <w:r w:rsidRPr="00D60680">
        <w:rPr>
          <w:rFonts w:ascii="Palatino Linotype" w:hAnsi="Palatino Linotype" w:cs="Helvetica"/>
          <w:i/>
          <w:iCs/>
          <w:color w:val="000000"/>
          <w:lang w:val="en-US"/>
        </w:rPr>
        <w:t>trabajo</w:t>
      </w:r>
      <w:proofErr w:type="spellEnd"/>
      <w:r w:rsidRPr="00D60680">
        <w:rPr>
          <w:rFonts w:ascii="Palatino Linotype" w:hAnsi="Palatino Linotype" w:cs="Helvetica"/>
          <w:i/>
          <w:iCs/>
          <w:color w:val="000000"/>
          <w:lang w:val="en-US"/>
        </w:rPr>
        <w:t xml:space="preserve"> de la UACJ</w:t>
      </w:r>
      <w:r w:rsidRPr="00D60680">
        <w:rPr>
          <w:rFonts w:ascii="Palatino Linotype" w:hAnsi="Palatino Linotype" w:cs="Helvetica"/>
          <w:color w:val="000000"/>
          <w:lang w:val="en-US"/>
        </w:rPr>
        <w:t>, </w:t>
      </w:r>
      <w:r w:rsidRPr="00D60680">
        <w:rPr>
          <w:rFonts w:ascii="Palatino Linotype" w:hAnsi="Palatino Linotype" w:cs="Helvetica"/>
          <w:i/>
          <w:iCs/>
          <w:color w:val="000000"/>
          <w:lang w:val="en-US"/>
        </w:rPr>
        <w:t>13</w:t>
      </w:r>
      <w:r w:rsidRPr="00D60680">
        <w:rPr>
          <w:rFonts w:ascii="Palatino Linotype" w:hAnsi="Palatino Linotype" w:cs="Helvetica"/>
          <w:color w:val="000000"/>
          <w:lang w:val="en-US"/>
        </w:rPr>
        <w:t>, 3–30.</w:t>
      </w:r>
    </w:p>
    <w:p w14:paraId="5C73524F"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lang w:val="en-US"/>
        </w:rPr>
        <w:t>McKeown, R. (2009). The Epidemiologic Transition: Changing Patterns of Mortality and Population Dynamics. </w:t>
      </w:r>
      <w:r w:rsidRPr="00D60680">
        <w:rPr>
          <w:rFonts w:ascii="Palatino Linotype" w:hAnsi="Palatino Linotype" w:cs="Helvetica"/>
          <w:i/>
          <w:iCs/>
          <w:color w:val="000000"/>
          <w:lang w:val="en-US"/>
        </w:rPr>
        <w:t>American journal of lifestyle medicine</w:t>
      </w:r>
      <w:r w:rsidRPr="00D60680">
        <w:rPr>
          <w:rFonts w:ascii="Palatino Linotype" w:hAnsi="Palatino Linotype" w:cs="Helvetica"/>
          <w:color w:val="000000"/>
          <w:lang w:val="en-US"/>
        </w:rPr>
        <w:t>, 19S-26S.</w:t>
      </w:r>
    </w:p>
    <w:p w14:paraId="4F299536"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proofErr w:type="spellStart"/>
      <w:r w:rsidRPr="00D60680">
        <w:rPr>
          <w:rFonts w:ascii="Palatino Linotype" w:hAnsi="Palatino Linotype" w:cs="Helvetica"/>
          <w:color w:val="000000"/>
          <w:lang w:val="en-US"/>
        </w:rPr>
        <w:t>Montejano</w:t>
      </w:r>
      <w:proofErr w:type="spellEnd"/>
      <w:r w:rsidRPr="00D60680">
        <w:rPr>
          <w:rFonts w:ascii="Palatino Linotype" w:hAnsi="Palatino Linotype" w:cs="Helvetica"/>
          <w:color w:val="000000"/>
          <w:lang w:val="en-US"/>
        </w:rPr>
        <w:t xml:space="preserve">, J., &amp; Cruz, G. (2018). </w:t>
      </w:r>
      <w:r w:rsidRPr="00D60680">
        <w:rPr>
          <w:rFonts w:ascii="Palatino Linotype" w:hAnsi="Palatino Linotype" w:cs="Helvetica"/>
          <w:color w:val="000000"/>
        </w:rPr>
        <w:t>Modelos de localización para geomarketing. </w:t>
      </w:r>
      <w:r w:rsidRPr="00D60680">
        <w:rPr>
          <w:rFonts w:ascii="Palatino Linotype" w:hAnsi="Palatino Linotype" w:cs="Helvetica"/>
          <w:i/>
          <w:iCs/>
          <w:color w:val="000000"/>
        </w:rPr>
        <w:t>Espacialidades</w:t>
      </w:r>
      <w:r w:rsidRPr="00D60680">
        <w:rPr>
          <w:rFonts w:ascii="Palatino Linotype" w:hAnsi="Palatino Linotype" w:cs="Helvetica"/>
          <w:color w:val="000000"/>
        </w:rPr>
        <w:t>, </w:t>
      </w:r>
      <w:r w:rsidRPr="00D60680">
        <w:rPr>
          <w:rFonts w:ascii="Palatino Linotype" w:hAnsi="Palatino Linotype" w:cs="Helvetica"/>
          <w:i/>
          <w:iCs/>
          <w:color w:val="000000"/>
        </w:rPr>
        <w:t>08</w:t>
      </w:r>
      <w:r w:rsidRPr="00D60680">
        <w:rPr>
          <w:rFonts w:ascii="Palatino Linotype" w:hAnsi="Palatino Linotype" w:cs="Helvetica"/>
          <w:color w:val="000000"/>
        </w:rPr>
        <w:t>(01), 96–120.</w:t>
      </w:r>
    </w:p>
    <w:p w14:paraId="094E23C5"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Montesinos, A. (2011). </w:t>
      </w:r>
      <w:r w:rsidRPr="00D60680">
        <w:rPr>
          <w:rFonts w:ascii="Palatino Linotype" w:hAnsi="Palatino Linotype" w:cs="Helvetica"/>
          <w:i/>
          <w:iCs/>
          <w:color w:val="000000"/>
        </w:rPr>
        <w:t>Factores condicionantes de la localización industrial intraurbana en Tuxtla Gutiérrez, Chiapas; en el periodo 1975-2000</w:t>
      </w:r>
      <w:r w:rsidRPr="00D60680">
        <w:rPr>
          <w:rFonts w:ascii="Palatino Linotype" w:hAnsi="Palatino Linotype" w:cs="Helvetica"/>
          <w:color w:val="000000"/>
        </w:rPr>
        <w:t>. Universidad Autónoma de Chiapas.</w:t>
      </w:r>
    </w:p>
    <w:p w14:paraId="15BEE64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rPr>
        <w:lastRenderedPageBreak/>
        <w:t>OMS. (2019). </w:t>
      </w:r>
      <w:proofErr w:type="spellStart"/>
      <w:r w:rsidRPr="00C16C2B">
        <w:rPr>
          <w:rFonts w:ascii="Palatino Linotype" w:hAnsi="Palatino Linotype" w:cs="Helvetica"/>
          <w:i/>
          <w:iCs/>
          <w:color w:val="000000"/>
        </w:rPr>
        <w:t>The</w:t>
      </w:r>
      <w:proofErr w:type="spellEnd"/>
      <w:r w:rsidRPr="00C16C2B">
        <w:rPr>
          <w:rFonts w:ascii="Palatino Linotype" w:hAnsi="Palatino Linotype" w:cs="Helvetica"/>
          <w:i/>
          <w:iCs/>
          <w:color w:val="000000"/>
        </w:rPr>
        <w:t xml:space="preserve"> top 10 causes </w:t>
      </w:r>
      <w:proofErr w:type="spellStart"/>
      <w:r w:rsidRPr="00C16C2B">
        <w:rPr>
          <w:rFonts w:ascii="Palatino Linotype" w:hAnsi="Palatino Linotype" w:cs="Helvetica"/>
          <w:i/>
          <w:iCs/>
          <w:color w:val="000000"/>
        </w:rPr>
        <w:t>of</w:t>
      </w:r>
      <w:proofErr w:type="spellEnd"/>
      <w:r w:rsidRPr="00C16C2B">
        <w:rPr>
          <w:rFonts w:ascii="Palatino Linotype" w:hAnsi="Palatino Linotype" w:cs="Helvetica"/>
          <w:i/>
          <w:iCs/>
          <w:color w:val="000000"/>
        </w:rPr>
        <w:t xml:space="preserve"> </w:t>
      </w:r>
      <w:proofErr w:type="spellStart"/>
      <w:r w:rsidRPr="00C16C2B">
        <w:rPr>
          <w:rFonts w:ascii="Palatino Linotype" w:hAnsi="Palatino Linotype" w:cs="Helvetica"/>
          <w:i/>
          <w:iCs/>
          <w:color w:val="000000"/>
        </w:rPr>
        <w:t>death</w:t>
      </w:r>
      <w:proofErr w:type="spellEnd"/>
      <w:r w:rsidRPr="00C16C2B">
        <w:rPr>
          <w:rFonts w:ascii="Palatino Linotype" w:hAnsi="Palatino Linotype" w:cs="Helvetica"/>
          <w:i/>
          <w:iCs/>
          <w:color w:val="000000"/>
        </w:rPr>
        <w:t>.</w:t>
      </w:r>
      <w:r w:rsidRPr="00D60680">
        <w:rPr>
          <w:rFonts w:ascii="Palatino Linotype" w:hAnsi="Palatino Linotype" w:cs="Helvetica"/>
          <w:color w:val="000000"/>
        </w:rPr>
        <w:t xml:space="preserve"> </w:t>
      </w:r>
      <w:r w:rsidRPr="00D60680">
        <w:rPr>
          <w:rFonts w:ascii="Palatino Linotype" w:hAnsi="Palatino Linotype" w:cs="Helvetica"/>
          <w:color w:val="000000"/>
          <w:lang w:val="en-US"/>
        </w:rPr>
        <w:t>World Health Organization. https://www.who.int/news-room/fact-sheets/detail/the-top-10-causes-of-death</w:t>
      </w:r>
    </w:p>
    <w:p w14:paraId="5795F87B"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ONU. (2018). </w:t>
      </w:r>
      <w:r w:rsidRPr="00D60680">
        <w:rPr>
          <w:rFonts w:ascii="Palatino Linotype" w:hAnsi="Palatino Linotype" w:cs="Helvetica"/>
          <w:i/>
          <w:iCs/>
          <w:color w:val="000000"/>
        </w:rPr>
        <w:t>Las ciudades seguirán creciendo, sobre todo en los países en desarrollo</w:t>
      </w:r>
      <w:r w:rsidRPr="00D60680">
        <w:rPr>
          <w:rFonts w:ascii="Palatino Linotype" w:hAnsi="Palatino Linotype" w:cs="Helvetica"/>
          <w:color w:val="000000"/>
        </w:rPr>
        <w:t>. Departamento de asuntos económicos y sociales. https://www.un.org/development/desa/es/news/population/2018-world-urbanization-prospects.html</w:t>
      </w:r>
    </w:p>
    <w:p w14:paraId="2F6A5EBA"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lang w:val="en-US"/>
        </w:rPr>
        <w:t>ONU. (2019). </w:t>
      </w:r>
      <w:r w:rsidRPr="00D60680">
        <w:rPr>
          <w:rFonts w:ascii="Palatino Linotype" w:hAnsi="Palatino Linotype" w:cs="Helvetica"/>
          <w:i/>
          <w:iCs/>
          <w:color w:val="000000"/>
          <w:lang w:val="en-US"/>
        </w:rPr>
        <w:t>Population</w:t>
      </w:r>
      <w:r w:rsidRPr="00D60680">
        <w:rPr>
          <w:rFonts w:ascii="Palatino Linotype" w:hAnsi="Palatino Linotype" w:cs="Helvetica"/>
          <w:color w:val="000000"/>
          <w:lang w:val="en-US"/>
        </w:rPr>
        <w:t xml:space="preserve">. Peace, </w:t>
      </w:r>
      <w:proofErr w:type="gramStart"/>
      <w:r w:rsidRPr="00D60680">
        <w:rPr>
          <w:rFonts w:ascii="Palatino Linotype" w:hAnsi="Palatino Linotype" w:cs="Helvetica"/>
          <w:color w:val="000000"/>
          <w:lang w:val="en-US"/>
        </w:rPr>
        <w:t>dignity</w:t>
      </w:r>
      <w:proofErr w:type="gramEnd"/>
      <w:r w:rsidRPr="00D60680">
        <w:rPr>
          <w:rFonts w:ascii="Palatino Linotype" w:hAnsi="Palatino Linotype" w:cs="Helvetica"/>
          <w:color w:val="000000"/>
          <w:lang w:val="en-US"/>
        </w:rPr>
        <w:t xml:space="preserve"> and equality on a healthy planet. https://www.un.org/en/sections/issues-depth/population/index.html</w:t>
      </w:r>
    </w:p>
    <w:p w14:paraId="1EC0C975"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Ordorica, M. (2006). La Demografía en los primeros años del siglo XXI: una visión hacia el proceso de envejecimiento. </w:t>
      </w:r>
      <w:r w:rsidRPr="00D60680">
        <w:rPr>
          <w:rFonts w:ascii="Palatino Linotype" w:hAnsi="Palatino Linotype" w:cs="Helvetica"/>
          <w:i/>
          <w:iCs/>
          <w:color w:val="000000"/>
        </w:rPr>
        <w:t>Papeles de población</w:t>
      </w:r>
      <w:r w:rsidRPr="00D60680">
        <w:rPr>
          <w:rFonts w:ascii="Palatino Linotype" w:hAnsi="Palatino Linotype" w:cs="Helvetica"/>
          <w:color w:val="000000"/>
        </w:rPr>
        <w:t>, </w:t>
      </w:r>
      <w:r w:rsidRPr="00D60680">
        <w:rPr>
          <w:rFonts w:ascii="Palatino Linotype" w:hAnsi="Palatino Linotype" w:cs="Helvetica"/>
          <w:i/>
          <w:iCs/>
          <w:color w:val="000000"/>
        </w:rPr>
        <w:t>120</w:t>
      </w:r>
      <w:r w:rsidRPr="00D60680">
        <w:rPr>
          <w:rFonts w:ascii="Palatino Linotype" w:hAnsi="Palatino Linotype" w:cs="Helvetica"/>
          <w:color w:val="000000"/>
        </w:rPr>
        <w:t>(50), 23–35.</w:t>
      </w:r>
    </w:p>
    <w:p w14:paraId="64FD56B5" w14:textId="7EACA822"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Oropeza, M., &amp; Díaz, N. (2007). La geotecnología y su inserción en el pensamiento geográfico. </w:t>
      </w:r>
      <w:r w:rsidRPr="00D60680">
        <w:rPr>
          <w:rFonts w:ascii="Palatino Linotype" w:hAnsi="Palatino Linotype" w:cs="Helvetica"/>
          <w:i/>
          <w:iCs/>
          <w:color w:val="000000"/>
        </w:rPr>
        <w:t>Terra Nueva Etapa</w:t>
      </w:r>
      <w:r w:rsidRPr="00D60680">
        <w:rPr>
          <w:rFonts w:ascii="Palatino Linotype" w:hAnsi="Palatino Linotype" w:cs="Helvetica"/>
          <w:color w:val="000000"/>
        </w:rPr>
        <w:t>, </w:t>
      </w:r>
      <w:r w:rsidRPr="00D60680">
        <w:rPr>
          <w:rFonts w:ascii="Palatino Linotype" w:hAnsi="Palatino Linotype" w:cs="Helvetica"/>
          <w:i/>
          <w:iCs/>
          <w:color w:val="000000"/>
        </w:rPr>
        <w:t>XXIII</w:t>
      </w:r>
      <w:r w:rsidR="00322D62">
        <w:rPr>
          <w:rFonts w:ascii="Palatino Linotype" w:hAnsi="Palatino Linotype" w:cs="Helvetica"/>
          <w:i/>
          <w:iCs/>
          <w:color w:val="000000"/>
        </w:rPr>
        <w:t xml:space="preserve"> </w:t>
      </w:r>
      <w:r w:rsidRPr="00D60680">
        <w:rPr>
          <w:rFonts w:ascii="Palatino Linotype" w:hAnsi="Palatino Linotype" w:cs="Helvetica"/>
          <w:color w:val="000000"/>
        </w:rPr>
        <w:t>(34), 71–95.</w:t>
      </w:r>
    </w:p>
    <w:p w14:paraId="65F44959"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PAOT. (2008). </w:t>
      </w:r>
      <w:r w:rsidRPr="00D60680">
        <w:rPr>
          <w:rFonts w:ascii="Palatino Linotype" w:hAnsi="Palatino Linotype" w:cs="Helvetica"/>
          <w:i/>
          <w:iCs/>
          <w:color w:val="000000"/>
        </w:rPr>
        <w:t>Programa de Desarrollo Urbano por Delegaciones Políticas</w:t>
      </w:r>
      <w:r w:rsidRPr="00D60680">
        <w:rPr>
          <w:rFonts w:ascii="Palatino Linotype" w:hAnsi="Palatino Linotype" w:cs="Helvetica"/>
          <w:color w:val="000000"/>
        </w:rPr>
        <w:t>. http://centro.paot.org.mx/centro/leyes/df/pdf/GODF/GODF_02_10_2008_%20ANEXO_02.pdf</w:t>
      </w:r>
    </w:p>
    <w:p w14:paraId="67AED53D"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Pizarro, F. (2010). La teoría de la transición demográfica: recursos didácticos. </w:t>
      </w:r>
      <w:r w:rsidRPr="00D60680">
        <w:rPr>
          <w:rFonts w:ascii="Palatino Linotype" w:hAnsi="Palatino Linotype" w:cs="Helvetica"/>
          <w:i/>
          <w:iCs/>
          <w:color w:val="000000"/>
        </w:rPr>
        <w:t>Enseñanza de las Ciencias Sociales</w:t>
      </w:r>
      <w:r w:rsidRPr="00D60680">
        <w:rPr>
          <w:rFonts w:ascii="Palatino Linotype" w:hAnsi="Palatino Linotype" w:cs="Helvetica"/>
          <w:color w:val="000000"/>
        </w:rPr>
        <w:t>, </w:t>
      </w:r>
      <w:r w:rsidRPr="00D60680">
        <w:rPr>
          <w:rFonts w:ascii="Palatino Linotype" w:hAnsi="Palatino Linotype" w:cs="Helvetica"/>
          <w:i/>
          <w:iCs/>
          <w:color w:val="000000"/>
        </w:rPr>
        <w:t>9</w:t>
      </w:r>
      <w:r w:rsidRPr="00D60680">
        <w:rPr>
          <w:rFonts w:ascii="Palatino Linotype" w:hAnsi="Palatino Linotype" w:cs="Helvetica"/>
          <w:color w:val="000000"/>
        </w:rPr>
        <w:t>, 129–137.</w:t>
      </w:r>
    </w:p>
    <w:p w14:paraId="3937734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rPr>
        <w:t>Rangel, A. (Ed.). (2019). </w:t>
      </w:r>
      <w:r w:rsidRPr="00D60680">
        <w:rPr>
          <w:rFonts w:ascii="Palatino Linotype" w:hAnsi="Palatino Linotype" w:cs="Helvetica"/>
          <w:i/>
          <w:iCs/>
          <w:color w:val="000000"/>
        </w:rPr>
        <w:t>De chilangos y tragones... ¿qué tan llenos están los panteones?</w:t>
      </w:r>
      <w:r w:rsidRPr="00D60680">
        <w:rPr>
          <w:rFonts w:ascii="Palatino Linotype" w:hAnsi="Palatino Linotype" w:cs="Helvetica"/>
          <w:color w:val="000000"/>
        </w:rPr>
        <w:t> </w:t>
      </w:r>
      <w:proofErr w:type="spellStart"/>
      <w:r w:rsidRPr="00D60680">
        <w:rPr>
          <w:rFonts w:ascii="Palatino Linotype" w:hAnsi="Palatino Linotype" w:cs="Helvetica"/>
          <w:color w:val="000000"/>
          <w:lang w:val="en-US"/>
        </w:rPr>
        <w:t>Chilango</w:t>
      </w:r>
      <w:proofErr w:type="spellEnd"/>
      <w:r w:rsidRPr="00D60680">
        <w:rPr>
          <w:rFonts w:ascii="Palatino Linotype" w:hAnsi="Palatino Linotype" w:cs="Helvetica"/>
          <w:color w:val="000000"/>
          <w:lang w:val="en-US"/>
        </w:rPr>
        <w:t>. https://www.chilango.com/noticias/reportajes/panteones-en-cdmx/</w:t>
      </w:r>
    </w:p>
    <w:p w14:paraId="1F4F51A0"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rPr>
        <w:t>Romero, M. (2010). Memoria y defensa de los panteones comunitarios del Distrito Federal. </w:t>
      </w:r>
      <w:r w:rsidRPr="00D60680">
        <w:rPr>
          <w:rFonts w:ascii="Palatino Linotype" w:hAnsi="Palatino Linotype" w:cs="Helvetica"/>
          <w:i/>
          <w:iCs/>
          <w:color w:val="000000"/>
          <w:lang w:val="en-US"/>
        </w:rPr>
        <w:t xml:space="preserve">Nueva </w:t>
      </w:r>
      <w:proofErr w:type="spellStart"/>
      <w:r w:rsidRPr="00D60680">
        <w:rPr>
          <w:rFonts w:ascii="Palatino Linotype" w:hAnsi="Palatino Linotype" w:cs="Helvetica"/>
          <w:i/>
          <w:iCs/>
          <w:color w:val="000000"/>
          <w:lang w:val="en-US"/>
        </w:rPr>
        <w:t>antropol</w:t>
      </w:r>
      <w:proofErr w:type="spellEnd"/>
      <w:r w:rsidRPr="00D60680">
        <w:rPr>
          <w:rFonts w:ascii="Palatino Linotype" w:hAnsi="Palatino Linotype" w:cs="Helvetica"/>
          <w:color w:val="000000"/>
          <w:lang w:val="en-US"/>
        </w:rPr>
        <w:t>, </w:t>
      </w:r>
      <w:r w:rsidRPr="00D60680">
        <w:rPr>
          <w:rFonts w:ascii="Palatino Linotype" w:hAnsi="Palatino Linotype" w:cs="Helvetica"/>
          <w:i/>
          <w:iCs/>
          <w:color w:val="000000"/>
          <w:lang w:val="en-US"/>
        </w:rPr>
        <w:t>23</w:t>
      </w:r>
      <w:r w:rsidRPr="00D60680">
        <w:rPr>
          <w:rFonts w:ascii="Palatino Linotype" w:hAnsi="Palatino Linotype" w:cs="Helvetica"/>
          <w:color w:val="000000"/>
          <w:lang w:val="en-US"/>
        </w:rPr>
        <w:t>(73), 9–33.</w:t>
      </w:r>
    </w:p>
    <w:p w14:paraId="40FB3C3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lang w:val="en-US"/>
        </w:rPr>
      </w:pPr>
      <w:r w:rsidRPr="00D60680">
        <w:rPr>
          <w:rFonts w:ascii="Palatino Linotype" w:hAnsi="Palatino Linotype" w:cs="Helvetica"/>
          <w:color w:val="000000"/>
          <w:lang w:val="en-US"/>
        </w:rPr>
        <w:t>Salil, A. (2020). </w:t>
      </w:r>
      <w:r w:rsidRPr="00D60680">
        <w:rPr>
          <w:rFonts w:ascii="Palatino Linotype" w:hAnsi="Palatino Linotype" w:cs="Helvetica"/>
          <w:i/>
          <w:iCs/>
          <w:color w:val="000000"/>
          <w:lang w:val="en-US"/>
        </w:rPr>
        <w:t>Demographic Transition Theory: 4 Main Stages</w:t>
      </w:r>
      <w:r w:rsidRPr="00D60680">
        <w:rPr>
          <w:rFonts w:ascii="Palatino Linotype" w:hAnsi="Palatino Linotype" w:cs="Helvetica"/>
          <w:color w:val="000000"/>
          <w:lang w:val="en-US"/>
        </w:rPr>
        <w:t>. https://www.yourarticlelibrary.com/</w:t>
      </w:r>
    </w:p>
    <w:p w14:paraId="0142FD8E"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 xml:space="preserve">Salinas, I., Eaton, R., Espejel, I., &amp; Leyva, C. (2019). Simulación del cambio de uso de suelo en la ciudad de Ensenada, Baja California, México. En J. García &amp; J. J </w:t>
      </w:r>
      <w:r w:rsidRPr="00D60680">
        <w:rPr>
          <w:rFonts w:ascii="Palatino Linotype" w:hAnsi="Palatino Linotype" w:cs="Helvetica"/>
          <w:color w:val="000000"/>
        </w:rPr>
        <w:lastRenderedPageBreak/>
        <w:t>François (Eds.), </w:t>
      </w:r>
      <w:r w:rsidRPr="00D60680">
        <w:rPr>
          <w:rFonts w:ascii="Palatino Linotype" w:hAnsi="Palatino Linotype" w:cs="Helvetica"/>
          <w:i/>
          <w:iCs/>
          <w:color w:val="000000"/>
        </w:rPr>
        <w:t>Análisis geoespacial en los estudios urbanos</w:t>
      </w:r>
      <w:r w:rsidRPr="00D60680">
        <w:rPr>
          <w:rFonts w:ascii="Palatino Linotype" w:hAnsi="Palatino Linotype" w:cs="Helvetica"/>
          <w:color w:val="000000"/>
        </w:rPr>
        <w:t> (pp. 77–97). Universidad Autónoma de Baja California.</w:t>
      </w:r>
    </w:p>
    <w:p w14:paraId="0205DAB3"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Santos, J. (1994). Los modelos de interacción espacial y el análisis de los flujos migratorios interregionales. Aplicación al territorio español. </w:t>
      </w:r>
      <w:r w:rsidRPr="00D60680">
        <w:rPr>
          <w:rFonts w:ascii="Palatino Linotype" w:hAnsi="Palatino Linotype" w:cs="Helvetica"/>
          <w:i/>
          <w:iCs/>
          <w:color w:val="000000"/>
        </w:rPr>
        <w:t>Espacio, Tiempo y Forma</w:t>
      </w:r>
      <w:r w:rsidRPr="00D60680">
        <w:rPr>
          <w:rFonts w:ascii="Palatino Linotype" w:hAnsi="Palatino Linotype" w:cs="Helvetica"/>
          <w:color w:val="000000"/>
        </w:rPr>
        <w:t>, 51–81.</w:t>
      </w:r>
    </w:p>
    <w:p w14:paraId="35A3BBA7" w14:textId="77777777"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SEDESOL. (1999). </w:t>
      </w:r>
      <w:r w:rsidRPr="00D60680">
        <w:rPr>
          <w:rFonts w:ascii="Palatino Linotype" w:hAnsi="Palatino Linotype" w:cs="Helvetica"/>
          <w:i/>
          <w:iCs/>
          <w:color w:val="000000"/>
        </w:rPr>
        <w:t>Sistema normativo de equipamiento urbano</w:t>
      </w:r>
      <w:r w:rsidRPr="00D60680">
        <w:rPr>
          <w:rFonts w:ascii="Palatino Linotype" w:hAnsi="Palatino Linotype" w:cs="Helvetica"/>
          <w:color w:val="000000"/>
        </w:rPr>
        <w:t>. Dirección General de Infraestructura y Equipamiento Secretar</w:t>
      </w:r>
      <w:r>
        <w:rPr>
          <w:rFonts w:ascii="Palatino Linotype" w:hAnsi="Palatino Linotype" w:cs="Helvetica"/>
          <w:color w:val="000000"/>
        </w:rPr>
        <w:t>ía</w:t>
      </w:r>
      <w:r w:rsidRPr="00D60680">
        <w:rPr>
          <w:rFonts w:ascii="Palatino Linotype" w:hAnsi="Palatino Linotype" w:cs="Helvetica"/>
          <w:color w:val="000000"/>
        </w:rPr>
        <w:t xml:space="preserve"> de Desarrollo Social. http://www.inapam.gob.mx/work/models/SEDESOL/Resource/1592/1/images/admo_publica.pdf</w:t>
      </w:r>
    </w:p>
    <w:p w14:paraId="6562C49A" w14:textId="4151E7B9" w:rsidR="00DD1922" w:rsidRPr="00D60680" w:rsidRDefault="00DD1922" w:rsidP="00DD1922">
      <w:pPr>
        <w:spacing w:before="100" w:beforeAutospacing="1" w:after="0" w:line="276" w:lineRule="auto"/>
        <w:ind w:left="720" w:hanging="720"/>
        <w:rPr>
          <w:rFonts w:ascii="Palatino Linotype" w:hAnsi="Palatino Linotype" w:cs="Helvetica"/>
          <w:color w:val="000000"/>
        </w:rPr>
      </w:pPr>
      <w:r w:rsidRPr="00D60680">
        <w:rPr>
          <w:rFonts w:ascii="Palatino Linotype" w:hAnsi="Palatino Linotype" w:cs="Helvetica"/>
          <w:color w:val="000000"/>
        </w:rPr>
        <w:t>Valdés, A. (2010). Tumbas y cementerios en el siglo XIX mexicano. </w:t>
      </w:r>
      <w:r w:rsidRPr="00D60680">
        <w:rPr>
          <w:rFonts w:ascii="Palatino Linotype" w:hAnsi="Palatino Linotype" w:cs="Helvetica"/>
          <w:i/>
          <w:iCs/>
          <w:color w:val="000000"/>
        </w:rPr>
        <w:t>Tercera época</w:t>
      </w:r>
      <w:r w:rsidRPr="00D60680">
        <w:rPr>
          <w:rFonts w:ascii="Palatino Linotype" w:hAnsi="Palatino Linotype" w:cs="Helvetica"/>
          <w:color w:val="000000"/>
        </w:rPr>
        <w:t>, 74–88.</w:t>
      </w:r>
    </w:p>
    <w:p w14:paraId="0361E396" w14:textId="050F9DBF" w:rsidR="00DD1922" w:rsidRPr="00DD1922" w:rsidRDefault="00DD1922" w:rsidP="00DD1922">
      <w:pPr>
        <w:spacing w:before="100" w:beforeAutospacing="1" w:after="0" w:line="276" w:lineRule="auto"/>
        <w:ind w:left="720" w:hanging="720"/>
        <w:rPr>
          <w:rFonts w:ascii="Palatino Linotype" w:hAnsi="Palatino Linotype" w:cs="Helvetica"/>
          <w:color w:val="000000"/>
        </w:rPr>
        <w:sectPr w:rsidR="00DD1922" w:rsidRPr="00DD1922" w:rsidSect="00D23515">
          <w:footerReference w:type="default" r:id="rId29"/>
          <w:footerReference w:type="first" r:id="rId30"/>
          <w:pgSz w:w="12240" w:h="15840"/>
          <w:pgMar w:top="1417" w:right="1701" w:bottom="1417" w:left="1701" w:header="708" w:footer="708" w:gutter="0"/>
          <w:pgNumType w:start="1"/>
          <w:cols w:space="720"/>
          <w:docGrid w:linePitch="326"/>
        </w:sectPr>
      </w:pPr>
      <w:r w:rsidRPr="00D60680">
        <w:rPr>
          <w:rFonts w:ascii="Palatino Linotype" w:hAnsi="Palatino Linotype" w:cs="Helvetica"/>
          <w:color w:val="000000"/>
        </w:rPr>
        <w:t>Vera, M. (2000). Revisión crítica a la teoría de la transición epidemiológica. </w:t>
      </w:r>
      <w:r w:rsidRPr="00D60680">
        <w:rPr>
          <w:rFonts w:ascii="Palatino Linotype" w:hAnsi="Palatino Linotype" w:cs="Helvetica"/>
          <w:i/>
          <w:iCs/>
          <w:color w:val="000000"/>
        </w:rPr>
        <w:t>Papeles de población,</w:t>
      </w:r>
      <w:r w:rsidRPr="00D60680">
        <w:rPr>
          <w:rFonts w:ascii="Palatino Linotype" w:hAnsi="Palatino Linotype" w:cs="Helvetica"/>
          <w:color w:val="000000"/>
        </w:rPr>
        <w:t> </w:t>
      </w:r>
      <w:r w:rsidRPr="00D60680">
        <w:rPr>
          <w:rFonts w:ascii="Palatino Linotype" w:hAnsi="Palatino Linotype" w:cs="Helvetica"/>
          <w:i/>
          <w:iCs/>
          <w:color w:val="000000"/>
        </w:rPr>
        <w:t>6</w:t>
      </w:r>
      <w:r w:rsidRPr="00D60680">
        <w:rPr>
          <w:rFonts w:ascii="Palatino Linotype" w:hAnsi="Palatino Linotype" w:cs="Helvetica"/>
          <w:color w:val="000000"/>
        </w:rPr>
        <w:t>(25), 179–206.</w:t>
      </w:r>
    </w:p>
    <w:p w14:paraId="5D64A03F" w14:textId="3FBF39C9" w:rsidR="00644151" w:rsidRDefault="00425878">
      <w:pPr>
        <w:pStyle w:val="Ttulo1"/>
      </w:pPr>
      <w:bookmarkStart w:id="95" w:name="_Toc89075416"/>
      <w:r>
        <w:lastRenderedPageBreak/>
        <w:t>Anexo</w:t>
      </w:r>
      <w:bookmarkEnd w:id="95"/>
    </w:p>
    <w:p w14:paraId="174F84AA" w14:textId="55F39868" w:rsidR="00644151" w:rsidRDefault="00425878" w:rsidP="00DD1922">
      <w:pPr>
        <w:jc w:val="center"/>
      </w:pPr>
      <w:r>
        <w:rPr>
          <w:noProof/>
        </w:rPr>
        <w:drawing>
          <wp:inline distT="0" distB="0" distL="0" distR="0" wp14:anchorId="28D1E26F" wp14:editId="16E8926B">
            <wp:extent cx="6587730" cy="4710235"/>
            <wp:effectExtent l="0" t="0" r="0" b="0"/>
            <wp:docPr id="100" name="image5.png" descr="Interfaz de usuario gráfica, Map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Interfaz de usuario gráfica, Mapa&#10;&#10;Descripción generada automáticamente"/>
                    <pic:cNvPicPr preferRelativeResize="0"/>
                  </pic:nvPicPr>
                  <pic:blipFill>
                    <a:blip r:embed="rId28"/>
                    <a:srcRect/>
                    <a:stretch>
                      <a:fillRect/>
                    </a:stretch>
                  </pic:blipFill>
                  <pic:spPr>
                    <a:xfrm>
                      <a:off x="0" y="0"/>
                      <a:ext cx="6587730" cy="4710235"/>
                    </a:xfrm>
                    <a:prstGeom prst="rect">
                      <a:avLst/>
                    </a:prstGeom>
                    <a:ln/>
                  </pic:spPr>
                </pic:pic>
              </a:graphicData>
            </a:graphic>
          </wp:inline>
        </w:drawing>
      </w:r>
    </w:p>
    <w:sectPr w:rsidR="00644151">
      <w:pgSz w:w="15840" w:h="12240" w:orient="landscape"/>
      <w:pgMar w:top="1701" w:right="1418" w:bottom="1701"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E6420" w14:textId="77777777" w:rsidR="00F4132C" w:rsidRDefault="00F4132C">
      <w:pPr>
        <w:spacing w:after="0" w:line="240" w:lineRule="auto"/>
      </w:pPr>
      <w:r>
        <w:separator/>
      </w:r>
    </w:p>
  </w:endnote>
  <w:endnote w:type="continuationSeparator" w:id="0">
    <w:p w14:paraId="512672EC" w14:textId="77777777" w:rsidR="00F4132C" w:rsidRDefault="00F413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34138" w14:textId="77777777" w:rsidR="001076C8" w:rsidRDefault="001076C8">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4702985"/>
      <w:docPartObj>
        <w:docPartGallery w:val="Page Numbers (Bottom of Page)"/>
        <w:docPartUnique/>
      </w:docPartObj>
    </w:sdtPr>
    <w:sdtEndPr>
      <w:rPr>
        <w:color w:val="7F7F7F" w:themeColor="background1" w:themeShade="7F"/>
        <w:spacing w:val="60"/>
        <w:lang w:val="es-ES"/>
      </w:rPr>
    </w:sdtEndPr>
    <w:sdtContent>
      <w:p w14:paraId="2E1E81B2" w14:textId="4EC71219" w:rsidR="001076C8" w:rsidRDefault="001076C8">
        <w:pPr>
          <w:pStyle w:val="Piedepgina"/>
          <w:pBdr>
            <w:top w:val="single" w:sz="4" w:space="1" w:color="D9D9D9" w:themeColor="background1" w:themeShade="D9"/>
          </w:pBdr>
          <w:jc w:val="right"/>
        </w:pPr>
        <w:r>
          <w:fldChar w:fldCharType="begin"/>
        </w:r>
        <w:r>
          <w:instrText>PAGE   \* MERGEFORMAT</w:instrText>
        </w:r>
        <w:r>
          <w:fldChar w:fldCharType="separate"/>
        </w:r>
        <w:r>
          <w:rPr>
            <w:lang w:val="es-ES"/>
          </w:rPr>
          <w:t>2</w:t>
        </w:r>
        <w:r>
          <w:fldChar w:fldCharType="end"/>
        </w:r>
        <w:r>
          <w:rPr>
            <w:lang w:val="es-ES"/>
          </w:rPr>
          <w:t xml:space="preserve"> | </w:t>
        </w:r>
        <w:r>
          <w:rPr>
            <w:color w:val="7F7F7F" w:themeColor="background1" w:themeShade="7F"/>
            <w:spacing w:val="60"/>
            <w:lang w:val="es-ES"/>
          </w:rPr>
          <w:t>Página</w:t>
        </w:r>
      </w:p>
    </w:sdtContent>
  </w:sdt>
  <w:p w14:paraId="2817A4EB" w14:textId="77777777" w:rsidR="001076C8" w:rsidRDefault="001076C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8458725"/>
      <w:docPartObj>
        <w:docPartGallery w:val="Page Numbers (Bottom of Page)"/>
        <w:docPartUnique/>
      </w:docPartObj>
    </w:sdtPr>
    <w:sdtEndPr>
      <w:rPr>
        <w:color w:val="7F7F7F" w:themeColor="background1" w:themeShade="7F"/>
        <w:spacing w:val="60"/>
        <w:lang w:val="es-ES"/>
      </w:rPr>
    </w:sdtEndPr>
    <w:sdtContent>
      <w:p w14:paraId="5A3C12C1" w14:textId="77777777" w:rsidR="00D23515" w:rsidRDefault="00D23515">
        <w:pPr>
          <w:pStyle w:val="Piedepgina"/>
          <w:pBdr>
            <w:top w:val="single" w:sz="4" w:space="1" w:color="D9D9D9" w:themeColor="background1" w:themeShade="D9"/>
          </w:pBdr>
          <w:jc w:val="right"/>
        </w:pPr>
        <w:r>
          <w:fldChar w:fldCharType="begin"/>
        </w:r>
        <w:r>
          <w:instrText>PAGE   \* MERGEFORMAT</w:instrText>
        </w:r>
        <w:r>
          <w:fldChar w:fldCharType="separate"/>
        </w:r>
        <w:r>
          <w:rPr>
            <w:lang w:val="es-ES"/>
          </w:rPr>
          <w:t>2</w:t>
        </w:r>
        <w:r>
          <w:fldChar w:fldCharType="end"/>
        </w:r>
        <w:r>
          <w:rPr>
            <w:lang w:val="es-ES"/>
          </w:rPr>
          <w:t xml:space="preserve"> | </w:t>
        </w:r>
        <w:r>
          <w:rPr>
            <w:color w:val="7F7F7F" w:themeColor="background1" w:themeShade="7F"/>
            <w:spacing w:val="60"/>
            <w:lang w:val="es-ES"/>
          </w:rPr>
          <w:t>Página</w:t>
        </w:r>
      </w:p>
    </w:sdtContent>
  </w:sdt>
  <w:p w14:paraId="4DA84B15" w14:textId="77777777" w:rsidR="00D23515" w:rsidRDefault="00D23515">
    <w:pPr>
      <w:pBdr>
        <w:top w:val="nil"/>
        <w:left w:val="nil"/>
        <w:bottom w:val="nil"/>
        <w:right w:val="nil"/>
        <w:between w:val="nil"/>
      </w:pBdr>
      <w:tabs>
        <w:tab w:val="center" w:pos="4419"/>
        <w:tab w:val="right" w:pos="8838"/>
      </w:tabs>
      <w:spacing w:after="0" w:line="240" w:lineRule="auto"/>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6172366"/>
      <w:docPartObj>
        <w:docPartGallery w:val="Page Numbers (Bottom of Page)"/>
        <w:docPartUnique/>
      </w:docPartObj>
    </w:sdtPr>
    <w:sdtEndPr>
      <w:rPr>
        <w:color w:val="7F7F7F" w:themeColor="background1" w:themeShade="7F"/>
        <w:spacing w:val="60"/>
        <w:lang w:val="es-ES"/>
      </w:rPr>
    </w:sdtEndPr>
    <w:sdtContent>
      <w:p w14:paraId="57967BAB" w14:textId="77777777" w:rsidR="001076C8" w:rsidRDefault="001076C8">
        <w:pPr>
          <w:pStyle w:val="Piedepgina"/>
          <w:pBdr>
            <w:top w:val="single" w:sz="4" w:space="1" w:color="D9D9D9" w:themeColor="background1" w:themeShade="D9"/>
          </w:pBdr>
          <w:jc w:val="right"/>
        </w:pPr>
        <w:r>
          <w:fldChar w:fldCharType="begin"/>
        </w:r>
        <w:r>
          <w:instrText>PAGE   \* MERGEFORMAT</w:instrText>
        </w:r>
        <w:r>
          <w:fldChar w:fldCharType="separate"/>
        </w:r>
        <w:r>
          <w:rPr>
            <w:lang w:val="es-ES"/>
          </w:rPr>
          <w:t>2</w:t>
        </w:r>
        <w:r>
          <w:fldChar w:fldCharType="end"/>
        </w:r>
        <w:r>
          <w:rPr>
            <w:lang w:val="es-ES"/>
          </w:rPr>
          <w:t xml:space="preserve"> | </w:t>
        </w:r>
        <w:r>
          <w:rPr>
            <w:color w:val="7F7F7F" w:themeColor="background1" w:themeShade="7F"/>
            <w:spacing w:val="60"/>
            <w:lang w:val="es-ES"/>
          </w:rPr>
          <w:t>Página</w:t>
        </w:r>
      </w:p>
    </w:sdtContent>
  </w:sdt>
  <w:p w14:paraId="43133FF7" w14:textId="77777777" w:rsidR="001076C8" w:rsidRDefault="001076C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C9503" w14:textId="77777777" w:rsidR="00F4132C" w:rsidRDefault="00F4132C">
      <w:pPr>
        <w:spacing w:after="0" w:line="240" w:lineRule="auto"/>
      </w:pPr>
      <w:r>
        <w:separator/>
      </w:r>
    </w:p>
  </w:footnote>
  <w:footnote w:type="continuationSeparator" w:id="0">
    <w:p w14:paraId="205407A1" w14:textId="77777777" w:rsidR="00F4132C" w:rsidRDefault="00F4132C">
      <w:pPr>
        <w:spacing w:after="0" w:line="240" w:lineRule="auto"/>
      </w:pPr>
      <w:r>
        <w:continuationSeparator/>
      </w:r>
    </w:p>
  </w:footnote>
  <w:footnote w:id="1">
    <w:p w14:paraId="16EF4324"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Brinda el servicio de inhumación, exhumación y </w:t>
      </w:r>
      <w:r>
        <w:rPr>
          <w:sz w:val="20"/>
          <w:szCs w:val="20"/>
        </w:rPr>
        <w:t>re inhumación</w:t>
      </w:r>
      <w:r>
        <w:rPr>
          <w:color w:val="000000"/>
          <w:sz w:val="20"/>
          <w:szCs w:val="20"/>
        </w:rPr>
        <w:t xml:space="preserve"> a un barrio, colonia o pueblo determinado dentro de una Alcaldía.</w:t>
      </w:r>
    </w:p>
  </w:footnote>
  <w:footnote w:id="2">
    <w:p w14:paraId="73EF7D0A"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Brinda el servicio de inhumación, exhumación y </w:t>
      </w:r>
      <w:r>
        <w:rPr>
          <w:sz w:val="20"/>
          <w:szCs w:val="20"/>
        </w:rPr>
        <w:t>re inhumación</w:t>
      </w:r>
      <w:r>
        <w:rPr>
          <w:color w:val="000000"/>
          <w:sz w:val="20"/>
          <w:szCs w:val="20"/>
        </w:rPr>
        <w:t xml:space="preserve"> a una Alcaldía determinada.</w:t>
      </w:r>
    </w:p>
  </w:footnote>
  <w:footnote w:id="3">
    <w:p w14:paraId="459CD4FB"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Brinda el servicio de inhumación, exhumación y </w:t>
      </w:r>
      <w:r>
        <w:rPr>
          <w:sz w:val="20"/>
          <w:szCs w:val="20"/>
        </w:rPr>
        <w:t>re inhumación</w:t>
      </w:r>
      <w:r>
        <w:rPr>
          <w:color w:val="000000"/>
          <w:sz w:val="20"/>
          <w:szCs w:val="20"/>
        </w:rPr>
        <w:t xml:space="preserve"> a la población en general.</w:t>
      </w:r>
    </w:p>
  </w:footnote>
  <w:footnote w:id="4">
    <w:p w14:paraId="2CA36DD6"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Depósito de manera solemne del cadáver o miembro de una persona en una fosa para, posteriormente, cubrir la cavidad con tierra o cerrarla con una lápida o losa.</w:t>
      </w:r>
    </w:p>
  </w:footnote>
  <w:footnote w:id="5">
    <w:p w14:paraId="14B97D9E"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Proceso de incineración de un cadáver, de restos humanos o de restos humanos áridos</w:t>
      </w:r>
    </w:p>
  </w:footnote>
  <w:footnote w:id="6">
    <w:p w14:paraId="2B14C5D4"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Extracción de un cadáver sepultado</w:t>
      </w:r>
    </w:p>
  </w:footnote>
  <w:footnote w:id="7">
    <w:p w14:paraId="56F62F08"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Estructura construida bajo el nivel del suelo con gavetas o nichos destinados al depósito de cadáveres, restos humanos y restos humanos áridos o cremados</w:t>
      </w:r>
    </w:p>
  </w:footnote>
  <w:footnote w:id="8">
    <w:p w14:paraId="3D7717A7"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Lugar destinado para la inhumación de cadáveres y restos humanos no identificado</w:t>
      </w:r>
    </w:p>
  </w:footnote>
  <w:footnote w:id="9">
    <w:p w14:paraId="1CD34207" w14:textId="77777777" w:rsidR="001076C8" w:rsidRDefault="001076C8">
      <w:pPr>
        <w:pBdr>
          <w:top w:val="nil"/>
          <w:left w:val="nil"/>
          <w:bottom w:val="nil"/>
          <w:right w:val="nil"/>
          <w:between w:val="nil"/>
        </w:pBdr>
        <w:spacing w:after="0" w:line="240" w:lineRule="auto"/>
        <w:rPr>
          <w:color w:val="000000"/>
          <w:sz w:val="16"/>
          <w:szCs w:val="16"/>
        </w:rPr>
      </w:pPr>
      <w:r>
        <w:rPr>
          <w:vertAlign w:val="superscript"/>
        </w:rPr>
        <w:footnoteRef/>
      </w:r>
      <w:r>
        <w:rPr>
          <w:color w:val="000000"/>
          <w:sz w:val="16"/>
          <w:szCs w:val="16"/>
        </w:rPr>
        <w:t xml:space="preserve"> Adquisición de un espacio físico en el panteón con el derecho de mantener los restos en ese mismo lugar por tiempo indeterminado.</w:t>
      </w:r>
    </w:p>
  </w:footnote>
  <w:footnote w:id="10">
    <w:p w14:paraId="6F98D0A5"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16"/>
          <w:szCs w:val="16"/>
        </w:rPr>
        <w:t xml:space="preserve"> Adquisición de un espacio físico en el panteón con el derecho de mantener los restos por siete años, con opción a refrendo.</w:t>
      </w:r>
    </w:p>
  </w:footnote>
  <w:footnote w:id="11">
    <w:p w14:paraId="01AFE3B5" w14:textId="77777777" w:rsidR="001076C8" w:rsidRDefault="001076C8" w:rsidP="003B3F4A">
      <w:pPr>
        <w:pStyle w:val="Textonotapie"/>
      </w:pPr>
      <w:r>
        <w:rPr>
          <w:rStyle w:val="Refdenotaalpie"/>
        </w:rPr>
        <w:footnoteRef/>
      </w:r>
      <w:r>
        <w:t xml:space="preserve"> </w:t>
      </w:r>
      <w:r w:rsidRPr="00AA2148">
        <w:t xml:space="preserve">XML es un lenguaje de marcado similar a HTML. Significa Extensible </w:t>
      </w:r>
      <w:r w:rsidRPr="00AA2148">
        <w:t>Markup Language (Lenguaje de Marcado Extensible), el propósito principal del lenguaje es compartir datos a través de diferentes sistemas, como Internet</w:t>
      </w:r>
    </w:p>
  </w:footnote>
  <w:footnote w:id="12">
    <w:p w14:paraId="54893C6E" w14:textId="77777777" w:rsidR="001076C8" w:rsidRDefault="001076C8">
      <w:pPr>
        <w:pBdr>
          <w:top w:val="nil"/>
          <w:left w:val="nil"/>
          <w:bottom w:val="nil"/>
          <w:right w:val="nil"/>
          <w:between w:val="nil"/>
        </w:pBdr>
        <w:spacing w:after="0" w:line="240" w:lineRule="auto"/>
        <w:rPr>
          <w:color w:val="000000"/>
          <w:sz w:val="18"/>
          <w:szCs w:val="18"/>
        </w:rPr>
      </w:pPr>
      <w:r>
        <w:rPr>
          <w:vertAlign w:val="superscript"/>
        </w:rPr>
        <w:footnoteRef/>
      </w:r>
      <w:r>
        <w:rPr>
          <w:color w:val="000000"/>
          <w:sz w:val="20"/>
          <w:szCs w:val="20"/>
        </w:rPr>
        <w:t xml:space="preserve"> </w:t>
      </w:r>
      <w:r>
        <w:rPr>
          <w:color w:val="000000"/>
          <w:sz w:val="18"/>
          <w:szCs w:val="18"/>
        </w:rPr>
        <w:t>Proyección realizada mediante estimación curvilínea, utilizando el modelo cúbico, con un ajuste de R</w:t>
      </w:r>
      <w:r>
        <w:rPr>
          <w:color w:val="000000"/>
          <w:sz w:val="18"/>
          <w:szCs w:val="18"/>
          <w:vertAlign w:val="superscript"/>
        </w:rPr>
        <w:t>2</w:t>
      </w:r>
      <w:r>
        <w:rPr>
          <w:color w:val="000000"/>
          <w:sz w:val="18"/>
          <w:szCs w:val="18"/>
        </w:rPr>
        <w:t xml:space="preserve"> de 0.993, con un intervalo de confianza del 95%, mediante el software SPSS.</w:t>
      </w:r>
    </w:p>
  </w:footnote>
  <w:footnote w:id="13">
    <w:p w14:paraId="2FE036C8" w14:textId="77777777" w:rsidR="001076C8" w:rsidRDefault="001076C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r>
        <w:rPr>
          <w:color w:val="000000"/>
          <w:sz w:val="18"/>
          <w:szCs w:val="18"/>
        </w:rPr>
        <w:t>Proyección realizada mediante estimación cuadrática, utilizando el modelo cúbico, con un ajuste de R</w:t>
      </w:r>
      <w:r>
        <w:rPr>
          <w:color w:val="000000"/>
          <w:sz w:val="18"/>
          <w:szCs w:val="18"/>
          <w:vertAlign w:val="superscript"/>
        </w:rPr>
        <w:t>2</w:t>
      </w:r>
      <w:r>
        <w:rPr>
          <w:color w:val="000000"/>
          <w:sz w:val="18"/>
          <w:szCs w:val="18"/>
        </w:rPr>
        <w:t xml:space="preserve"> de 0.883, con un intervalo de confianza del 95%, mediante el software SPSS.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364534"/>
    <w:multiLevelType w:val="hybridMultilevel"/>
    <w:tmpl w:val="B7780786"/>
    <w:lvl w:ilvl="0" w:tplc="1F50CAD4">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370A497E"/>
    <w:multiLevelType w:val="multilevel"/>
    <w:tmpl w:val="657255A8"/>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7BA52DD1"/>
    <w:multiLevelType w:val="multilevel"/>
    <w:tmpl w:val="ABF0B8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4151"/>
    <w:rsid w:val="00016602"/>
    <w:rsid w:val="000669C3"/>
    <w:rsid w:val="000B0178"/>
    <w:rsid w:val="000B3507"/>
    <w:rsid w:val="001076C8"/>
    <w:rsid w:val="0011791B"/>
    <w:rsid w:val="00127825"/>
    <w:rsid w:val="00166CF5"/>
    <w:rsid w:val="001671DD"/>
    <w:rsid w:val="00174186"/>
    <w:rsid w:val="001743AC"/>
    <w:rsid w:val="00181589"/>
    <w:rsid w:val="001A4A0E"/>
    <w:rsid w:val="001D10EB"/>
    <w:rsid w:val="001F6764"/>
    <w:rsid w:val="00201587"/>
    <w:rsid w:val="00216C5B"/>
    <w:rsid w:val="00230999"/>
    <w:rsid w:val="00256ED8"/>
    <w:rsid w:val="00263CCC"/>
    <w:rsid w:val="00271194"/>
    <w:rsid w:val="002B2E5C"/>
    <w:rsid w:val="002C0D9E"/>
    <w:rsid w:val="002C5C6C"/>
    <w:rsid w:val="002E15A3"/>
    <w:rsid w:val="002F0F47"/>
    <w:rsid w:val="00322D62"/>
    <w:rsid w:val="00346F97"/>
    <w:rsid w:val="00393F73"/>
    <w:rsid w:val="003A1302"/>
    <w:rsid w:val="003B3F4A"/>
    <w:rsid w:val="003B4330"/>
    <w:rsid w:val="003F4C93"/>
    <w:rsid w:val="00401DC7"/>
    <w:rsid w:val="00425878"/>
    <w:rsid w:val="004308A6"/>
    <w:rsid w:val="004321EE"/>
    <w:rsid w:val="0044485B"/>
    <w:rsid w:val="00474B85"/>
    <w:rsid w:val="004F4F65"/>
    <w:rsid w:val="005013B2"/>
    <w:rsid w:val="0051306C"/>
    <w:rsid w:val="00532B0D"/>
    <w:rsid w:val="00533BE6"/>
    <w:rsid w:val="00552CEB"/>
    <w:rsid w:val="00556500"/>
    <w:rsid w:val="0057418E"/>
    <w:rsid w:val="005E3F10"/>
    <w:rsid w:val="006046AC"/>
    <w:rsid w:val="006368C0"/>
    <w:rsid w:val="00644151"/>
    <w:rsid w:val="00644A75"/>
    <w:rsid w:val="0068071B"/>
    <w:rsid w:val="00680E4F"/>
    <w:rsid w:val="006830D1"/>
    <w:rsid w:val="006A4693"/>
    <w:rsid w:val="006B6436"/>
    <w:rsid w:val="006C4640"/>
    <w:rsid w:val="006D076E"/>
    <w:rsid w:val="006D1940"/>
    <w:rsid w:val="006F21F3"/>
    <w:rsid w:val="0070645F"/>
    <w:rsid w:val="00714879"/>
    <w:rsid w:val="007975B1"/>
    <w:rsid w:val="007A4743"/>
    <w:rsid w:val="007A52BA"/>
    <w:rsid w:val="007B4C81"/>
    <w:rsid w:val="007C3378"/>
    <w:rsid w:val="007E64D3"/>
    <w:rsid w:val="00810ABE"/>
    <w:rsid w:val="0083452F"/>
    <w:rsid w:val="008729E8"/>
    <w:rsid w:val="008A245E"/>
    <w:rsid w:val="008B1BFC"/>
    <w:rsid w:val="008F10EE"/>
    <w:rsid w:val="00914BD2"/>
    <w:rsid w:val="0092597B"/>
    <w:rsid w:val="00935072"/>
    <w:rsid w:val="009432A1"/>
    <w:rsid w:val="00953BD8"/>
    <w:rsid w:val="009564CF"/>
    <w:rsid w:val="009711BD"/>
    <w:rsid w:val="00980C84"/>
    <w:rsid w:val="009B31E5"/>
    <w:rsid w:val="009D00B4"/>
    <w:rsid w:val="00A0195C"/>
    <w:rsid w:val="00A675FC"/>
    <w:rsid w:val="00A74C35"/>
    <w:rsid w:val="00A82E28"/>
    <w:rsid w:val="00A87006"/>
    <w:rsid w:val="00A915B8"/>
    <w:rsid w:val="00AA0757"/>
    <w:rsid w:val="00AA2148"/>
    <w:rsid w:val="00AE74BE"/>
    <w:rsid w:val="00AF69D4"/>
    <w:rsid w:val="00B63403"/>
    <w:rsid w:val="00BC0E5A"/>
    <w:rsid w:val="00BF302A"/>
    <w:rsid w:val="00CB678C"/>
    <w:rsid w:val="00CB721B"/>
    <w:rsid w:val="00CC3DAE"/>
    <w:rsid w:val="00CC4E7E"/>
    <w:rsid w:val="00CE1A43"/>
    <w:rsid w:val="00CE4286"/>
    <w:rsid w:val="00CF2DBC"/>
    <w:rsid w:val="00D114FF"/>
    <w:rsid w:val="00D23515"/>
    <w:rsid w:val="00D6413F"/>
    <w:rsid w:val="00D70445"/>
    <w:rsid w:val="00D81955"/>
    <w:rsid w:val="00DA62BD"/>
    <w:rsid w:val="00DD1922"/>
    <w:rsid w:val="00E0306C"/>
    <w:rsid w:val="00E22EAB"/>
    <w:rsid w:val="00E47C91"/>
    <w:rsid w:val="00E8275C"/>
    <w:rsid w:val="00E87C4E"/>
    <w:rsid w:val="00EA4CEF"/>
    <w:rsid w:val="00ED3924"/>
    <w:rsid w:val="00ED4073"/>
    <w:rsid w:val="00EE189A"/>
    <w:rsid w:val="00EE3B0A"/>
    <w:rsid w:val="00EE47FC"/>
    <w:rsid w:val="00EF5294"/>
    <w:rsid w:val="00F363E7"/>
    <w:rsid w:val="00F4132C"/>
    <w:rsid w:val="00FF1D7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7D0936"/>
  <w15:docId w15:val="{8B9D833E-C2C8-45E9-8BA8-445DE386F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0E4F"/>
  </w:style>
  <w:style w:type="paragraph" w:styleId="Ttulo1">
    <w:name w:val="heading 1"/>
    <w:basedOn w:val="Normal"/>
    <w:next w:val="Normal"/>
    <w:link w:val="Ttulo1Car"/>
    <w:uiPriority w:val="9"/>
    <w:qFormat/>
    <w:rsid w:val="007B18D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2005E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284C92"/>
    <w:pPr>
      <w:keepNext/>
      <w:keepLines/>
      <w:spacing w:before="40" w:after="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link w:val="Ttulo4Car"/>
    <w:uiPriority w:val="9"/>
    <w:unhideWhenUsed/>
    <w:qFormat/>
    <w:rsid w:val="00A271BD"/>
    <w:pPr>
      <w:keepNext/>
      <w:keepLines/>
      <w:spacing w:before="40" w:after="0" w:line="240" w:lineRule="auto"/>
      <w:outlineLvl w:val="3"/>
    </w:pPr>
    <w:rPr>
      <w:rFonts w:asciiTheme="majorHAnsi" w:eastAsiaTheme="majorEastAsia" w:hAnsiTheme="majorHAnsi" w:cstheme="majorBidi"/>
      <w:i/>
      <w:iCs/>
      <w:color w:val="2F5496" w:themeColor="accent1" w:themeShade="BF"/>
      <w:szCs w:val="20"/>
      <w:lang w:eastAsia="es-ES"/>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link w:val="TtuloCar"/>
    <w:uiPriority w:val="10"/>
    <w:qFormat/>
    <w:rsid w:val="00510576"/>
    <w:pPr>
      <w:spacing w:after="0" w:line="240" w:lineRule="auto"/>
      <w:contextualSpacing/>
    </w:pPr>
    <w:rPr>
      <w:rFonts w:asciiTheme="majorHAnsi" w:eastAsiaTheme="majorEastAsia" w:hAnsiTheme="majorHAnsi" w:cstheme="majorBidi"/>
      <w:spacing w:val="-10"/>
      <w:kern w:val="28"/>
      <w:sz w:val="56"/>
      <w:szCs w:val="56"/>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Textodeglobo">
    <w:name w:val="Balloon Text"/>
    <w:basedOn w:val="Normal"/>
    <w:link w:val="TextodegloboCar"/>
    <w:uiPriority w:val="99"/>
    <w:semiHidden/>
    <w:unhideWhenUsed/>
    <w:rsid w:val="007B18D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B18D8"/>
    <w:rPr>
      <w:rFonts w:ascii="Segoe UI" w:hAnsi="Segoe UI" w:cs="Segoe UI"/>
      <w:sz w:val="18"/>
      <w:szCs w:val="18"/>
    </w:rPr>
  </w:style>
  <w:style w:type="character" w:customStyle="1" w:styleId="Ttulo1Car">
    <w:name w:val="Título 1 Car"/>
    <w:basedOn w:val="Fuentedeprrafopredeter"/>
    <w:link w:val="Ttulo1"/>
    <w:uiPriority w:val="9"/>
    <w:rsid w:val="007B18D8"/>
    <w:rPr>
      <w:rFonts w:asciiTheme="majorHAnsi" w:eastAsiaTheme="majorEastAsia" w:hAnsiTheme="majorHAnsi" w:cstheme="majorBidi"/>
      <w:color w:val="2F5496" w:themeColor="accent1" w:themeShade="BF"/>
      <w:sz w:val="32"/>
      <w:szCs w:val="32"/>
    </w:rPr>
  </w:style>
  <w:style w:type="character" w:styleId="Referenciaintensa">
    <w:name w:val="Intense Reference"/>
    <w:basedOn w:val="Fuentedeprrafopredeter"/>
    <w:uiPriority w:val="32"/>
    <w:qFormat/>
    <w:rsid w:val="00F71A3E"/>
    <w:rPr>
      <w:b/>
      <w:bCs/>
      <w:smallCaps/>
      <w:color w:val="4472C4" w:themeColor="accent1"/>
      <w:spacing w:val="5"/>
    </w:rPr>
  </w:style>
  <w:style w:type="character" w:customStyle="1" w:styleId="Ttulo2Car">
    <w:name w:val="Título 2 Car"/>
    <w:basedOn w:val="Fuentedeprrafopredeter"/>
    <w:link w:val="Ttulo2"/>
    <w:uiPriority w:val="9"/>
    <w:rsid w:val="002005ED"/>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284C92"/>
    <w:rPr>
      <w:rFonts w:asciiTheme="majorHAnsi" w:eastAsiaTheme="majorEastAsia" w:hAnsiTheme="majorHAnsi" w:cstheme="majorBidi"/>
      <w:color w:val="1F3763" w:themeColor="accent1" w:themeShade="7F"/>
      <w:sz w:val="24"/>
      <w:szCs w:val="24"/>
    </w:rPr>
  </w:style>
  <w:style w:type="paragraph" w:styleId="Textonotapie">
    <w:name w:val="footnote text"/>
    <w:basedOn w:val="Normal"/>
    <w:link w:val="TextonotapieCar"/>
    <w:uiPriority w:val="99"/>
    <w:semiHidden/>
    <w:unhideWhenUsed/>
    <w:rsid w:val="002F37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F3721"/>
    <w:rPr>
      <w:sz w:val="20"/>
      <w:szCs w:val="20"/>
    </w:rPr>
  </w:style>
  <w:style w:type="character" w:styleId="Refdenotaalpie">
    <w:name w:val="footnote reference"/>
    <w:basedOn w:val="Fuentedeprrafopredeter"/>
    <w:uiPriority w:val="99"/>
    <w:semiHidden/>
    <w:unhideWhenUsed/>
    <w:rsid w:val="002F3721"/>
    <w:rPr>
      <w:vertAlign w:val="superscript"/>
    </w:rPr>
  </w:style>
  <w:style w:type="paragraph" w:styleId="Prrafodelista">
    <w:name w:val="List Paragraph"/>
    <w:basedOn w:val="Normal"/>
    <w:uiPriority w:val="34"/>
    <w:qFormat/>
    <w:rsid w:val="00FA0608"/>
    <w:pPr>
      <w:ind w:left="720"/>
      <w:contextualSpacing/>
    </w:pPr>
  </w:style>
  <w:style w:type="paragraph" w:styleId="Encabezado">
    <w:name w:val="header"/>
    <w:basedOn w:val="Normal"/>
    <w:link w:val="EncabezadoCar"/>
    <w:uiPriority w:val="99"/>
    <w:unhideWhenUsed/>
    <w:rsid w:val="00AF41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414D"/>
  </w:style>
  <w:style w:type="paragraph" w:styleId="Piedepgina">
    <w:name w:val="footer"/>
    <w:basedOn w:val="Normal"/>
    <w:link w:val="PiedepginaCar"/>
    <w:uiPriority w:val="99"/>
    <w:unhideWhenUsed/>
    <w:rsid w:val="00AF41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414D"/>
  </w:style>
  <w:style w:type="character" w:styleId="Refdecomentario">
    <w:name w:val="annotation reference"/>
    <w:basedOn w:val="Fuentedeprrafopredeter"/>
    <w:uiPriority w:val="99"/>
    <w:semiHidden/>
    <w:unhideWhenUsed/>
    <w:rsid w:val="00510576"/>
    <w:rPr>
      <w:sz w:val="16"/>
      <w:szCs w:val="16"/>
    </w:rPr>
  </w:style>
  <w:style w:type="paragraph" w:styleId="Textocomentario">
    <w:name w:val="annotation text"/>
    <w:basedOn w:val="Normal"/>
    <w:link w:val="TextocomentarioCar"/>
    <w:uiPriority w:val="99"/>
    <w:semiHidden/>
    <w:unhideWhenUsed/>
    <w:rsid w:val="00510576"/>
    <w:pPr>
      <w:spacing w:before="120" w:after="120" w:line="240" w:lineRule="auto"/>
    </w:pPr>
    <w:rPr>
      <w:rFonts w:ascii="Verdana" w:hAnsi="Verdana"/>
      <w:szCs w:val="20"/>
      <w:lang w:eastAsia="es-ES"/>
    </w:rPr>
  </w:style>
  <w:style w:type="character" w:customStyle="1" w:styleId="TextocomentarioCar">
    <w:name w:val="Texto comentario Car"/>
    <w:basedOn w:val="Fuentedeprrafopredeter"/>
    <w:link w:val="Textocomentario"/>
    <w:uiPriority w:val="99"/>
    <w:semiHidden/>
    <w:rsid w:val="00510576"/>
    <w:rPr>
      <w:rFonts w:ascii="Verdana" w:eastAsia="Times New Roman" w:hAnsi="Verdana" w:cs="Times New Roman"/>
      <w:szCs w:val="20"/>
      <w:lang w:eastAsia="es-ES"/>
    </w:rPr>
  </w:style>
  <w:style w:type="character" w:customStyle="1" w:styleId="TtuloCar">
    <w:name w:val="Título Car"/>
    <w:basedOn w:val="Fuentedeprrafopredeter"/>
    <w:link w:val="Ttulo"/>
    <w:uiPriority w:val="10"/>
    <w:rsid w:val="00510576"/>
    <w:rPr>
      <w:rFonts w:asciiTheme="majorHAnsi" w:eastAsiaTheme="majorEastAsia" w:hAnsiTheme="majorHAnsi" w:cstheme="majorBidi"/>
      <w:spacing w:val="-10"/>
      <w:kern w:val="28"/>
      <w:sz w:val="56"/>
      <w:szCs w:val="56"/>
    </w:rPr>
  </w:style>
  <w:style w:type="paragraph" w:styleId="TtuloTDC">
    <w:name w:val="TOC Heading"/>
    <w:basedOn w:val="Ttulo1"/>
    <w:next w:val="Normal"/>
    <w:uiPriority w:val="39"/>
    <w:unhideWhenUsed/>
    <w:qFormat/>
    <w:rsid w:val="003805DC"/>
    <w:pPr>
      <w:outlineLvl w:val="9"/>
    </w:pPr>
  </w:style>
  <w:style w:type="paragraph" w:styleId="TDC1">
    <w:name w:val="toc 1"/>
    <w:basedOn w:val="Normal"/>
    <w:next w:val="Normal"/>
    <w:autoRedefine/>
    <w:uiPriority w:val="39"/>
    <w:unhideWhenUsed/>
    <w:rsid w:val="003805DC"/>
    <w:pPr>
      <w:spacing w:after="100"/>
    </w:pPr>
  </w:style>
  <w:style w:type="paragraph" w:styleId="TDC2">
    <w:name w:val="toc 2"/>
    <w:basedOn w:val="Normal"/>
    <w:next w:val="Normal"/>
    <w:autoRedefine/>
    <w:uiPriority w:val="39"/>
    <w:unhideWhenUsed/>
    <w:rsid w:val="003805DC"/>
    <w:pPr>
      <w:spacing w:after="100"/>
      <w:ind w:left="220"/>
    </w:pPr>
  </w:style>
  <w:style w:type="paragraph" w:styleId="TDC3">
    <w:name w:val="toc 3"/>
    <w:basedOn w:val="Normal"/>
    <w:next w:val="Normal"/>
    <w:autoRedefine/>
    <w:uiPriority w:val="39"/>
    <w:unhideWhenUsed/>
    <w:rsid w:val="003805DC"/>
    <w:pPr>
      <w:spacing w:after="100"/>
      <w:ind w:left="440"/>
    </w:pPr>
  </w:style>
  <w:style w:type="character" w:styleId="Hipervnculo">
    <w:name w:val="Hyperlink"/>
    <w:basedOn w:val="Fuentedeprrafopredeter"/>
    <w:uiPriority w:val="99"/>
    <w:unhideWhenUsed/>
    <w:rsid w:val="003805DC"/>
    <w:rPr>
      <w:color w:val="0563C1" w:themeColor="hyperlink"/>
      <w:u w:val="single"/>
    </w:rPr>
  </w:style>
  <w:style w:type="paragraph" w:styleId="Bibliografa">
    <w:name w:val="Bibliography"/>
    <w:basedOn w:val="Normal"/>
    <w:next w:val="Normal"/>
    <w:uiPriority w:val="37"/>
    <w:unhideWhenUsed/>
    <w:rsid w:val="007B42AE"/>
  </w:style>
  <w:style w:type="paragraph" w:styleId="Descripcin">
    <w:name w:val="caption"/>
    <w:basedOn w:val="Normal"/>
    <w:next w:val="Normal"/>
    <w:uiPriority w:val="35"/>
    <w:unhideWhenUsed/>
    <w:qFormat/>
    <w:rsid w:val="00E90C85"/>
    <w:pPr>
      <w:spacing w:after="200" w:line="240" w:lineRule="auto"/>
    </w:pPr>
    <w:rPr>
      <w:i/>
      <w:iCs/>
      <w:color w:val="44546A" w:themeColor="text2"/>
      <w:sz w:val="18"/>
      <w:szCs w:val="18"/>
    </w:rPr>
  </w:style>
  <w:style w:type="character" w:customStyle="1" w:styleId="Ttulo4Car">
    <w:name w:val="Título 4 Car"/>
    <w:basedOn w:val="Fuentedeprrafopredeter"/>
    <w:link w:val="Ttulo4"/>
    <w:uiPriority w:val="9"/>
    <w:rsid w:val="00A271BD"/>
    <w:rPr>
      <w:rFonts w:asciiTheme="majorHAnsi" w:eastAsiaTheme="majorEastAsia" w:hAnsiTheme="majorHAnsi" w:cstheme="majorBidi"/>
      <w:i/>
      <w:iCs/>
      <w:color w:val="2F5496" w:themeColor="accent1" w:themeShade="BF"/>
      <w:szCs w:val="20"/>
      <w:lang w:eastAsia="es-ES"/>
    </w:rPr>
  </w:style>
  <w:style w:type="table" w:styleId="Tablaconcuadrcula">
    <w:name w:val="Table Grid"/>
    <w:basedOn w:val="Tablanormal"/>
    <w:uiPriority w:val="39"/>
    <w:rsid w:val="00A271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71397E"/>
    <w:pPr>
      <w:spacing w:before="0" w:after="160"/>
      <w:jc w:val="left"/>
    </w:pPr>
    <w:rPr>
      <w:rFonts w:asciiTheme="minorHAnsi" w:eastAsiaTheme="minorHAnsi" w:hAnsiTheme="minorHAnsi" w:cstheme="minorBidi"/>
      <w:b/>
      <w:bCs/>
      <w:sz w:val="20"/>
      <w:lang w:eastAsia="en-US"/>
    </w:rPr>
  </w:style>
  <w:style w:type="character" w:customStyle="1" w:styleId="AsuntodelcomentarioCar">
    <w:name w:val="Asunto del comentario Car"/>
    <w:basedOn w:val="TextocomentarioCar"/>
    <w:link w:val="Asuntodelcomentario"/>
    <w:uiPriority w:val="99"/>
    <w:semiHidden/>
    <w:rsid w:val="0071397E"/>
    <w:rPr>
      <w:rFonts w:ascii="Verdana" w:eastAsia="Times New Roman" w:hAnsi="Verdana" w:cs="Times New Roman"/>
      <w:b/>
      <w:bCs/>
      <w:sz w:val="20"/>
      <w:szCs w:val="20"/>
      <w:lang w:eastAsia="es-ES"/>
    </w:rPr>
  </w:style>
  <w:style w:type="character" w:styleId="Textodelmarcadordeposicin">
    <w:name w:val="Placeholder Text"/>
    <w:basedOn w:val="Fuentedeprrafopredeter"/>
    <w:uiPriority w:val="99"/>
    <w:semiHidden/>
    <w:rsid w:val="005202C6"/>
    <w:rPr>
      <w:color w:val="808080"/>
    </w:rPr>
  </w:style>
  <w:style w:type="paragraph" w:customStyle="1" w:styleId="msonormal0">
    <w:name w:val="msonormal"/>
    <w:basedOn w:val="Normal"/>
    <w:rsid w:val="008624E8"/>
    <w:pPr>
      <w:spacing w:before="100" w:beforeAutospacing="1" w:after="100" w:afterAutospacing="1" w:line="240" w:lineRule="auto"/>
      <w:jc w:val="left"/>
    </w:pPr>
  </w:style>
  <w:style w:type="paragraph" w:styleId="ndice1">
    <w:name w:val="index 1"/>
    <w:basedOn w:val="Normal"/>
    <w:next w:val="Normal"/>
    <w:autoRedefine/>
    <w:uiPriority w:val="99"/>
    <w:unhideWhenUsed/>
    <w:rsid w:val="005373B6"/>
    <w:pPr>
      <w:spacing w:after="0"/>
      <w:ind w:left="240" w:hanging="240"/>
      <w:jc w:val="left"/>
    </w:pPr>
    <w:rPr>
      <w:rFonts w:asciiTheme="minorHAnsi" w:hAnsiTheme="minorHAnsi" w:cstheme="minorHAnsi"/>
      <w:sz w:val="18"/>
      <w:szCs w:val="18"/>
    </w:rPr>
  </w:style>
  <w:style w:type="paragraph" w:styleId="ndice2">
    <w:name w:val="index 2"/>
    <w:basedOn w:val="Normal"/>
    <w:next w:val="Normal"/>
    <w:autoRedefine/>
    <w:uiPriority w:val="99"/>
    <w:unhideWhenUsed/>
    <w:rsid w:val="005373B6"/>
    <w:pPr>
      <w:spacing w:after="0"/>
      <w:ind w:left="480" w:hanging="240"/>
      <w:jc w:val="left"/>
    </w:pPr>
    <w:rPr>
      <w:rFonts w:asciiTheme="minorHAnsi" w:hAnsiTheme="minorHAnsi" w:cstheme="minorHAnsi"/>
      <w:sz w:val="18"/>
      <w:szCs w:val="18"/>
    </w:rPr>
  </w:style>
  <w:style w:type="paragraph" w:styleId="ndice3">
    <w:name w:val="index 3"/>
    <w:basedOn w:val="Normal"/>
    <w:next w:val="Normal"/>
    <w:autoRedefine/>
    <w:uiPriority w:val="99"/>
    <w:unhideWhenUsed/>
    <w:rsid w:val="005373B6"/>
    <w:pPr>
      <w:spacing w:after="0"/>
      <w:ind w:left="720" w:hanging="240"/>
      <w:jc w:val="left"/>
    </w:pPr>
    <w:rPr>
      <w:rFonts w:asciiTheme="minorHAnsi" w:hAnsiTheme="minorHAnsi" w:cstheme="minorHAnsi"/>
      <w:sz w:val="18"/>
      <w:szCs w:val="18"/>
    </w:rPr>
  </w:style>
  <w:style w:type="paragraph" w:styleId="ndice4">
    <w:name w:val="index 4"/>
    <w:basedOn w:val="Normal"/>
    <w:next w:val="Normal"/>
    <w:autoRedefine/>
    <w:uiPriority w:val="99"/>
    <w:unhideWhenUsed/>
    <w:rsid w:val="005373B6"/>
    <w:pPr>
      <w:spacing w:after="0"/>
      <w:ind w:left="960" w:hanging="240"/>
      <w:jc w:val="left"/>
    </w:pPr>
    <w:rPr>
      <w:rFonts w:asciiTheme="minorHAnsi" w:hAnsiTheme="minorHAnsi" w:cstheme="minorHAnsi"/>
      <w:sz w:val="18"/>
      <w:szCs w:val="18"/>
    </w:rPr>
  </w:style>
  <w:style w:type="paragraph" w:styleId="ndice5">
    <w:name w:val="index 5"/>
    <w:basedOn w:val="Normal"/>
    <w:next w:val="Normal"/>
    <w:autoRedefine/>
    <w:uiPriority w:val="99"/>
    <w:unhideWhenUsed/>
    <w:rsid w:val="005373B6"/>
    <w:pPr>
      <w:spacing w:after="0"/>
      <w:ind w:left="1200" w:hanging="240"/>
      <w:jc w:val="left"/>
    </w:pPr>
    <w:rPr>
      <w:rFonts w:asciiTheme="minorHAnsi" w:hAnsiTheme="minorHAnsi" w:cstheme="minorHAnsi"/>
      <w:sz w:val="18"/>
      <w:szCs w:val="18"/>
    </w:rPr>
  </w:style>
  <w:style w:type="paragraph" w:styleId="ndice6">
    <w:name w:val="index 6"/>
    <w:basedOn w:val="Normal"/>
    <w:next w:val="Normal"/>
    <w:autoRedefine/>
    <w:uiPriority w:val="99"/>
    <w:unhideWhenUsed/>
    <w:rsid w:val="005373B6"/>
    <w:pPr>
      <w:spacing w:after="0"/>
      <w:ind w:left="1440" w:hanging="240"/>
      <w:jc w:val="left"/>
    </w:pPr>
    <w:rPr>
      <w:rFonts w:asciiTheme="minorHAnsi" w:hAnsiTheme="minorHAnsi" w:cstheme="minorHAnsi"/>
      <w:sz w:val="18"/>
      <w:szCs w:val="18"/>
    </w:rPr>
  </w:style>
  <w:style w:type="paragraph" w:styleId="ndice7">
    <w:name w:val="index 7"/>
    <w:basedOn w:val="Normal"/>
    <w:next w:val="Normal"/>
    <w:autoRedefine/>
    <w:uiPriority w:val="99"/>
    <w:unhideWhenUsed/>
    <w:rsid w:val="005373B6"/>
    <w:pPr>
      <w:spacing w:after="0"/>
      <w:ind w:left="1680" w:hanging="240"/>
      <w:jc w:val="left"/>
    </w:pPr>
    <w:rPr>
      <w:rFonts w:asciiTheme="minorHAnsi" w:hAnsiTheme="minorHAnsi" w:cstheme="minorHAnsi"/>
      <w:sz w:val="18"/>
      <w:szCs w:val="18"/>
    </w:rPr>
  </w:style>
  <w:style w:type="paragraph" w:styleId="ndice8">
    <w:name w:val="index 8"/>
    <w:basedOn w:val="Normal"/>
    <w:next w:val="Normal"/>
    <w:autoRedefine/>
    <w:uiPriority w:val="99"/>
    <w:unhideWhenUsed/>
    <w:rsid w:val="005373B6"/>
    <w:pPr>
      <w:spacing w:after="0"/>
      <w:ind w:left="1920" w:hanging="240"/>
      <w:jc w:val="left"/>
    </w:pPr>
    <w:rPr>
      <w:rFonts w:asciiTheme="minorHAnsi" w:hAnsiTheme="minorHAnsi" w:cstheme="minorHAnsi"/>
      <w:sz w:val="18"/>
      <w:szCs w:val="18"/>
    </w:rPr>
  </w:style>
  <w:style w:type="paragraph" w:styleId="ndice9">
    <w:name w:val="index 9"/>
    <w:basedOn w:val="Normal"/>
    <w:next w:val="Normal"/>
    <w:autoRedefine/>
    <w:uiPriority w:val="99"/>
    <w:unhideWhenUsed/>
    <w:rsid w:val="005373B6"/>
    <w:pPr>
      <w:spacing w:after="0"/>
      <w:ind w:left="2160" w:hanging="240"/>
      <w:jc w:val="left"/>
    </w:pPr>
    <w:rPr>
      <w:rFonts w:asciiTheme="minorHAnsi" w:hAnsiTheme="minorHAnsi" w:cstheme="minorHAnsi"/>
      <w:sz w:val="18"/>
      <w:szCs w:val="18"/>
    </w:rPr>
  </w:style>
  <w:style w:type="paragraph" w:styleId="Ttulodendice">
    <w:name w:val="index heading"/>
    <w:basedOn w:val="Normal"/>
    <w:next w:val="ndice1"/>
    <w:uiPriority w:val="99"/>
    <w:unhideWhenUsed/>
    <w:rsid w:val="005373B6"/>
    <w:pPr>
      <w:spacing w:before="240" w:after="120"/>
      <w:jc w:val="center"/>
    </w:pPr>
    <w:rPr>
      <w:rFonts w:asciiTheme="minorHAnsi" w:hAnsiTheme="minorHAnsi" w:cstheme="minorHAnsi"/>
      <w:b/>
      <w:bCs/>
      <w:sz w:val="26"/>
      <w:szCs w:val="26"/>
    </w:rPr>
  </w:style>
  <w:style w:type="paragraph" w:styleId="Tabladeilustraciones">
    <w:name w:val="table of figures"/>
    <w:basedOn w:val="Normal"/>
    <w:next w:val="Normal"/>
    <w:uiPriority w:val="99"/>
    <w:unhideWhenUsed/>
    <w:rsid w:val="005373B6"/>
    <w:pPr>
      <w:spacing w:after="0"/>
      <w:ind w:left="480" w:hanging="480"/>
      <w:jc w:val="left"/>
    </w:pPr>
    <w:rPr>
      <w:rFonts w:asciiTheme="minorHAnsi" w:hAnsiTheme="minorHAnsi" w:cstheme="minorHAnsi"/>
      <w:smallCaps/>
      <w:sz w:val="20"/>
      <w:szCs w:val="20"/>
    </w:rPr>
  </w:style>
  <w:style w:type="table" w:styleId="Tablaconcuadrculaclara">
    <w:name w:val="Grid Table Light"/>
    <w:basedOn w:val="Tablanormal"/>
    <w:uiPriority w:val="40"/>
    <w:rsid w:val="00685ED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inespaciado">
    <w:name w:val="No Spacing"/>
    <w:link w:val="SinespaciadoCar"/>
    <w:uiPriority w:val="1"/>
    <w:qFormat/>
    <w:rsid w:val="006F5782"/>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6F5782"/>
    <w:rPr>
      <w:rFonts w:eastAsiaTheme="minorEastAsia"/>
      <w:lang w:eastAsia="es-MX"/>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tblPr>
      <w:tblStyleRowBandSize w:val="1"/>
      <w:tblStyleColBandSize w:val="1"/>
      <w:tblCellMar>
        <w:left w:w="70" w:type="dxa"/>
        <w:right w:w="70"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tblPr>
      <w:tblStyleRowBandSize w:val="1"/>
      <w:tblStyleColBandSize w:val="1"/>
      <w:tblCellMar>
        <w:left w:w="70" w:type="dxa"/>
        <w:right w:w="70"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1"/>
    <w:tblPr>
      <w:tblStyleRowBandSize w:val="1"/>
      <w:tblStyleColBandSize w:val="1"/>
      <w:tblCellMar>
        <w:left w:w="70" w:type="dxa"/>
        <w:right w:w="70" w:type="dxa"/>
      </w:tblCellMar>
    </w:tblPr>
  </w:style>
  <w:style w:type="table" w:customStyle="1" w:styleId="a7">
    <w:basedOn w:val="TableNormal1"/>
    <w:pPr>
      <w:spacing w:after="0" w:line="240" w:lineRule="auto"/>
    </w:pPr>
    <w:tblPr>
      <w:tblStyleRowBandSize w:val="1"/>
      <w:tblStyleColBandSize w:val="1"/>
      <w:tblCellMar>
        <w:left w:w="108" w:type="dxa"/>
        <w:right w:w="108" w:type="dxa"/>
      </w:tblCellMar>
    </w:tblPr>
  </w:style>
  <w:style w:type="table" w:customStyle="1" w:styleId="a8">
    <w:basedOn w:val="TableNormal1"/>
    <w:pPr>
      <w:spacing w:after="0" w:line="240" w:lineRule="auto"/>
    </w:pPr>
    <w:tblPr>
      <w:tblStyleRowBandSize w:val="1"/>
      <w:tblStyleColBandSize w:val="1"/>
      <w:tblCellMar>
        <w:left w:w="108" w:type="dxa"/>
        <w:right w:w="108" w:type="dxa"/>
      </w:tblCellMar>
    </w:tblPr>
  </w:style>
  <w:style w:type="table" w:customStyle="1" w:styleId="a9">
    <w:basedOn w:val="TableNormal1"/>
    <w:pPr>
      <w:spacing w:after="0" w:line="240" w:lineRule="auto"/>
    </w:pPr>
    <w:tblPr>
      <w:tblStyleRowBandSize w:val="1"/>
      <w:tblStyleColBandSize w:val="1"/>
      <w:tblCellMar>
        <w:left w:w="108" w:type="dxa"/>
        <w:right w:w="108" w:type="dxa"/>
      </w:tblCellMar>
    </w:tblPr>
  </w:style>
  <w:style w:type="table" w:customStyle="1" w:styleId="aa">
    <w:basedOn w:val="TableNormal1"/>
    <w:pPr>
      <w:spacing w:after="0" w:line="240" w:lineRule="auto"/>
    </w:pPr>
    <w:tblPr>
      <w:tblStyleRowBandSize w:val="1"/>
      <w:tblStyleColBandSize w:val="1"/>
      <w:tblCellMar>
        <w:left w:w="108" w:type="dxa"/>
        <w:right w:w="108" w:type="dxa"/>
      </w:tblCellMar>
    </w:tblPr>
  </w:style>
  <w:style w:type="table" w:customStyle="1" w:styleId="ab">
    <w:basedOn w:val="TableNormal1"/>
    <w:pPr>
      <w:spacing w:after="0" w:line="240" w:lineRule="auto"/>
    </w:pPr>
    <w:tblPr>
      <w:tblStyleRowBandSize w:val="1"/>
      <w:tblStyleColBandSize w:val="1"/>
      <w:tblCellMar>
        <w:left w:w="108" w:type="dxa"/>
        <w:right w:w="108" w:type="dxa"/>
      </w:tblCellMar>
    </w:tblPr>
  </w:style>
  <w:style w:type="paragraph" w:styleId="TDC4">
    <w:name w:val="toc 4"/>
    <w:basedOn w:val="Normal"/>
    <w:next w:val="Normal"/>
    <w:autoRedefine/>
    <w:uiPriority w:val="39"/>
    <w:unhideWhenUsed/>
    <w:rsid w:val="00284572"/>
    <w:pPr>
      <w:spacing w:after="100"/>
      <w:ind w:left="720"/>
    </w:pPr>
  </w:style>
  <w:style w:type="table" w:customStyle="1" w:styleId="ac">
    <w:basedOn w:val="TableNormal1"/>
    <w:pPr>
      <w:spacing w:after="0" w:line="240" w:lineRule="auto"/>
    </w:pPr>
    <w:tblPr>
      <w:tblStyleRowBandSize w:val="1"/>
      <w:tblStyleColBandSize w:val="1"/>
      <w:tblCellMar>
        <w:left w:w="108" w:type="dxa"/>
        <w:right w:w="108" w:type="dxa"/>
      </w:tblCellMar>
    </w:tblPr>
  </w:style>
  <w:style w:type="table" w:customStyle="1" w:styleId="ad">
    <w:basedOn w:val="TableNormal1"/>
    <w:pPr>
      <w:spacing w:after="0" w:line="240" w:lineRule="auto"/>
    </w:pPr>
    <w:tblPr>
      <w:tblStyleRowBandSize w:val="1"/>
      <w:tblStyleColBandSize w:val="1"/>
      <w:tblCellMar>
        <w:left w:w="108" w:type="dxa"/>
        <w:right w:w="108" w:type="dxa"/>
      </w:tblCellMar>
    </w:tblPr>
  </w:style>
  <w:style w:type="table" w:customStyle="1" w:styleId="ae">
    <w:basedOn w:val="TableNormal1"/>
    <w:pPr>
      <w:spacing w:after="0" w:line="240" w:lineRule="auto"/>
    </w:pPr>
    <w:tblPr>
      <w:tblStyleRowBandSize w:val="1"/>
      <w:tblStyleColBandSize w:val="1"/>
      <w:tblCellMar>
        <w:left w:w="108" w:type="dxa"/>
        <w:right w:w="108" w:type="dxa"/>
      </w:tblCellMar>
    </w:tblPr>
  </w:style>
  <w:style w:type="table" w:customStyle="1" w:styleId="af">
    <w:basedOn w:val="TableNormal1"/>
    <w:pPr>
      <w:spacing w:after="0" w:line="240" w:lineRule="auto"/>
    </w:pPr>
    <w:tblPr>
      <w:tblStyleRowBandSize w:val="1"/>
      <w:tblStyleColBandSize w:val="1"/>
      <w:tblCellMar>
        <w:left w:w="108" w:type="dxa"/>
        <w:right w:w="108" w:type="dxa"/>
      </w:tblCellMar>
    </w:tblPr>
  </w:style>
  <w:style w:type="table" w:customStyle="1" w:styleId="af0">
    <w:basedOn w:val="TableNormal1"/>
    <w:pPr>
      <w:spacing w:after="0" w:line="240" w:lineRule="auto"/>
    </w:pPr>
    <w:tblPr>
      <w:tblStyleRowBandSize w:val="1"/>
      <w:tblStyleColBandSize w:val="1"/>
      <w:tblCellMar>
        <w:left w:w="108" w:type="dxa"/>
        <w:right w:w="108" w:type="dxa"/>
      </w:tblCellMar>
    </w:tblPr>
  </w:style>
  <w:style w:type="table" w:customStyle="1" w:styleId="af1">
    <w:basedOn w:val="TableNormal1"/>
    <w:pPr>
      <w:spacing w:after="0" w:line="240" w:lineRule="auto"/>
    </w:pPr>
    <w:tblPr>
      <w:tblStyleRowBandSize w:val="1"/>
      <w:tblStyleColBandSize w:val="1"/>
      <w:tblCellMar>
        <w:left w:w="108" w:type="dxa"/>
        <w:right w:w="108" w:type="dxa"/>
      </w:tblCellMar>
    </w:tblPr>
  </w:style>
  <w:style w:type="table" w:customStyle="1" w:styleId="af2">
    <w:basedOn w:val="TableNormal1"/>
    <w:pPr>
      <w:spacing w:after="0" w:line="240" w:lineRule="auto"/>
    </w:pPr>
    <w:tblPr>
      <w:tblStyleRowBandSize w:val="1"/>
      <w:tblStyleColBandSize w:val="1"/>
      <w:tblCellMar>
        <w:left w:w="108" w:type="dxa"/>
        <w:right w:w="108" w:type="dxa"/>
      </w:tblCellMar>
    </w:tblPr>
  </w:style>
  <w:style w:type="table" w:customStyle="1" w:styleId="af3">
    <w:basedOn w:val="TableNormal1"/>
    <w:pPr>
      <w:spacing w:after="0" w:line="240" w:lineRule="auto"/>
    </w:pPr>
    <w:tblPr>
      <w:tblStyleRowBandSize w:val="1"/>
      <w:tblStyleColBandSize w:val="1"/>
      <w:tblCellMar>
        <w:left w:w="108" w:type="dxa"/>
        <w:right w:w="108" w:type="dxa"/>
      </w:tblCellMar>
    </w:tblPr>
  </w:style>
  <w:style w:type="table" w:customStyle="1" w:styleId="af4">
    <w:basedOn w:val="TableNormal1"/>
    <w:pPr>
      <w:spacing w:after="0" w:line="240" w:lineRule="auto"/>
    </w:pPr>
    <w:tblPr>
      <w:tblStyleRowBandSize w:val="1"/>
      <w:tblStyleColBandSize w:val="1"/>
      <w:tblCellMar>
        <w:left w:w="108" w:type="dxa"/>
        <w:right w:w="108" w:type="dxa"/>
      </w:tblCellMar>
    </w:tblPr>
  </w:style>
  <w:style w:type="table" w:customStyle="1" w:styleId="af5">
    <w:basedOn w:val="TableNormal1"/>
    <w:pPr>
      <w:spacing w:after="0" w:line="240" w:lineRule="auto"/>
    </w:pPr>
    <w:tblPr>
      <w:tblStyleRowBandSize w:val="1"/>
      <w:tblStyleColBandSize w:val="1"/>
      <w:tblCellMar>
        <w:left w:w="108" w:type="dxa"/>
        <w:right w:w="108" w:type="dxa"/>
      </w:tblCellMar>
    </w:tblPr>
  </w:style>
  <w:style w:type="table" w:customStyle="1" w:styleId="af6">
    <w:basedOn w:val="TableNormal1"/>
    <w:pPr>
      <w:spacing w:after="0" w:line="240" w:lineRule="auto"/>
    </w:pPr>
    <w:tblPr>
      <w:tblStyleRowBandSize w:val="1"/>
      <w:tblStyleColBandSize w:val="1"/>
      <w:tblCellMar>
        <w:left w:w="108" w:type="dxa"/>
        <w:right w:w="108" w:type="dxa"/>
      </w:tblCellMar>
    </w:tblPr>
  </w:style>
  <w:style w:type="table" w:customStyle="1" w:styleId="af7">
    <w:basedOn w:val="TableNormal1"/>
    <w:pPr>
      <w:spacing w:after="0" w:line="240" w:lineRule="auto"/>
    </w:pPr>
    <w:tblPr>
      <w:tblStyleRowBandSize w:val="1"/>
      <w:tblStyleColBandSize w:val="1"/>
      <w:tblCellMar>
        <w:left w:w="108" w:type="dxa"/>
        <w:right w:w="108" w:type="dxa"/>
      </w:tblCellMar>
    </w:tblPr>
  </w:style>
  <w:style w:type="table" w:customStyle="1" w:styleId="af8">
    <w:basedOn w:val="TableNormal1"/>
    <w:pPr>
      <w:spacing w:after="0" w:line="240" w:lineRule="auto"/>
    </w:pPr>
    <w:tblPr>
      <w:tblStyleRowBandSize w:val="1"/>
      <w:tblStyleColBandSize w:val="1"/>
      <w:tblCellMar>
        <w:left w:w="108" w:type="dxa"/>
        <w:right w:w="108" w:type="dxa"/>
      </w:tblCellMar>
    </w:tblPr>
  </w:style>
  <w:style w:type="table" w:customStyle="1" w:styleId="af9">
    <w:basedOn w:val="TableNormal0"/>
    <w:pPr>
      <w:spacing w:after="0" w:line="240" w:lineRule="auto"/>
    </w:pPr>
    <w:tblPr>
      <w:tblStyleRowBandSize w:val="1"/>
      <w:tblStyleColBandSize w:val="1"/>
      <w:tblCellMar>
        <w:left w:w="108" w:type="dxa"/>
        <w:right w:w="108" w:type="dxa"/>
      </w:tblCellMar>
    </w:tblPr>
  </w:style>
  <w:style w:type="table" w:customStyle="1" w:styleId="afa">
    <w:basedOn w:val="TableNormal0"/>
    <w:pPr>
      <w:spacing w:after="0" w:line="240" w:lineRule="auto"/>
    </w:pPr>
    <w:tblPr>
      <w:tblStyleRowBandSize w:val="1"/>
      <w:tblStyleColBandSize w:val="1"/>
      <w:tblCellMar>
        <w:left w:w="108" w:type="dxa"/>
        <w:right w:w="108" w:type="dxa"/>
      </w:tblCellMar>
    </w:tblPr>
  </w:style>
  <w:style w:type="table" w:customStyle="1" w:styleId="afb">
    <w:basedOn w:val="TableNormal0"/>
    <w:pPr>
      <w:spacing w:after="0" w:line="240" w:lineRule="auto"/>
    </w:pPr>
    <w:tblPr>
      <w:tblStyleRowBandSize w:val="1"/>
      <w:tblStyleColBandSize w:val="1"/>
      <w:tblCellMar>
        <w:left w:w="108" w:type="dxa"/>
        <w:right w:w="108" w:type="dxa"/>
      </w:tblCellMar>
    </w:tblPr>
  </w:style>
  <w:style w:type="table" w:customStyle="1" w:styleId="afc">
    <w:basedOn w:val="TableNormal0"/>
    <w:pPr>
      <w:spacing w:after="0" w:line="240" w:lineRule="auto"/>
    </w:pPr>
    <w:tblPr>
      <w:tblStyleRowBandSize w:val="1"/>
      <w:tblStyleColBandSize w:val="1"/>
      <w:tblCellMar>
        <w:left w:w="108" w:type="dxa"/>
        <w:right w:w="108" w:type="dxa"/>
      </w:tblCellMar>
    </w:tblPr>
  </w:style>
  <w:style w:type="table" w:customStyle="1" w:styleId="afd">
    <w:basedOn w:val="TableNormal0"/>
    <w:pPr>
      <w:spacing w:after="0" w:line="240" w:lineRule="auto"/>
    </w:pPr>
    <w:tblPr>
      <w:tblStyleRowBandSize w:val="1"/>
      <w:tblStyleColBandSize w:val="1"/>
      <w:tblCellMar>
        <w:left w:w="108" w:type="dxa"/>
        <w:right w:w="108" w:type="dxa"/>
      </w:tblCellMar>
    </w:tblPr>
  </w:style>
  <w:style w:type="table" w:customStyle="1" w:styleId="afe">
    <w:basedOn w:val="TableNormal0"/>
    <w:pPr>
      <w:spacing w:after="0" w:line="240" w:lineRule="auto"/>
    </w:pPr>
    <w:tblPr>
      <w:tblStyleRowBandSize w:val="1"/>
      <w:tblStyleColBandSize w:val="1"/>
      <w:tblCellMar>
        <w:left w:w="108" w:type="dxa"/>
        <w:right w:w="108" w:type="dxa"/>
      </w:tblCellMar>
    </w:tblPr>
  </w:style>
  <w:style w:type="table" w:customStyle="1" w:styleId="aff">
    <w:basedOn w:val="TableNormal0"/>
    <w:pPr>
      <w:spacing w:after="0" w:line="240" w:lineRule="auto"/>
    </w:pPr>
    <w:tblPr>
      <w:tblStyleRowBandSize w:val="1"/>
      <w:tblStyleColBandSize w:val="1"/>
      <w:tblCellMar>
        <w:left w:w="108" w:type="dxa"/>
        <w:right w:w="108" w:type="dxa"/>
      </w:tblCellMar>
    </w:tblPr>
  </w:style>
  <w:style w:type="table" w:customStyle="1" w:styleId="aff0">
    <w:basedOn w:val="TableNormal0"/>
    <w:pPr>
      <w:spacing w:after="0" w:line="240" w:lineRule="auto"/>
    </w:pPr>
    <w:tblPr>
      <w:tblStyleRowBandSize w:val="1"/>
      <w:tblStyleColBandSize w:val="1"/>
      <w:tblCellMar>
        <w:left w:w="108" w:type="dxa"/>
        <w:right w:w="108" w:type="dxa"/>
      </w:tblCellMar>
    </w:tblPr>
  </w:style>
  <w:style w:type="table" w:customStyle="1" w:styleId="aff1">
    <w:basedOn w:val="TableNormal0"/>
    <w:pPr>
      <w:spacing w:after="0" w:line="240" w:lineRule="auto"/>
    </w:pPr>
    <w:tblPr>
      <w:tblStyleRowBandSize w:val="1"/>
      <w:tblStyleColBandSize w:val="1"/>
      <w:tblCellMar>
        <w:left w:w="108" w:type="dxa"/>
        <w:right w:w="108" w:type="dxa"/>
      </w:tblCellMar>
    </w:tblPr>
  </w:style>
  <w:style w:type="table" w:customStyle="1" w:styleId="aff2">
    <w:basedOn w:val="TableNormal0"/>
    <w:pPr>
      <w:spacing w:after="0" w:line="240" w:lineRule="auto"/>
    </w:pPr>
    <w:tblPr>
      <w:tblStyleRowBandSize w:val="1"/>
      <w:tblStyleColBandSize w:val="1"/>
      <w:tblCellMar>
        <w:left w:w="108" w:type="dxa"/>
        <w:right w:w="108" w:type="dxa"/>
      </w:tblCellMar>
    </w:tblPr>
  </w:style>
  <w:style w:type="table" w:customStyle="1" w:styleId="aff3">
    <w:basedOn w:val="TableNormal0"/>
    <w:tblPr>
      <w:tblStyleRowBandSize w:val="1"/>
      <w:tblStyleColBandSize w:val="1"/>
      <w:tblCellMar>
        <w:left w:w="70" w:type="dxa"/>
        <w:right w:w="70" w:type="dxa"/>
      </w:tblCellMar>
    </w:tblPr>
  </w:style>
  <w:style w:type="table" w:customStyle="1" w:styleId="aff4">
    <w:basedOn w:val="TableNormal0"/>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unhideWhenUsed/>
    <w:rsid w:val="00CF2DBC"/>
    <w:pPr>
      <w:spacing w:before="100" w:beforeAutospacing="1" w:after="100" w:afterAutospacing="1" w:line="240" w:lineRule="auto"/>
      <w:jc w:val="left"/>
    </w:pPr>
  </w:style>
  <w:style w:type="character" w:styleId="Mencinsinresolver">
    <w:name w:val="Unresolved Mention"/>
    <w:basedOn w:val="Fuentedeprrafopredeter"/>
    <w:uiPriority w:val="99"/>
    <w:semiHidden/>
    <w:unhideWhenUsed/>
    <w:rsid w:val="00CF2D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2808">
      <w:bodyDiv w:val="1"/>
      <w:marLeft w:val="0"/>
      <w:marRight w:val="0"/>
      <w:marTop w:val="0"/>
      <w:marBottom w:val="0"/>
      <w:divBdr>
        <w:top w:val="none" w:sz="0" w:space="0" w:color="auto"/>
        <w:left w:val="none" w:sz="0" w:space="0" w:color="auto"/>
        <w:bottom w:val="none" w:sz="0" w:space="0" w:color="auto"/>
        <w:right w:val="none" w:sz="0" w:space="0" w:color="auto"/>
      </w:divBdr>
    </w:div>
    <w:div w:id="1238325357">
      <w:bodyDiv w:val="1"/>
      <w:marLeft w:val="0"/>
      <w:marRight w:val="0"/>
      <w:marTop w:val="0"/>
      <w:marBottom w:val="0"/>
      <w:divBdr>
        <w:top w:val="none" w:sz="0" w:space="0" w:color="auto"/>
        <w:left w:val="none" w:sz="0" w:space="0" w:color="auto"/>
        <w:bottom w:val="none" w:sz="0" w:space="0" w:color="auto"/>
        <w:right w:val="none" w:sz="0" w:space="0" w:color="auto"/>
      </w:divBdr>
    </w:div>
    <w:div w:id="1569875532">
      <w:bodyDiv w:val="1"/>
      <w:marLeft w:val="0"/>
      <w:marRight w:val="0"/>
      <w:marTop w:val="0"/>
      <w:marBottom w:val="0"/>
      <w:divBdr>
        <w:top w:val="none" w:sz="0" w:space="0" w:color="auto"/>
        <w:left w:val="none" w:sz="0" w:space="0" w:color="auto"/>
        <w:bottom w:val="none" w:sz="0" w:space="0" w:color="auto"/>
        <w:right w:val="none" w:sz="0" w:space="0" w:color="auto"/>
      </w:divBdr>
    </w:div>
    <w:div w:id="1822769844">
      <w:bodyDiv w:val="1"/>
      <w:marLeft w:val="0"/>
      <w:marRight w:val="0"/>
      <w:marTop w:val="0"/>
      <w:marBottom w:val="0"/>
      <w:divBdr>
        <w:top w:val="none" w:sz="0" w:space="0" w:color="auto"/>
        <w:left w:val="none" w:sz="0" w:space="0" w:color="auto"/>
        <w:bottom w:val="none" w:sz="0" w:space="0" w:color="auto"/>
        <w:right w:val="none" w:sz="0" w:space="0" w:color="auto"/>
      </w:divBdr>
    </w:div>
    <w:div w:id="1858618813">
      <w:bodyDiv w:val="1"/>
      <w:marLeft w:val="0"/>
      <w:marRight w:val="0"/>
      <w:marTop w:val="0"/>
      <w:marBottom w:val="0"/>
      <w:divBdr>
        <w:top w:val="none" w:sz="0" w:space="0" w:color="auto"/>
        <w:left w:val="none" w:sz="0" w:space="0" w:color="auto"/>
        <w:bottom w:val="none" w:sz="0" w:space="0" w:color="auto"/>
        <w:right w:val="none" w:sz="0" w:space="0" w:color="auto"/>
      </w:divBdr>
    </w:div>
    <w:div w:id="21406121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4.xml"/><Relationship Id="rId26" Type="http://schemas.openxmlformats.org/officeDocument/2006/relationships/chart" Target="charts/chart7.xml"/><Relationship Id="rId3" Type="http://schemas.openxmlformats.org/officeDocument/2006/relationships/numbering" Target="numbering.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hart" Target="charts/chart3.xm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7.png"/><Relationship Id="rId28" Type="http://schemas.openxmlformats.org/officeDocument/2006/relationships/image" Target="media/image10.png"/><Relationship Id="rId10" Type="http://schemas.openxmlformats.org/officeDocument/2006/relationships/image" Target="media/image2.jfif"/><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chart" Target="charts/chart8.xml"/><Relationship Id="rId30"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oleObject" Target="file:///D:\Google_Drive\MAEG-UAEMex\05_TESIS_MAESTRIA\MATERIAL_GENERADO\Poblaci&#243;n\Poblacion_Iztapalapa_1995-201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Google_Drive\MAEG-UAEMex\05_TESIS_MAESTRIA\MATERIAL_GENERADO\2019_Graficas_POB_MOR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Ing.%20Leonardo%20Ruiz\Desktop\Pob_15_30_CONAP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D:\Google%20Drive\MAEG-UAEMex\05_TESIS_MAESTRIA\MATERIAL_GENERADO\00_Concentrado.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a:t>Población y crecimiento NETO 1990-2020 Alcaldía Iztapalapa, CDMX.</a:t>
            </a:r>
            <a:r>
              <a:rPr lang="es-MX"/>
              <a:t> </a:t>
            </a: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MX"/>
        </a:p>
      </c:txPr>
    </c:title>
    <c:autoTitleDeleted val="0"/>
    <c:plotArea>
      <c:layout/>
      <c:barChart>
        <c:barDir val="col"/>
        <c:grouping val="clustered"/>
        <c:varyColors val="0"/>
        <c:ser>
          <c:idx val="0"/>
          <c:order val="0"/>
          <c:tx>
            <c:strRef>
              <c:f>Grafica!$G$1</c:f>
              <c:strCache>
                <c:ptCount val="1"/>
                <c:pt idx="0">
                  <c:v>Población</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dk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Grafica!$F$2:$F$8</c:f>
              <c:numCache>
                <c:formatCode>General</c:formatCode>
                <c:ptCount val="7"/>
                <c:pt idx="0">
                  <c:v>1990</c:v>
                </c:pt>
                <c:pt idx="1">
                  <c:v>1995</c:v>
                </c:pt>
                <c:pt idx="2">
                  <c:v>2000</c:v>
                </c:pt>
                <c:pt idx="3">
                  <c:v>2005</c:v>
                </c:pt>
                <c:pt idx="4">
                  <c:v>2010</c:v>
                </c:pt>
                <c:pt idx="5">
                  <c:v>2015</c:v>
                </c:pt>
                <c:pt idx="6">
                  <c:v>2020</c:v>
                </c:pt>
              </c:numCache>
            </c:numRef>
          </c:cat>
          <c:val>
            <c:numRef>
              <c:f>Grafica!$G$2:$G$8</c:f>
              <c:numCache>
                <c:formatCode>#,##0</c:formatCode>
                <c:ptCount val="7"/>
                <c:pt idx="0">
                  <c:v>1490499</c:v>
                </c:pt>
                <c:pt idx="1">
                  <c:v>1696609</c:v>
                </c:pt>
                <c:pt idx="2">
                  <c:v>1773343</c:v>
                </c:pt>
                <c:pt idx="3">
                  <c:v>1820888</c:v>
                </c:pt>
                <c:pt idx="4">
                  <c:v>1815786</c:v>
                </c:pt>
                <c:pt idx="5">
                  <c:v>1827868</c:v>
                </c:pt>
                <c:pt idx="6">
                  <c:v>1835486</c:v>
                </c:pt>
              </c:numCache>
            </c:numRef>
          </c:val>
          <c:extLst>
            <c:ext xmlns:c16="http://schemas.microsoft.com/office/drawing/2014/chart" uri="{C3380CC4-5D6E-409C-BE32-E72D297353CC}">
              <c16:uniqueId val="{00000000-53CC-4422-AD4B-E13B79EA22D6}"/>
            </c:ext>
          </c:extLst>
        </c:ser>
        <c:dLbls>
          <c:showLegendKey val="0"/>
          <c:showVal val="0"/>
          <c:showCatName val="0"/>
          <c:showSerName val="0"/>
          <c:showPercent val="0"/>
          <c:showBubbleSize val="0"/>
        </c:dLbls>
        <c:gapWidth val="247"/>
        <c:axId val="448305472"/>
        <c:axId val="448304640"/>
      </c:barChart>
      <c:lineChart>
        <c:grouping val="standard"/>
        <c:varyColors val="0"/>
        <c:ser>
          <c:idx val="1"/>
          <c:order val="1"/>
          <c:tx>
            <c:strRef>
              <c:f>Grafica!$H$1</c:f>
              <c:strCache>
                <c:ptCount val="1"/>
                <c:pt idx="0">
                  <c:v>Crecimiento NETO</c:v>
                </c:pt>
              </c:strCache>
            </c:strRef>
          </c:tx>
          <c:spPr>
            <a:ln w="22225" cap="rnd">
              <a:solidFill>
                <a:schemeClr val="accent2"/>
              </a:solidFill>
              <a:round/>
            </a:ln>
            <a:effectLst/>
          </c:spPr>
          <c:marker>
            <c:symbol val="none"/>
          </c:marker>
          <c:dLbls>
            <c:dLbl>
              <c:idx val="1"/>
              <c:layout>
                <c:manualLayout>
                  <c:x val="-6.8692100860101246E-2"/>
                  <c:y val="-3.828489942694170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3CC-4422-AD4B-E13B79EA22D6}"/>
                </c:ext>
              </c:extLst>
            </c:dLbl>
            <c:dLbl>
              <c:idx val="3"/>
              <c:layout>
                <c:manualLayout>
                  <c:x val="-7.2550350758090063E-2"/>
                  <c:y val="2.69966254218222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A5A-4597-AC2A-52DAF2F6F25C}"/>
                </c:ext>
              </c:extLst>
            </c:dLbl>
            <c:dLbl>
              <c:idx val="4"/>
              <c:layout>
                <c:manualLayout>
                  <c:x val="-8.2620502376103189E-2"/>
                  <c:y val="4.049493813273324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A5A-4597-AC2A-52DAF2F6F25C}"/>
                </c:ext>
              </c:extLst>
            </c:dLbl>
            <c:dLbl>
              <c:idx val="5"/>
              <c:layout>
                <c:manualLayout>
                  <c:x val="-7.7076261597646523E-2"/>
                  <c:y val="5.399325084364445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A5A-4597-AC2A-52DAF2F6F25C}"/>
                </c:ext>
              </c:extLst>
            </c:dLbl>
            <c:dLbl>
              <c:idx val="6"/>
              <c:layout>
                <c:manualLayout>
                  <c:x val="-7.7076261597646523E-2"/>
                  <c:y val="4.949381327334091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A5A-4597-AC2A-52DAF2F6F25C}"/>
                </c:ext>
              </c:extLst>
            </c:dLbl>
            <c:spPr>
              <a:solidFill>
                <a:schemeClr val="accent5">
                  <a:lumMod val="40000"/>
                  <a:lumOff val="60000"/>
                </a:schemeClr>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800" b="1" i="0" u="none" strike="noStrike" kern="1200" baseline="0">
                    <a:solidFill>
                      <a:schemeClr val="bg1"/>
                    </a:solidFill>
                    <a:latin typeface="+mn-lt"/>
                    <a:ea typeface="+mn-ea"/>
                    <a:cs typeface="+mn-cs"/>
                  </a:defRPr>
                </a:pPr>
                <a:endParaRPr lang="es-MX"/>
              </a:p>
            </c:txPr>
            <c:dLblPos val="l"/>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dk1">
                          <a:lumMod val="35000"/>
                          <a:lumOff val="65000"/>
                        </a:schemeClr>
                      </a:solidFill>
                      <a:round/>
                    </a:ln>
                    <a:effectLst/>
                  </c:spPr>
                </c15:leaderLines>
              </c:ext>
            </c:extLst>
          </c:dLbls>
          <c:cat>
            <c:numRef>
              <c:f>Grafica!$F$2:$F$8</c:f>
              <c:numCache>
                <c:formatCode>General</c:formatCode>
                <c:ptCount val="7"/>
                <c:pt idx="0">
                  <c:v>1990</c:v>
                </c:pt>
                <c:pt idx="1">
                  <c:v>1995</c:v>
                </c:pt>
                <c:pt idx="2">
                  <c:v>2000</c:v>
                </c:pt>
                <c:pt idx="3">
                  <c:v>2005</c:v>
                </c:pt>
                <c:pt idx="4">
                  <c:v>2010</c:v>
                </c:pt>
                <c:pt idx="5">
                  <c:v>2015</c:v>
                </c:pt>
                <c:pt idx="6">
                  <c:v>2020</c:v>
                </c:pt>
              </c:numCache>
            </c:numRef>
          </c:cat>
          <c:val>
            <c:numRef>
              <c:f>Grafica!$H$2:$H$8</c:f>
              <c:numCache>
                <c:formatCode>0.00</c:formatCode>
                <c:ptCount val="7"/>
                <c:pt idx="1">
                  <c:v>13.828254832777478</c:v>
                </c:pt>
                <c:pt idx="2">
                  <c:v>4.5227863343881829</c:v>
                </c:pt>
                <c:pt idx="3">
                  <c:v>2.6810944075680792</c:v>
                </c:pt>
                <c:pt idx="4">
                  <c:v>-0.2801929607971495</c:v>
                </c:pt>
                <c:pt idx="5">
                  <c:v>0.66538678016021713</c:v>
                </c:pt>
                <c:pt idx="6">
                  <c:v>0.41676970109439537</c:v>
                </c:pt>
              </c:numCache>
            </c:numRef>
          </c:val>
          <c:smooth val="0"/>
          <c:extLst>
            <c:ext xmlns:c16="http://schemas.microsoft.com/office/drawing/2014/chart" uri="{C3380CC4-5D6E-409C-BE32-E72D297353CC}">
              <c16:uniqueId val="{00000002-53CC-4422-AD4B-E13B79EA22D6}"/>
            </c:ext>
          </c:extLst>
        </c:ser>
        <c:dLbls>
          <c:showLegendKey val="0"/>
          <c:showVal val="0"/>
          <c:showCatName val="0"/>
          <c:showSerName val="0"/>
          <c:showPercent val="0"/>
          <c:showBubbleSize val="0"/>
        </c:dLbls>
        <c:marker val="1"/>
        <c:smooth val="0"/>
        <c:axId val="730999792"/>
        <c:axId val="730996880"/>
      </c:lineChart>
      <c:catAx>
        <c:axId val="448305472"/>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MX"/>
          </a:p>
        </c:txPr>
        <c:crossAx val="448304640"/>
        <c:crosses val="autoZero"/>
        <c:auto val="1"/>
        <c:lblAlgn val="ctr"/>
        <c:lblOffset val="100"/>
        <c:noMultiLvlLbl val="0"/>
      </c:catAx>
      <c:valAx>
        <c:axId val="448304640"/>
        <c:scaling>
          <c:orientation val="minMax"/>
          <c:max val="2500000"/>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crossAx val="448305472"/>
        <c:crosses val="autoZero"/>
        <c:crossBetween val="between"/>
      </c:valAx>
      <c:valAx>
        <c:axId val="730996880"/>
        <c:scaling>
          <c:orientation val="minMax"/>
          <c:max val="18"/>
          <c:min val="-3"/>
        </c:scaling>
        <c:delete val="0"/>
        <c:axPos val="r"/>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crossAx val="730999792"/>
        <c:crosses val="max"/>
        <c:crossBetween val="between"/>
        <c:majorUnit val="3"/>
      </c:valAx>
      <c:catAx>
        <c:axId val="730999792"/>
        <c:scaling>
          <c:orientation val="minMax"/>
        </c:scaling>
        <c:delete val="1"/>
        <c:axPos val="b"/>
        <c:numFmt formatCode="General" sourceLinked="1"/>
        <c:majorTickMark val="out"/>
        <c:minorTickMark val="none"/>
        <c:tickLblPos val="nextTo"/>
        <c:crossAx val="730996880"/>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Piramide de población por grupo quinquenal por sexo y edad de la</a:t>
            </a:r>
            <a:r>
              <a:rPr lang="es-MX" baseline="0"/>
              <a:t> alcaldía Iztapalapa, para el año 2020</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stacked"/>
        <c:varyColors val="0"/>
        <c:ser>
          <c:idx val="0"/>
          <c:order val="0"/>
          <c:tx>
            <c:strRef>
              <c:f>POB_2019!$C$1</c:f>
              <c:strCache>
                <c:ptCount val="1"/>
                <c:pt idx="0">
                  <c:v>Hombres</c:v>
                </c:pt>
              </c:strCache>
            </c:strRef>
          </c:tx>
          <c:spPr>
            <a:solidFill>
              <a:schemeClr val="accent5"/>
            </a:solidFill>
            <a:ln>
              <a:noFill/>
            </a:ln>
            <a:effectLst/>
          </c:spPr>
          <c:invertIfNegative val="0"/>
          <c:dLbls>
            <c:dLbl>
              <c:idx val="16"/>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extLst>
                <c:ext xmlns:c16="http://schemas.microsoft.com/office/drawing/2014/chart" uri="{C3380CC4-5D6E-409C-BE32-E72D297353CC}">
                  <c16:uniqueId val="{00000005-E824-443B-8262-2CD5E1F14056}"/>
                </c:ext>
              </c:extLst>
            </c:dLbl>
            <c:dLbl>
              <c:idx val="17"/>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extLst>
                <c:ext xmlns:c16="http://schemas.microsoft.com/office/drawing/2014/chart" uri="{C3380CC4-5D6E-409C-BE32-E72D297353CC}">
                  <c16:uniqueId val="{00000003-E824-443B-8262-2CD5E1F14056}"/>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POB_2019!$B$2:$B$19</c:f>
              <c:strCache>
                <c:ptCount val="18"/>
                <c:pt idx="0">
                  <c:v>0 a 4 años</c:v>
                </c:pt>
                <c:pt idx="1">
                  <c:v>5 a 9 años</c:v>
                </c:pt>
                <c:pt idx="2">
                  <c:v>10 a 14 años</c:v>
                </c:pt>
                <c:pt idx="3">
                  <c:v>15 a 19 años</c:v>
                </c:pt>
                <c:pt idx="4">
                  <c:v>20 a 24 años</c:v>
                </c:pt>
                <c:pt idx="5">
                  <c:v>25 a 29 años</c:v>
                </c:pt>
                <c:pt idx="6">
                  <c:v>30 a 34 años</c:v>
                </c:pt>
                <c:pt idx="7">
                  <c:v>35 a 39 años</c:v>
                </c:pt>
                <c:pt idx="8">
                  <c:v>40 a 44 años</c:v>
                </c:pt>
                <c:pt idx="9">
                  <c:v>45 a 49 años</c:v>
                </c:pt>
                <c:pt idx="10">
                  <c:v>50 a 54 años</c:v>
                </c:pt>
                <c:pt idx="11">
                  <c:v>55 a 59 años</c:v>
                </c:pt>
                <c:pt idx="12">
                  <c:v>60 a 64 años</c:v>
                </c:pt>
                <c:pt idx="13">
                  <c:v>65 a 69 años</c:v>
                </c:pt>
                <c:pt idx="14">
                  <c:v>70 a 74 años</c:v>
                </c:pt>
                <c:pt idx="15">
                  <c:v>75 a 79 años</c:v>
                </c:pt>
                <c:pt idx="16">
                  <c:v>80 a 84 años</c:v>
                </c:pt>
                <c:pt idx="17">
                  <c:v>85 años y más</c:v>
                </c:pt>
              </c:strCache>
            </c:strRef>
          </c:cat>
          <c:val>
            <c:numRef>
              <c:f>POB_2019!$C$2:$C$19</c:f>
              <c:numCache>
                <c:formatCode>0.00;0.00</c:formatCode>
                <c:ptCount val="18"/>
                <c:pt idx="0">
                  <c:v>-2.83746146648858</c:v>
                </c:pt>
                <c:pt idx="1">
                  <c:v>-3.5120329182585501</c:v>
                </c:pt>
                <c:pt idx="2">
                  <c:v>-3.78880393397385</c:v>
                </c:pt>
                <c:pt idx="3">
                  <c:v>-3.98388962727189</c:v>
                </c:pt>
                <c:pt idx="4">
                  <c:v>-4.1321111596100701</c:v>
                </c:pt>
                <c:pt idx="5">
                  <c:v>-4.11412840017198</c:v>
                </c:pt>
                <c:pt idx="6">
                  <c:v>-3.88580184851868</c:v>
                </c:pt>
                <c:pt idx="7">
                  <c:v>-3.6208013662537701</c:v>
                </c:pt>
                <c:pt idx="8">
                  <c:v>-3.4137816598740902</c:v>
                </c:pt>
                <c:pt idx="9">
                  <c:v>-3.3247942472607601</c:v>
                </c:pt>
                <c:pt idx="10">
                  <c:v>-2.9915682655519502</c:v>
                </c:pt>
                <c:pt idx="11">
                  <c:v>-2.4723569566849801</c:v>
                </c:pt>
                <c:pt idx="12">
                  <c:v>-2.1582580918330501</c:v>
                </c:pt>
                <c:pt idx="13">
                  <c:v>-1.58346370833926</c:v>
                </c:pt>
                <c:pt idx="14">
                  <c:v>-1.1342761748599901</c:v>
                </c:pt>
                <c:pt idx="15">
                  <c:v>-0.70808477617731203</c:v>
                </c:pt>
                <c:pt idx="16">
                  <c:v>-0.39829087494843601</c:v>
                </c:pt>
                <c:pt idx="17">
                  <c:v>-0.30042106903690302</c:v>
                </c:pt>
              </c:numCache>
            </c:numRef>
          </c:val>
          <c:extLst>
            <c:ext xmlns:c16="http://schemas.microsoft.com/office/drawing/2014/chart" uri="{C3380CC4-5D6E-409C-BE32-E72D297353CC}">
              <c16:uniqueId val="{00000000-E824-443B-8262-2CD5E1F14056}"/>
            </c:ext>
          </c:extLst>
        </c:ser>
        <c:ser>
          <c:idx val="1"/>
          <c:order val="1"/>
          <c:tx>
            <c:strRef>
              <c:f>POB_2019!$D$1</c:f>
              <c:strCache>
                <c:ptCount val="1"/>
                <c:pt idx="0">
                  <c:v>Mujeres</c:v>
                </c:pt>
              </c:strCache>
            </c:strRef>
          </c:tx>
          <c:spPr>
            <a:solidFill>
              <a:schemeClr val="accent2"/>
            </a:solidFill>
            <a:ln>
              <a:noFill/>
            </a:ln>
            <a:effectLst/>
          </c:spPr>
          <c:invertIfNegative val="0"/>
          <c:dLbls>
            <c:dLbl>
              <c:idx val="16"/>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extLst>
                <c:ext xmlns:c16="http://schemas.microsoft.com/office/drawing/2014/chart" uri="{C3380CC4-5D6E-409C-BE32-E72D297353CC}">
                  <c16:uniqueId val="{00000006-E824-443B-8262-2CD5E1F14056}"/>
                </c:ext>
              </c:extLst>
            </c:dLbl>
            <c:dLbl>
              <c:idx val="17"/>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extLst>
                <c:ext xmlns:c16="http://schemas.microsoft.com/office/drawing/2014/chart" uri="{C3380CC4-5D6E-409C-BE32-E72D297353CC}">
                  <c16:uniqueId val="{00000004-E824-443B-8262-2CD5E1F14056}"/>
                </c:ext>
              </c:extLst>
            </c:dLbl>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bg1"/>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POB_2019!$B$2:$B$19</c:f>
              <c:strCache>
                <c:ptCount val="18"/>
                <c:pt idx="0">
                  <c:v>0 a 4 años</c:v>
                </c:pt>
                <c:pt idx="1">
                  <c:v>5 a 9 años</c:v>
                </c:pt>
                <c:pt idx="2">
                  <c:v>10 a 14 años</c:v>
                </c:pt>
                <c:pt idx="3">
                  <c:v>15 a 19 años</c:v>
                </c:pt>
                <c:pt idx="4">
                  <c:v>20 a 24 años</c:v>
                </c:pt>
                <c:pt idx="5">
                  <c:v>25 a 29 años</c:v>
                </c:pt>
                <c:pt idx="6">
                  <c:v>30 a 34 años</c:v>
                </c:pt>
                <c:pt idx="7">
                  <c:v>35 a 39 años</c:v>
                </c:pt>
                <c:pt idx="8">
                  <c:v>40 a 44 años</c:v>
                </c:pt>
                <c:pt idx="9">
                  <c:v>45 a 49 años</c:v>
                </c:pt>
                <c:pt idx="10">
                  <c:v>50 a 54 años</c:v>
                </c:pt>
                <c:pt idx="11">
                  <c:v>55 a 59 años</c:v>
                </c:pt>
                <c:pt idx="12">
                  <c:v>60 a 64 años</c:v>
                </c:pt>
                <c:pt idx="13">
                  <c:v>65 a 69 años</c:v>
                </c:pt>
                <c:pt idx="14">
                  <c:v>70 a 74 años</c:v>
                </c:pt>
                <c:pt idx="15">
                  <c:v>75 a 79 años</c:v>
                </c:pt>
                <c:pt idx="16">
                  <c:v>80 a 84 años</c:v>
                </c:pt>
                <c:pt idx="17">
                  <c:v>85 años y más</c:v>
                </c:pt>
              </c:strCache>
            </c:strRef>
          </c:cat>
          <c:val>
            <c:numRef>
              <c:f>POB_2019!$D$2:$D$19</c:f>
              <c:numCache>
                <c:formatCode>0.00</c:formatCode>
                <c:ptCount val="18"/>
                <c:pt idx="0">
                  <c:v>2.7834042017534801</c:v>
                </c:pt>
                <c:pt idx="1">
                  <c:v>3.3937826516505201</c:v>
                </c:pt>
                <c:pt idx="2">
                  <c:v>3.6745316717263599</c:v>
                </c:pt>
                <c:pt idx="3">
                  <c:v>3.81915665217692</c:v>
                </c:pt>
                <c:pt idx="4">
                  <c:v>4.0821953788667704</c:v>
                </c:pt>
                <c:pt idx="5">
                  <c:v>4.1464973671605403</c:v>
                </c:pt>
                <c:pt idx="6">
                  <c:v>4.0086295448018596</c:v>
                </c:pt>
                <c:pt idx="7">
                  <c:v>3.8409539363443002</c:v>
                </c:pt>
                <c:pt idx="8">
                  <c:v>3.7527839218872501</c:v>
                </c:pt>
                <c:pt idx="9">
                  <c:v>3.7258097827301202</c:v>
                </c:pt>
                <c:pt idx="10">
                  <c:v>3.4757404401198602</c:v>
                </c:pt>
                <c:pt idx="11">
                  <c:v>2.9382739057627099</c:v>
                </c:pt>
                <c:pt idx="12">
                  <c:v>2.6236301088065899</c:v>
                </c:pt>
                <c:pt idx="13">
                  <c:v>1.9550529101826599</c:v>
                </c:pt>
                <c:pt idx="14">
                  <c:v>1.4196026246109901</c:v>
                </c:pt>
                <c:pt idx="15">
                  <c:v>0.89744868238141895</c:v>
                </c:pt>
                <c:pt idx="16">
                  <c:v>0.57430394460002299</c:v>
                </c:pt>
                <c:pt idx="17">
                  <c:v>0.52787572932350502</c:v>
                </c:pt>
              </c:numCache>
            </c:numRef>
          </c:val>
          <c:extLst>
            <c:ext xmlns:c16="http://schemas.microsoft.com/office/drawing/2014/chart" uri="{C3380CC4-5D6E-409C-BE32-E72D297353CC}">
              <c16:uniqueId val="{00000001-E824-443B-8262-2CD5E1F14056}"/>
            </c:ext>
          </c:extLst>
        </c:ser>
        <c:dLbls>
          <c:showLegendKey val="0"/>
          <c:showVal val="0"/>
          <c:showCatName val="0"/>
          <c:showSerName val="0"/>
          <c:showPercent val="0"/>
          <c:showBubbleSize val="0"/>
        </c:dLbls>
        <c:gapWidth val="15"/>
        <c:overlap val="100"/>
        <c:axId val="2074176959"/>
        <c:axId val="2074174879"/>
      </c:barChart>
      <c:catAx>
        <c:axId val="2074176959"/>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074174879"/>
        <c:crosses val="autoZero"/>
        <c:auto val="1"/>
        <c:lblAlgn val="ctr"/>
        <c:lblOffset val="100"/>
        <c:noMultiLvlLbl val="0"/>
      </c:catAx>
      <c:valAx>
        <c:axId val="2074174879"/>
        <c:scaling>
          <c:orientation val="minMax"/>
          <c:max val="7"/>
          <c:min val="-6"/>
        </c:scaling>
        <c:delete val="0"/>
        <c:axPos val="b"/>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0741769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Natalidad_1990_2019!$C$1</c:f>
              <c:strCache>
                <c:ptCount val="1"/>
                <c:pt idx="0">
                  <c:v>Total de nacimientos registrados</c:v>
                </c:pt>
              </c:strCache>
            </c:strRef>
          </c:tx>
          <c:spPr>
            <a:ln w="28575" cap="rnd">
              <a:solidFill>
                <a:schemeClr val="accent1"/>
              </a:solidFill>
              <a:round/>
            </a:ln>
            <a:effectLst/>
          </c:spPr>
          <c:marker>
            <c:symbol val="none"/>
          </c:marker>
          <c:dLbls>
            <c:dLbl>
              <c:idx val="10"/>
              <c:spPr>
                <a:solidFill>
                  <a:schemeClr val="l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600" b="1" i="0" u="none" strike="noStrike" kern="1200" baseline="0">
                      <a:solidFill>
                        <a:schemeClr val="dk1">
                          <a:lumMod val="65000"/>
                          <a:lumOff val="35000"/>
                        </a:schemeClr>
                      </a:solidFill>
                      <a:latin typeface="+mn-lt"/>
                      <a:ea typeface="+mn-ea"/>
                      <a:cs typeface="+mn-cs"/>
                    </a:defRPr>
                  </a:pPr>
                  <a:endParaRPr lang="es-MX"/>
                </a:p>
              </c:txPr>
              <c:dLblPos val="t"/>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oundRect">
                      <a:avLst/>
                    </a:prstGeom>
                    <a:noFill/>
                    <a:ln>
                      <a:noFill/>
                    </a:ln>
                  </c15:spPr>
                </c:ext>
                <c:ext xmlns:c16="http://schemas.microsoft.com/office/drawing/2014/chart" uri="{C3380CC4-5D6E-409C-BE32-E72D297353CC}">
                  <c16:uniqueId val="{00000000-BD38-48A7-91CE-644D0498B282}"/>
                </c:ext>
              </c:extLst>
            </c:dLbl>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Natalidad_1990_2019!$B$12:$B$31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Natalidad_1990_2019!$C$12:$C$31</c:f>
              <c:numCache>
                <c:formatCode>#,##0</c:formatCode>
                <c:ptCount val="20"/>
                <c:pt idx="0">
                  <c:v>35702</c:v>
                </c:pt>
                <c:pt idx="1">
                  <c:v>34954</c:v>
                </c:pt>
                <c:pt idx="2">
                  <c:v>35740</c:v>
                </c:pt>
                <c:pt idx="3">
                  <c:v>33769</c:v>
                </c:pt>
                <c:pt idx="4">
                  <c:v>34661</c:v>
                </c:pt>
                <c:pt idx="5">
                  <c:v>34830</c:v>
                </c:pt>
                <c:pt idx="6">
                  <c:v>32438</c:v>
                </c:pt>
                <c:pt idx="7">
                  <c:v>33432</c:v>
                </c:pt>
                <c:pt idx="8">
                  <c:v>32700</c:v>
                </c:pt>
                <c:pt idx="9">
                  <c:v>31626</c:v>
                </c:pt>
                <c:pt idx="10">
                  <c:v>34576</c:v>
                </c:pt>
                <c:pt idx="11">
                  <c:v>33007</c:v>
                </c:pt>
                <c:pt idx="12">
                  <c:v>32999</c:v>
                </c:pt>
                <c:pt idx="13">
                  <c:v>30823</c:v>
                </c:pt>
                <c:pt idx="14">
                  <c:v>30692</c:v>
                </c:pt>
                <c:pt idx="15">
                  <c:v>27869</c:v>
                </c:pt>
                <c:pt idx="16">
                  <c:v>26504</c:v>
                </c:pt>
                <c:pt idx="17">
                  <c:v>25697</c:v>
                </c:pt>
                <c:pt idx="18">
                  <c:v>23348</c:v>
                </c:pt>
                <c:pt idx="19">
                  <c:v>22088</c:v>
                </c:pt>
              </c:numCache>
            </c:numRef>
          </c:val>
          <c:smooth val="0"/>
          <c:extLst>
            <c:ext xmlns:c16="http://schemas.microsoft.com/office/drawing/2014/chart" uri="{C3380CC4-5D6E-409C-BE32-E72D297353CC}">
              <c16:uniqueId val="{00000001-BD38-48A7-91CE-644D0498B282}"/>
            </c:ext>
          </c:extLst>
        </c:ser>
        <c:dLbls>
          <c:showLegendKey val="0"/>
          <c:showVal val="0"/>
          <c:showCatName val="0"/>
          <c:showSerName val="0"/>
          <c:showPercent val="0"/>
          <c:showBubbleSize val="0"/>
        </c:dLbls>
        <c:marker val="1"/>
        <c:smooth val="0"/>
        <c:axId val="637004832"/>
        <c:axId val="636980288"/>
      </c:lineChart>
      <c:lineChart>
        <c:grouping val="standard"/>
        <c:varyColors val="0"/>
        <c:ser>
          <c:idx val="1"/>
          <c:order val="1"/>
          <c:tx>
            <c:strRef>
              <c:f>Natalidad_1990_2019!$D$1</c:f>
              <c:strCache>
                <c:ptCount val="1"/>
                <c:pt idx="0">
                  <c:v>Tasa de nacimientos registrados</c:v>
                </c:pt>
              </c:strCache>
            </c:strRef>
          </c:tx>
          <c:spPr>
            <a:ln w="28575" cap="rnd">
              <a:solidFill>
                <a:schemeClr val="accent2"/>
              </a:solidFill>
              <a:round/>
            </a:ln>
            <a:effectLst/>
          </c:spPr>
          <c:marker>
            <c:symbol val="none"/>
          </c:marker>
          <c:dLbls>
            <c:dLbl>
              <c:idx val="10"/>
              <c:tx>
                <c:rich>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fld id="{FDF92A01-79D4-4F85-89DB-D657F8453F02}" type="VALUE">
                      <a:rPr lang="en-US" sz="800" b="1"/>
                      <a:pPr>
                        <a:defRPr/>
                      </a:pPr>
                      <a:t>[VALOR]</a:t>
                    </a:fld>
                    <a:endParaRPr lang="es-MX"/>
                  </a:p>
                </c:rich>
              </c:tx>
              <c:spPr>
                <a:solidFill>
                  <a:schemeClr val="l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s-MX"/>
                </a:p>
              </c:txPr>
              <c:dLblPos val="b"/>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oundRect">
                      <a:avLst/>
                    </a:prstGeom>
                    <a:noFill/>
                    <a:ln>
                      <a:noFill/>
                    </a:ln>
                  </c15:spPr>
                  <c15:dlblFieldTable/>
                  <c15:showDataLabelsRange val="0"/>
                </c:ext>
                <c:ext xmlns:c16="http://schemas.microsoft.com/office/drawing/2014/chart" uri="{C3380CC4-5D6E-409C-BE32-E72D297353CC}">
                  <c16:uniqueId val="{00000002-BD38-48A7-91CE-644D0498B282}"/>
                </c:ext>
              </c:extLst>
            </c:dLbl>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s-MX"/>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Natalidad_1990_2019!$B$2:$B$31</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Natalidad_1990_2019!$D$12:$D$31</c:f>
              <c:numCache>
                <c:formatCode>0</c:formatCode>
                <c:ptCount val="20"/>
                <c:pt idx="0">
                  <c:v>201.32597021557586</c:v>
                </c:pt>
                <c:pt idx="1">
                  <c:v>196.06765270772379</c:v>
                </c:pt>
                <c:pt idx="2">
                  <c:v>199.4185949191222</c:v>
                </c:pt>
                <c:pt idx="3">
                  <c:v>187.42656318771128</c:v>
                </c:pt>
                <c:pt idx="4">
                  <c:v>191.36212111006702</c:v>
                </c:pt>
                <c:pt idx="5">
                  <c:v>191.28029840385571</c:v>
                </c:pt>
                <c:pt idx="6">
                  <c:v>178.24389268220847</c:v>
                </c:pt>
                <c:pt idx="7">
                  <c:v>183.80895568341447</c:v>
                </c:pt>
                <c:pt idx="8">
                  <c:v>179.88530249061378</c:v>
                </c:pt>
                <c:pt idx="9">
                  <c:v>174.07481815604868</c:v>
                </c:pt>
                <c:pt idx="10">
                  <c:v>190.41891500430117</c:v>
                </c:pt>
                <c:pt idx="11">
                  <c:v>181.53708401074473</c:v>
                </c:pt>
                <c:pt idx="12">
                  <c:v>181.25253692583087</c:v>
                </c:pt>
                <c:pt idx="13">
                  <c:v>169.07603073132253</c:v>
                </c:pt>
                <c:pt idx="14">
                  <c:v>168.13434532401686</c:v>
                </c:pt>
                <c:pt idx="15">
                  <c:v>152.46724599369318</c:v>
                </c:pt>
                <c:pt idx="16">
                  <c:v>144.27447423973385</c:v>
                </c:pt>
                <c:pt idx="17">
                  <c:v>139.18204482835009</c:v>
                </c:pt>
                <c:pt idx="18">
                  <c:v>125.82683666331459</c:v>
                </c:pt>
                <c:pt idx="19">
                  <c:v>118.44117514579932</c:v>
                </c:pt>
              </c:numCache>
            </c:numRef>
          </c:val>
          <c:smooth val="0"/>
          <c:extLst>
            <c:ext xmlns:c16="http://schemas.microsoft.com/office/drawing/2014/chart" uri="{C3380CC4-5D6E-409C-BE32-E72D297353CC}">
              <c16:uniqueId val="{00000003-BD38-48A7-91CE-644D0498B282}"/>
            </c:ext>
          </c:extLst>
        </c:ser>
        <c:dLbls>
          <c:showLegendKey val="0"/>
          <c:showVal val="0"/>
          <c:showCatName val="0"/>
          <c:showSerName val="0"/>
          <c:showPercent val="0"/>
          <c:showBubbleSize val="0"/>
        </c:dLbls>
        <c:marker val="1"/>
        <c:smooth val="0"/>
        <c:axId val="636976128"/>
        <c:axId val="636956160"/>
      </c:lineChart>
      <c:catAx>
        <c:axId val="63700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36980288"/>
        <c:crosses val="autoZero"/>
        <c:auto val="1"/>
        <c:lblAlgn val="ctr"/>
        <c:lblOffset val="100"/>
        <c:noMultiLvlLbl val="0"/>
      </c:catAx>
      <c:valAx>
        <c:axId val="636980288"/>
        <c:scaling>
          <c:orientation val="minMax"/>
          <c:min val="5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37004832"/>
        <c:crosses val="autoZero"/>
        <c:crossBetween val="between"/>
      </c:valAx>
      <c:valAx>
        <c:axId val="636956160"/>
        <c:scaling>
          <c:orientation val="minMax"/>
          <c:max val="400"/>
          <c:min val="50"/>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36976128"/>
        <c:crosses val="max"/>
        <c:crossBetween val="between"/>
      </c:valAx>
      <c:catAx>
        <c:axId val="636976128"/>
        <c:scaling>
          <c:orientation val="minMax"/>
        </c:scaling>
        <c:delete val="1"/>
        <c:axPos val="b"/>
        <c:numFmt formatCode="General" sourceLinked="1"/>
        <c:majorTickMark val="none"/>
        <c:minorTickMark val="none"/>
        <c:tickLblPos val="nextTo"/>
        <c:crossAx val="6369561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Mortalidad_1990_2019!$C$1</c:f>
              <c:strCache>
                <c:ptCount val="1"/>
                <c:pt idx="0">
                  <c:v>Total de defunciones registrados</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550" b="0" i="0" u="none" strike="noStrike" kern="1200" baseline="0">
                    <a:solidFill>
                      <a:schemeClr val="tx1">
                        <a:lumMod val="50000"/>
                        <a:lumOff val="50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Mortalidad_1990_2019!$B$12:$B$31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Mortalidad_1990_2019!$C$12:$C$31</c:f>
              <c:numCache>
                <c:formatCode>#,##0</c:formatCode>
                <c:ptCount val="20"/>
                <c:pt idx="0">
                  <c:v>7361</c:v>
                </c:pt>
                <c:pt idx="1">
                  <c:v>7423</c:v>
                </c:pt>
                <c:pt idx="2">
                  <c:v>7557</c:v>
                </c:pt>
                <c:pt idx="3">
                  <c:v>7822</c:v>
                </c:pt>
                <c:pt idx="4">
                  <c:v>7829</c:v>
                </c:pt>
                <c:pt idx="5">
                  <c:v>8127</c:v>
                </c:pt>
                <c:pt idx="6">
                  <c:v>8337</c:v>
                </c:pt>
                <c:pt idx="7">
                  <c:v>8683</c:v>
                </c:pt>
                <c:pt idx="8">
                  <c:v>8923</c:v>
                </c:pt>
                <c:pt idx="9">
                  <c:v>9174</c:v>
                </c:pt>
                <c:pt idx="10">
                  <c:v>9554</c:v>
                </c:pt>
                <c:pt idx="11">
                  <c:v>9239</c:v>
                </c:pt>
                <c:pt idx="12">
                  <c:v>9677</c:v>
                </c:pt>
                <c:pt idx="13">
                  <c:v>9810</c:v>
                </c:pt>
                <c:pt idx="14">
                  <c:v>10305</c:v>
                </c:pt>
                <c:pt idx="15">
                  <c:v>10405</c:v>
                </c:pt>
                <c:pt idx="16">
                  <c:v>10847</c:v>
                </c:pt>
                <c:pt idx="17">
                  <c:v>11167</c:v>
                </c:pt>
                <c:pt idx="18">
                  <c:v>11576</c:v>
                </c:pt>
                <c:pt idx="19">
                  <c:v>11733</c:v>
                </c:pt>
              </c:numCache>
            </c:numRef>
          </c:val>
          <c:extLst>
            <c:ext xmlns:c16="http://schemas.microsoft.com/office/drawing/2014/chart" uri="{C3380CC4-5D6E-409C-BE32-E72D297353CC}">
              <c16:uniqueId val="{00000000-8F30-475D-A1B9-91D6F2AE7F21}"/>
            </c:ext>
          </c:extLst>
        </c:ser>
        <c:dLbls>
          <c:showLegendKey val="0"/>
          <c:showVal val="0"/>
          <c:showCatName val="0"/>
          <c:showSerName val="0"/>
          <c:showPercent val="0"/>
          <c:showBubbleSize val="0"/>
        </c:dLbls>
        <c:gapWidth val="150"/>
        <c:axId val="637993024"/>
        <c:axId val="638000512"/>
      </c:barChart>
      <c:lineChart>
        <c:grouping val="standard"/>
        <c:varyColors val="0"/>
        <c:ser>
          <c:idx val="1"/>
          <c:order val="1"/>
          <c:tx>
            <c:strRef>
              <c:f>Mortalidad_1990_2019!$D$1</c:f>
              <c:strCache>
                <c:ptCount val="1"/>
                <c:pt idx="0">
                  <c:v>Tasa de defunciones registrados</c:v>
                </c:pt>
              </c:strCache>
            </c:strRef>
          </c:tx>
          <c:spPr>
            <a:ln w="158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tx1">
                        <a:lumMod val="50000"/>
                        <a:lumOff val="50000"/>
                      </a:schemeClr>
                    </a:solidFill>
                    <a:latin typeface="+mn-lt"/>
                    <a:ea typeface="+mn-ea"/>
                    <a:cs typeface="+mn-cs"/>
                  </a:defRPr>
                </a:pPr>
                <a:endParaRPr lang="es-MX"/>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Mortalidad_1990_2019!$D$12:$D$31</c:f>
              <c:numCache>
                <c:formatCode>0</c:formatCode>
                <c:ptCount val="20"/>
                <c:pt idx="0">
                  <c:v>41.509172224437123</c:v>
                </c:pt>
                <c:pt idx="1">
                  <c:v>41.637872233490697</c:v>
                </c:pt>
                <c:pt idx="2">
                  <c:v>42.165817621818874</c:v>
                </c:pt>
                <c:pt idx="3">
                  <c:v>43.414095094740084</c:v>
                </c:pt>
                <c:pt idx="4">
                  <c:v>43.223624424301512</c:v>
                </c:pt>
                <c:pt idx="5">
                  <c:v>44.632069627566331</c:v>
                </c:pt>
                <c:pt idx="6">
                  <c:v>45.811065210295702</c:v>
                </c:pt>
                <c:pt idx="7">
                  <c:v>47.739087167955489</c:v>
                </c:pt>
                <c:pt idx="8">
                  <c:v>49.086133153631401</c:v>
                </c:pt>
                <c:pt idx="9">
                  <c:v>50.495237518610971</c:v>
                </c:pt>
                <c:pt idx="10">
                  <c:v>52.616332541389788</c:v>
                </c:pt>
                <c:pt idx="11">
                  <c:v>50.81410364999153</c:v>
                </c:pt>
                <c:pt idx="12">
                  <c:v>53.152544011372015</c:v>
                </c:pt>
                <c:pt idx="13">
                  <c:v>53.811629675056743</c:v>
                </c:pt>
                <c:pt idx="14">
                  <c:v>56.45198841926215</c:v>
                </c:pt>
                <c:pt idx="15">
                  <c:v>56.924241794265228</c:v>
                </c:pt>
                <c:pt idx="16">
                  <c:v>59.045624135164239</c:v>
                </c:pt>
                <c:pt idx="17">
                  <c:v>60.483554290313478</c:v>
                </c:pt>
                <c:pt idx="18">
                  <c:v>62.385277591850681</c:v>
                </c:pt>
                <c:pt idx="19">
                  <c:v>62.915171495185781</c:v>
                </c:pt>
              </c:numCache>
            </c:numRef>
          </c:val>
          <c:smooth val="0"/>
          <c:extLst>
            <c:ext xmlns:c16="http://schemas.microsoft.com/office/drawing/2014/chart" uri="{C3380CC4-5D6E-409C-BE32-E72D297353CC}">
              <c16:uniqueId val="{00000001-8F30-475D-A1B9-91D6F2AE7F21}"/>
            </c:ext>
          </c:extLst>
        </c:ser>
        <c:dLbls>
          <c:showLegendKey val="0"/>
          <c:showVal val="0"/>
          <c:showCatName val="0"/>
          <c:showSerName val="0"/>
          <c:showPercent val="0"/>
          <c:showBubbleSize val="0"/>
        </c:dLbls>
        <c:marker val="1"/>
        <c:smooth val="0"/>
        <c:axId val="635620560"/>
        <c:axId val="635636368"/>
      </c:lineChart>
      <c:catAx>
        <c:axId val="637993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MX"/>
          </a:p>
        </c:txPr>
        <c:crossAx val="638000512"/>
        <c:crosses val="autoZero"/>
        <c:auto val="1"/>
        <c:lblAlgn val="ctr"/>
        <c:lblOffset val="100"/>
        <c:noMultiLvlLbl val="0"/>
      </c:catAx>
      <c:valAx>
        <c:axId val="638000512"/>
        <c:scaling>
          <c:orientation val="minMax"/>
          <c:max val="18000"/>
          <c:min val="3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MX"/>
          </a:p>
        </c:txPr>
        <c:crossAx val="637993024"/>
        <c:crosses val="autoZero"/>
        <c:crossBetween val="between"/>
      </c:valAx>
      <c:valAx>
        <c:axId val="635636368"/>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MX"/>
          </a:p>
        </c:txPr>
        <c:crossAx val="635620560"/>
        <c:crosses val="max"/>
        <c:crossBetween val="between"/>
      </c:valAx>
      <c:catAx>
        <c:axId val="635620560"/>
        <c:scaling>
          <c:orientation val="minMax"/>
        </c:scaling>
        <c:delete val="1"/>
        <c:axPos val="b"/>
        <c:majorTickMark val="none"/>
        <c:minorTickMark val="none"/>
        <c:tickLblPos val="nextTo"/>
        <c:crossAx val="6356363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Mortalidad por grupos quinquenales de la alcaldía</a:t>
            </a:r>
            <a:r>
              <a:rPr lang="es-MX" baseline="0"/>
              <a:t> </a:t>
            </a:r>
          </a:p>
          <a:p>
            <a:pPr>
              <a:defRPr/>
            </a:pPr>
            <a:r>
              <a:rPr lang="es-MX" baseline="0"/>
              <a:t>Iztapalapa en el año 2019</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stacked"/>
        <c:varyColors val="0"/>
        <c:ser>
          <c:idx val="0"/>
          <c:order val="0"/>
          <c:tx>
            <c:strRef>
              <c:f>DEF_2019!$B$53</c:f>
              <c:strCache>
                <c:ptCount val="1"/>
                <c:pt idx="0">
                  <c:v>Hombre</c:v>
                </c:pt>
              </c:strCache>
            </c:strRef>
          </c:tx>
          <c:spPr>
            <a:solidFill>
              <a:schemeClr val="accent1"/>
            </a:solidFill>
            <a:ln>
              <a:noFill/>
            </a:ln>
            <a:effectLst/>
          </c:spPr>
          <c:invertIfNegative val="0"/>
          <c:cat>
            <c:strRef>
              <c:f>DEF_2019!$A$54:$A$76</c:f>
              <c:strCache>
                <c:ptCount val="23"/>
                <c:pt idx="0">
                  <c:v>Menores de un año</c:v>
                </c:pt>
                <c:pt idx="1">
                  <c:v>De 1 a 4 años</c:v>
                </c:pt>
                <c:pt idx="2">
                  <c:v>De 5 a 9 años</c:v>
                </c:pt>
                <c:pt idx="3">
                  <c:v>De 10 a 14 años</c:v>
                </c:pt>
                <c:pt idx="4">
                  <c:v>De 15 a 19 años</c:v>
                </c:pt>
                <c:pt idx="5">
                  <c:v>De 20 a 24 años</c:v>
                </c:pt>
                <c:pt idx="6">
                  <c:v>De 25 a 29 años</c:v>
                </c:pt>
                <c:pt idx="7">
                  <c:v>De 30 a 34 años</c:v>
                </c:pt>
                <c:pt idx="8">
                  <c:v>De 35 a 39 años</c:v>
                </c:pt>
                <c:pt idx="9">
                  <c:v>De 40 a 44 años</c:v>
                </c:pt>
                <c:pt idx="10">
                  <c:v>De 45 a 49 años</c:v>
                </c:pt>
                <c:pt idx="11">
                  <c:v>De 50 a 54 años</c:v>
                </c:pt>
                <c:pt idx="12">
                  <c:v>De 55 a 59 años</c:v>
                </c:pt>
                <c:pt idx="13">
                  <c:v>De 60 a 64 años</c:v>
                </c:pt>
                <c:pt idx="14">
                  <c:v>De 65 a 69 años</c:v>
                </c:pt>
                <c:pt idx="15">
                  <c:v>De 70 a 74 años</c:v>
                </c:pt>
                <c:pt idx="16">
                  <c:v>De 75 a 79 años</c:v>
                </c:pt>
                <c:pt idx="17">
                  <c:v>De 80 a 84 años</c:v>
                </c:pt>
                <c:pt idx="18">
                  <c:v>De 85 a 89 años</c:v>
                </c:pt>
                <c:pt idx="19">
                  <c:v>De 90 a 94 años</c:v>
                </c:pt>
                <c:pt idx="20">
                  <c:v>De 95 a 99 años</c:v>
                </c:pt>
                <c:pt idx="21">
                  <c:v>Cien años y más</c:v>
                </c:pt>
                <c:pt idx="22">
                  <c:v>No especificados   </c:v>
                </c:pt>
              </c:strCache>
            </c:strRef>
          </c:cat>
          <c:val>
            <c:numRef>
              <c:f>DEF_2019!$B$54:$B$76</c:f>
              <c:numCache>
                <c:formatCode>General</c:formatCode>
                <c:ptCount val="23"/>
                <c:pt idx="0">
                  <c:v>157</c:v>
                </c:pt>
                <c:pt idx="1">
                  <c:v>24</c:v>
                </c:pt>
                <c:pt idx="2">
                  <c:v>12</c:v>
                </c:pt>
                <c:pt idx="3">
                  <c:v>22</c:v>
                </c:pt>
                <c:pt idx="4">
                  <c:v>60</c:v>
                </c:pt>
                <c:pt idx="5">
                  <c:v>141</c:v>
                </c:pt>
                <c:pt idx="6">
                  <c:v>198</c:v>
                </c:pt>
                <c:pt idx="7">
                  <c:v>208</c:v>
                </c:pt>
                <c:pt idx="8">
                  <c:v>219</c:v>
                </c:pt>
                <c:pt idx="9">
                  <c:v>281</c:v>
                </c:pt>
                <c:pt idx="10">
                  <c:v>365</c:v>
                </c:pt>
                <c:pt idx="11">
                  <c:v>424</c:v>
                </c:pt>
                <c:pt idx="12">
                  <c:v>491</c:v>
                </c:pt>
                <c:pt idx="13">
                  <c:v>597</c:v>
                </c:pt>
                <c:pt idx="14">
                  <c:v>634</c:v>
                </c:pt>
                <c:pt idx="15">
                  <c:v>668</c:v>
                </c:pt>
                <c:pt idx="16">
                  <c:v>582</c:v>
                </c:pt>
                <c:pt idx="17">
                  <c:v>488</c:v>
                </c:pt>
                <c:pt idx="18">
                  <c:v>433</c:v>
                </c:pt>
                <c:pt idx="19">
                  <c:v>218</c:v>
                </c:pt>
                <c:pt idx="20">
                  <c:v>80</c:v>
                </c:pt>
                <c:pt idx="21">
                  <c:v>25</c:v>
                </c:pt>
                <c:pt idx="22">
                  <c:v>1</c:v>
                </c:pt>
              </c:numCache>
            </c:numRef>
          </c:val>
          <c:extLst>
            <c:ext xmlns:c16="http://schemas.microsoft.com/office/drawing/2014/chart" uri="{C3380CC4-5D6E-409C-BE32-E72D297353CC}">
              <c16:uniqueId val="{00000000-25E4-4187-AA1D-F6CCFFC68684}"/>
            </c:ext>
          </c:extLst>
        </c:ser>
        <c:ser>
          <c:idx val="1"/>
          <c:order val="1"/>
          <c:tx>
            <c:strRef>
              <c:f>DEF_2019!$C$53</c:f>
              <c:strCache>
                <c:ptCount val="1"/>
                <c:pt idx="0">
                  <c:v>Mujer</c:v>
                </c:pt>
              </c:strCache>
            </c:strRef>
          </c:tx>
          <c:spPr>
            <a:solidFill>
              <a:schemeClr val="accent2"/>
            </a:solidFill>
            <a:ln>
              <a:noFill/>
            </a:ln>
            <a:effectLst/>
          </c:spPr>
          <c:invertIfNegative val="0"/>
          <c:dLbls>
            <c:dLbl>
              <c:idx val="0"/>
              <c:layout>
                <c:manualLayout>
                  <c:x val="0"/>
                  <c:y val="-6.0324927073982841E-2"/>
                </c:manualLayout>
              </c:layout>
              <c:tx>
                <c:rich>
                  <a:bodyPr/>
                  <a:lstStyle/>
                  <a:p>
                    <a:fld id="{5B2A3055-DB57-4F2B-B14E-82646F02C35C}"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25E4-4187-AA1D-F6CCFFC68684}"/>
                </c:ext>
              </c:extLst>
            </c:dLbl>
            <c:dLbl>
              <c:idx val="1"/>
              <c:layout>
                <c:manualLayout>
                  <c:x val="5.2093018168294473E-3"/>
                  <c:y val="-3.5583755430631518E-2"/>
                </c:manualLayout>
              </c:layout>
              <c:tx>
                <c:rich>
                  <a:bodyPr/>
                  <a:lstStyle/>
                  <a:p>
                    <a:fld id="{F49E33E7-C6EE-4373-8407-FEC69B020F49}"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2-25E4-4187-AA1D-F6CCFFC68684}"/>
                </c:ext>
              </c:extLst>
            </c:dLbl>
            <c:dLbl>
              <c:idx val="2"/>
              <c:layout>
                <c:manualLayout>
                  <c:x val="0"/>
                  <c:y val="-2.2237464139711404E-2"/>
                </c:manualLayout>
              </c:layout>
              <c:tx>
                <c:rich>
                  <a:bodyPr/>
                  <a:lstStyle/>
                  <a:p>
                    <a:fld id="{779EB451-D1F7-4ADD-B6EE-DBD76F5C0F33}"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3-25E4-4187-AA1D-F6CCFFC68684}"/>
                </c:ext>
              </c:extLst>
            </c:dLbl>
            <c:dLbl>
              <c:idx val="3"/>
              <c:layout>
                <c:manualLayout>
                  <c:x val="1.7364339389431542E-3"/>
                  <c:y val="-2.5269483758489256E-2"/>
                </c:manualLayout>
              </c:layout>
              <c:tx>
                <c:rich>
                  <a:bodyPr/>
                  <a:lstStyle/>
                  <a:p>
                    <a:fld id="{8390170B-0921-4DB5-9B45-10E53E6FAE36}"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4-25E4-4187-AA1D-F6CCFFC68684}"/>
                </c:ext>
              </c:extLst>
            </c:dLbl>
            <c:dLbl>
              <c:idx val="4"/>
              <c:layout>
                <c:manualLayout>
                  <c:x val="-1.7364339389431861E-3"/>
                  <c:y val="-4.067154845637886E-2"/>
                </c:manualLayout>
              </c:layout>
              <c:tx>
                <c:rich>
                  <a:bodyPr/>
                  <a:lstStyle/>
                  <a:p>
                    <a:fld id="{6D8C1870-F949-4265-A4B0-1CDEB1B09299}"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5-25E4-4187-AA1D-F6CCFFC68684}"/>
                </c:ext>
              </c:extLst>
            </c:dLbl>
            <c:dLbl>
              <c:idx val="5"/>
              <c:layout>
                <c:manualLayout>
                  <c:x val="-6.3668508923867524E-17"/>
                  <c:y val="-3.0400851722446078E-2"/>
                </c:manualLayout>
              </c:layout>
              <c:tx>
                <c:rich>
                  <a:bodyPr/>
                  <a:lstStyle/>
                  <a:p>
                    <a:fld id="{1B9F37A6-4E73-4CCE-A374-CE160A5600AD}"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6-25E4-4187-AA1D-F6CCFFC68684}"/>
                </c:ext>
              </c:extLst>
            </c:dLbl>
            <c:dLbl>
              <c:idx val="6"/>
              <c:layout>
                <c:manualLayout>
                  <c:x val="1.7364339389430907E-3"/>
                  <c:y val="-3.4832297241413117E-2"/>
                </c:manualLayout>
              </c:layout>
              <c:tx>
                <c:rich>
                  <a:bodyPr/>
                  <a:lstStyle/>
                  <a:p>
                    <a:fld id="{753EACEA-52C0-4260-8EAF-95C555A72813}"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7-25E4-4187-AA1D-F6CCFFC68684}"/>
                </c:ext>
              </c:extLst>
            </c:dLbl>
            <c:dLbl>
              <c:idx val="7"/>
              <c:layout>
                <c:manualLayout>
                  <c:x val="1.7364339389431542E-3"/>
                  <c:y val="-3.9592021261217927E-2"/>
                </c:manualLayout>
              </c:layout>
              <c:tx>
                <c:rich>
                  <a:bodyPr/>
                  <a:lstStyle/>
                  <a:p>
                    <a:fld id="{6450D86A-9160-4D56-AF42-5054A312D477}"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8-25E4-4187-AA1D-F6CCFFC68684}"/>
                </c:ext>
              </c:extLst>
            </c:dLbl>
            <c:dLbl>
              <c:idx val="8"/>
              <c:layout>
                <c:manualLayout>
                  <c:x val="0"/>
                  <c:y val="-4.9344846614122556E-2"/>
                </c:manualLayout>
              </c:layout>
              <c:tx>
                <c:rich>
                  <a:bodyPr/>
                  <a:lstStyle/>
                  <a:p>
                    <a:fld id="{86136FD8-B7B9-45E4-9258-3C30C84A4D2F}"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9-25E4-4187-AA1D-F6CCFFC68684}"/>
                </c:ext>
              </c:extLst>
            </c:dLbl>
            <c:dLbl>
              <c:idx val="9"/>
              <c:layout>
                <c:manualLayout>
                  <c:x val="0"/>
                  <c:y val="-6.5299768340544947E-2"/>
                </c:manualLayout>
              </c:layout>
              <c:tx>
                <c:rich>
                  <a:bodyPr/>
                  <a:lstStyle/>
                  <a:p>
                    <a:fld id="{42CC8144-BBCD-49B9-B602-E357DE15946F}"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A-25E4-4187-AA1D-F6CCFFC68684}"/>
                </c:ext>
              </c:extLst>
            </c:dLbl>
            <c:dLbl>
              <c:idx val="10"/>
              <c:layout>
                <c:manualLayout>
                  <c:x val="-6.3668508923867524E-17"/>
                  <c:y val="-7.1174005203015214E-2"/>
                </c:manualLayout>
              </c:layout>
              <c:tx>
                <c:rich>
                  <a:bodyPr/>
                  <a:lstStyle/>
                  <a:p>
                    <a:fld id="{8E717363-CB95-474E-87F0-44DE171C401C}"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B-25E4-4187-AA1D-F6CCFFC68684}"/>
                </c:ext>
              </c:extLst>
            </c:dLbl>
            <c:dLbl>
              <c:idx val="11"/>
              <c:layout>
                <c:manualLayout>
                  <c:x val="-1.736433938943218E-3"/>
                  <c:y val="-8.759568155602758E-2"/>
                </c:manualLayout>
              </c:layout>
              <c:tx>
                <c:rich>
                  <a:bodyPr/>
                  <a:lstStyle/>
                  <a:p>
                    <a:fld id="{CFB621CF-B966-4FFB-941B-6F8422AAA357}"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C-25E4-4187-AA1D-F6CCFFC68684}"/>
                </c:ext>
              </c:extLst>
            </c:dLbl>
            <c:dLbl>
              <c:idx val="12"/>
              <c:layout>
                <c:manualLayout>
                  <c:x val="-6.3668508923867524E-17"/>
                  <c:y val="-0.10443194830671561"/>
                </c:manualLayout>
              </c:layout>
              <c:tx>
                <c:rich>
                  <a:bodyPr/>
                  <a:lstStyle/>
                  <a:p>
                    <a:fld id="{4D96E3AF-A35B-469D-9C43-865BF9B4E9C9}"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D-25E4-4187-AA1D-F6CCFFC68684}"/>
                </c:ext>
              </c:extLst>
            </c:dLbl>
            <c:dLbl>
              <c:idx val="13"/>
              <c:layout>
                <c:manualLayout>
                  <c:x val="0"/>
                  <c:y val="-0.14081702171163199"/>
                </c:manualLayout>
              </c:layout>
              <c:tx>
                <c:rich>
                  <a:bodyPr/>
                  <a:lstStyle/>
                  <a:p>
                    <a:fld id="{C7787E39-D74D-4259-98FB-50895D3EE6C5}"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E-25E4-4187-AA1D-F6CCFFC68684}"/>
                </c:ext>
              </c:extLst>
            </c:dLbl>
            <c:dLbl>
              <c:idx val="14"/>
              <c:layout>
                <c:manualLayout>
                  <c:x val="-1.2733701784773505E-16"/>
                  <c:y val="-0.15658214106296872"/>
                </c:manualLayout>
              </c:layout>
              <c:tx>
                <c:rich>
                  <a:bodyPr/>
                  <a:lstStyle/>
                  <a:p>
                    <a:fld id="{244E93A0-0307-46B7-89D0-4B2CA1D4E1B8}"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F-25E4-4187-AA1D-F6CCFFC68684}"/>
                </c:ext>
              </c:extLst>
            </c:dLbl>
            <c:dLbl>
              <c:idx val="15"/>
              <c:layout>
                <c:manualLayout>
                  <c:x val="5.209301816829463E-3"/>
                  <c:y val="-0.17194104981243921"/>
                </c:manualLayout>
              </c:layout>
              <c:tx>
                <c:rich>
                  <a:bodyPr/>
                  <a:lstStyle/>
                  <a:p>
                    <a:fld id="{AA90D14B-1AC7-4BD7-8C29-06F0563675FF}"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0-25E4-4187-AA1D-F6CCFFC68684}"/>
                </c:ext>
              </c:extLst>
            </c:dLbl>
            <c:dLbl>
              <c:idx val="16"/>
              <c:layout>
                <c:manualLayout>
                  <c:x val="0"/>
                  <c:y val="-0.16773439231606244"/>
                </c:manualLayout>
              </c:layout>
              <c:tx>
                <c:rich>
                  <a:bodyPr/>
                  <a:lstStyle/>
                  <a:p>
                    <a:fld id="{FC5AD0D8-FE9A-4BAD-8585-1B110FDE6884}"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1-25E4-4187-AA1D-F6CCFFC68684}"/>
                </c:ext>
              </c:extLst>
            </c:dLbl>
            <c:dLbl>
              <c:idx val="17"/>
              <c:layout>
                <c:manualLayout>
                  <c:x val="0"/>
                  <c:y val="-0.16497869646410326"/>
                </c:manualLayout>
              </c:layout>
              <c:tx>
                <c:rich>
                  <a:bodyPr/>
                  <a:lstStyle/>
                  <a:p>
                    <a:fld id="{3544D30D-E0E1-47BF-B9EF-18107E02B81C}" type="CELLRANGE">
                      <a:rPr lang="en-US"/>
                      <a:pPr/>
                      <a:t>[CELLRANGE]</a:t>
                    </a:fld>
                    <a:endParaRPr lang="es-MX"/>
                  </a:p>
                </c:rich>
              </c:tx>
              <c:dLblPos val="ctr"/>
              <c:showLegendKey val="0"/>
              <c:showVal val="0"/>
              <c:showCatName val="0"/>
              <c:showSerName val="0"/>
              <c:showPercent val="0"/>
              <c:showBubbleSize val="0"/>
              <c:separator>, </c:separator>
              <c:extLst>
                <c:ext xmlns:c15="http://schemas.microsoft.com/office/drawing/2012/chart" uri="{CE6537A1-D6FC-4f65-9D91-7224C49458BB}">
                  <c15:dlblFieldTable/>
                  <c15:showDataLabelsRange val="1"/>
                </c:ext>
                <c:ext xmlns:c16="http://schemas.microsoft.com/office/drawing/2014/chart" uri="{C3380CC4-5D6E-409C-BE32-E72D297353CC}">
                  <c16:uniqueId val="{00000012-25E4-4187-AA1D-F6CCFFC68684}"/>
                </c:ext>
              </c:extLst>
            </c:dLbl>
            <c:dLbl>
              <c:idx val="18"/>
              <c:layout>
                <c:manualLayout>
                  <c:x val="0"/>
                  <c:y val="-0.15574416148201717"/>
                </c:manualLayout>
              </c:layout>
              <c:tx>
                <c:rich>
                  <a:bodyPr/>
                  <a:lstStyle/>
                  <a:p>
                    <a:fld id="{6C5DF546-7700-4376-B705-F5D627184692}"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3-25E4-4187-AA1D-F6CCFFC68684}"/>
                </c:ext>
              </c:extLst>
            </c:dLbl>
            <c:dLbl>
              <c:idx val="19"/>
              <c:layout>
                <c:manualLayout>
                  <c:x val="-1.7364339389431542E-3"/>
                  <c:y val="-0.12487027028612399"/>
                </c:manualLayout>
              </c:layout>
              <c:tx>
                <c:rich>
                  <a:bodyPr/>
                  <a:lstStyle/>
                  <a:p>
                    <a:fld id="{44B6E86A-F02A-499B-A0F1-39E820574F50}"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4-25E4-4187-AA1D-F6CCFFC68684}"/>
                </c:ext>
              </c:extLst>
            </c:dLbl>
            <c:dLbl>
              <c:idx val="20"/>
              <c:layout>
                <c:manualLayout>
                  <c:x val="-1.2733701784773505E-16"/>
                  <c:y val="-7.7289999174590118E-2"/>
                </c:manualLayout>
              </c:layout>
              <c:tx>
                <c:rich>
                  <a:bodyPr/>
                  <a:lstStyle/>
                  <a:p>
                    <a:fld id="{0962EA15-DCDB-41F4-92E0-00CE3768E374}"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5-25E4-4187-AA1D-F6CCFFC68684}"/>
                </c:ext>
              </c:extLst>
            </c:dLbl>
            <c:dLbl>
              <c:idx val="21"/>
              <c:layout>
                <c:manualLayout>
                  <c:x val="5.209301816829463E-3"/>
                  <c:y val="-3.4788931798098874E-2"/>
                </c:manualLayout>
              </c:layout>
              <c:tx>
                <c:rich>
                  <a:bodyPr/>
                  <a:lstStyle/>
                  <a:p>
                    <a:fld id="{2303C45E-5D58-461A-9307-D356A49A48A1}" type="CELLRANGE">
                      <a:rPr lang="en-US"/>
                      <a:pPr/>
                      <a:t>[CELLRANGE]</a:t>
                    </a:fld>
                    <a:endParaRPr lang="es-MX"/>
                  </a:p>
                </c:rich>
              </c:tx>
              <c:dLblPos val="ctr"/>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16-25E4-4187-AA1D-F6CCFFC68684}"/>
                </c:ext>
              </c:extLst>
            </c:dLbl>
            <c:dLbl>
              <c:idx val="22"/>
              <c:tx>
                <c:rich>
                  <a:bodyPr/>
                  <a:lstStyle/>
                  <a:p>
                    <a:endParaRPr lang="es-MX"/>
                  </a:p>
                </c:rich>
              </c:tx>
              <c:dLblPos val="in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7-25E4-4187-AA1D-F6CCFFC68684}"/>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MX"/>
              </a:p>
            </c:txPr>
            <c:dLblPos val="in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0"/>
              </c:ext>
            </c:extLst>
          </c:dLbls>
          <c:cat>
            <c:strRef>
              <c:f>DEF_2019!$A$54:$A$76</c:f>
              <c:strCache>
                <c:ptCount val="23"/>
                <c:pt idx="0">
                  <c:v>Menores de un año</c:v>
                </c:pt>
                <c:pt idx="1">
                  <c:v>De 1 a 4 años</c:v>
                </c:pt>
                <c:pt idx="2">
                  <c:v>De 5 a 9 años</c:v>
                </c:pt>
                <c:pt idx="3">
                  <c:v>De 10 a 14 años</c:v>
                </c:pt>
                <c:pt idx="4">
                  <c:v>De 15 a 19 años</c:v>
                </c:pt>
                <c:pt idx="5">
                  <c:v>De 20 a 24 años</c:v>
                </c:pt>
                <c:pt idx="6">
                  <c:v>De 25 a 29 años</c:v>
                </c:pt>
                <c:pt idx="7">
                  <c:v>De 30 a 34 años</c:v>
                </c:pt>
                <c:pt idx="8">
                  <c:v>De 35 a 39 años</c:v>
                </c:pt>
                <c:pt idx="9">
                  <c:v>De 40 a 44 años</c:v>
                </c:pt>
                <c:pt idx="10">
                  <c:v>De 45 a 49 años</c:v>
                </c:pt>
                <c:pt idx="11">
                  <c:v>De 50 a 54 años</c:v>
                </c:pt>
                <c:pt idx="12">
                  <c:v>De 55 a 59 años</c:v>
                </c:pt>
                <c:pt idx="13">
                  <c:v>De 60 a 64 años</c:v>
                </c:pt>
                <c:pt idx="14">
                  <c:v>De 65 a 69 años</c:v>
                </c:pt>
                <c:pt idx="15">
                  <c:v>De 70 a 74 años</c:v>
                </c:pt>
                <c:pt idx="16">
                  <c:v>De 75 a 79 años</c:v>
                </c:pt>
                <c:pt idx="17">
                  <c:v>De 80 a 84 años</c:v>
                </c:pt>
                <c:pt idx="18">
                  <c:v>De 85 a 89 años</c:v>
                </c:pt>
                <c:pt idx="19">
                  <c:v>De 90 a 94 años</c:v>
                </c:pt>
                <c:pt idx="20">
                  <c:v>De 95 a 99 años</c:v>
                </c:pt>
                <c:pt idx="21">
                  <c:v>Cien años y más</c:v>
                </c:pt>
                <c:pt idx="22">
                  <c:v>No especificados   </c:v>
                </c:pt>
              </c:strCache>
            </c:strRef>
          </c:cat>
          <c:val>
            <c:numRef>
              <c:f>DEF_2019!$C$54:$C$76</c:f>
              <c:numCache>
                <c:formatCode>General</c:formatCode>
                <c:ptCount val="23"/>
                <c:pt idx="0">
                  <c:v>114</c:v>
                </c:pt>
                <c:pt idx="1">
                  <c:v>27</c:v>
                </c:pt>
                <c:pt idx="2">
                  <c:v>4</c:v>
                </c:pt>
                <c:pt idx="3">
                  <c:v>17</c:v>
                </c:pt>
                <c:pt idx="4">
                  <c:v>26</c:v>
                </c:pt>
                <c:pt idx="5">
                  <c:v>39</c:v>
                </c:pt>
                <c:pt idx="6">
                  <c:v>58</c:v>
                </c:pt>
                <c:pt idx="7">
                  <c:v>67</c:v>
                </c:pt>
                <c:pt idx="8">
                  <c:v>86</c:v>
                </c:pt>
                <c:pt idx="9">
                  <c:v>143</c:v>
                </c:pt>
                <c:pt idx="10">
                  <c:v>191</c:v>
                </c:pt>
                <c:pt idx="11">
                  <c:v>250</c:v>
                </c:pt>
                <c:pt idx="12">
                  <c:v>345</c:v>
                </c:pt>
                <c:pt idx="13">
                  <c:v>501</c:v>
                </c:pt>
                <c:pt idx="14">
                  <c:v>580</c:v>
                </c:pt>
                <c:pt idx="15">
                  <c:v>566</c:v>
                </c:pt>
                <c:pt idx="16">
                  <c:v>605</c:v>
                </c:pt>
                <c:pt idx="17">
                  <c:v>616</c:v>
                </c:pt>
                <c:pt idx="18">
                  <c:v>565</c:v>
                </c:pt>
                <c:pt idx="19">
                  <c:v>387</c:v>
                </c:pt>
                <c:pt idx="20">
                  <c:v>183</c:v>
                </c:pt>
                <c:pt idx="21">
                  <c:v>35</c:v>
                </c:pt>
              </c:numCache>
            </c:numRef>
          </c:val>
          <c:extLst>
            <c:ext xmlns:c15="http://schemas.microsoft.com/office/drawing/2012/chart" uri="{02D57815-91ED-43cb-92C2-25804820EDAC}">
              <c15:datalabelsRange>
                <c15:f>DEF_2019!$D$54:$D$76</c15:f>
                <c15:dlblRangeCache>
                  <c:ptCount val="23"/>
                  <c:pt idx="0">
                    <c:v>271</c:v>
                  </c:pt>
                  <c:pt idx="1">
                    <c:v>51</c:v>
                  </c:pt>
                  <c:pt idx="2">
                    <c:v>16</c:v>
                  </c:pt>
                  <c:pt idx="3">
                    <c:v>39</c:v>
                  </c:pt>
                  <c:pt idx="4">
                    <c:v>86</c:v>
                  </c:pt>
                  <c:pt idx="5">
                    <c:v>180</c:v>
                  </c:pt>
                  <c:pt idx="6">
                    <c:v>256</c:v>
                  </c:pt>
                  <c:pt idx="7">
                    <c:v>275</c:v>
                  </c:pt>
                  <c:pt idx="8">
                    <c:v>305</c:v>
                  </c:pt>
                  <c:pt idx="9">
                    <c:v>424</c:v>
                  </c:pt>
                  <c:pt idx="10">
                    <c:v>556</c:v>
                  </c:pt>
                  <c:pt idx="11">
                    <c:v>674</c:v>
                  </c:pt>
                  <c:pt idx="12">
                    <c:v>836</c:v>
                  </c:pt>
                  <c:pt idx="13">
                    <c:v>1098</c:v>
                  </c:pt>
                  <c:pt idx="14">
                    <c:v>1214</c:v>
                  </c:pt>
                  <c:pt idx="15">
                    <c:v>1234</c:v>
                  </c:pt>
                  <c:pt idx="16">
                    <c:v>1187</c:v>
                  </c:pt>
                  <c:pt idx="17">
                    <c:v>1104</c:v>
                  </c:pt>
                  <c:pt idx="18">
                    <c:v>998</c:v>
                  </c:pt>
                  <c:pt idx="19">
                    <c:v>605</c:v>
                  </c:pt>
                  <c:pt idx="20">
                    <c:v>263</c:v>
                  </c:pt>
                  <c:pt idx="21">
                    <c:v>60</c:v>
                  </c:pt>
                  <c:pt idx="22">
                    <c:v>1</c:v>
                  </c:pt>
                </c15:dlblRangeCache>
              </c15:datalabelsRange>
            </c:ext>
            <c:ext xmlns:c16="http://schemas.microsoft.com/office/drawing/2014/chart" uri="{C3380CC4-5D6E-409C-BE32-E72D297353CC}">
              <c16:uniqueId val="{00000018-25E4-4187-AA1D-F6CCFFC68684}"/>
            </c:ext>
          </c:extLst>
        </c:ser>
        <c:dLbls>
          <c:showLegendKey val="0"/>
          <c:showVal val="0"/>
          <c:showCatName val="0"/>
          <c:showSerName val="0"/>
          <c:showPercent val="0"/>
          <c:showBubbleSize val="0"/>
        </c:dLbls>
        <c:gapWidth val="25"/>
        <c:overlap val="100"/>
        <c:axId val="154009327"/>
        <c:axId val="154010159"/>
      </c:barChart>
      <c:catAx>
        <c:axId val="1540093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54010159"/>
        <c:crosses val="autoZero"/>
        <c:auto val="1"/>
        <c:lblAlgn val="ctr"/>
        <c:lblOffset val="100"/>
        <c:noMultiLvlLbl val="0"/>
      </c:catAx>
      <c:valAx>
        <c:axId val="1540101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540093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s-MX"/>
              <a:t>10 principales causas de muerte</a:t>
            </a:r>
            <a:r>
              <a:rPr lang="es-MX" baseline="0"/>
              <a:t> en 2019</a:t>
            </a:r>
            <a:r>
              <a:rPr lang="es-MX"/>
              <a:t> </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s-MX"/>
        </a:p>
      </c:txPr>
    </c:title>
    <c:autoTitleDeleted val="0"/>
    <c:plotArea>
      <c:layout/>
      <c:pie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2BDE-4C23-825D-FDBC22D86169}"/>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2BDE-4C23-825D-FDBC22D86169}"/>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2BDE-4C23-825D-FDBC22D86169}"/>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2BDE-4C23-825D-FDBC22D86169}"/>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2BDE-4C23-825D-FDBC22D86169}"/>
              </c:ext>
            </c:extLst>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B-2BDE-4C23-825D-FDBC22D86169}"/>
              </c:ext>
            </c:extLst>
          </c:dPt>
          <c:dPt>
            <c:idx val="6"/>
            <c:bubble3D val="0"/>
            <c:spPr>
              <a:gradFill>
                <a:gsLst>
                  <a:gs pos="100000">
                    <a:schemeClr val="accent1">
                      <a:lumMod val="60000"/>
                      <a:lumMod val="60000"/>
                      <a:lumOff val="40000"/>
                    </a:schemeClr>
                  </a:gs>
                  <a:gs pos="0">
                    <a:schemeClr val="accent1">
                      <a:lumMod val="60000"/>
                    </a:schemeClr>
                  </a:gs>
                </a:gsLst>
                <a:lin ang="5400000" scaled="0"/>
              </a:gradFill>
              <a:ln w="19050">
                <a:solidFill>
                  <a:schemeClr val="lt1"/>
                </a:solidFill>
              </a:ln>
              <a:effectLst/>
            </c:spPr>
            <c:extLst>
              <c:ext xmlns:c16="http://schemas.microsoft.com/office/drawing/2014/chart" uri="{C3380CC4-5D6E-409C-BE32-E72D297353CC}">
                <c16:uniqueId val="{0000000D-2BDE-4C23-825D-FDBC22D86169}"/>
              </c:ext>
            </c:extLst>
          </c:dPt>
          <c:dPt>
            <c:idx val="7"/>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extLst>
              <c:ext xmlns:c16="http://schemas.microsoft.com/office/drawing/2014/chart" uri="{C3380CC4-5D6E-409C-BE32-E72D297353CC}">
                <c16:uniqueId val="{0000000F-2BDE-4C23-825D-FDBC22D86169}"/>
              </c:ext>
            </c:extLst>
          </c:dPt>
          <c:dPt>
            <c:idx val="8"/>
            <c:bubble3D val="0"/>
            <c:spPr>
              <a:gradFill>
                <a:gsLst>
                  <a:gs pos="100000">
                    <a:schemeClr val="accent3">
                      <a:lumMod val="60000"/>
                      <a:lumMod val="60000"/>
                      <a:lumOff val="40000"/>
                    </a:schemeClr>
                  </a:gs>
                  <a:gs pos="0">
                    <a:schemeClr val="accent3">
                      <a:lumMod val="60000"/>
                    </a:schemeClr>
                  </a:gs>
                </a:gsLst>
                <a:lin ang="5400000" scaled="0"/>
              </a:gradFill>
              <a:ln w="19050">
                <a:solidFill>
                  <a:schemeClr val="lt1"/>
                </a:solidFill>
              </a:ln>
              <a:effectLst/>
            </c:spPr>
            <c:extLst>
              <c:ext xmlns:c16="http://schemas.microsoft.com/office/drawing/2014/chart" uri="{C3380CC4-5D6E-409C-BE32-E72D297353CC}">
                <c16:uniqueId val="{00000011-2BDE-4C23-825D-FDBC22D86169}"/>
              </c:ext>
            </c:extLst>
          </c:dPt>
          <c:dPt>
            <c:idx val="9"/>
            <c:bubble3D val="0"/>
            <c:spPr>
              <a:gradFill>
                <a:gsLst>
                  <a:gs pos="100000">
                    <a:schemeClr val="accent4">
                      <a:lumMod val="60000"/>
                      <a:lumMod val="60000"/>
                      <a:lumOff val="40000"/>
                    </a:schemeClr>
                  </a:gs>
                  <a:gs pos="0">
                    <a:schemeClr val="accent4">
                      <a:lumMod val="60000"/>
                    </a:schemeClr>
                  </a:gs>
                </a:gsLst>
                <a:lin ang="5400000" scaled="0"/>
              </a:gradFill>
              <a:ln w="19050">
                <a:solidFill>
                  <a:schemeClr val="lt1"/>
                </a:solidFill>
              </a:ln>
              <a:effectLst/>
            </c:spPr>
            <c:extLst>
              <c:ext xmlns:c16="http://schemas.microsoft.com/office/drawing/2014/chart" uri="{C3380CC4-5D6E-409C-BE32-E72D297353CC}">
                <c16:uniqueId val="{00000013-2BDE-4C23-825D-FDBC22D86169}"/>
              </c:ext>
            </c:extLst>
          </c:dPt>
          <c:dLbls>
            <c:numFmt formatCode="0.0%" sourceLinked="0"/>
            <c:spPr>
              <a:noFill/>
              <a:ln>
                <a:noFill/>
              </a:ln>
              <a:effectLst/>
            </c:spPr>
            <c:txPr>
              <a:bodyPr rot="0" spcFirstLastPara="1" vertOverflow="ellipsis" vert="horz" wrap="square" lIns="38100" tIns="19050" rIns="38100" bIns="19050" anchor="ctr" anchorCtr="1">
                <a:spAutoFit/>
              </a:bodyPr>
              <a:lstStyle/>
              <a:p>
                <a:pPr>
                  <a:defRPr sz="700" b="1" i="0" u="none" strike="noStrike" kern="1200" baseline="0">
                    <a:solidFill>
                      <a:schemeClr val="bg1"/>
                    </a:solidFill>
                    <a:latin typeface="+mn-lt"/>
                    <a:ea typeface="+mn-ea"/>
                    <a:cs typeface="+mn-cs"/>
                  </a:defRPr>
                </a:pPr>
                <a:endParaRPr lang="es-MX"/>
              </a:p>
            </c:txPr>
            <c:dLblPos val="inEnd"/>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(Enfermedades!$H$3:$H$11,Enfermedades!$H$12)</c:f>
              <c:strCache>
                <c:ptCount val="10"/>
                <c:pt idx="0">
                  <c:v>Diabetes mellitus</c:v>
                </c:pt>
                <c:pt idx="1">
                  <c:v>Infarto agudo del miocardio</c:v>
                </c:pt>
                <c:pt idx="2">
                  <c:v>Neumonía</c:v>
                </c:pt>
                <c:pt idx="3">
                  <c:v>Enfermedad alcohólica del hígado</c:v>
                </c:pt>
                <c:pt idx="4">
                  <c:v>Otras enfermedades del hígado</c:v>
                </c:pt>
                <c:pt idx="5">
                  <c:v>Enfermedades pulmonares obstructivas crónicas</c:v>
                </c:pt>
                <c:pt idx="6">
                  <c:v>Eventos de intención no determinada</c:v>
                </c:pt>
                <c:pt idx="7">
                  <c:v>Agresiones (homicidios)</c:v>
                </c:pt>
                <c:pt idx="8">
                  <c:v>Otras enfermedades del sistema urinario</c:v>
                </c:pt>
                <c:pt idx="9">
                  <c:v>Las demás enfermedades hipertensivas</c:v>
                </c:pt>
              </c:strCache>
            </c:strRef>
          </c:cat>
          <c:val>
            <c:numRef>
              <c:f>(Enfermedades!$N$3:$N$11,Enfermedades!$N$12)</c:f>
              <c:numCache>
                <c:formatCode>0%</c:formatCode>
                <c:ptCount val="10"/>
                <c:pt idx="0">
                  <c:v>0.17898235745333674</c:v>
                </c:pt>
                <c:pt idx="1">
                  <c:v>0.1254581096053865</c:v>
                </c:pt>
                <c:pt idx="2">
                  <c:v>4.4575129975283387E-2</c:v>
                </c:pt>
                <c:pt idx="3">
                  <c:v>3.0256541379016448E-2</c:v>
                </c:pt>
                <c:pt idx="4">
                  <c:v>2.965993352083866E-2</c:v>
                </c:pt>
                <c:pt idx="5">
                  <c:v>2.8978095968635473E-2</c:v>
                </c:pt>
                <c:pt idx="6">
                  <c:v>2.8551947498508479E-2</c:v>
                </c:pt>
                <c:pt idx="7">
                  <c:v>2.4460922185289356E-2</c:v>
                </c:pt>
                <c:pt idx="8">
                  <c:v>1.6705020028978095E-2</c:v>
                </c:pt>
                <c:pt idx="9">
                  <c:v>1.5597034006647916E-2</c:v>
                </c:pt>
              </c:numCache>
            </c:numRef>
          </c:val>
          <c:extLst>
            <c:ext xmlns:c16="http://schemas.microsoft.com/office/drawing/2014/chart" uri="{C3380CC4-5D6E-409C-BE32-E72D297353CC}">
              <c16:uniqueId val="{00000014-2BDE-4C23-825D-FDBC22D86169}"/>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62564698162729659"/>
          <c:y val="0.14358449985418489"/>
          <c:w val="0.35768635170603674"/>
          <c:h val="0.80787693205016042"/>
        </c:manualLayout>
      </c:layout>
      <c:overlay val="0"/>
      <c:spPr>
        <a:solidFill>
          <a:schemeClr val="lt1">
            <a:alpha val="50000"/>
          </a:schemeClr>
        </a:solidFill>
        <a:ln>
          <a:noFill/>
        </a:ln>
        <a:effectLst/>
      </c:spPr>
      <c:txPr>
        <a:bodyPr rot="0" spcFirstLastPara="1" vertOverflow="ellipsis" vert="horz" wrap="square" anchor="ctr" anchorCtr="1"/>
        <a:lstStyle/>
        <a:p>
          <a:pPr>
            <a:defRPr sz="850" b="0" i="0" u="none" strike="noStrike" kern="1200" baseline="0">
              <a:solidFill>
                <a:schemeClr val="dk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Población!$B$1</c:f>
              <c:strCache>
                <c:ptCount val="1"/>
                <c:pt idx="0">
                  <c:v>Población</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Pt>
            <c:idx val="6"/>
            <c:invertIfNegative val="0"/>
            <c:bubble3D val="0"/>
            <c:spPr>
              <a:solidFill>
                <a:srgbClr val="0070C0"/>
              </a:solidFill>
              <a:ln w="9525" cap="flat" cmpd="sng" algn="ctr">
                <a:solidFill>
                  <a:srgbClr val="0070C0"/>
                </a:solidFill>
                <a:round/>
              </a:ln>
              <a:effectLst/>
            </c:spPr>
            <c:extLst>
              <c:ext xmlns:c16="http://schemas.microsoft.com/office/drawing/2014/chart" uri="{C3380CC4-5D6E-409C-BE32-E72D297353CC}">
                <c16:uniqueId val="{00000001-C01E-474E-8099-227DCD9BD31D}"/>
              </c:ext>
            </c:extLst>
          </c:dPt>
          <c:dPt>
            <c:idx val="7"/>
            <c:invertIfNegative val="0"/>
            <c:bubble3D val="0"/>
            <c:spPr>
              <a:solidFill>
                <a:schemeClr val="accent5">
                  <a:lumMod val="75000"/>
                </a:schemeClr>
              </a:solidFill>
              <a:ln w="9525" cap="flat" cmpd="sng" algn="ctr">
                <a:solidFill>
                  <a:schemeClr val="accent1">
                    <a:shade val="95000"/>
                  </a:schemeClr>
                </a:solidFill>
                <a:round/>
              </a:ln>
              <a:effectLst/>
            </c:spPr>
            <c:extLst>
              <c:ext xmlns:c16="http://schemas.microsoft.com/office/drawing/2014/chart" uri="{C3380CC4-5D6E-409C-BE32-E72D297353CC}">
                <c16:uniqueId val="{00000003-C01E-474E-8099-227DCD9BD31D}"/>
              </c:ext>
            </c:extLst>
          </c:dPt>
          <c:dPt>
            <c:idx val="8"/>
            <c:invertIfNegative val="0"/>
            <c:bubble3D val="0"/>
            <c:spPr>
              <a:solidFill>
                <a:schemeClr val="accent5">
                  <a:lumMod val="75000"/>
                </a:schemeClr>
              </a:solidFill>
              <a:ln w="9525" cap="flat" cmpd="sng" algn="ctr">
                <a:solidFill>
                  <a:schemeClr val="accent1">
                    <a:shade val="95000"/>
                  </a:schemeClr>
                </a:solidFill>
                <a:round/>
              </a:ln>
              <a:effectLst/>
            </c:spPr>
            <c:extLst>
              <c:ext xmlns:c16="http://schemas.microsoft.com/office/drawing/2014/chart" uri="{C3380CC4-5D6E-409C-BE32-E72D297353CC}">
                <c16:uniqueId val="{00000005-C01E-474E-8099-227DCD9BD31D}"/>
              </c:ext>
            </c:extLst>
          </c:dPt>
          <c:dLbls>
            <c:spPr>
              <a:noFill/>
              <a:ln>
                <a:noFill/>
              </a:ln>
              <a:effectLst/>
            </c:spPr>
            <c:txPr>
              <a:bodyPr rot="0" spcFirstLastPara="1" vertOverflow="ellipsis" vert="horz" wrap="square" lIns="38100" tIns="19050" rIns="38100" bIns="19050" anchor="ctr" anchorCtr="1">
                <a:spAutoFit/>
              </a:bodyPr>
              <a:lstStyle/>
              <a:p>
                <a:pPr>
                  <a:defRPr sz="600" b="1" i="0" u="none" strike="noStrike" kern="1200" baseline="0">
                    <a:solidFill>
                      <a:schemeClr val="dk1">
                        <a:lumMod val="65000"/>
                        <a:lumOff val="3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Población!$A$2:$A$10</c:f>
              <c:numCache>
                <c:formatCode>General</c:formatCode>
                <c:ptCount val="9"/>
                <c:pt idx="0">
                  <c:v>1990</c:v>
                </c:pt>
                <c:pt idx="1">
                  <c:v>1995</c:v>
                </c:pt>
                <c:pt idx="2">
                  <c:v>2000</c:v>
                </c:pt>
                <c:pt idx="3">
                  <c:v>2005</c:v>
                </c:pt>
                <c:pt idx="4">
                  <c:v>2010</c:v>
                </c:pt>
                <c:pt idx="5">
                  <c:v>2015</c:v>
                </c:pt>
                <c:pt idx="6">
                  <c:v>2020</c:v>
                </c:pt>
                <c:pt idx="7">
                  <c:v>2025</c:v>
                </c:pt>
                <c:pt idx="8">
                  <c:v>2030</c:v>
                </c:pt>
              </c:numCache>
            </c:numRef>
          </c:cat>
          <c:val>
            <c:numRef>
              <c:f>Población!$B$2:$B$10</c:f>
              <c:numCache>
                <c:formatCode>#,##0</c:formatCode>
                <c:ptCount val="9"/>
                <c:pt idx="0">
                  <c:v>1490499</c:v>
                </c:pt>
                <c:pt idx="1">
                  <c:v>1696609</c:v>
                </c:pt>
                <c:pt idx="2">
                  <c:v>1773343</c:v>
                </c:pt>
                <c:pt idx="3">
                  <c:v>1820888</c:v>
                </c:pt>
                <c:pt idx="4">
                  <c:v>1815786</c:v>
                </c:pt>
                <c:pt idx="5">
                  <c:v>1827868</c:v>
                </c:pt>
                <c:pt idx="6">
                  <c:v>1815551</c:v>
                </c:pt>
                <c:pt idx="7">
                  <c:v>1770358</c:v>
                </c:pt>
                <c:pt idx="8">
                  <c:v>1723707</c:v>
                </c:pt>
              </c:numCache>
            </c:numRef>
          </c:val>
          <c:extLst>
            <c:ext xmlns:c16="http://schemas.microsoft.com/office/drawing/2014/chart" uri="{C3380CC4-5D6E-409C-BE32-E72D297353CC}">
              <c16:uniqueId val="{00000006-C01E-474E-8099-227DCD9BD31D}"/>
            </c:ext>
          </c:extLst>
        </c:ser>
        <c:dLbls>
          <c:showLegendKey val="0"/>
          <c:showVal val="0"/>
          <c:showCatName val="0"/>
          <c:showSerName val="0"/>
          <c:showPercent val="0"/>
          <c:showBubbleSize val="0"/>
        </c:dLbls>
        <c:gapWidth val="150"/>
        <c:axId val="579741760"/>
        <c:axId val="579732192"/>
      </c:barChart>
      <c:lineChart>
        <c:grouping val="standard"/>
        <c:varyColors val="0"/>
        <c:ser>
          <c:idx val="1"/>
          <c:order val="1"/>
          <c:tx>
            <c:strRef>
              <c:f>Población!$C$1</c:f>
              <c:strCache>
                <c:ptCount val="1"/>
                <c:pt idx="0">
                  <c:v>Crecimiento NETO</c:v>
                </c:pt>
              </c:strCache>
            </c:strRef>
          </c:tx>
          <c:spPr>
            <a:ln w="22225" cap="rnd" cmpd="sng" algn="ctr">
              <a:solidFill>
                <a:schemeClr val="accent2"/>
              </a:solidFill>
              <a:round/>
            </a:ln>
            <a:effectLst/>
          </c:spPr>
          <c:marker>
            <c:symbol val="circle"/>
            <c:size val="4"/>
            <c:spPr>
              <a:solidFill>
                <a:schemeClr val="accent2"/>
              </a:solidFill>
              <a:ln w="9525" cap="flat" cmpd="sng" algn="ctr">
                <a:solidFill>
                  <a:schemeClr val="accent2"/>
                </a:solidFill>
                <a:round/>
              </a:ln>
              <a:effectLst/>
            </c:spPr>
          </c:marker>
          <c:dLbls>
            <c:spPr>
              <a:solidFill>
                <a:srgbClr val="5B9BD5">
                  <a:lumMod val="20000"/>
                  <a:lumOff val="80000"/>
                </a:srgbClr>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600" b="1" i="0" u="none" strike="noStrike" kern="1200" baseline="0">
                    <a:solidFill>
                      <a:srgbClr val="C00000"/>
                    </a:solidFill>
                    <a:latin typeface="+mn-lt"/>
                    <a:ea typeface="+mn-ea"/>
                    <a:cs typeface="+mn-cs"/>
                  </a:defRPr>
                </a:pPr>
                <a:endParaRPr lang="es-MX"/>
              </a:p>
            </c:txPr>
            <c:dLblPos val="t"/>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oundRect">
                    <a:avLst/>
                  </a:prstGeom>
                  <a:noFill/>
                  <a:ln>
                    <a:noFill/>
                  </a:ln>
                </c15:spPr>
                <c15:showLeaderLines val="1"/>
                <c15:leaderLines>
                  <c:spPr>
                    <a:ln w="9525">
                      <a:solidFill>
                        <a:schemeClr val="dk1">
                          <a:lumMod val="35000"/>
                          <a:lumOff val="65000"/>
                        </a:schemeClr>
                      </a:solidFill>
                    </a:ln>
                    <a:effectLst/>
                  </c:spPr>
                </c15:leaderLines>
              </c:ext>
            </c:extLst>
          </c:dLbls>
          <c:cat>
            <c:numRef>
              <c:f>Población!$A$2:$A$10</c:f>
              <c:numCache>
                <c:formatCode>General</c:formatCode>
                <c:ptCount val="9"/>
                <c:pt idx="0">
                  <c:v>1990</c:v>
                </c:pt>
                <c:pt idx="1">
                  <c:v>1995</c:v>
                </c:pt>
                <c:pt idx="2">
                  <c:v>2000</c:v>
                </c:pt>
                <c:pt idx="3">
                  <c:v>2005</c:v>
                </c:pt>
                <c:pt idx="4">
                  <c:v>2010</c:v>
                </c:pt>
                <c:pt idx="5">
                  <c:v>2015</c:v>
                </c:pt>
                <c:pt idx="6">
                  <c:v>2020</c:v>
                </c:pt>
                <c:pt idx="7">
                  <c:v>2025</c:v>
                </c:pt>
                <c:pt idx="8">
                  <c:v>2030</c:v>
                </c:pt>
              </c:numCache>
            </c:numRef>
          </c:cat>
          <c:val>
            <c:numRef>
              <c:f>Población!$C$2:$C$10</c:f>
              <c:numCache>
                <c:formatCode>0.00</c:formatCode>
                <c:ptCount val="9"/>
                <c:pt idx="1">
                  <c:v>13.828254832777475</c:v>
                </c:pt>
                <c:pt idx="2">
                  <c:v>4.5227863343881864</c:v>
                </c:pt>
                <c:pt idx="3">
                  <c:v>2.6810944075680823</c:v>
                </c:pt>
                <c:pt idx="4">
                  <c:v>-0.28019296079715161</c:v>
                </c:pt>
                <c:pt idx="5">
                  <c:v>0.6653867801602189</c:v>
                </c:pt>
                <c:pt idx="6">
                  <c:v>-0.67384515730894634</c:v>
                </c:pt>
                <c:pt idx="7">
                  <c:v>-2.4892167722085503</c:v>
                </c:pt>
                <c:pt idx="8">
                  <c:v>-2.6351167391002264</c:v>
                </c:pt>
              </c:numCache>
            </c:numRef>
          </c:val>
          <c:smooth val="0"/>
          <c:extLst>
            <c:ext xmlns:c16="http://schemas.microsoft.com/office/drawing/2014/chart" uri="{C3380CC4-5D6E-409C-BE32-E72D297353CC}">
              <c16:uniqueId val="{00000007-C01E-474E-8099-227DCD9BD31D}"/>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578844416"/>
        <c:axId val="578850240"/>
      </c:lineChart>
      <c:catAx>
        <c:axId val="57974176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s-MX"/>
          </a:p>
        </c:txPr>
        <c:crossAx val="579732192"/>
        <c:crosses val="autoZero"/>
        <c:auto val="1"/>
        <c:lblAlgn val="ctr"/>
        <c:lblOffset val="100"/>
        <c:noMultiLvlLbl val="0"/>
      </c:catAx>
      <c:valAx>
        <c:axId val="579732192"/>
        <c:scaling>
          <c:orientation val="minMax"/>
          <c:min val="200000"/>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s-MX"/>
          </a:p>
        </c:txPr>
        <c:crossAx val="579741760"/>
        <c:crosses val="autoZero"/>
        <c:crossBetween val="between"/>
      </c:valAx>
      <c:valAx>
        <c:axId val="578850240"/>
        <c:scaling>
          <c:orientation val="minMax"/>
          <c:max val="22"/>
          <c:min val="-5"/>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es-MX"/>
          </a:p>
        </c:txPr>
        <c:crossAx val="578844416"/>
        <c:crosses val="max"/>
        <c:crossBetween val="between"/>
      </c:valAx>
      <c:catAx>
        <c:axId val="578844416"/>
        <c:scaling>
          <c:orientation val="minMax"/>
        </c:scaling>
        <c:delete val="1"/>
        <c:axPos val="b"/>
        <c:numFmt formatCode="General" sourceLinked="1"/>
        <c:majorTickMark val="none"/>
        <c:minorTickMark val="none"/>
        <c:tickLblPos val="nextTo"/>
        <c:crossAx val="578850240"/>
        <c:crosses val="autoZero"/>
        <c:auto val="1"/>
        <c:lblAlgn val="ctr"/>
        <c:lblOffset val="100"/>
        <c:noMultiLvlLbl val="0"/>
      </c:cat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Total de defunciones registradas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Hoja1!$A$2:$A$42</c:f>
              <c:numCache>
                <c:formatCode>General</c:formatCode>
                <c:ptCount val="4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pt idx="34">
                  <c:v>2024</c:v>
                </c:pt>
                <c:pt idx="35">
                  <c:v>2025</c:v>
                </c:pt>
                <c:pt idx="36">
                  <c:v>2026</c:v>
                </c:pt>
                <c:pt idx="37">
                  <c:v>2027</c:v>
                </c:pt>
                <c:pt idx="38">
                  <c:v>2028</c:v>
                </c:pt>
                <c:pt idx="39">
                  <c:v>2029</c:v>
                </c:pt>
                <c:pt idx="40">
                  <c:v>2030</c:v>
                </c:pt>
              </c:numCache>
            </c:numRef>
          </c:cat>
          <c:val>
            <c:numRef>
              <c:f>Hoja1!$B$2:$B$42</c:f>
              <c:numCache>
                <c:formatCode>General</c:formatCode>
                <c:ptCount val="41"/>
                <c:pt idx="0">
                  <c:v>41</c:v>
                </c:pt>
                <c:pt idx="1">
                  <c:v>41</c:v>
                </c:pt>
                <c:pt idx="2">
                  <c:v>41</c:v>
                </c:pt>
                <c:pt idx="3">
                  <c:v>40</c:v>
                </c:pt>
                <c:pt idx="4">
                  <c:v>40</c:v>
                </c:pt>
                <c:pt idx="5">
                  <c:v>42</c:v>
                </c:pt>
                <c:pt idx="6">
                  <c:v>41</c:v>
                </c:pt>
                <c:pt idx="7">
                  <c:v>41</c:v>
                </c:pt>
                <c:pt idx="8">
                  <c:v>41</c:v>
                </c:pt>
                <c:pt idx="9">
                  <c:v>41</c:v>
                </c:pt>
                <c:pt idx="10">
                  <c:v>42</c:v>
                </c:pt>
                <c:pt idx="11">
                  <c:v>42</c:v>
                </c:pt>
                <c:pt idx="12">
                  <c:v>42</c:v>
                </c:pt>
                <c:pt idx="13">
                  <c:v>43</c:v>
                </c:pt>
                <c:pt idx="14">
                  <c:v>43</c:v>
                </c:pt>
                <c:pt idx="15">
                  <c:v>45</c:v>
                </c:pt>
                <c:pt idx="16">
                  <c:v>46</c:v>
                </c:pt>
                <c:pt idx="17">
                  <c:v>48</c:v>
                </c:pt>
                <c:pt idx="18">
                  <c:v>49</c:v>
                </c:pt>
                <c:pt idx="19">
                  <c:v>50</c:v>
                </c:pt>
                <c:pt idx="20">
                  <c:v>53</c:v>
                </c:pt>
                <c:pt idx="21">
                  <c:v>51</c:v>
                </c:pt>
                <c:pt idx="22">
                  <c:v>53</c:v>
                </c:pt>
                <c:pt idx="23">
                  <c:v>54</c:v>
                </c:pt>
                <c:pt idx="24">
                  <c:v>56</c:v>
                </c:pt>
                <c:pt idx="25">
                  <c:v>57</c:v>
                </c:pt>
                <c:pt idx="26">
                  <c:v>59</c:v>
                </c:pt>
                <c:pt idx="27">
                  <c:v>61</c:v>
                </c:pt>
                <c:pt idx="28">
                  <c:v>63</c:v>
                </c:pt>
                <c:pt idx="29">
                  <c:v>63</c:v>
                </c:pt>
                <c:pt idx="30">
                  <c:v>65</c:v>
                </c:pt>
                <c:pt idx="31">
                  <c:v>67</c:v>
                </c:pt>
                <c:pt idx="32">
                  <c:v>68</c:v>
                </c:pt>
                <c:pt idx="33">
                  <c:v>69</c:v>
                </c:pt>
                <c:pt idx="34">
                  <c:v>71</c:v>
                </c:pt>
                <c:pt idx="35">
                  <c:v>72</c:v>
                </c:pt>
                <c:pt idx="36">
                  <c:v>73</c:v>
                </c:pt>
                <c:pt idx="37">
                  <c:v>74</c:v>
                </c:pt>
                <c:pt idx="38">
                  <c:v>75</c:v>
                </c:pt>
                <c:pt idx="39">
                  <c:v>76</c:v>
                </c:pt>
                <c:pt idx="40">
                  <c:v>77</c:v>
                </c:pt>
              </c:numCache>
            </c:numRef>
          </c:val>
          <c:smooth val="0"/>
          <c:extLst>
            <c:ext xmlns:c16="http://schemas.microsoft.com/office/drawing/2014/chart" uri="{C3380CC4-5D6E-409C-BE32-E72D297353CC}">
              <c16:uniqueId val="{00000000-5C5D-4E97-AC55-B43BEFCC1215}"/>
            </c:ext>
          </c:extLst>
        </c:ser>
        <c:ser>
          <c:idx val="1"/>
          <c:order val="1"/>
          <c:tx>
            <c:strRef>
              <c:f>Hoja1!$C$1</c:f>
              <c:strCache>
                <c:ptCount val="1"/>
                <c:pt idx="0">
                  <c:v>Tasa de nacidos registrados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s-MX"/>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Hoja1!$A$2:$A$42</c:f>
              <c:numCache>
                <c:formatCode>General</c:formatCode>
                <c:ptCount val="4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pt idx="30">
                  <c:v>2020</c:v>
                </c:pt>
                <c:pt idx="31">
                  <c:v>2021</c:v>
                </c:pt>
                <c:pt idx="32">
                  <c:v>2022</c:v>
                </c:pt>
                <c:pt idx="33">
                  <c:v>2023</c:v>
                </c:pt>
                <c:pt idx="34">
                  <c:v>2024</c:v>
                </c:pt>
                <c:pt idx="35">
                  <c:v>2025</c:v>
                </c:pt>
                <c:pt idx="36">
                  <c:v>2026</c:v>
                </c:pt>
                <c:pt idx="37">
                  <c:v>2027</c:v>
                </c:pt>
                <c:pt idx="38">
                  <c:v>2028</c:v>
                </c:pt>
                <c:pt idx="39">
                  <c:v>2029</c:v>
                </c:pt>
                <c:pt idx="40">
                  <c:v>2030</c:v>
                </c:pt>
              </c:numCache>
            </c:numRef>
          </c:cat>
          <c:val>
            <c:numRef>
              <c:f>Hoja1!$C$2:$C$42</c:f>
              <c:numCache>
                <c:formatCode>General</c:formatCode>
                <c:ptCount val="41"/>
                <c:pt idx="0">
                  <c:v>210</c:v>
                </c:pt>
                <c:pt idx="1">
                  <c:v>210</c:v>
                </c:pt>
                <c:pt idx="2">
                  <c:v>218</c:v>
                </c:pt>
                <c:pt idx="3">
                  <c:v>212</c:v>
                </c:pt>
                <c:pt idx="4">
                  <c:v>223</c:v>
                </c:pt>
                <c:pt idx="5">
                  <c:v>198</c:v>
                </c:pt>
                <c:pt idx="6">
                  <c:v>197</c:v>
                </c:pt>
                <c:pt idx="7">
                  <c:v>193</c:v>
                </c:pt>
                <c:pt idx="8">
                  <c:v>196</c:v>
                </c:pt>
                <c:pt idx="9">
                  <c:v>200</c:v>
                </c:pt>
                <c:pt idx="10">
                  <c:v>201</c:v>
                </c:pt>
                <c:pt idx="11">
                  <c:v>196</c:v>
                </c:pt>
                <c:pt idx="12">
                  <c:v>199</c:v>
                </c:pt>
                <c:pt idx="13">
                  <c:v>187</c:v>
                </c:pt>
                <c:pt idx="14">
                  <c:v>191</c:v>
                </c:pt>
                <c:pt idx="15">
                  <c:v>191</c:v>
                </c:pt>
                <c:pt idx="16">
                  <c:v>178</c:v>
                </c:pt>
                <c:pt idx="17">
                  <c:v>184</c:v>
                </c:pt>
                <c:pt idx="18">
                  <c:v>180</c:v>
                </c:pt>
                <c:pt idx="19">
                  <c:v>174</c:v>
                </c:pt>
                <c:pt idx="20">
                  <c:v>190</c:v>
                </c:pt>
                <c:pt idx="21">
                  <c:v>182</c:v>
                </c:pt>
                <c:pt idx="22">
                  <c:v>181</c:v>
                </c:pt>
                <c:pt idx="23">
                  <c:v>169</c:v>
                </c:pt>
                <c:pt idx="24">
                  <c:v>168</c:v>
                </c:pt>
                <c:pt idx="25">
                  <c:v>152</c:v>
                </c:pt>
                <c:pt idx="26">
                  <c:v>145</c:v>
                </c:pt>
                <c:pt idx="27">
                  <c:v>140</c:v>
                </c:pt>
                <c:pt idx="28">
                  <c:v>126</c:v>
                </c:pt>
                <c:pt idx="29">
                  <c:v>119</c:v>
                </c:pt>
                <c:pt idx="30">
                  <c:v>118</c:v>
                </c:pt>
                <c:pt idx="31">
                  <c:v>110</c:v>
                </c:pt>
                <c:pt idx="32">
                  <c:v>101</c:v>
                </c:pt>
                <c:pt idx="33">
                  <c:v>92</c:v>
                </c:pt>
                <c:pt idx="34">
                  <c:v>83</c:v>
                </c:pt>
                <c:pt idx="35">
                  <c:v>73</c:v>
                </c:pt>
                <c:pt idx="36">
                  <c:v>63</c:v>
                </c:pt>
                <c:pt idx="37">
                  <c:v>54</c:v>
                </c:pt>
                <c:pt idx="38">
                  <c:v>44</c:v>
                </c:pt>
                <c:pt idx="39">
                  <c:v>34</c:v>
                </c:pt>
                <c:pt idx="40">
                  <c:v>24</c:v>
                </c:pt>
              </c:numCache>
            </c:numRef>
          </c:val>
          <c:smooth val="0"/>
          <c:extLst>
            <c:ext xmlns:c16="http://schemas.microsoft.com/office/drawing/2014/chart" uri="{C3380CC4-5D6E-409C-BE32-E72D297353CC}">
              <c16:uniqueId val="{00000001-5C5D-4E97-AC55-B43BEFCC1215}"/>
            </c:ext>
          </c:extLst>
        </c:ser>
        <c:dLbls>
          <c:dLblPos val="t"/>
          <c:showLegendKey val="0"/>
          <c:showVal val="1"/>
          <c:showCatName val="0"/>
          <c:showSerName val="0"/>
          <c:showPercent val="0"/>
          <c:showBubbleSize val="0"/>
        </c:dLbls>
        <c:marker val="1"/>
        <c:smooth val="0"/>
        <c:axId val="620386160"/>
        <c:axId val="620386992"/>
      </c:lineChart>
      <c:catAx>
        <c:axId val="62038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20386992"/>
        <c:crosses val="autoZero"/>
        <c:auto val="1"/>
        <c:lblAlgn val="ctr"/>
        <c:lblOffset val="100"/>
        <c:noMultiLvlLbl val="0"/>
      </c:catAx>
      <c:valAx>
        <c:axId val="620386992"/>
        <c:scaling>
          <c:orientation val="minMax"/>
          <c:max val="25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620386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75000"/>
            <a:lumOff val="25000"/>
          </a:schemeClr>
        </a:solidFill>
      </a:ln>
    </cs:spPr>
  </cs:downBar>
  <cs:dropLine>
    <cs:lnRef idx="0"/>
    <cs:fillRef idx="0"/>
    <cs:effectRef idx="0"/>
    <cs:fontRef idx="minor">
      <a:schemeClr val="dk1"/>
    </cs:fontRef>
    <cs:spPr>
      <a:ln w="9525">
        <a:solidFill>
          <a:schemeClr val="tx1">
            <a:lumMod val="75000"/>
            <a:lumOff val="25000"/>
          </a:schemeClr>
        </a:solidFill>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75000"/>
            <a:lumOff val="25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sECey3rnfvsAKhP0odHfxWKRntw==">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Luj02</b:Tag>
    <b:SourceType>Book</b:SourceType>
    <b:Guid>{EE3CC8EE-D828-47C7-B622-06F563949F10}</b:Guid>
    <b:Title>Programación de aplicaciones web: Historia y principios básicos y clientes web.</b:Title>
    <b:Year>2002</b:Year>
    <b:City>San Vicente (Alicante)</b:City>
    <b:Publisher>Editorial Club Universitario</b:Publisher>
    <b:Author>
      <b:Author>
        <b:NameList>
          <b:Person>
            <b:Last>Luján Mora</b:Last>
            <b:First>Sergio</b:First>
          </b:Person>
        </b:NameList>
      </b:Author>
    </b:Author>
    <b:URL>https://rua.ua.es/dspace/bitstream/10045/16995/1/sergio_lujan-programacion_de_aplicaciones_web.pdf</b:URL>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1B9EB40-B690-493E-A62E-B97D9F4D6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87</Pages>
  <Words>23465</Words>
  <Characters>129063</Characters>
  <Application>Microsoft Office Word</Application>
  <DocSecurity>0</DocSecurity>
  <Lines>1075</Lines>
  <Paragraphs>304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Leonardo Ruiz Delgado</dc:creator>
  <cp:lastModifiedBy>Giovanna Santana Castañeda</cp:lastModifiedBy>
  <cp:revision>2</cp:revision>
  <dcterms:created xsi:type="dcterms:W3CDTF">2022-02-22T14:56:00Z</dcterms:created>
  <dcterms:modified xsi:type="dcterms:W3CDTF">2022-02-22T14:56:00Z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0x01010039B0C7E6F597D74B9795EF0CCA1A7AB6</vt:lpwstr>
  </property>
</Properties>
</file>