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4"/>
        <w:rPr>
          <w:rFonts w:ascii="Times New Roman"/>
          <w:sz w:val="17"/>
        </w:rPr>
      </w:pPr>
    </w:p>
    <w:p>
      <w:pPr>
        <w:spacing w:line="465" w:lineRule="auto" w:before="0"/>
        <w:ind w:left="1167" w:right="1189" w:firstLine="0"/>
        <w:jc w:val="center"/>
        <w:rPr>
          <w:b/>
          <w:sz w:val="22"/>
        </w:rPr>
      </w:pPr>
      <w:r>
        <w:rPr>
          <w:b/>
          <w:sz w:val="22"/>
        </w:rPr>
        <w:t>UNIVERSIDAD AUTONOMA DEL ESTADO DE MEXICO FACULTAD DE MEDICINA</w:t>
      </w:r>
    </w:p>
    <w:p>
      <w:pPr>
        <w:pStyle w:val="BodyText"/>
        <w:rPr>
          <w:b/>
          <w:sz w:val="22"/>
        </w:rPr>
      </w:pPr>
    </w:p>
    <w:p>
      <w:pPr>
        <w:pStyle w:val="BodyText"/>
        <w:spacing w:before="5"/>
        <w:rPr>
          <w:b/>
          <w:sz w:val="21"/>
        </w:rPr>
      </w:pPr>
    </w:p>
    <w:p>
      <w:pPr>
        <w:spacing w:line="276" w:lineRule="auto" w:before="0"/>
        <w:ind w:left="1170" w:right="1189" w:firstLine="0"/>
        <w:jc w:val="center"/>
        <w:rPr>
          <w:sz w:val="22"/>
        </w:rPr>
      </w:pPr>
      <w:r>
        <w:rPr>
          <w:sz w:val="22"/>
        </w:rPr>
        <w:t>COORDINACION DE INVESTIGACION Y ESTUDIOS AVANZADOS DEPARTAMENTO DE ESTUDIOS AVANZADOS</w:t>
      </w:r>
    </w:p>
    <w:p>
      <w:pPr>
        <w:spacing w:line="554" w:lineRule="auto" w:before="0"/>
        <w:ind w:left="1170" w:right="1187" w:firstLine="0"/>
        <w:jc w:val="center"/>
        <w:rPr>
          <w:sz w:val="22"/>
        </w:rPr>
      </w:pPr>
      <w:r>
        <w:rPr>
          <w:sz w:val="22"/>
        </w:rPr>
        <w:t>COORDINACION DE LA ESPECIALIDAD EN MEDICINA LEGAL DEPARTAMENTO DE EVALUACION PROFESIONAL</w:t>
      </w:r>
    </w:p>
    <w:p>
      <w:pPr>
        <w:pStyle w:val="BodyText"/>
        <w:spacing w:before="6"/>
        <w:rPr>
          <w:sz w:val="22"/>
        </w:rPr>
      </w:pPr>
      <w:r>
        <w:rPr/>
        <w:drawing>
          <wp:anchor distT="0" distB="0" distL="0" distR="0" allowOverlap="1" layoutInCell="1" locked="0" behindDoc="0" simplePos="0" relativeHeight="0">
            <wp:simplePos x="0" y="0"/>
            <wp:positionH relativeFrom="page">
              <wp:posOffset>3438525</wp:posOffset>
            </wp:positionH>
            <wp:positionV relativeFrom="paragraph">
              <wp:posOffset>189614</wp:posOffset>
            </wp:positionV>
            <wp:extent cx="927188" cy="82867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27188" cy="828675"/>
                    </a:xfrm>
                    <a:prstGeom prst="rect">
                      <a:avLst/>
                    </a:prstGeom>
                  </pic:spPr>
                </pic:pic>
              </a:graphicData>
            </a:graphic>
          </wp:anchor>
        </w:drawing>
      </w:r>
    </w:p>
    <w:p>
      <w:pPr>
        <w:spacing w:line="276" w:lineRule="auto" w:before="188"/>
        <w:ind w:left="190" w:right="214" w:firstLine="0"/>
        <w:jc w:val="center"/>
        <w:rPr>
          <w:b/>
          <w:sz w:val="22"/>
        </w:rPr>
      </w:pPr>
      <w:r>
        <w:rPr>
          <w:b/>
          <w:sz w:val="22"/>
        </w:rPr>
        <w:t>“FRECUENCIA DE MUERTES POR ASFIXIA MECÁNICA, POR SOFOCACIÓN EN SU MODALIDAD DE OBSTRUCCIÓN DE VÍAS RESPIRATORIAS POR CONTENIDO GASTRO- ESOFÁGICO EN CHIMALHUACÁN, ESTADO DE MÉXICO, 2008 A 2010.”</w:t>
      </w:r>
    </w:p>
    <w:p>
      <w:pPr>
        <w:pStyle w:val="BodyText"/>
        <w:rPr>
          <w:b/>
          <w:sz w:val="22"/>
        </w:rPr>
      </w:pPr>
    </w:p>
    <w:p>
      <w:pPr>
        <w:pStyle w:val="BodyText"/>
        <w:rPr>
          <w:b/>
          <w:sz w:val="22"/>
        </w:rPr>
      </w:pPr>
    </w:p>
    <w:p>
      <w:pPr>
        <w:spacing w:before="188"/>
        <w:ind w:left="992" w:right="1013" w:firstLine="0"/>
        <w:jc w:val="center"/>
        <w:rPr>
          <w:sz w:val="22"/>
        </w:rPr>
      </w:pPr>
      <w:r>
        <w:rPr>
          <w:sz w:val="22"/>
        </w:rPr>
        <w:t>PROCURADURIA GENERAL DE JUSTICIA DEL ESTADO DE MEXICO INSTITUTO DE SERVICIOS PERICIALES DE LA PGJEM</w:t>
      </w:r>
    </w:p>
    <w:p>
      <w:pPr>
        <w:pStyle w:val="BodyText"/>
        <w:rPr>
          <w:sz w:val="22"/>
        </w:rPr>
      </w:pPr>
    </w:p>
    <w:p>
      <w:pPr>
        <w:pStyle w:val="BodyText"/>
        <w:spacing w:before="5"/>
        <w:rPr>
          <w:sz w:val="20"/>
        </w:rPr>
      </w:pPr>
    </w:p>
    <w:p>
      <w:pPr>
        <w:spacing w:before="0"/>
        <w:ind w:left="190" w:right="206" w:firstLine="0"/>
        <w:jc w:val="center"/>
        <w:rPr>
          <w:sz w:val="22"/>
        </w:rPr>
      </w:pPr>
      <w:r>
        <w:rPr>
          <w:sz w:val="22"/>
        </w:rPr>
        <w:t>PARA OBTENER EL DIPLOMA DE POSGRADO DE LA ESPECIALIDAD EN:</w:t>
      </w:r>
    </w:p>
    <w:p>
      <w:pPr>
        <w:pStyle w:val="BodyText"/>
        <w:spacing w:before="6"/>
        <w:rPr>
          <w:sz w:val="20"/>
        </w:rPr>
      </w:pPr>
    </w:p>
    <w:p>
      <w:pPr>
        <w:spacing w:before="0"/>
        <w:ind w:left="1169" w:right="1189" w:firstLine="0"/>
        <w:jc w:val="center"/>
        <w:rPr>
          <w:b/>
          <w:sz w:val="22"/>
        </w:rPr>
      </w:pPr>
      <w:r>
        <w:rPr>
          <w:b/>
          <w:sz w:val="22"/>
        </w:rPr>
        <w:t>MEDICINA LEGAL</w:t>
      </w:r>
    </w:p>
    <w:p>
      <w:pPr>
        <w:pStyle w:val="BodyText"/>
        <w:spacing w:before="11"/>
        <w:rPr>
          <w:b/>
          <w:sz w:val="20"/>
        </w:rPr>
      </w:pPr>
    </w:p>
    <w:p>
      <w:pPr>
        <w:spacing w:before="0"/>
        <w:ind w:left="1170" w:right="1187" w:firstLine="0"/>
        <w:jc w:val="center"/>
        <w:rPr>
          <w:sz w:val="22"/>
        </w:rPr>
      </w:pPr>
      <w:r>
        <w:rPr>
          <w:sz w:val="22"/>
        </w:rPr>
        <w:t>PRESENTA:</w:t>
      </w:r>
    </w:p>
    <w:p>
      <w:pPr>
        <w:pStyle w:val="BodyText"/>
        <w:spacing w:before="7"/>
        <w:rPr>
          <w:sz w:val="20"/>
        </w:rPr>
      </w:pPr>
    </w:p>
    <w:p>
      <w:pPr>
        <w:pStyle w:val="BodyText"/>
        <w:ind w:left="1168" w:right="1189"/>
        <w:jc w:val="center"/>
      </w:pPr>
      <w:r>
        <w:rPr/>
        <w:t>M.C. ESMERALDA XIUTHZAL CRUZ FRANCO</w:t>
      </w:r>
    </w:p>
    <w:p>
      <w:pPr>
        <w:pStyle w:val="BodyText"/>
        <w:rPr>
          <w:sz w:val="21"/>
        </w:rPr>
      </w:pPr>
    </w:p>
    <w:p>
      <w:pPr>
        <w:spacing w:before="0"/>
        <w:ind w:left="190" w:right="209" w:firstLine="0"/>
        <w:jc w:val="center"/>
        <w:rPr>
          <w:sz w:val="22"/>
        </w:rPr>
      </w:pPr>
      <w:r>
        <w:rPr>
          <w:sz w:val="22"/>
        </w:rPr>
        <w:t>DIRECTOR DE TESIS: E. en M.L.  ROGELIO ALBERTO ORTEGA MADRID</w:t>
      </w:r>
    </w:p>
    <w:p>
      <w:pPr>
        <w:pStyle w:val="BodyText"/>
        <w:spacing w:before="3"/>
        <w:rPr>
          <w:sz w:val="14"/>
        </w:rPr>
      </w:pPr>
    </w:p>
    <w:p>
      <w:pPr>
        <w:spacing w:after="0"/>
        <w:rPr>
          <w:sz w:val="14"/>
        </w:rPr>
        <w:sectPr>
          <w:type w:val="continuous"/>
          <w:pgSz w:w="12240" w:h="15840"/>
          <w:pgMar w:top="1500" w:bottom="280" w:left="1600" w:right="1580"/>
        </w:sectPr>
      </w:pPr>
    </w:p>
    <w:p>
      <w:pPr>
        <w:spacing w:before="73"/>
        <w:ind w:left="102" w:right="-20" w:firstLine="0"/>
        <w:jc w:val="left"/>
        <w:rPr>
          <w:sz w:val="22"/>
        </w:rPr>
      </w:pPr>
      <w:r>
        <w:rPr>
          <w:sz w:val="22"/>
        </w:rPr>
        <w:t>REVISORES:</w:t>
      </w:r>
    </w:p>
    <w:p>
      <w:pPr>
        <w:pStyle w:val="BodyText"/>
        <w:spacing w:before="5"/>
        <w:rPr>
          <w:sz w:val="28"/>
        </w:rPr>
      </w:pPr>
      <w:r>
        <w:rPr/>
        <w:br w:type="column"/>
      </w:r>
      <w:r>
        <w:rPr>
          <w:sz w:val="28"/>
        </w:rPr>
      </w:r>
    </w:p>
    <w:p>
      <w:pPr>
        <w:spacing w:line="252" w:lineRule="exact" w:before="0"/>
        <w:ind w:left="666" w:right="0" w:firstLine="0"/>
        <w:jc w:val="left"/>
        <w:rPr>
          <w:sz w:val="22"/>
        </w:rPr>
      </w:pPr>
      <w:r>
        <w:rPr>
          <w:sz w:val="22"/>
        </w:rPr>
        <w:t>M. en I.C. HECTOR L. OCAÑA SERVIN</w:t>
      </w:r>
    </w:p>
    <w:p>
      <w:pPr>
        <w:spacing w:line="252" w:lineRule="exact" w:before="0"/>
        <w:ind w:left="255" w:right="0" w:firstLine="0"/>
        <w:jc w:val="left"/>
        <w:rPr>
          <w:sz w:val="22"/>
        </w:rPr>
      </w:pPr>
      <w:r>
        <w:rPr>
          <w:sz w:val="22"/>
        </w:rPr>
        <w:t>E. en M.L. LUZ MARÍA GONZÁLEZ GONZÁLEZ</w:t>
      </w:r>
    </w:p>
    <w:p>
      <w:pPr>
        <w:pStyle w:val="ListParagraph"/>
        <w:numPr>
          <w:ilvl w:val="0"/>
          <w:numId w:val="1"/>
        </w:numPr>
        <w:tabs>
          <w:tab w:pos="373" w:val="left" w:leader="none"/>
        </w:tabs>
        <w:spacing w:line="252" w:lineRule="exact" w:before="1" w:after="0"/>
        <w:ind w:left="373" w:right="0" w:hanging="271"/>
        <w:jc w:val="left"/>
        <w:rPr>
          <w:sz w:val="22"/>
        </w:rPr>
      </w:pPr>
      <w:r>
        <w:rPr>
          <w:sz w:val="22"/>
        </w:rPr>
        <w:t>en M.L. MARÍA DE LA LUZ PIEDRA</w:t>
      </w:r>
      <w:r>
        <w:rPr>
          <w:spacing w:val="-18"/>
          <w:sz w:val="22"/>
        </w:rPr>
        <w:t> </w:t>
      </w:r>
      <w:r>
        <w:rPr>
          <w:sz w:val="22"/>
        </w:rPr>
        <w:t>PICHARDO</w:t>
      </w:r>
    </w:p>
    <w:p>
      <w:pPr>
        <w:spacing w:line="252" w:lineRule="exact" w:before="0"/>
        <w:ind w:left="635" w:right="0" w:firstLine="0"/>
        <w:jc w:val="left"/>
        <w:rPr>
          <w:sz w:val="22"/>
        </w:rPr>
      </w:pPr>
      <w:r>
        <w:rPr>
          <w:sz w:val="22"/>
        </w:rPr>
        <w:t>E. en M.L. LINETE HERNÁNDEZ GAMA</w:t>
      </w:r>
    </w:p>
    <w:p>
      <w:pPr>
        <w:pStyle w:val="BodyText"/>
        <w:rPr>
          <w:sz w:val="22"/>
        </w:rPr>
      </w:pPr>
    </w:p>
    <w:p>
      <w:pPr>
        <w:spacing w:before="0"/>
        <w:ind w:left="3335" w:right="0" w:firstLine="0"/>
        <w:jc w:val="left"/>
        <w:rPr>
          <w:sz w:val="22"/>
        </w:rPr>
      </w:pPr>
      <w:r>
        <w:rPr>
          <w:sz w:val="22"/>
        </w:rPr>
        <w:t>TOLUCA ESTADO DE MEXICO 2013</w:t>
      </w:r>
    </w:p>
    <w:p>
      <w:pPr>
        <w:spacing w:after="0"/>
        <w:jc w:val="left"/>
        <w:rPr>
          <w:sz w:val="22"/>
        </w:rPr>
        <w:sectPr>
          <w:type w:val="continuous"/>
          <w:pgSz w:w="12240" w:h="15840"/>
          <w:pgMar w:top="1500" w:bottom="280" w:left="1600" w:right="1580"/>
          <w:cols w:num="2" w:equalWidth="0">
            <w:col w:w="1447" w:space="451"/>
            <w:col w:w="716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2"/>
        <w:spacing w:line="276" w:lineRule="auto" w:before="69"/>
        <w:ind w:left="102" w:right="954" w:firstLine="0"/>
      </w:pPr>
      <w:r>
        <w:rPr/>
        <w:t>“Frecuencia de muertes por asfixia mecánica, por sofocación en su modalidad de obstrucción de vías respiratorias por contenido gastro- esofágico en Chimalhuacán, Estado de México, 2008 a</w:t>
      </w:r>
      <w:r>
        <w:rPr>
          <w:spacing w:val="50"/>
        </w:rPr>
        <w:t> </w:t>
      </w:r>
      <w:r>
        <w:rPr/>
        <w:t>2010.”</w:t>
      </w:r>
    </w:p>
    <w:p>
      <w:pPr>
        <w:spacing w:after="0" w:line="276" w:lineRule="auto"/>
        <w:sectPr>
          <w:footerReference w:type="default" r:id="rId6"/>
          <w:pgSz w:w="12240" w:h="15840"/>
          <w:pgMar w:footer="1005" w:header="0" w:top="1500" w:bottom="1200" w:left="1600" w:right="740"/>
          <w:pgNumType w:start="2"/>
        </w:sectPr>
      </w:pPr>
    </w:p>
    <w:p>
      <w:pPr>
        <w:pStyle w:val="BodyText"/>
        <w:spacing w:before="54"/>
        <w:ind w:left="102" w:right="940"/>
      </w:pPr>
      <w:r>
        <w:rPr/>
        <w:t>Dedicatoria</w:t>
      </w:r>
    </w:p>
    <w:p>
      <w:pPr>
        <w:pStyle w:val="BodyText"/>
        <w:rPr>
          <w:sz w:val="20"/>
        </w:rPr>
      </w:pPr>
    </w:p>
    <w:p>
      <w:pPr>
        <w:pStyle w:val="BodyText"/>
        <w:rPr>
          <w:sz w:val="20"/>
        </w:rPr>
      </w:pPr>
    </w:p>
    <w:p>
      <w:pPr>
        <w:pStyle w:val="BodyText"/>
        <w:spacing w:before="1"/>
        <w:rPr>
          <w:sz w:val="20"/>
        </w:rPr>
      </w:pPr>
    </w:p>
    <w:p>
      <w:pPr>
        <w:pStyle w:val="BodyText"/>
        <w:spacing w:line="448" w:lineRule="auto" w:before="70"/>
        <w:ind w:left="3803" w:right="940" w:firstLine="960"/>
      </w:pPr>
      <w:r>
        <w:rPr/>
        <w:t>A mis hijas, a quienes amo con toda mi alma y para quienes deseo ser un gran ejemplo.</w:t>
      </w:r>
    </w:p>
    <w:p>
      <w:pPr>
        <w:pStyle w:val="BodyText"/>
      </w:pPr>
    </w:p>
    <w:p>
      <w:pPr>
        <w:pStyle w:val="BodyText"/>
        <w:spacing w:before="7"/>
        <w:rPr>
          <w:sz w:val="21"/>
        </w:rPr>
      </w:pPr>
    </w:p>
    <w:p>
      <w:pPr>
        <w:pStyle w:val="BodyText"/>
        <w:ind w:left="438" w:firstLine="3084"/>
      </w:pPr>
      <w:r>
        <w:rPr/>
        <w:t>A mi mamá y a Daniel, por su  gran  amor y apoyo.</w:t>
      </w:r>
    </w:p>
    <w:p>
      <w:pPr>
        <w:pStyle w:val="BodyText"/>
      </w:pPr>
    </w:p>
    <w:p>
      <w:pPr>
        <w:pStyle w:val="BodyText"/>
      </w:pPr>
    </w:p>
    <w:p>
      <w:pPr>
        <w:pStyle w:val="BodyText"/>
        <w:spacing w:before="207"/>
        <w:ind w:left="438"/>
      </w:pPr>
      <w:r>
        <w:rPr/>
        <w:t>Al Dr. Ortega y al Dr. Zárate que con sus enseñanzas y ejemplo  me impulsan a</w:t>
      </w:r>
    </w:p>
    <w:p>
      <w:pPr>
        <w:pStyle w:val="BodyText"/>
        <w:spacing w:before="43"/>
        <w:ind w:left="5164"/>
      </w:pPr>
      <w:r>
        <w:rPr/>
        <w:t>querer ser una gran médico legista.</w:t>
      </w:r>
    </w:p>
    <w:p>
      <w:pPr>
        <w:spacing w:after="0"/>
        <w:sectPr>
          <w:pgSz w:w="12240" w:h="15840"/>
          <w:pgMar w:header="0" w:footer="1005" w:top="1360" w:bottom="1360" w:left="1600" w:right="740"/>
        </w:sectPr>
      </w:pPr>
    </w:p>
    <w:p>
      <w:pPr>
        <w:spacing w:before="33"/>
        <w:ind w:left="102" w:right="0" w:firstLine="0"/>
        <w:jc w:val="both"/>
        <w:rPr>
          <w:rFonts w:ascii="Calibri"/>
          <w:sz w:val="22"/>
        </w:rPr>
      </w:pPr>
      <w:r>
        <w:rPr>
          <w:rFonts w:ascii="Calibri"/>
          <w:sz w:val="22"/>
        </w:rPr>
        <w:t>RESUMEN</w:t>
      </w:r>
    </w:p>
    <w:p>
      <w:pPr>
        <w:pStyle w:val="BodyText"/>
        <w:spacing w:before="6"/>
        <w:rPr>
          <w:rFonts w:ascii="Calibri"/>
          <w:sz w:val="22"/>
        </w:rPr>
      </w:pPr>
    </w:p>
    <w:p>
      <w:pPr>
        <w:pStyle w:val="Heading2"/>
        <w:spacing w:before="1"/>
        <w:ind w:left="102" w:right="954" w:firstLine="0"/>
      </w:pPr>
      <w:r>
        <w:rPr/>
        <w:t>“Frecuencia de muertes por asfixia mecánica, por sofocación en su modalidad de obstrucción de vías respiratorias por contenido gastro- esofágico en Chimalhuacán, Estado de México, 2008 a</w:t>
      </w:r>
      <w:r>
        <w:rPr>
          <w:spacing w:val="50"/>
        </w:rPr>
        <w:t> </w:t>
      </w:r>
      <w:r>
        <w:rPr/>
        <w:t>2010.”</w:t>
      </w:r>
    </w:p>
    <w:p>
      <w:pPr>
        <w:pStyle w:val="BodyText"/>
        <w:rPr>
          <w:b/>
        </w:rPr>
      </w:pPr>
    </w:p>
    <w:p>
      <w:pPr>
        <w:pStyle w:val="BodyText"/>
        <w:ind w:left="102" w:right="956"/>
        <w:jc w:val="both"/>
      </w:pPr>
      <w:r>
        <w:rPr/>
        <w:t>Chimalhuacán fue fundado en 1259; Pertenece al Estado de México; Limita con los municipios de Texcoco, La Paz, Nezahualcóyotl, Chicoloapan e Ixtapaluca. La palabra asfixia se refiere Estado patológico caracterizado por una disminución o falta de oxígeno (hipoxia-anoxia) y retención de anhídrido carbónico. Este estado puede conducir a la muerte. Existen diversos tipos de asfixias mecánicas entre ellas la sofocación: Asfixia mecánica producida por la obstrucción de las vías aéreas externas o internas con el consiguiente impedimento de que el aire útil entre a los pulmones; Existen dos formas de sofocación: interna y externa. Interna la mayor parte son accidentales por atragantamientos. Existen casos suicidas y homicidas, por lo general en</w:t>
      </w:r>
      <w:r>
        <w:rPr>
          <w:spacing w:val="-14"/>
        </w:rPr>
        <w:t> </w:t>
      </w:r>
      <w:r>
        <w:rPr/>
        <w:t>infantes.</w:t>
      </w:r>
    </w:p>
    <w:p>
      <w:pPr>
        <w:pStyle w:val="BodyText"/>
      </w:pPr>
    </w:p>
    <w:p>
      <w:pPr>
        <w:pStyle w:val="BodyText"/>
        <w:ind w:left="102" w:right="958"/>
        <w:jc w:val="both"/>
      </w:pPr>
      <w:r>
        <w:rPr>
          <w:b/>
          <w:u w:val="thick"/>
        </w:rPr>
        <w:t>Hipótesis</w:t>
      </w:r>
      <w:r>
        <w:rPr/>
        <w:t>: En el grupo de adulto y adulto mayor se encuentra la mayor frecuencia de muertes por asfixia mecánica por sofocación por ocupación de  vías respiratorias por contenido gastro-esofágico.</w:t>
      </w:r>
    </w:p>
    <w:p>
      <w:pPr>
        <w:pStyle w:val="BodyText"/>
      </w:pPr>
    </w:p>
    <w:p>
      <w:pPr>
        <w:pStyle w:val="BodyText"/>
        <w:ind w:left="102" w:right="961"/>
        <w:jc w:val="both"/>
      </w:pPr>
      <w:r>
        <w:rPr>
          <w:b/>
          <w:u w:val="thick"/>
        </w:rPr>
        <w:t>Objetivo General</w:t>
      </w:r>
      <w:r>
        <w:rPr/>
        <w:t>: Determinar la frecuencia de muertes por asfixia mecánica, por sofocación en su modalidad de obstrucción de vías respiratorias por contenido gastro- esofágico, registradas en el Centro de Justicia en Chimalhuacán, Estado de México,  durante el periodo  del 01 de julio de2008 al 30 de junio de</w:t>
      </w:r>
      <w:r>
        <w:rPr>
          <w:spacing w:val="39"/>
        </w:rPr>
        <w:t> </w:t>
      </w:r>
      <w:r>
        <w:rPr/>
        <w:t>2010.</w:t>
      </w:r>
    </w:p>
    <w:p>
      <w:pPr>
        <w:pStyle w:val="BodyText"/>
      </w:pPr>
    </w:p>
    <w:p>
      <w:pPr>
        <w:pStyle w:val="BodyText"/>
        <w:ind w:left="102" w:right="958"/>
        <w:jc w:val="both"/>
      </w:pPr>
      <w:r>
        <w:rPr>
          <w:b/>
          <w:u w:val="thick"/>
        </w:rPr>
        <w:t>Material y Método</w:t>
      </w:r>
      <w:r>
        <w:rPr/>
        <w:t>: Libro de Gobierno del registro de Necropsias del Servicio Médico Forense del Centro de Justicia de Chimalhuacán, en el periodo del 01 de julio de 2008 al 30 de junio de 2010. El estudio es observacional, retrospectivo y descriptivo y se realizó el análisis de los resultados en base a las medidas de frecuencia.</w:t>
      </w:r>
    </w:p>
    <w:p>
      <w:pPr>
        <w:pStyle w:val="BodyText"/>
      </w:pPr>
    </w:p>
    <w:p>
      <w:pPr>
        <w:pStyle w:val="BodyText"/>
        <w:ind w:left="102" w:right="956"/>
        <w:jc w:val="both"/>
      </w:pPr>
      <w:r>
        <w:rPr>
          <w:b/>
          <w:u w:val="thick"/>
        </w:rPr>
        <w:t>Resultados</w:t>
      </w:r>
      <w:r>
        <w:rPr/>
        <w:t>: Los resultados que arrojaron esta investigación fueron que durante  el periodo de julio 2008 a junio 2010 en Chimalhuacán, México, la frecuencia de muertes por Asfixia en su modalidad de sofocación por obstrucción de vías respiratoria por contenido gastro-esofágico fue de un 5.5 % con respecto al resto de las causas de muerte violentas. El grupo de edad que presento mayor número de muertes fue el grupo de edad de adulto joven, con una frecuencia del 50%, seguido por el grupo de los adultos con una frecuencia de 35.7%, el resto de los grupos de edad con una baja frecuencia  de</w:t>
      </w:r>
      <w:r>
        <w:rPr>
          <w:spacing w:val="-21"/>
        </w:rPr>
        <w:t> </w:t>
      </w:r>
      <w:r>
        <w:rPr/>
        <w:t>casos.</w:t>
      </w:r>
    </w:p>
    <w:p>
      <w:pPr>
        <w:pStyle w:val="BodyText"/>
      </w:pPr>
    </w:p>
    <w:p>
      <w:pPr>
        <w:pStyle w:val="BodyText"/>
        <w:ind w:left="102" w:right="960"/>
        <w:jc w:val="both"/>
      </w:pPr>
      <w:r>
        <w:rPr>
          <w:b/>
          <w:u w:val="thick"/>
        </w:rPr>
        <w:t>Conclusiones</w:t>
      </w:r>
      <w:r>
        <w:rPr/>
        <w:t>: La hipótesis es comprobada ya que de acuerdo a los resultados,  la mayor frecuencia de muertes por asfixia por sofocación en su modalidad de obstrucción de vías respiratorias por contenido gastro-esofágico, se da en el grupo de adulto y adultos</w:t>
      </w:r>
      <w:r>
        <w:rPr>
          <w:spacing w:val="-13"/>
        </w:rPr>
        <w:t> </w:t>
      </w:r>
      <w:r>
        <w:rPr/>
        <w:t>mayores.</w:t>
      </w:r>
    </w:p>
    <w:p>
      <w:pPr>
        <w:spacing w:after="0"/>
        <w:jc w:val="both"/>
        <w:sectPr>
          <w:pgSz w:w="12240" w:h="15840"/>
          <w:pgMar w:header="0" w:footer="1005" w:top="1380" w:bottom="1360" w:left="1600" w:right="740"/>
        </w:sectPr>
      </w:pPr>
    </w:p>
    <w:p>
      <w:pPr>
        <w:pStyle w:val="BodyText"/>
        <w:spacing w:before="54"/>
        <w:ind w:left="102"/>
        <w:jc w:val="both"/>
      </w:pPr>
      <w:r>
        <w:rPr/>
        <w:t>ABSTRAC</w:t>
      </w:r>
    </w:p>
    <w:p>
      <w:pPr>
        <w:pStyle w:val="BodyText"/>
        <w:spacing w:before="3"/>
        <w:rPr>
          <w:sz w:val="31"/>
        </w:rPr>
      </w:pPr>
    </w:p>
    <w:p>
      <w:pPr>
        <w:pStyle w:val="Heading2"/>
        <w:spacing w:line="276" w:lineRule="auto" w:before="1"/>
        <w:ind w:left="102" w:right="955" w:firstLine="0"/>
      </w:pPr>
      <w:r>
        <w:rPr/>
        <w:t>Frequency of mechanical asphyxia deaths by suffocation in their mode of airway obstruction of gastro-esophageal contents Chimalhuacán, State of Mexico, 2008 to 2010."</w:t>
      </w:r>
    </w:p>
    <w:p>
      <w:pPr>
        <w:pStyle w:val="BodyText"/>
        <w:rPr>
          <w:b/>
        </w:rPr>
      </w:pPr>
    </w:p>
    <w:p>
      <w:pPr>
        <w:pStyle w:val="BodyText"/>
        <w:spacing w:before="1"/>
        <w:rPr>
          <w:b/>
          <w:sz w:val="21"/>
        </w:rPr>
      </w:pPr>
    </w:p>
    <w:p>
      <w:pPr>
        <w:pStyle w:val="BodyText"/>
        <w:spacing w:line="276" w:lineRule="auto"/>
        <w:ind w:left="102" w:right="959"/>
        <w:jc w:val="both"/>
      </w:pPr>
      <w:r>
        <w:rPr/>
        <w:t>Chimalhuacán was founded in 1259, belongs to the State of Mexico, bordered by the municipalities of Texcoco, La Paz, Nezahualcoyotl, Chichester and Ixtapaluca. The word refers suffocation disease state characterized by a decrease or lack of oxygen (hypoxia, anoxia) and carbon dioxide retention. This condition can lead to death. Various types of mechanical asphyxia suffocation including: mechanical asphyxiation caused by airway obstruction external or internal with the consequent impairment of useful air enters the lungs, suffocating in two ways: internal and external. Internal most are accidental choking. There are suicidal and homicidal cases, usually in infants.</w:t>
      </w:r>
    </w:p>
    <w:p>
      <w:pPr>
        <w:pStyle w:val="BodyText"/>
        <w:spacing w:line="276" w:lineRule="auto" w:before="202"/>
        <w:ind w:left="102" w:right="955"/>
        <w:jc w:val="both"/>
      </w:pPr>
      <w:r>
        <w:rPr>
          <w:b/>
          <w:u w:val="thick"/>
        </w:rPr>
        <w:t>Hypothesis</w:t>
      </w:r>
      <w:r>
        <w:rPr/>
        <w:t>: In the group of adults and older adults is the incidence of deaths by mechanical asphyxia due to suffocation by airway occupation of gastro-esophageal contents.</w:t>
      </w:r>
    </w:p>
    <w:p>
      <w:pPr>
        <w:pStyle w:val="BodyText"/>
        <w:spacing w:line="276" w:lineRule="auto" w:before="202"/>
        <w:ind w:left="102" w:right="955"/>
        <w:jc w:val="both"/>
      </w:pPr>
      <w:r>
        <w:rPr>
          <w:b/>
          <w:u w:val="thick"/>
        </w:rPr>
        <w:t>General Objective</w:t>
      </w:r>
      <w:r>
        <w:rPr/>
        <w:t>: To determine the frequency of deaths due to mechanical asphyxia by suffocation in their mode of airway obstruction of gastro-esophageal contents, registered in the Justice Center in Chimalhuacán, State of Mexico, during the period from July 1 to de2008 June 30, 2010.</w:t>
      </w:r>
    </w:p>
    <w:p>
      <w:pPr>
        <w:pStyle w:val="BodyText"/>
        <w:spacing w:line="276" w:lineRule="auto" w:before="202"/>
        <w:ind w:left="102" w:right="960"/>
        <w:jc w:val="both"/>
      </w:pPr>
      <w:r>
        <w:rPr>
          <w:b/>
          <w:u w:val="thick"/>
        </w:rPr>
        <w:t>Material and Method</w:t>
      </w:r>
      <w:r>
        <w:rPr/>
        <w:t>: Book Autopsies log Government Service Coroner Chimalhuacán Justice Center, in the period of July 1, 2008 to June 30, 2010. The study was observational, retrospective, descriptive analysis was performed and the results based on frequency measurements.</w:t>
      </w:r>
    </w:p>
    <w:p>
      <w:pPr>
        <w:pStyle w:val="BodyText"/>
        <w:spacing w:line="276" w:lineRule="auto" w:before="200"/>
        <w:ind w:left="102" w:right="955"/>
        <w:jc w:val="both"/>
      </w:pPr>
      <w:r>
        <w:rPr>
          <w:b/>
          <w:u w:val="thick"/>
        </w:rPr>
        <w:t>Results</w:t>
      </w:r>
      <w:r>
        <w:rPr/>
        <w:t>: The results yielded this investigation were that during the period July  2008 to June 2010 in Chimalhuacán, México, the frequency of deaths from asphyxia suffocation their mode of airway obstruction gastro-esophageal content was 5.5% with the rest of the causes of violent death. The age group with the highest number of deaths was the group of young adulthood, with a frequency of 50%, followed by the group of adults with a frequency of 35.7%, all other age groups with low frequency of</w:t>
      </w:r>
      <w:r>
        <w:rPr>
          <w:spacing w:val="-9"/>
        </w:rPr>
        <w:t> </w:t>
      </w:r>
      <w:r>
        <w:rPr/>
        <w:t>cases.</w:t>
      </w:r>
    </w:p>
    <w:p>
      <w:pPr>
        <w:pStyle w:val="BodyText"/>
        <w:spacing w:line="276" w:lineRule="auto" w:before="200"/>
        <w:ind w:left="102" w:right="963"/>
        <w:jc w:val="both"/>
      </w:pPr>
      <w:r>
        <w:rPr>
          <w:b/>
          <w:u w:val="thick"/>
        </w:rPr>
        <w:t>Conclusions</w:t>
      </w:r>
      <w:r>
        <w:rPr/>
        <w:t>: The hypothesis is tested since according to the results, the  incidence of deaths from asphyxia due to suffocation in their mode of airway obstruction of gastro-esophageal content, occurs in the group of adults and older adults.</w:t>
      </w:r>
    </w:p>
    <w:p>
      <w:pPr>
        <w:spacing w:after="0" w:line="276" w:lineRule="auto"/>
        <w:jc w:val="both"/>
        <w:sectPr>
          <w:pgSz w:w="12240" w:h="15840"/>
          <w:pgMar w:header="0" w:footer="1005" w:top="1360" w:bottom="1360" w:left="1600" w:right="740"/>
        </w:sectPr>
      </w:pPr>
    </w:p>
    <w:p>
      <w:pPr>
        <w:pStyle w:val="Heading1"/>
        <w:ind w:left="222" w:firstLine="0"/>
      </w:pPr>
      <w:r>
        <w:rPr/>
        <w:t>INDICE</w:t>
      </w:r>
    </w:p>
    <w:p>
      <w:pPr>
        <w:pStyle w:val="BodyText"/>
        <w:spacing w:before="8"/>
        <w:rPr>
          <w:b/>
          <w:sz w:val="2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9"/>
        <w:gridCol w:w="1344"/>
      </w:tblGrid>
      <w:tr>
        <w:trPr>
          <w:trHeight w:val="367" w:hRule="exact"/>
        </w:trPr>
        <w:tc>
          <w:tcPr>
            <w:tcW w:w="6159" w:type="dxa"/>
          </w:tcPr>
          <w:p>
            <w:pPr>
              <w:pStyle w:val="TableParagraph"/>
              <w:ind w:left="878"/>
              <w:rPr>
                <w:sz w:val="24"/>
              </w:rPr>
            </w:pPr>
            <w:r>
              <w:rPr>
                <w:sz w:val="24"/>
              </w:rPr>
              <w:t>1.</w:t>
            </w:r>
            <w:r>
              <w:rPr>
                <w:spacing w:val="59"/>
                <w:sz w:val="24"/>
              </w:rPr>
              <w:t> </w:t>
            </w:r>
            <w:r>
              <w:rPr>
                <w:sz w:val="24"/>
              </w:rPr>
              <w:t>Antecedentes</w:t>
            </w:r>
          </w:p>
        </w:tc>
        <w:tc>
          <w:tcPr>
            <w:tcW w:w="1344" w:type="dxa"/>
          </w:tcPr>
          <w:p>
            <w:pPr/>
          </w:p>
        </w:tc>
      </w:tr>
      <w:tr>
        <w:trPr>
          <w:trHeight w:val="367" w:hRule="exact"/>
        </w:trPr>
        <w:tc>
          <w:tcPr>
            <w:tcW w:w="6159" w:type="dxa"/>
          </w:tcPr>
          <w:p>
            <w:pPr>
              <w:pStyle w:val="TableParagraph"/>
              <w:ind w:left="1519"/>
              <w:rPr>
                <w:sz w:val="24"/>
              </w:rPr>
            </w:pPr>
            <w:r>
              <w:rPr>
                <w:sz w:val="24"/>
              </w:rPr>
              <w:t>1.1 Asfixias</w:t>
            </w:r>
          </w:p>
        </w:tc>
        <w:tc>
          <w:tcPr>
            <w:tcW w:w="1344" w:type="dxa"/>
          </w:tcPr>
          <w:p>
            <w:pPr/>
          </w:p>
        </w:tc>
      </w:tr>
      <w:tr>
        <w:trPr>
          <w:trHeight w:val="370" w:hRule="exact"/>
        </w:trPr>
        <w:tc>
          <w:tcPr>
            <w:tcW w:w="6159" w:type="dxa"/>
          </w:tcPr>
          <w:p>
            <w:pPr>
              <w:pStyle w:val="TableParagraph"/>
              <w:spacing w:line="274" w:lineRule="exact"/>
              <w:ind w:left="1519"/>
              <w:rPr>
                <w:sz w:val="24"/>
              </w:rPr>
            </w:pPr>
            <w:r>
              <w:rPr>
                <w:sz w:val="24"/>
              </w:rPr>
              <w:t>1.1.2 Incidencia</w:t>
            </w:r>
          </w:p>
        </w:tc>
        <w:tc>
          <w:tcPr>
            <w:tcW w:w="1344" w:type="dxa"/>
          </w:tcPr>
          <w:p>
            <w:pPr>
              <w:pStyle w:val="TableParagraph"/>
              <w:spacing w:line="274" w:lineRule="exact"/>
              <w:ind w:left="439"/>
              <w:rPr>
                <w:sz w:val="24"/>
              </w:rPr>
            </w:pPr>
            <w:r>
              <w:rPr>
                <w:w w:val="99"/>
                <w:sz w:val="24"/>
              </w:rPr>
              <w:t>8</w:t>
            </w:r>
          </w:p>
        </w:tc>
      </w:tr>
      <w:tr>
        <w:trPr>
          <w:trHeight w:val="367" w:hRule="exact"/>
        </w:trPr>
        <w:tc>
          <w:tcPr>
            <w:tcW w:w="6159" w:type="dxa"/>
          </w:tcPr>
          <w:p>
            <w:pPr>
              <w:pStyle w:val="TableParagraph"/>
              <w:ind w:left="1519"/>
              <w:rPr>
                <w:sz w:val="24"/>
              </w:rPr>
            </w:pPr>
            <w:r>
              <w:rPr>
                <w:sz w:val="24"/>
              </w:rPr>
              <w:t>1.1.3 Generalidades</w:t>
            </w:r>
          </w:p>
        </w:tc>
        <w:tc>
          <w:tcPr>
            <w:tcW w:w="1344" w:type="dxa"/>
          </w:tcPr>
          <w:p>
            <w:pPr>
              <w:pStyle w:val="TableParagraph"/>
              <w:ind w:left="463"/>
              <w:rPr>
                <w:sz w:val="24"/>
              </w:rPr>
            </w:pPr>
            <w:r>
              <w:rPr>
                <w:w w:val="99"/>
                <w:sz w:val="24"/>
              </w:rPr>
              <w:t>8</w:t>
            </w:r>
          </w:p>
        </w:tc>
      </w:tr>
      <w:tr>
        <w:trPr>
          <w:trHeight w:val="367" w:hRule="exact"/>
        </w:trPr>
        <w:tc>
          <w:tcPr>
            <w:tcW w:w="6159" w:type="dxa"/>
          </w:tcPr>
          <w:p>
            <w:pPr>
              <w:pStyle w:val="TableParagraph"/>
              <w:ind w:left="1519"/>
              <w:rPr>
                <w:sz w:val="24"/>
              </w:rPr>
            </w:pPr>
            <w:r>
              <w:rPr>
                <w:sz w:val="24"/>
              </w:rPr>
              <w:t>1.1.4 Fisiopatología de las anoxias</w:t>
            </w:r>
          </w:p>
        </w:tc>
        <w:tc>
          <w:tcPr>
            <w:tcW w:w="1344" w:type="dxa"/>
          </w:tcPr>
          <w:p>
            <w:pPr>
              <w:pStyle w:val="TableParagraph"/>
              <w:ind w:left="463"/>
              <w:rPr>
                <w:sz w:val="24"/>
              </w:rPr>
            </w:pPr>
            <w:r>
              <w:rPr>
                <w:w w:val="99"/>
                <w:sz w:val="24"/>
              </w:rPr>
              <w:t>9</w:t>
            </w:r>
          </w:p>
        </w:tc>
      </w:tr>
      <w:tr>
        <w:trPr>
          <w:trHeight w:val="370" w:hRule="exact"/>
        </w:trPr>
        <w:tc>
          <w:tcPr>
            <w:tcW w:w="6159" w:type="dxa"/>
          </w:tcPr>
          <w:p>
            <w:pPr>
              <w:pStyle w:val="TableParagraph"/>
              <w:spacing w:line="274" w:lineRule="exact"/>
              <w:ind w:left="1519"/>
              <w:rPr>
                <w:sz w:val="24"/>
              </w:rPr>
            </w:pPr>
            <w:r>
              <w:rPr>
                <w:sz w:val="24"/>
              </w:rPr>
              <w:t>1.1.5 Síntomas generales de las asfixias</w:t>
            </w:r>
          </w:p>
        </w:tc>
        <w:tc>
          <w:tcPr>
            <w:tcW w:w="1344" w:type="dxa"/>
          </w:tcPr>
          <w:p>
            <w:pPr>
              <w:pStyle w:val="TableParagraph"/>
              <w:spacing w:line="274" w:lineRule="exact"/>
              <w:ind w:left="463"/>
              <w:rPr>
                <w:sz w:val="24"/>
              </w:rPr>
            </w:pPr>
            <w:r>
              <w:rPr>
                <w:w w:val="99"/>
                <w:sz w:val="24"/>
              </w:rPr>
              <w:t>9</w:t>
            </w:r>
          </w:p>
        </w:tc>
      </w:tr>
      <w:tr>
        <w:trPr>
          <w:trHeight w:val="562" w:hRule="exact"/>
        </w:trPr>
        <w:tc>
          <w:tcPr>
            <w:tcW w:w="6159" w:type="dxa"/>
          </w:tcPr>
          <w:p>
            <w:pPr>
              <w:pStyle w:val="TableParagraph"/>
              <w:spacing w:line="240" w:lineRule="auto"/>
              <w:ind w:left="1519" w:right="701"/>
              <w:rPr>
                <w:sz w:val="24"/>
              </w:rPr>
            </w:pPr>
            <w:r>
              <w:rPr>
                <w:sz w:val="24"/>
              </w:rPr>
              <w:t>1.1.6 Fisiopatología de la muerte por asfixia</w:t>
            </w:r>
          </w:p>
        </w:tc>
        <w:tc>
          <w:tcPr>
            <w:tcW w:w="1344" w:type="dxa"/>
          </w:tcPr>
          <w:p>
            <w:pPr>
              <w:pStyle w:val="TableParagraph"/>
              <w:ind w:left="463"/>
              <w:rPr>
                <w:sz w:val="24"/>
              </w:rPr>
            </w:pPr>
            <w:r>
              <w:rPr>
                <w:w w:val="99"/>
                <w:sz w:val="24"/>
              </w:rPr>
              <w:t>9</w:t>
            </w:r>
          </w:p>
        </w:tc>
      </w:tr>
      <w:tr>
        <w:trPr>
          <w:trHeight w:val="367" w:hRule="exact"/>
        </w:trPr>
        <w:tc>
          <w:tcPr>
            <w:tcW w:w="6159" w:type="dxa"/>
          </w:tcPr>
          <w:p>
            <w:pPr>
              <w:pStyle w:val="TableParagraph"/>
              <w:ind w:left="1519"/>
              <w:rPr>
                <w:sz w:val="24"/>
              </w:rPr>
            </w:pPr>
            <w:r>
              <w:rPr>
                <w:sz w:val="24"/>
              </w:rPr>
              <w:t>1.1.7 Tipos de asfixia</w:t>
            </w:r>
          </w:p>
        </w:tc>
        <w:tc>
          <w:tcPr>
            <w:tcW w:w="1344" w:type="dxa"/>
          </w:tcPr>
          <w:p>
            <w:pPr>
              <w:pStyle w:val="TableParagraph"/>
              <w:ind w:left="463"/>
              <w:rPr>
                <w:sz w:val="24"/>
              </w:rPr>
            </w:pPr>
            <w:r>
              <w:rPr>
                <w:sz w:val="24"/>
              </w:rPr>
              <w:t>10</w:t>
            </w:r>
          </w:p>
        </w:tc>
      </w:tr>
      <w:tr>
        <w:trPr>
          <w:trHeight w:val="370" w:hRule="exact"/>
        </w:trPr>
        <w:tc>
          <w:tcPr>
            <w:tcW w:w="6159" w:type="dxa"/>
          </w:tcPr>
          <w:p>
            <w:pPr>
              <w:pStyle w:val="TableParagraph"/>
              <w:ind w:left="1519"/>
              <w:rPr>
                <w:sz w:val="24"/>
              </w:rPr>
            </w:pPr>
            <w:r>
              <w:rPr>
                <w:sz w:val="24"/>
              </w:rPr>
              <w:t>1.1.8 Clasificación de asfixias</w:t>
            </w:r>
          </w:p>
        </w:tc>
        <w:tc>
          <w:tcPr>
            <w:tcW w:w="1344" w:type="dxa"/>
          </w:tcPr>
          <w:p>
            <w:pPr>
              <w:pStyle w:val="TableParagraph"/>
              <w:ind w:left="463"/>
              <w:rPr>
                <w:sz w:val="24"/>
              </w:rPr>
            </w:pPr>
            <w:r>
              <w:rPr>
                <w:sz w:val="24"/>
              </w:rPr>
              <w:t>10</w:t>
            </w:r>
          </w:p>
        </w:tc>
      </w:tr>
      <w:tr>
        <w:trPr>
          <w:trHeight w:val="367" w:hRule="exact"/>
        </w:trPr>
        <w:tc>
          <w:tcPr>
            <w:tcW w:w="6159" w:type="dxa"/>
          </w:tcPr>
          <w:p>
            <w:pPr>
              <w:pStyle w:val="TableParagraph"/>
              <w:ind w:left="1519"/>
              <w:rPr>
                <w:sz w:val="24"/>
              </w:rPr>
            </w:pPr>
            <w:r>
              <w:rPr>
                <w:sz w:val="24"/>
              </w:rPr>
              <w:t>1.1.9 Patología forense de las asfixias</w:t>
            </w:r>
          </w:p>
        </w:tc>
        <w:tc>
          <w:tcPr>
            <w:tcW w:w="1344" w:type="dxa"/>
          </w:tcPr>
          <w:p>
            <w:pPr>
              <w:pStyle w:val="TableParagraph"/>
              <w:ind w:left="463"/>
              <w:rPr>
                <w:sz w:val="24"/>
              </w:rPr>
            </w:pPr>
            <w:r>
              <w:rPr>
                <w:sz w:val="24"/>
              </w:rPr>
              <w:t>11</w:t>
            </w:r>
          </w:p>
        </w:tc>
      </w:tr>
      <w:tr>
        <w:trPr>
          <w:trHeight w:val="367" w:hRule="exact"/>
        </w:trPr>
        <w:tc>
          <w:tcPr>
            <w:tcW w:w="6159" w:type="dxa"/>
          </w:tcPr>
          <w:p>
            <w:pPr>
              <w:pStyle w:val="TableParagraph"/>
              <w:ind w:left="1519"/>
              <w:rPr>
                <w:sz w:val="24"/>
              </w:rPr>
            </w:pPr>
            <w:r>
              <w:rPr>
                <w:sz w:val="24"/>
              </w:rPr>
              <w:t>1.1.10 Asfixia por sofocación</w:t>
            </w:r>
          </w:p>
        </w:tc>
        <w:tc>
          <w:tcPr>
            <w:tcW w:w="1344" w:type="dxa"/>
          </w:tcPr>
          <w:p>
            <w:pPr>
              <w:pStyle w:val="TableParagraph"/>
              <w:ind w:left="463"/>
              <w:rPr>
                <w:sz w:val="24"/>
              </w:rPr>
            </w:pPr>
            <w:r>
              <w:rPr>
                <w:sz w:val="24"/>
              </w:rPr>
              <w:t>12</w:t>
            </w:r>
          </w:p>
        </w:tc>
      </w:tr>
      <w:tr>
        <w:trPr>
          <w:trHeight w:val="370" w:hRule="exact"/>
        </w:trPr>
        <w:tc>
          <w:tcPr>
            <w:tcW w:w="6159" w:type="dxa"/>
          </w:tcPr>
          <w:p>
            <w:pPr>
              <w:pStyle w:val="TableParagraph"/>
              <w:ind w:left="1519"/>
              <w:rPr>
                <w:sz w:val="24"/>
              </w:rPr>
            </w:pPr>
            <w:r>
              <w:rPr>
                <w:sz w:val="24"/>
              </w:rPr>
              <w:t>1.2 Chimalhuacán</w:t>
            </w:r>
          </w:p>
        </w:tc>
        <w:tc>
          <w:tcPr>
            <w:tcW w:w="1344" w:type="dxa"/>
          </w:tcPr>
          <w:p>
            <w:pPr>
              <w:pStyle w:val="TableParagraph"/>
              <w:ind w:left="463"/>
              <w:rPr>
                <w:sz w:val="24"/>
              </w:rPr>
            </w:pPr>
            <w:r>
              <w:rPr>
                <w:sz w:val="24"/>
              </w:rPr>
              <w:t>13-14</w:t>
            </w:r>
          </w:p>
        </w:tc>
      </w:tr>
      <w:tr>
        <w:trPr>
          <w:trHeight w:val="341" w:hRule="exact"/>
        </w:trPr>
        <w:tc>
          <w:tcPr>
            <w:tcW w:w="6159" w:type="dxa"/>
          </w:tcPr>
          <w:p>
            <w:pPr>
              <w:pStyle w:val="TableParagraph"/>
              <w:ind w:left="463"/>
              <w:rPr>
                <w:sz w:val="24"/>
              </w:rPr>
            </w:pPr>
            <w:r>
              <w:rPr>
                <w:sz w:val="24"/>
              </w:rPr>
              <w:t>2. Justificación</w:t>
            </w:r>
          </w:p>
        </w:tc>
        <w:tc>
          <w:tcPr>
            <w:tcW w:w="1344" w:type="dxa"/>
          </w:tcPr>
          <w:p>
            <w:pPr>
              <w:pStyle w:val="TableParagraph"/>
              <w:ind w:left="463"/>
              <w:rPr>
                <w:sz w:val="24"/>
              </w:rPr>
            </w:pPr>
            <w:r>
              <w:rPr>
                <w:sz w:val="24"/>
              </w:rPr>
              <w:t>15</w:t>
            </w:r>
          </w:p>
        </w:tc>
      </w:tr>
      <w:tr>
        <w:trPr>
          <w:trHeight w:val="341" w:hRule="exact"/>
        </w:trPr>
        <w:tc>
          <w:tcPr>
            <w:tcW w:w="6159" w:type="dxa"/>
          </w:tcPr>
          <w:p>
            <w:pPr>
              <w:pStyle w:val="TableParagraph"/>
              <w:ind w:left="463"/>
              <w:rPr>
                <w:sz w:val="24"/>
              </w:rPr>
            </w:pPr>
            <w:r>
              <w:rPr>
                <w:sz w:val="24"/>
              </w:rPr>
              <w:t>3.  Planteamiento del Problema</w:t>
            </w:r>
          </w:p>
        </w:tc>
        <w:tc>
          <w:tcPr>
            <w:tcW w:w="1344" w:type="dxa"/>
          </w:tcPr>
          <w:p>
            <w:pPr>
              <w:pStyle w:val="TableParagraph"/>
              <w:ind w:left="463"/>
              <w:rPr>
                <w:sz w:val="24"/>
              </w:rPr>
            </w:pPr>
            <w:r>
              <w:rPr>
                <w:sz w:val="24"/>
              </w:rPr>
              <w:t>16</w:t>
            </w:r>
          </w:p>
        </w:tc>
      </w:tr>
      <w:tr>
        <w:trPr>
          <w:trHeight w:val="341" w:hRule="exact"/>
        </w:trPr>
        <w:tc>
          <w:tcPr>
            <w:tcW w:w="6159" w:type="dxa"/>
          </w:tcPr>
          <w:p>
            <w:pPr>
              <w:pStyle w:val="TableParagraph"/>
              <w:ind w:left="463"/>
              <w:rPr>
                <w:sz w:val="24"/>
              </w:rPr>
            </w:pPr>
            <w:r>
              <w:rPr>
                <w:sz w:val="24"/>
              </w:rPr>
              <w:t>4. Hipótesis</w:t>
            </w:r>
          </w:p>
        </w:tc>
        <w:tc>
          <w:tcPr>
            <w:tcW w:w="1344" w:type="dxa"/>
          </w:tcPr>
          <w:p>
            <w:pPr>
              <w:pStyle w:val="TableParagraph"/>
              <w:ind w:left="463"/>
              <w:rPr>
                <w:sz w:val="24"/>
              </w:rPr>
            </w:pPr>
            <w:r>
              <w:rPr>
                <w:sz w:val="24"/>
              </w:rPr>
              <w:t>17</w:t>
            </w:r>
          </w:p>
        </w:tc>
      </w:tr>
      <w:tr>
        <w:trPr>
          <w:trHeight w:val="341" w:hRule="exact"/>
        </w:trPr>
        <w:tc>
          <w:tcPr>
            <w:tcW w:w="6159" w:type="dxa"/>
          </w:tcPr>
          <w:p>
            <w:pPr>
              <w:pStyle w:val="TableParagraph"/>
              <w:ind w:left="463"/>
              <w:rPr>
                <w:sz w:val="24"/>
              </w:rPr>
            </w:pPr>
            <w:r>
              <w:rPr>
                <w:sz w:val="24"/>
              </w:rPr>
              <w:t>5.Objetivos</w:t>
            </w:r>
          </w:p>
        </w:tc>
        <w:tc>
          <w:tcPr>
            <w:tcW w:w="1344" w:type="dxa"/>
          </w:tcPr>
          <w:p>
            <w:pPr/>
          </w:p>
        </w:tc>
      </w:tr>
      <w:tr>
        <w:trPr>
          <w:trHeight w:val="341" w:hRule="exact"/>
        </w:trPr>
        <w:tc>
          <w:tcPr>
            <w:tcW w:w="6159" w:type="dxa"/>
          </w:tcPr>
          <w:p>
            <w:pPr>
              <w:pStyle w:val="TableParagraph"/>
              <w:ind w:left="463"/>
              <w:rPr>
                <w:sz w:val="24"/>
              </w:rPr>
            </w:pPr>
            <w:r>
              <w:rPr>
                <w:sz w:val="24"/>
              </w:rPr>
              <w:t>5.1 Objetivo General</w:t>
            </w:r>
          </w:p>
        </w:tc>
        <w:tc>
          <w:tcPr>
            <w:tcW w:w="1344" w:type="dxa"/>
          </w:tcPr>
          <w:p>
            <w:pPr>
              <w:pStyle w:val="TableParagraph"/>
              <w:ind w:left="463"/>
              <w:rPr>
                <w:sz w:val="24"/>
              </w:rPr>
            </w:pPr>
            <w:r>
              <w:rPr>
                <w:sz w:val="24"/>
              </w:rPr>
              <w:t>18</w:t>
            </w:r>
          </w:p>
        </w:tc>
      </w:tr>
      <w:tr>
        <w:trPr>
          <w:trHeight w:val="341" w:hRule="exact"/>
        </w:trPr>
        <w:tc>
          <w:tcPr>
            <w:tcW w:w="6159" w:type="dxa"/>
          </w:tcPr>
          <w:p>
            <w:pPr>
              <w:pStyle w:val="TableParagraph"/>
              <w:ind w:left="463"/>
              <w:rPr>
                <w:sz w:val="24"/>
              </w:rPr>
            </w:pPr>
            <w:r>
              <w:rPr>
                <w:sz w:val="24"/>
              </w:rPr>
              <w:t>5.2 Objetivos Específicos</w:t>
            </w:r>
          </w:p>
        </w:tc>
        <w:tc>
          <w:tcPr>
            <w:tcW w:w="1344" w:type="dxa"/>
          </w:tcPr>
          <w:p>
            <w:pPr>
              <w:pStyle w:val="TableParagraph"/>
              <w:ind w:left="463"/>
              <w:rPr>
                <w:sz w:val="24"/>
              </w:rPr>
            </w:pPr>
            <w:r>
              <w:rPr>
                <w:sz w:val="24"/>
              </w:rPr>
              <w:t>18</w:t>
            </w:r>
          </w:p>
        </w:tc>
      </w:tr>
      <w:tr>
        <w:trPr>
          <w:trHeight w:val="367" w:hRule="exact"/>
        </w:trPr>
        <w:tc>
          <w:tcPr>
            <w:tcW w:w="6159" w:type="dxa"/>
          </w:tcPr>
          <w:p>
            <w:pPr>
              <w:pStyle w:val="TableParagraph"/>
              <w:ind w:left="503"/>
              <w:rPr>
                <w:sz w:val="24"/>
              </w:rPr>
            </w:pPr>
            <w:r>
              <w:rPr>
                <w:sz w:val="24"/>
              </w:rPr>
              <w:t>6. Material y Método</w:t>
            </w:r>
          </w:p>
        </w:tc>
        <w:tc>
          <w:tcPr>
            <w:tcW w:w="1344" w:type="dxa"/>
          </w:tcPr>
          <w:p>
            <w:pPr/>
          </w:p>
        </w:tc>
      </w:tr>
      <w:tr>
        <w:trPr>
          <w:trHeight w:val="343" w:hRule="exact"/>
        </w:trPr>
        <w:tc>
          <w:tcPr>
            <w:tcW w:w="6159" w:type="dxa"/>
          </w:tcPr>
          <w:p>
            <w:pPr>
              <w:pStyle w:val="TableParagraph"/>
              <w:numPr>
                <w:ilvl w:val="0"/>
                <w:numId w:val="2"/>
              </w:numPr>
              <w:tabs>
                <w:tab w:pos="1544" w:val="left" w:leader="none"/>
              </w:tabs>
              <w:spacing w:line="274" w:lineRule="exact" w:before="0" w:after="0"/>
              <w:ind w:left="1543" w:right="0" w:hanging="360"/>
              <w:jc w:val="left"/>
              <w:rPr>
                <w:sz w:val="24"/>
              </w:rPr>
            </w:pPr>
            <w:r>
              <w:rPr>
                <w:sz w:val="24"/>
              </w:rPr>
              <w:t>6.1 Diseño del</w:t>
            </w:r>
            <w:r>
              <w:rPr>
                <w:spacing w:val="-5"/>
                <w:sz w:val="24"/>
              </w:rPr>
              <w:t> </w:t>
            </w:r>
            <w:r>
              <w:rPr>
                <w:sz w:val="24"/>
              </w:rPr>
              <w:t>estudio</w:t>
            </w:r>
          </w:p>
        </w:tc>
        <w:tc>
          <w:tcPr>
            <w:tcW w:w="1344" w:type="dxa"/>
          </w:tcPr>
          <w:p>
            <w:pPr>
              <w:pStyle w:val="TableParagraph"/>
              <w:spacing w:line="274" w:lineRule="exact"/>
              <w:ind w:left="463"/>
              <w:rPr>
                <w:sz w:val="24"/>
              </w:rPr>
            </w:pPr>
            <w:r>
              <w:rPr>
                <w:sz w:val="24"/>
              </w:rPr>
              <w:t>19</w:t>
            </w:r>
          </w:p>
        </w:tc>
      </w:tr>
      <w:tr>
        <w:trPr>
          <w:trHeight w:val="341" w:hRule="exact"/>
        </w:trPr>
        <w:tc>
          <w:tcPr>
            <w:tcW w:w="6159" w:type="dxa"/>
          </w:tcPr>
          <w:p>
            <w:pPr>
              <w:pStyle w:val="TableParagraph"/>
              <w:numPr>
                <w:ilvl w:val="0"/>
                <w:numId w:val="3"/>
              </w:numPr>
              <w:tabs>
                <w:tab w:pos="1544" w:val="left" w:leader="none"/>
              </w:tabs>
              <w:spacing w:line="272" w:lineRule="exact" w:before="0" w:after="0"/>
              <w:ind w:left="1543" w:right="0" w:hanging="360"/>
              <w:jc w:val="left"/>
              <w:rPr>
                <w:sz w:val="24"/>
              </w:rPr>
            </w:pPr>
            <w:r>
              <w:rPr>
                <w:sz w:val="24"/>
              </w:rPr>
              <w:t>6.2 Operacionalización de</w:t>
            </w:r>
            <w:r>
              <w:rPr>
                <w:spacing w:val="-11"/>
                <w:sz w:val="24"/>
              </w:rPr>
              <w:t> </w:t>
            </w:r>
            <w:r>
              <w:rPr>
                <w:sz w:val="24"/>
              </w:rPr>
              <w:t>variables</w:t>
            </w:r>
          </w:p>
        </w:tc>
        <w:tc>
          <w:tcPr>
            <w:tcW w:w="1344" w:type="dxa"/>
          </w:tcPr>
          <w:p>
            <w:pPr>
              <w:pStyle w:val="TableParagraph"/>
              <w:ind w:left="463"/>
              <w:rPr>
                <w:sz w:val="24"/>
              </w:rPr>
            </w:pPr>
            <w:r>
              <w:rPr>
                <w:sz w:val="24"/>
              </w:rPr>
              <w:t>19</w:t>
            </w:r>
          </w:p>
        </w:tc>
      </w:tr>
      <w:tr>
        <w:trPr>
          <w:trHeight w:val="312" w:hRule="exact"/>
        </w:trPr>
        <w:tc>
          <w:tcPr>
            <w:tcW w:w="6159" w:type="dxa"/>
          </w:tcPr>
          <w:p>
            <w:pPr>
              <w:pStyle w:val="TableParagraph"/>
              <w:numPr>
                <w:ilvl w:val="0"/>
                <w:numId w:val="4"/>
              </w:numPr>
              <w:tabs>
                <w:tab w:pos="1544" w:val="left" w:leader="none"/>
              </w:tabs>
              <w:spacing w:line="272" w:lineRule="exact" w:before="0" w:after="0"/>
              <w:ind w:left="1543" w:right="0" w:hanging="360"/>
              <w:jc w:val="left"/>
              <w:rPr>
                <w:sz w:val="24"/>
              </w:rPr>
            </w:pPr>
            <w:r>
              <w:rPr>
                <w:sz w:val="24"/>
              </w:rPr>
              <w:t>6.3Universo de trabajo y</w:t>
            </w:r>
            <w:r>
              <w:rPr>
                <w:spacing w:val="-10"/>
                <w:sz w:val="24"/>
              </w:rPr>
              <w:t> </w:t>
            </w:r>
            <w:r>
              <w:rPr>
                <w:sz w:val="24"/>
              </w:rPr>
              <w:t>muestra</w:t>
            </w:r>
          </w:p>
        </w:tc>
        <w:tc>
          <w:tcPr>
            <w:tcW w:w="1344" w:type="dxa"/>
          </w:tcPr>
          <w:p>
            <w:pPr>
              <w:pStyle w:val="TableParagraph"/>
              <w:ind w:left="463"/>
              <w:rPr>
                <w:sz w:val="24"/>
              </w:rPr>
            </w:pPr>
            <w:r>
              <w:rPr>
                <w:sz w:val="24"/>
              </w:rPr>
              <w:t>20</w:t>
            </w:r>
          </w:p>
        </w:tc>
      </w:tr>
      <w:tr>
        <w:trPr>
          <w:trHeight w:val="312" w:hRule="exact"/>
        </w:trPr>
        <w:tc>
          <w:tcPr>
            <w:tcW w:w="6159" w:type="dxa"/>
          </w:tcPr>
          <w:p>
            <w:pPr>
              <w:pStyle w:val="TableParagraph"/>
              <w:numPr>
                <w:ilvl w:val="0"/>
                <w:numId w:val="5"/>
              </w:numPr>
              <w:tabs>
                <w:tab w:pos="1544" w:val="left" w:leader="none"/>
              </w:tabs>
              <w:spacing w:line="272" w:lineRule="exact" w:before="0" w:after="0"/>
              <w:ind w:left="1543" w:right="0" w:hanging="360"/>
              <w:jc w:val="left"/>
              <w:rPr>
                <w:sz w:val="24"/>
              </w:rPr>
            </w:pPr>
            <w:r>
              <w:rPr>
                <w:sz w:val="24"/>
              </w:rPr>
              <w:t>6.3.1 Criterios de</w:t>
            </w:r>
            <w:r>
              <w:rPr>
                <w:spacing w:val="-4"/>
                <w:sz w:val="24"/>
              </w:rPr>
              <w:t> </w:t>
            </w:r>
            <w:r>
              <w:rPr>
                <w:sz w:val="24"/>
              </w:rPr>
              <w:t>Inclusión</w:t>
            </w:r>
          </w:p>
        </w:tc>
        <w:tc>
          <w:tcPr>
            <w:tcW w:w="1344" w:type="dxa"/>
          </w:tcPr>
          <w:p>
            <w:pPr>
              <w:pStyle w:val="TableParagraph"/>
              <w:ind w:left="463"/>
              <w:rPr>
                <w:sz w:val="24"/>
              </w:rPr>
            </w:pPr>
            <w:r>
              <w:rPr>
                <w:sz w:val="24"/>
              </w:rPr>
              <w:t>20</w:t>
            </w:r>
          </w:p>
        </w:tc>
      </w:tr>
      <w:tr>
        <w:trPr>
          <w:trHeight w:val="314" w:hRule="exact"/>
        </w:trPr>
        <w:tc>
          <w:tcPr>
            <w:tcW w:w="6159" w:type="dxa"/>
          </w:tcPr>
          <w:p>
            <w:pPr>
              <w:pStyle w:val="TableParagraph"/>
              <w:numPr>
                <w:ilvl w:val="0"/>
                <w:numId w:val="6"/>
              </w:numPr>
              <w:tabs>
                <w:tab w:pos="1544" w:val="left" w:leader="none"/>
              </w:tabs>
              <w:spacing w:line="274" w:lineRule="exact" w:before="0" w:after="0"/>
              <w:ind w:left="1543" w:right="0" w:hanging="360"/>
              <w:jc w:val="left"/>
              <w:rPr>
                <w:sz w:val="24"/>
              </w:rPr>
            </w:pPr>
            <w:r>
              <w:rPr>
                <w:sz w:val="24"/>
              </w:rPr>
              <w:t>6.3.2 Criterios de</w:t>
            </w:r>
            <w:r>
              <w:rPr>
                <w:spacing w:val="-6"/>
                <w:sz w:val="24"/>
              </w:rPr>
              <w:t> </w:t>
            </w:r>
            <w:r>
              <w:rPr>
                <w:sz w:val="24"/>
              </w:rPr>
              <w:t>Exclusión</w:t>
            </w:r>
          </w:p>
        </w:tc>
        <w:tc>
          <w:tcPr>
            <w:tcW w:w="1344" w:type="dxa"/>
          </w:tcPr>
          <w:p>
            <w:pPr>
              <w:pStyle w:val="TableParagraph"/>
              <w:spacing w:line="274" w:lineRule="exact"/>
              <w:ind w:left="463"/>
              <w:rPr>
                <w:sz w:val="24"/>
              </w:rPr>
            </w:pPr>
            <w:r>
              <w:rPr>
                <w:sz w:val="24"/>
              </w:rPr>
              <w:t>20</w:t>
            </w:r>
          </w:p>
        </w:tc>
      </w:tr>
      <w:tr>
        <w:trPr>
          <w:trHeight w:val="312" w:hRule="exact"/>
        </w:trPr>
        <w:tc>
          <w:tcPr>
            <w:tcW w:w="6159" w:type="dxa"/>
          </w:tcPr>
          <w:p>
            <w:pPr>
              <w:pStyle w:val="TableParagraph"/>
              <w:numPr>
                <w:ilvl w:val="0"/>
                <w:numId w:val="7"/>
              </w:numPr>
              <w:tabs>
                <w:tab w:pos="1544" w:val="left" w:leader="none"/>
              </w:tabs>
              <w:spacing w:line="272" w:lineRule="exact" w:before="0" w:after="0"/>
              <w:ind w:left="1543" w:right="0" w:hanging="360"/>
              <w:jc w:val="left"/>
              <w:rPr>
                <w:sz w:val="24"/>
              </w:rPr>
            </w:pPr>
            <w:r>
              <w:rPr>
                <w:sz w:val="24"/>
              </w:rPr>
              <w:t>6.3.3 Criterios de</w:t>
            </w:r>
            <w:r>
              <w:rPr>
                <w:spacing w:val="-6"/>
                <w:sz w:val="24"/>
              </w:rPr>
              <w:t> </w:t>
            </w:r>
            <w:r>
              <w:rPr>
                <w:sz w:val="24"/>
              </w:rPr>
              <w:t>Eliminación</w:t>
            </w:r>
          </w:p>
        </w:tc>
        <w:tc>
          <w:tcPr>
            <w:tcW w:w="1344" w:type="dxa"/>
          </w:tcPr>
          <w:p>
            <w:pPr>
              <w:pStyle w:val="TableParagraph"/>
              <w:ind w:left="463"/>
              <w:rPr>
                <w:sz w:val="24"/>
              </w:rPr>
            </w:pPr>
            <w:r>
              <w:rPr>
                <w:sz w:val="24"/>
              </w:rPr>
              <w:t>20</w:t>
            </w:r>
          </w:p>
        </w:tc>
      </w:tr>
      <w:tr>
        <w:trPr>
          <w:trHeight w:val="314" w:hRule="exact"/>
        </w:trPr>
        <w:tc>
          <w:tcPr>
            <w:tcW w:w="6159" w:type="dxa"/>
          </w:tcPr>
          <w:p>
            <w:pPr>
              <w:pStyle w:val="TableParagraph"/>
              <w:numPr>
                <w:ilvl w:val="0"/>
                <w:numId w:val="8"/>
              </w:numPr>
              <w:tabs>
                <w:tab w:pos="1544" w:val="left" w:leader="none"/>
              </w:tabs>
              <w:spacing w:line="272" w:lineRule="exact" w:before="0" w:after="0"/>
              <w:ind w:left="1543" w:right="0" w:hanging="360"/>
              <w:jc w:val="left"/>
              <w:rPr>
                <w:sz w:val="24"/>
              </w:rPr>
            </w:pPr>
            <w:r>
              <w:rPr>
                <w:sz w:val="24"/>
              </w:rPr>
              <w:t>6.4 Instrumento de</w:t>
            </w:r>
            <w:r>
              <w:rPr>
                <w:spacing w:val="-10"/>
                <w:sz w:val="24"/>
              </w:rPr>
              <w:t> </w:t>
            </w:r>
            <w:r>
              <w:rPr>
                <w:sz w:val="24"/>
              </w:rPr>
              <w:t>investigación</w:t>
            </w:r>
          </w:p>
        </w:tc>
        <w:tc>
          <w:tcPr>
            <w:tcW w:w="1344" w:type="dxa"/>
          </w:tcPr>
          <w:p>
            <w:pPr>
              <w:pStyle w:val="TableParagraph"/>
              <w:ind w:left="463"/>
              <w:rPr>
                <w:sz w:val="24"/>
              </w:rPr>
            </w:pPr>
            <w:r>
              <w:rPr>
                <w:sz w:val="24"/>
              </w:rPr>
              <w:t>20</w:t>
            </w:r>
          </w:p>
        </w:tc>
      </w:tr>
      <w:tr>
        <w:trPr>
          <w:trHeight w:val="341" w:hRule="exact"/>
        </w:trPr>
        <w:tc>
          <w:tcPr>
            <w:tcW w:w="6159" w:type="dxa"/>
          </w:tcPr>
          <w:p>
            <w:pPr>
              <w:pStyle w:val="TableParagraph"/>
              <w:numPr>
                <w:ilvl w:val="0"/>
                <w:numId w:val="9"/>
              </w:numPr>
              <w:tabs>
                <w:tab w:pos="1544" w:val="left" w:leader="none"/>
              </w:tabs>
              <w:spacing w:line="272" w:lineRule="exact" w:before="0" w:after="0"/>
              <w:ind w:left="1543" w:right="0" w:hanging="360"/>
              <w:jc w:val="left"/>
              <w:rPr>
                <w:sz w:val="24"/>
              </w:rPr>
            </w:pPr>
            <w:r>
              <w:rPr>
                <w:sz w:val="24"/>
              </w:rPr>
              <w:t>6.5 Desarrollo del</w:t>
            </w:r>
            <w:r>
              <w:rPr>
                <w:spacing w:val="-9"/>
                <w:sz w:val="24"/>
              </w:rPr>
              <w:t> </w:t>
            </w:r>
            <w:r>
              <w:rPr>
                <w:sz w:val="24"/>
              </w:rPr>
              <w:t>proyecto</w:t>
            </w:r>
          </w:p>
        </w:tc>
        <w:tc>
          <w:tcPr>
            <w:tcW w:w="1344" w:type="dxa"/>
          </w:tcPr>
          <w:p>
            <w:pPr>
              <w:pStyle w:val="TableParagraph"/>
              <w:ind w:left="463"/>
              <w:rPr>
                <w:sz w:val="24"/>
              </w:rPr>
            </w:pPr>
            <w:r>
              <w:rPr>
                <w:sz w:val="24"/>
              </w:rPr>
              <w:t>21</w:t>
            </w:r>
          </w:p>
        </w:tc>
      </w:tr>
      <w:tr>
        <w:trPr>
          <w:trHeight w:val="312" w:hRule="exact"/>
        </w:trPr>
        <w:tc>
          <w:tcPr>
            <w:tcW w:w="6159" w:type="dxa"/>
          </w:tcPr>
          <w:p>
            <w:pPr>
              <w:pStyle w:val="TableParagraph"/>
              <w:numPr>
                <w:ilvl w:val="0"/>
                <w:numId w:val="10"/>
              </w:numPr>
              <w:tabs>
                <w:tab w:pos="1544" w:val="left" w:leader="none"/>
              </w:tabs>
              <w:spacing w:line="272" w:lineRule="exact" w:before="0" w:after="0"/>
              <w:ind w:left="1543" w:right="0" w:hanging="360"/>
              <w:jc w:val="left"/>
              <w:rPr>
                <w:sz w:val="24"/>
              </w:rPr>
            </w:pPr>
            <w:r>
              <w:rPr>
                <w:sz w:val="24"/>
              </w:rPr>
              <w:t>6.6 Límite de</w:t>
            </w:r>
            <w:r>
              <w:rPr>
                <w:spacing w:val="-6"/>
                <w:sz w:val="24"/>
              </w:rPr>
              <w:t> </w:t>
            </w:r>
            <w:r>
              <w:rPr>
                <w:sz w:val="24"/>
              </w:rPr>
              <w:t>tiempo</w:t>
            </w:r>
          </w:p>
        </w:tc>
        <w:tc>
          <w:tcPr>
            <w:tcW w:w="1344" w:type="dxa"/>
          </w:tcPr>
          <w:p>
            <w:pPr>
              <w:pStyle w:val="TableParagraph"/>
              <w:ind w:left="463"/>
              <w:rPr>
                <w:sz w:val="24"/>
              </w:rPr>
            </w:pPr>
            <w:r>
              <w:rPr>
                <w:sz w:val="24"/>
              </w:rPr>
              <w:t>21</w:t>
            </w:r>
          </w:p>
        </w:tc>
      </w:tr>
      <w:tr>
        <w:trPr>
          <w:trHeight w:val="315" w:hRule="exact"/>
        </w:trPr>
        <w:tc>
          <w:tcPr>
            <w:tcW w:w="6159" w:type="dxa"/>
          </w:tcPr>
          <w:p>
            <w:pPr>
              <w:pStyle w:val="TableParagraph"/>
              <w:numPr>
                <w:ilvl w:val="0"/>
                <w:numId w:val="11"/>
              </w:numPr>
              <w:tabs>
                <w:tab w:pos="1544" w:val="left" w:leader="none"/>
              </w:tabs>
              <w:spacing w:line="272" w:lineRule="exact" w:before="0" w:after="0"/>
              <w:ind w:left="1543" w:right="0" w:hanging="360"/>
              <w:jc w:val="left"/>
              <w:rPr>
                <w:sz w:val="24"/>
              </w:rPr>
            </w:pPr>
            <w:r>
              <w:rPr>
                <w:sz w:val="24"/>
              </w:rPr>
              <w:t>6.7 Limite de</w:t>
            </w:r>
            <w:r>
              <w:rPr>
                <w:spacing w:val="-6"/>
                <w:sz w:val="24"/>
              </w:rPr>
              <w:t> </w:t>
            </w:r>
            <w:r>
              <w:rPr>
                <w:sz w:val="24"/>
              </w:rPr>
              <w:t>espacio</w:t>
            </w:r>
          </w:p>
        </w:tc>
        <w:tc>
          <w:tcPr>
            <w:tcW w:w="1344" w:type="dxa"/>
          </w:tcPr>
          <w:p>
            <w:pPr>
              <w:pStyle w:val="TableParagraph"/>
              <w:ind w:left="463"/>
              <w:rPr>
                <w:sz w:val="24"/>
              </w:rPr>
            </w:pPr>
            <w:r>
              <w:rPr>
                <w:sz w:val="24"/>
              </w:rPr>
              <w:t>21</w:t>
            </w:r>
          </w:p>
        </w:tc>
      </w:tr>
      <w:tr>
        <w:trPr>
          <w:trHeight w:val="341" w:hRule="exact"/>
        </w:trPr>
        <w:tc>
          <w:tcPr>
            <w:tcW w:w="6159" w:type="dxa"/>
          </w:tcPr>
          <w:p>
            <w:pPr>
              <w:pStyle w:val="TableParagraph"/>
              <w:numPr>
                <w:ilvl w:val="0"/>
                <w:numId w:val="12"/>
              </w:numPr>
              <w:tabs>
                <w:tab w:pos="1544" w:val="left" w:leader="none"/>
              </w:tabs>
              <w:spacing w:line="272" w:lineRule="exact" w:before="0" w:after="0"/>
              <w:ind w:left="1543" w:right="0" w:hanging="360"/>
              <w:jc w:val="left"/>
              <w:rPr>
                <w:sz w:val="24"/>
              </w:rPr>
            </w:pPr>
            <w:r>
              <w:rPr>
                <w:sz w:val="24"/>
              </w:rPr>
              <w:t>6.8 Análisis</w:t>
            </w:r>
            <w:r>
              <w:rPr>
                <w:spacing w:val="-5"/>
                <w:sz w:val="24"/>
              </w:rPr>
              <w:t> </w:t>
            </w:r>
            <w:r>
              <w:rPr>
                <w:sz w:val="24"/>
              </w:rPr>
              <w:t>estadístico</w:t>
            </w:r>
          </w:p>
        </w:tc>
        <w:tc>
          <w:tcPr>
            <w:tcW w:w="1344" w:type="dxa"/>
          </w:tcPr>
          <w:p>
            <w:pPr>
              <w:pStyle w:val="TableParagraph"/>
              <w:ind w:left="463"/>
              <w:rPr>
                <w:sz w:val="24"/>
              </w:rPr>
            </w:pPr>
            <w:r>
              <w:rPr>
                <w:sz w:val="24"/>
              </w:rPr>
              <w:t>21</w:t>
            </w:r>
          </w:p>
        </w:tc>
      </w:tr>
      <w:tr>
        <w:trPr>
          <w:trHeight w:val="341" w:hRule="exact"/>
        </w:trPr>
        <w:tc>
          <w:tcPr>
            <w:tcW w:w="6159" w:type="dxa"/>
          </w:tcPr>
          <w:p>
            <w:pPr>
              <w:pStyle w:val="TableParagraph"/>
              <w:tabs>
                <w:tab w:pos="1250" w:val="left" w:leader="none"/>
              </w:tabs>
              <w:ind w:left="823"/>
              <w:rPr>
                <w:sz w:val="24"/>
              </w:rPr>
            </w:pPr>
            <w:r>
              <w:rPr>
                <w:sz w:val="24"/>
              </w:rPr>
              <w:t>7.</w:t>
              <w:tab/>
              <w:t>Implicaciones</w:t>
            </w:r>
            <w:r>
              <w:rPr>
                <w:spacing w:val="-4"/>
                <w:sz w:val="24"/>
              </w:rPr>
              <w:t> </w:t>
            </w:r>
            <w:r>
              <w:rPr>
                <w:sz w:val="24"/>
              </w:rPr>
              <w:t>Éticas</w:t>
            </w:r>
          </w:p>
        </w:tc>
        <w:tc>
          <w:tcPr>
            <w:tcW w:w="1344" w:type="dxa"/>
          </w:tcPr>
          <w:p>
            <w:pPr>
              <w:pStyle w:val="TableParagraph"/>
              <w:ind w:left="463"/>
              <w:rPr>
                <w:sz w:val="24"/>
              </w:rPr>
            </w:pPr>
            <w:r>
              <w:rPr>
                <w:sz w:val="24"/>
              </w:rPr>
              <w:t>21</w:t>
            </w:r>
          </w:p>
        </w:tc>
      </w:tr>
      <w:tr>
        <w:trPr>
          <w:trHeight w:val="341" w:hRule="exact"/>
        </w:trPr>
        <w:tc>
          <w:tcPr>
            <w:tcW w:w="6159" w:type="dxa"/>
          </w:tcPr>
          <w:p>
            <w:pPr>
              <w:pStyle w:val="TableParagraph"/>
              <w:ind w:left="823"/>
              <w:rPr>
                <w:sz w:val="24"/>
              </w:rPr>
            </w:pPr>
            <w:r>
              <w:rPr>
                <w:sz w:val="24"/>
              </w:rPr>
              <w:t>8.  Organización</w:t>
            </w:r>
          </w:p>
        </w:tc>
        <w:tc>
          <w:tcPr>
            <w:tcW w:w="1344" w:type="dxa"/>
          </w:tcPr>
          <w:p>
            <w:pPr>
              <w:pStyle w:val="TableParagraph"/>
              <w:ind w:left="463"/>
              <w:rPr>
                <w:sz w:val="24"/>
              </w:rPr>
            </w:pPr>
            <w:r>
              <w:rPr>
                <w:sz w:val="24"/>
              </w:rPr>
              <w:t>22</w:t>
            </w:r>
          </w:p>
        </w:tc>
      </w:tr>
      <w:tr>
        <w:trPr>
          <w:trHeight w:val="341" w:hRule="exact"/>
        </w:trPr>
        <w:tc>
          <w:tcPr>
            <w:tcW w:w="6159" w:type="dxa"/>
          </w:tcPr>
          <w:p>
            <w:pPr>
              <w:pStyle w:val="TableParagraph"/>
              <w:tabs>
                <w:tab w:pos="1250" w:val="left" w:leader="none"/>
              </w:tabs>
              <w:ind w:left="823"/>
              <w:rPr>
                <w:sz w:val="24"/>
              </w:rPr>
            </w:pPr>
            <w:r>
              <w:rPr>
                <w:sz w:val="24"/>
              </w:rPr>
              <w:t>9.</w:t>
              <w:tab/>
              <w:t>Presupuesto y</w:t>
            </w:r>
            <w:r>
              <w:rPr>
                <w:spacing w:val="-10"/>
                <w:sz w:val="24"/>
              </w:rPr>
              <w:t> </w:t>
            </w:r>
            <w:r>
              <w:rPr>
                <w:sz w:val="24"/>
              </w:rPr>
              <w:t>Financiamiento</w:t>
            </w:r>
          </w:p>
        </w:tc>
        <w:tc>
          <w:tcPr>
            <w:tcW w:w="1344" w:type="dxa"/>
          </w:tcPr>
          <w:p>
            <w:pPr>
              <w:pStyle w:val="TableParagraph"/>
              <w:ind w:left="463"/>
              <w:rPr>
                <w:sz w:val="24"/>
              </w:rPr>
            </w:pPr>
            <w:r>
              <w:rPr>
                <w:sz w:val="24"/>
              </w:rPr>
              <w:t>22</w:t>
            </w:r>
          </w:p>
        </w:tc>
      </w:tr>
      <w:tr>
        <w:trPr>
          <w:trHeight w:val="341" w:hRule="exact"/>
        </w:trPr>
        <w:tc>
          <w:tcPr>
            <w:tcW w:w="6159" w:type="dxa"/>
          </w:tcPr>
          <w:p>
            <w:pPr>
              <w:pStyle w:val="TableParagraph"/>
              <w:ind w:left="823"/>
              <w:rPr>
                <w:sz w:val="24"/>
              </w:rPr>
            </w:pPr>
            <w:r>
              <w:rPr>
                <w:sz w:val="24"/>
              </w:rPr>
              <w:t>10. Resultados</w:t>
            </w:r>
          </w:p>
        </w:tc>
        <w:tc>
          <w:tcPr>
            <w:tcW w:w="1344" w:type="dxa"/>
          </w:tcPr>
          <w:p>
            <w:pPr>
              <w:pStyle w:val="TableParagraph"/>
              <w:ind w:left="463"/>
              <w:rPr>
                <w:sz w:val="24"/>
              </w:rPr>
            </w:pPr>
            <w:r>
              <w:rPr>
                <w:sz w:val="24"/>
              </w:rPr>
              <w:t>23-28</w:t>
            </w:r>
          </w:p>
        </w:tc>
      </w:tr>
    </w:tbl>
    <w:p>
      <w:pPr>
        <w:spacing w:after="0"/>
        <w:rPr>
          <w:sz w:val="24"/>
        </w:rPr>
        <w:sectPr>
          <w:pgSz w:w="12240" w:h="15840"/>
          <w:pgMar w:header="0" w:footer="1005" w:top="1360" w:bottom="1360" w:left="1480" w:right="7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9"/>
        <w:gridCol w:w="1344"/>
      </w:tblGrid>
      <w:tr>
        <w:trPr>
          <w:trHeight w:val="370" w:hRule="exact"/>
        </w:trPr>
        <w:tc>
          <w:tcPr>
            <w:tcW w:w="6159" w:type="dxa"/>
          </w:tcPr>
          <w:p>
            <w:pPr>
              <w:pStyle w:val="TableParagraph"/>
              <w:spacing w:line="270" w:lineRule="exact"/>
              <w:ind w:left="823"/>
              <w:rPr>
                <w:sz w:val="24"/>
              </w:rPr>
            </w:pPr>
            <w:r>
              <w:rPr>
                <w:sz w:val="24"/>
              </w:rPr>
              <w:t>11. Análisis</w:t>
            </w:r>
          </w:p>
        </w:tc>
        <w:tc>
          <w:tcPr>
            <w:tcW w:w="1344" w:type="dxa"/>
          </w:tcPr>
          <w:p>
            <w:pPr>
              <w:pStyle w:val="TableParagraph"/>
              <w:spacing w:line="270" w:lineRule="exact"/>
              <w:ind w:left="463"/>
              <w:rPr>
                <w:sz w:val="24"/>
              </w:rPr>
            </w:pPr>
            <w:r>
              <w:rPr>
                <w:sz w:val="24"/>
              </w:rPr>
              <w:t>29-30</w:t>
            </w:r>
          </w:p>
        </w:tc>
      </w:tr>
      <w:tr>
        <w:trPr>
          <w:trHeight w:val="341" w:hRule="exact"/>
        </w:trPr>
        <w:tc>
          <w:tcPr>
            <w:tcW w:w="6159" w:type="dxa"/>
          </w:tcPr>
          <w:p>
            <w:pPr>
              <w:pStyle w:val="TableParagraph"/>
              <w:spacing w:line="268" w:lineRule="exact"/>
              <w:ind w:left="823"/>
              <w:rPr>
                <w:sz w:val="24"/>
              </w:rPr>
            </w:pPr>
            <w:r>
              <w:rPr>
                <w:sz w:val="24"/>
              </w:rPr>
              <w:t>12. Conclusiones</w:t>
            </w:r>
          </w:p>
        </w:tc>
        <w:tc>
          <w:tcPr>
            <w:tcW w:w="1344" w:type="dxa"/>
          </w:tcPr>
          <w:p>
            <w:pPr>
              <w:pStyle w:val="TableParagraph"/>
              <w:spacing w:line="268" w:lineRule="exact"/>
              <w:ind w:left="463"/>
              <w:rPr>
                <w:sz w:val="24"/>
              </w:rPr>
            </w:pPr>
            <w:r>
              <w:rPr>
                <w:sz w:val="24"/>
              </w:rPr>
              <w:t>31</w:t>
            </w:r>
          </w:p>
        </w:tc>
      </w:tr>
      <w:tr>
        <w:trPr>
          <w:trHeight w:val="341" w:hRule="exact"/>
        </w:trPr>
        <w:tc>
          <w:tcPr>
            <w:tcW w:w="6159" w:type="dxa"/>
          </w:tcPr>
          <w:p>
            <w:pPr>
              <w:pStyle w:val="TableParagraph"/>
              <w:spacing w:line="268" w:lineRule="exact"/>
              <w:ind w:left="823"/>
              <w:rPr>
                <w:sz w:val="24"/>
              </w:rPr>
            </w:pPr>
            <w:r>
              <w:rPr>
                <w:sz w:val="24"/>
              </w:rPr>
              <w:t>13. Sugerencias</w:t>
            </w:r>
          </w:p>
        </w:tc>
        <w:tc>
          <w:tcPr>
            <w:tcW w:w="1344" w:type="dxa"/>
          </w:tcPr>
          <w:p>
            <w:pPr>
              <w:pStyle w:val="TableParagraph"/>
              <w:spacing w:line="268" w:lineRule="exact"/>
              <w:ind w:left="463"/>
              <w:rPr>
                <w:sz w:val="24"/>
              </w:rPr>
            </w:pPr>
            <w:r>
              <w:rPr>
                <w:sz w:val="24"/>
              </w:rPr>
              <w:t>32</w:t>
            </w:r>
          </w:p>
        </w:tc>
      </w:tr>
      <w:tr>
        <w:trPr>
          <w:trHeight w:val="341" w:hRule="exact"/>
        </w:trPr>
        <w:tc>
          <w:tcPr>
            <w:tcW w:w="6159" w:type="dxa"/>
          </w:tcPr>
          <w:p>
            <w:pPr>
              <w:pStyle w:val="TableParagraph"/>
              <w:spacing w:line="268" w:lineRule="exact"/>
              <w:ind w:left="823"/>
              <w:rPr>
                <w:sz w:val="24"/>
              </w:rPr>
            </w:pPr>
            <w:r>
              <w:rPr>
                <w:sz w:val="24"/>
              </w:rPr>
              <w:t>14. Bibliografía</w:t>
            </w:r>
          </w:p>
        </w:tc>
        <w:tc>
          <w:tcPr>
            <w:tcW w:w="1344" w:type="dxa"/>
          </w:tcPr>
          <w:p>
            <w:pPr>
              <w:pStyle w:val="TableParagraph"/>
              <w:spacing w:line="268" w:lineRule="exact"/>
              <w:ind w:left="463"/>
              <w:rPr>
                <w:sz w:val="24"/>
              </w:rPr>
            </w:pPr>
            <w:r>
              <w:rPr>
                <w:sz w:val="24"/>
              </w:rPr>
              <w:t>33</w:t>
            </w:r>
          </w:p>
        </w:tc>
      </w:tr>
      <w:tr>
        <w:trPr>
          <w:trHeight w:val="341" w:hRule="exact"/>
        </w:trPr>
        <w:tc>
          <w:tcPr>
            <w:tcW w:w="6159" w:type="dxa"/>
          </w:tcPr>
          <w:p>
            <w:pPr>
              <w:pStyle w:val="TableParagraph"/>
              <w:spacing w:line="268" w:lineRule="exact"/>
              <w:ind w:left="823"/>
              <w:rPr>
                <w:sz w:val="24"/>
              </w:rPr>
            </w:pPr>
            <w:r>
              <w:rPr>
                <w:sz w:val="24"/>
              </w:rPr>
              <w:t>15. Anexos</w:t>
            </w:r>
          </w:p>
        </w:tc>
        <w:tc>
          <w:tcPr>
            <w:tcW w:w="1344" w:type="dxa"/>
          </w:tcPr>
          <w:p>
            <w:pPr>
              <w:pStyle w:val="TableParagraph"/>
              <w:spacing w:line="268" w:lineRule="exact"/>
              <w:ind w:left="463"/>
              <w:rPr>
                <w:sz w:val="24"/>
              </w:rPr>
            </w:pPr>
            <w:r>
              <w:rPr>
                <w:sz w:val="24"/>
              </w:rPr>
              <w:t>34</w:t>
            </w:r>
          </w:p>
        </w:tc>
      </w:tr>
    </w:tbl>
    <w:p>
      <w:pPr>
        <w:spacing w:after="0" w:line="268" w:lineRule="exact"/>
        <w:rPr>
          <w:sz w:val="24"/>
        </w:rPr>
        <w:sectPr>
          <w:pgSz w:w="12240" w:h="15840"/>
          <w:pgMar w:header="0" w:footer="1005" w:top="1420" w:bottom="1200" w:left="1480" w:right="740"/>
        </w:sectPr>
      </w:pPr>
    </w:p>
    <w:p>
      <w:pPr>
        <w:pStyle w:val="ListParagraph"/>
        <w:numPr>
          <w:ilvl w:val="1"/>
          <w:numId w:val="1"/>
        </w:numPr>
        <w:tabs>
          <w:tab w:pos="822" w:val="left" w:leader="none"/>
        </w:tabs>
        <w:spacing w:line="240" w:lineRule="auto" w:before="52" w:after="0"/>
        <w:ind w:left="822" w:right="0" w:hanging="360"/>
        <w:jc w:val="left"/>
        <w:rPr>
          <w:b/>
          <w:sz w:val="28"/>
        </w:rPr>
      </w:pPr>
      <w:r>
        <w:rPr>
          <w:b/>
          <w:sz w:val="28"/>
        </w:rPr>
        <w:t>ANTECEDENTES</w:t>
      </w:r>
    </w:p>
    <w:p>
      <w:pPr>
        <w:pStyle w:val="BodyText"/>
        <w:rPr>
          <w:b/>
          <w:sz w:val="28"/>
        </w:rPr>
      </w:pPr>
    </w:p>
    <w:p>
      <w:pPr>
        <w:pStyle w:val="BodyText"/>
        <w:spacing w:before="1"/>
        <w:rPr>
          <w:b/>
          <w:sz w:val="38"/>
        </w:rPr>
      </w:pPr>
    </w:p>
    <w:p>
      <w:pPr>
        <w:pStyle w:val="Heading2"/>
        <w:numPr>
          <w:ilvl w:val="1"/>
          <w:numId w:val="13"/>
        </w:numPr>
        <w:tabs>
          <w:tab w:pos="506" w:val="left" w:leader="none"/>
        </w:tabs>
        <w:spacing w:line="240" w:lineRule="auto" w:before="0" w:after="0"/>
        <w:ind w:left="505" w:right="0" w:hanging="403"/>
        <w:jc w:val="both"/>
      </w:pPr>
      <w:r>
        <w:rPr/>
        <w:t>-</w:t>
      </w:r>
      <w:r>
        <w:rPr>
          <w:spacing w:val="-6"/>
        </w:rPr>
        <w:t> </w:t>
      </w:r>
      <w:r>
        <w:rPr/>
        <w:t>CONCEPTO.</w:t>
      </w:r>
    </w:p>
    <w:p>
      <w:pPr>
        <w:pStyle w:val="BodyText"/>
        <w:spacing w:before="197"/>
        <w:ind w:left="102" w:right="956"/>
        <w:jc w:val="both"/>
      </w:pPr>
      <w:r>
        <w:rPr/>
        <w:t>Estado patológico caracterizado por una disminución o falta de oxígeno (hipoxia- anoxia) y retención de anhídrido carbónico. Este estado puede conducir a la muerte. (TAKE)</w:t>
      </w:r>
    </w:p>
    <w:p>
      <w:pPr>
        <w:pStyle w:val="BodyText"/>
        <w:spacing w:before="199"/>
        <w:ind w:left="102" w:right="956"/>
        <w:jc w:val="both"/>
      </w:pPr>
      <w:r>
        <w:rPr/>
        <w:t>Etimológicamente el término asfixia deriva del griego y significa literalmente "falta de pulso". De un modo genérico entendemos por tal a todo cuadro caracterizado por una detención de la función respiratoria; la cual puede verificarse por alteraciones producidas a diversos niveles de su dinámica. Como resultante de éstas, se genera su déficit tisular de oxígeno cuya máxima expresión se denomina anoxia. Teniendo en cuenta el mecanismo íntimo por el cual se produce esta severa deficiencia hística podemos clasificar a las anoxias en cuatro grupos etiopatogénicamente. (Patito)</w:t>
      </w:r>
    </w:p>
    <w:p>
      <w:pPr>
        <w:pStyle w:val="BodyText"/>
        <w:spacing w:before="197"/>
        <w:ind w:left="102" w:right="964"/>
        <w:jc w:val="both"/>
      </w:pPr>
      <w:r>
        <w:rPr/>
        <w:t>Desde el punto de vista fisiopatológico se describe como un intercambio insuficiente de gases respiratorios. La definición de asfixia incluye reducción del contenido de oxígeno, una elevada PCO2 y un reducido pH. (Gisbert)</w:t>
      </w:r>
    </w:p>
    <w:p>
      <w:pPr>
        <w:pStyle w:val="BodyText"/>
        <w:spacing w:before="197"/>
        <w:ind w:left="102" w:right="961"/>
        <w:jc w:val="both"/>
      </w:pPr>
      <w:r>
        <w:rPr/>
        <w:t>De acuerdo a diversos autores, entonces se puede concluir que la asfixia de manera general es un estado de hipoxia gradual hasta llegar anoxia, la cual si se prolonga en tiempo puede llegar a ser mortal.</w:t>
      </w:r>
    </w:p>
    <w:p>
      <w:pPr>
        <w:pStyle w:val="Heading2"/>
        <w:numPr>
          <w:ilvl w:val="1"/>
          <w:numId w:val="13"/>
        </w:numPr>
        <w:tabs>
          <w:tab w:pos="506" w:val="left" w:leader="none"/>
        </w:tabs>
        <w:spacing w:line="240" w:lineRule="auto" w:before="202" w:after="0"/>
        <w:ind w:left="505" w:right="0" w:hanging="403"/>
        <w:jc w:val="both"/>
      </w:pPr>
      <w:r>
        <w:rPr/>
        <w:t>INCIDENCIA.</w:t>
      </w:r>
    </w:p>
    <w:p>
      <w:pPr>
        <w:pStyle w:val="BodyText"/>
        <w:spacing w:before="197"/>
        <w:ind w:left="102" w:right="955"/>
        <w:jc w:val="both"/>
      </w:pPr>
      <w:r>
        <w:rPr/>
        <w:t>Es la tercera causa de muerte violenta en la población en general, después de accidentes de tránsito y traumatismos. En el primer año de vida, las asfixias constituyen la primera causal de muerte violenta.</w:t>
      </w:r>
    </w:p>
    <w:p>
      <w:pPr>
        <w:pStyle w:val="Heading2"/>
        <w:numPr>
          <w:ilvl w:val="1"/>
          <w:numId w:val="13"/>
        </w:numPr>
        <w:tabs>
          <w:tab w:pos="506" w:val="left" w:leader="none"/>
        </w:tabs>
        <w:spacing w:line="240" w:lineRule="auto" w:before="199" w:after="0"/>
        <w:ind w:left="505" w:right="0" w:hanging="403"/>
        <w:jc w:val="both"/>
      </w:pPr>
      <w:r>
        <w:rPr/>
        <w:t>GENERALIDADES SOBRE</w:t>
      </w:r>
      <w:r>
        <w:rPr>
          <w:spacing w:val="50"/>
        </w:rPr>
        <w:t> </w:t>
      </w:r>
      <w:r>
        <w:rPr/>
        <w:t>ASFIXIAS.</w:t>
      </w:r>
    </w:p>
    <w:p>
      <w:pPr>
        <w:pStyle w:val="BodyText"/>
        <w:tabs>
          <w:tab w:pos="5766" w:val="left" w:leader="none"/>
        </w:tabs>
        <w:spacing w:before="197"/>
        <w:ind w:left="102"/>
        <w:jc w:val="both"/>
      </w:pPr>
      <w:r>
        <w:rPr/>
        <w:t>Existen varios conceptos que</w:t>
      </w:r>
      <w:r>
        <w:rPr>
          <w:spacing w:val="-8"/>
        </w:rPr>
        <w:t> </w:t>
      </w:r>
      <w:r>
        <w:rPr/>
        <w:t>son</w:t>
      </w:r>
      <w:r>
        <w:rPr>
          <w:spacing w:val="-2"/>
        </w:rPr>
        <w:t> </w:t>
      </w:r>
      <w:r>
        <w:rPr/>
        <w:t>importantes</w:t>
        <w:tab/>
        <w:t>remarcarlos:</w:t>
      </w:r>
    </w:p>
    <w:p>
      <w:pPr>
        <w:pStyle w:val="BodyText"/>
        <w:tabs>
          <w:tab w:pos="2154" w:val="left" w:leader="none"/>
          <w:tab w:pos="5376" w:val="left" w:leader="none"/>
        </w:tabs>
        <w:ind w:left="102" w:right="966"/>
      </w:pPr>
      <w:r>
        <w:rPr/>
        <w:t>a.- Asfixia. Esta palabra deriva del griego y literalmente significa “falta de pulso”. En</w:t>
      </w:r>
      <w:r>
        <w:rPr>
          <w:spacing w:val="52"/>
        </w:rPr>
        <w:t> </w:t>
      </w:r>
      <w:r>
        <w:rPr/>
        <w:t>la</w:t>
      </w:r>
      <w:r>
        <w:rPr>
          <w:spacing w:val="49"/>
        </w:rPr>
        <w:t> </w:t>
      </w:r>
      <w:r>
        <w:rPr/>
        <w:t>actualidad</w:t>
        <w:tab/>
        <w:t>diversos</w:t>
      </w:r>
      <w:r>
        <w:rPr>
          <w:spacing w:val="49"/>
        </w:rPr>
        <w:t> </w:t>
      </w:r>
      <w:r>
        <w:rPr/>
        <w:t>autores</w:t>
      </w:r>
      <w:r>
        <w:rPr>
          <w:spacing w:val="48"/>
        </w:rPr>
        <w:t> </w:t>
      </w:r>
      <w:r>
        <w:rPr/>
        <w:t>entienden</w:t>
        <w:tab/>
        <w:t>por  asfixia  la</w:t>
      </w:r>
      <w:r>
        <w:rPr>
          <w:spacing w:val="13"/>
        </w:rPr>
        <w:t> </w:t>
      </w:r>
      <w:r>
        <w:rPr/>
        <w:t>imposibilidad</w:t>
      </w:r>
      <w:r>
        <w:rPr>
          <w:spacing w:val="47"/>
        </w:rPr>
        <w:t> </w:t>
      </w:r>
      <w:r>
        <w:rPr/>
        <w:t>para</w:t>
      </w:r>
      <w:r>
        <w:rPr>
          <w:w w:val="99"/>
        </w:rPr>
        <w:t> </w:t>
      </w:r>
      <w:r>
        <w:rPr/>
        <w:t>respirar, por una causa mecánica que impide la entrada de oxigeno y la salida de gas</w:t>
      </w:r>
      <w:r>
        <w:rPr>
          <w:spacing w:val="-4"/>
        </w:rPr>
        <w:t> </w:t>
      </w:r>
      <w:r>
        <w:rPr/>
        <w:t>carbónico.</w:t>
      </w:r>
    </w:p>
    <w:p>
      <w:pPr>
        <w:pStyle w:val="BodyText"/>
        <w:ind w:left="102" w:right="2373"/>
      </w:pPr>
      <w:r>
        <w:rPr/>
        <w:t>La carencia de oxígeno en el organismo recibe el nombre e anoxia. b.- Anoxemia. Es la falta de oxígeno en la sangre.</w:t>
      </w:r>
    </w:p>
    <w:p>
      <w:pPr>
        <w:pStyle w:val="BodyText"/>
        <w:ind w:left="102" w:right="958"/>
        <w:jc w:val="both"/>
      </w:pPr>
      <w:r>
        <w:rPr/>
        <w:t>c.- Hipoxia. Es la disminución de oxígeno en la sangre y por  ende  en  el organismo</w:t>
      </w:r>
    </w:p>
    <w:p>
      <w:pPr>
        <w:pStyle w:val="BodyText"/>
        <w:spacing w:before="2"/>
      </w:pPr>
    </w:p>
    <w:p>
      <w:pPr>
        <w:pStyle w:val="Heading2"/>
        <w:numPr>
          <w:ilvl w:val="1"/>
          <w:numId w:val="13"/>
        </w:numPr>
        <w:tabs>
          <w:tab w:pos="506" w:val="left" w:leader="none"/>
        </w:tabs>
        <w:spacing w:line="240" w:lineRule="auto" w:before="0" w:after="0"/>
        <w:ind w:left="505" w:right="0" w:hanging="403"/>
        <w:jc w:val="both"/>
      </w:pPr>
      <w:r>
        <w:rPr/>
        <w:t>FISIOPATOLOGIA DE LAS</w:t>
      </w:r>
      <w:r>
        <w:rPr>
          <w:spacing w:val="-20"/>
        </w:rPr>
        <w:t> </w:t>
      </w:r>
      <w:r>
        <w:rPr/>
        <w:t>ANOXIAS</w:t>
      </w:r>
    </w:p>
    <w:p>
      <w:pPr>
        <w:pStyle w:val="BodyText"/>
        <w:spacing w:before="201"/>
        <w:ind w:left="102"/>
        <w:jc w:val="both"/>
      </w:pPr>
      <w:r>
        <w:rPr/>
        <w:t>Hay cuatro causas principales de la anoxia:</w:t>
      </w:r>
    </w:p>
    <w:p>
      <w:pPr>
        <w:spacing w:after="0"/>
        <w:jc w:val="both"/>
        <w:sectPr>
          <w:pgSz w:w="12240" w:h="15840"/>
          <w:pgMar w:header="0" w:footer="1005" w:top="1360" w:bottom="1200" w:left="1600" w:right="740"/>
        </w:sectPr>
      </w:pPr>
    </w:p>
    <w:p>
      <w:pPr>
        <w:pStyle w:val="BodyText"/>
        <w:spacing w:before="51"/>
        <w:ind w:left="102"/>
        <w:jc w:val="both"/>
      </w:pPr>
      <w:r>
        <w:rPr/>
        <w:t>1.-      Por falta de oxígeno respirable.</w:t>
      </w:r>
    </w:p>
    <w:p>
      <w:pPr>
        <w:pStyle w:val="BodyText"/>
        <w:tabs>
          <w:tab w:pos="809" w:val="left" w:leader="none"/>
        </w:tabs>
        <w:ind w:left="102" w:right="1617"/>
      </w:pPr>
      <w:r>
        <w:rPr/>
        <w:t>2.-</w:t>
        <w:tab/>
        <w:t>Por daño en el corazón que lo incapacita para bombear la</w:t>
      </w:r>
      <w:r>
        <w:rPr>
          <w:spacing w:val="-24"/>
        </w:rPr>
        <w:t> </w:t>
      </w:r>
      <w:r>
        <w:rPr/>
        <w:t>cantidad</w:t>
      </w:r>
      <w:r>
        <w:rPr>
          <w:spacing w:val="-6"/>
        </w:rPr>
        <w:t> </w:t>
      </w:r>
      <w:r>
        <w:rPr/>
        <w:t>de</w:t>
      </w:r>
      <w:r>
        <w:rPr>
          <w:w w:val="99"/>
        </w:rPr>
        <w:t> </w:t>
      </w:r>
      <w:r>
        <w:rPr/>
        <w:t>sangre  suficiente. (Anoxia</w:t>
      </w:r>
      <w:r>
        <w:rPr>
          <w:spacing w:val="56"/>
        </w:rPr>
        <w:t> </w:t>
      </w:r>
      <w:r>
        <w:rPr/>
        <w:t>circulatoria)</w:t>
      </w:r>
    </w:p>
    <w:p>
      <w:pPr>
        <w:pStyle w:val="BodyText"/>
        <w:tabs>
          <w:tab w:pos="809" w:val="left" w:leader="none"/>
          <w:tab w:pos="1517" w:val="left" w:leader="none"/>
          <w:tab w:pos="5058" w:val="left" w:leader="none"/>
        </w:tabs>
        <w:ind w:left="102" w:right="1626"/>
      </w:pPr>
      <w:r>
        <w:rPr/>
        <w:t>3.-</w:t>
        <w:tab/>
        <w:t>Por lesión propiamente dicha</w:t>
      </w:r>
      <w:r>
        <w:rPr>
          <w:spacing w:val="-5"/>
        </w:rPr>
        <w:t> </w:t>
      </w:r>
      <w:r>
        <w:rPr/>
        <w:t>en</w:t>
      </w:r>
      <w:r>
        <w:rPr>
          <w:spacing w:val="-3"/>
        </w:rPr>
        <w:t> </w:t>
      </w:r>
      <w:r>
        <w:rPr/>
        <w:t>los</w:t>
        <w:tab/>
        <w:t>pulmones, como ocurre</w:t>
      </w:r>
      <w:r>
        <w:rPr>
          <w:spacing w:val="-10"/>
        </w:rPr>
        <w:t> </w:t>
      </w:r>
      <w:r>
        <w:rPr/>
        <w:t>en</w:t>
      </w:r>
      <w:r>
        <w:rPr>
          <w:spacing w:val="-5"/>
        </w:rPr>
        <w:t> </w:t>
      </w:r>
      <w:r>
        <w:rPr/>
        <w:t>los enfisemas</w:t>
        <w:tab/>
        <w:t>pulmonares. (Anoxia</w:t>
      </w:r>
      <w:r>
        <w:rPr>
          <w:spacing w:val="-14"/>
        </w:rPr>
        <w:t> </w:t>
      </w:r>
      <w:r>
        <w:rPr/>
        <w:t>anoxica)</w:t>
      </w:r>
    </w:p>
    <w:p>
      <w:pPr>
        <w:pStyle w:val="BodyText"/>
        <w:tabs>
          <w:tab w:pos="809" w:val="left" w:leader="none"/>
        </w:tabs>
        <w:ind w:left="102" w:right="1717"/>
      </w:pPr>
      <w:r>
        <w:rPr/>
        <w:t>4.-</w:t>
        <w:tab/>
        <w:t>Por baja de glóbulos rojos, que son los  encargados del</w:t>
      </w:r>
      <w:r>
        <w:rPr>
          <w:spacing w:val="-43"/>
        </w:rPr>
        <w:t> </w:t>
      </w:r>
      <w:r>
        <w:rPr/>
        <w:t>transporte</w:t>
      </w:r>
      <w:r>
        <w:rPr>
          <w:spacing w:val="-1"/>
        </w:rPr>
        <w:t> </w:t>
      </w:r>
      <w:r>
        <w:rPr/>
        <w:t>de</w:t>
      </w:r>
      <w:r>
        <w:rPr>
          <w:w w:val="99"/>
        </w:rPr>
        <w:t> </w:t>
      </w:r>
      <w:r>
        <w:rPr/>
        <w:t>oxígeno  a los tejidos. (Anoxia</w:t>
      </w:r>
      <w:r>
        <w:rPr>
          <w:spacing w:val="-14"/>
        </w:rPr>
        <w:t> </w:t>
      </w:r>
      <w:r>
        <w:rPr/>
        <w:t>anémica).</w:t>
      </w:r>
    </w:p>
    <w:p>
      <w:pPr>
        <w:pStyle w:val="BodyText"/>
        <w:spacing w:before="2"/>
      </w:pPr>
    </w:p>
    <w:p>
      <w:pPr>
        <w:pStyle w:val="Heading2"/>
        <w:numPr>
          <w:ilvl w:val="1"/>
          <w:numId w:val="13"/>
        </w:numPr>
        <w:tabs>
          <w:tab w:pos="438" w:val="left" w:leader="none"/>
        </w:tabs>
        <w:spacing w:line="240" w:lineRule="auto" w:before="0" w:after="0"/>
        <w:ind w:left="438" w:right="0" w:hanging="336"/>
        <w:jc w:val="both"/>
      </w:pPr>
      <w:r>
        <w:rPr/>
        <w:t>SINTOMAS GENERALES DE LA</w:t>
      </w:r>
      <w:r>
        <w:rPr>
          <w:spacing w:val="-14"/>
        </w:rPr>
        <w:t> </w:t>
      </w:r>
      <w:r>
        <w:rPr/>
        <w:t>ASFIXIA</w:t>
      </w:r>
    </w:p>
    <w:p>
      <w:pPr>
        <w:pStyle w:val="BodyText"/>
        <w:spacing w:before="201"/>
        <w:ind w:left="102"/>
        <w:jc w:val="both"/>
      </w:pPr>
      <w:r>
        <w:rPr/>
        <w:t>En la asfixia se describen  4 periodos:</w:t>
      </w:r>
    </w:p>
    <w:p>
      <w:pPr>
        <w:pStyle w:val="BodyText"/>
        <w:spacing w:line="242" w:lineRule="auto" w:before="197"/>
        <w:ind w:left="102" w:right="956"/>
        <w:jc w:val="both"/>
      </w:pPr>
      <w:r>
        <w:rPr/>
        <w:t>1.- PERIODO CEREBRAL. El individuo manifiesta desvanecimientos, vértigos, zumbidos de oídos, terrible angustia, pulso acelerado, respiración lenta y pérdida de conocimiento.</w:t>
      </w:r>
    </w:p>
    <w:p>
      <w:pPr>
        <w:pStyle w:val="BodyText"/>
        <w:spacing w:before="194"/>
        <w:ind w:left="102" w:right="962"/>
        <w:jc w:val="both"/>
      </w:pPr>
      <w:r>
        <w:rPr/>
        <w:t>2.- PERIODO DE EXCITACIÓN CORTICAL. Se inicia con convulsiones generalizadas, hay micción y defecación, sudoración, sialorrea, cara cianótica, hipertensión arterial, semi-erección y eyaculación con pérdida de sensibilidad y de los reflejos.</w:t>
      </w:r>
    </w:p>
    <w:p>
      <w:pPr>
        <w:pStyle w:val="BodyText"/>
        <w:spacing w:before="201"/>
        <w:ind w:left="102"/>
        <w:jc w:val="both"/>
      </w:pPr>
      <w:r>
        <w:rPr/>
        <w:t>3.-  PERIODO DE APNEA. Se paraliza  la respiración con aumento de la cianosis.</w:t>
      </w:r>
    </w:p>
    <w:p>
      <w:pPr>
        <w:pStyle w:val="BodyText"/>
        <w:spacing w:line="242" w:lineRule="auto" w:before="197"/>
        <w:ind w:left="102" w:right="963"/>
        <w:jc w:val="both"/>
      </w:pPr>
      <w:r>
        <w:rPr/>
        <w:t>4.- PERIODO DE PARO CARDIACO. El corazón se acelera rápidamente y por ultimo sobreviene el paro cardiaco.</w:t>
      </w:r>
    </w:p>
    <w:p>
      <w:pPr>
        <w:pStyle w:val="BodyText"/>
      </w:pPr>
    </w:p>
    <w:p>
      <w:pPr>
        <w:pStyle w:val="BodyText"/>
        <w:spacing w:before="7"/>
        <w:rPr>
          <w:sz w:val="34"/>
        </w:rPr>
      </w:pPr>
    </w:p>
    <w:p>
      <w:pPr>
        <w:pStyle w:val="Heading2"/>
        <w:numPr>
          <w:ilvl w:val="1"/>
          <w:numId w:val="13"/>
        </w:numPr>
        <w:tabs>
          <w:tab w:pos="506" w:val="left" w:leader="none"/>
        </w:tabs>
        <w:spacing w:line="240" w:lineRule="auto" w:before="0" w:after="0"/>
        <w:ind w:left="505" w:right="0" w:hanging="403"/>
        <w:jc w:val="both"/>
      </w:pPr>
      <w:r>
        <w:rPr/>
        <w:t>FISIOPATOLOGÍA DE LA MUERTE POR</w:t>
      </w:r>
      <w:r>
        <w:rPr>
          <w:spacing w:val="-18"/>
        </w:rPr>
        <w:t> </w:t>
      </w:r>
      <w:r>
        <w:rPr/>
        <w:t>ASFIXIA</w:t>
      </w:r>
    </w:p>
    <w:p>
      <w:pPr>
        <w:pStyle w:val="BodyText"/>
        <w:spacing w:before="197"/>
        <w:ind w:left="102"/>
        <w:jc w:val="both"/>
      </w:pPr>
      <w:r>
        <w:rPr/>
        <w:t>La resistencia a la anoxia tiene gran variabilidad interindividual.</w:t>
      </w:r>
    </w:p>
    <w:p>
      <w:pPr>
        <w:pStyle w:val="BodyText"/>
        <w:ind w:left="102" w:right="965"/>
        <w:jc w:val="both"/>
      </w:pPr>
      <w:r>
        <w:rPr/>
        <w:t>El cuadro anatomopatológico está condicionado por la rapidez de la anoxia. Si la instauración es brusca las lesiones serán poco llamativas pero si es progresiva dará lugar a un cuadro muy llamativo.</w:t>
      </w:r>
    </w:p>
    <w:p>
      <w:pPr>
        <w:pStyle w:val="BodyText"/>
        <w:ind w:left="102"/>
        <w:jc w:val="both"/>
      </w:pPr>
      <w:r>
        <w:rPr/>
        <w:t>Generalmente evoluciona en 3 fases antes de llegar a la muerte:</w:t>
      </w:r>
    </w:p>
    <w:p>
      <w:pPr>
        <w:pStyle w:val="ListParagraph"/>
        <w:numPr>
          <w:ilvl w:val="0"/>
          <w:numId w:val="14"/>
        </w:numPr>
        <w:tabs>
          <w:tab w:pos="388" w:val="left" w:leader="none"/>
        </w:tabs>
        <w:spacing w:line="240" w:lineRule="auto" w:before="0" w:after="0"/>
        <w:ind w:left="102" w:right="960" w:firstLine="0"/>
        <w:jc w:val="both"/>
        <w:rPr>
          <w:sz w:val="24"/>
        </w:rPr>
      </w:pPr>
      <w:r>
        <w:rPr>
          <w:b/>
          <w:sz w:val="24"/>
        </w:rPr>
        <w:t>Fase 1: </w:t>
      </w:r>
      <w:r>
        <w:rPr>
          <w:sz w:val="24"/>
        </w:rPr>
        <w:t>la disminución de oxígeno conduce a una reducción de la oxihemoglobina y un aumento del carbónico (CO2) que estimula al centro respiratorio. Se produce cianosis como consecuencia de las alteraciones. Además aumenta la frecuencia cardíaca y la tensión arterial. Finalmente se produce  pérdida de la</w:t>
      </w:r>
      <w:r>
        <w:rPr>
          <w:spacing w:val="-6"/>
          <w:sz w:val="24"/>
        </w:rPr>
        <w:t> </w:t>
      </w:r>
      <w:r>
        <w:rPr>
          <w:sz w:val="24"/>
        </w:rPr>
        <w:t>conciencia.</w:t>
      </w:r>
    </w:p>
    <w:p>
      <w:pPr>
        <w:pStyle w:val="ListParagraph"/>
        <w:numPr>
          <w:ilvl w:val="0"/>
          <w:numId w:val="14"/>
        </w:numPr>
        <w:tabs>
          <w:tab w:pos="254" w:val="left" w:leader="none"/>
        </w:tabs>
        <w:spacing w:line="240" w:lineRule="auto" w:before="0" w:after="0"/>
        <w:ind w:left="102" w:right="960" w:firstLine="0"/>
        <w:jc w:val="both"/>
        <w:rPr>
          <w:sz w:val="24"/>
        </w:rPr>
      </w:pPr>
      <w:r>
        <w:rPr>
          <w:b/>
          <w:sz w:val="24"/>
        </w:rPr>
        <w:t>Fase 2: </w:t>
      </w:r>
      <w:r>
        <w:rPr>
          <w:sz w:val="24"/>
        </w:rPr>
        <w:t>cursa con taquicardia, HTA y cianosis. Se produce vasodilatación capilar con congestión a nivel pulmonar, que dará lugar a éstasis respiratorio. También aparecen miosis, sialorrea, convulsiones. En ocasiones: relajación de esfínteres y vómitos.</w:t>
      </w:r>
    </w:p>
    <w:p>
      <w:pPr>
        <w:pStyle w:val="ListParagraph"/>
        <w:numPr>
          <w:ilvl w:val="0"/>
          <w:numId w:val="14"/>
        </w:numPr>
        <w:tabs>
          <w:tab w:pos="290" w:val="left" w:leader="none"/>
        </w:tabs>
        <w:spacing w:line="240" w:lineRule="auto" w:before="0" w:after="0"/>
        <w:ind w:left="102" w:right="961" w:firstLine="0"/>
        <w:jc w:val="both"/>
        <w:rPr>
          <w:sz w:val="24"/>
        </w:rPr>
      </w:pPr>
      <w:r>
        <w:rPr>
          <w:b/>
          <w:sz w:val="24"/>
        </w:rPr>
        <w:t>Fase 3: </w:t>
      </w:r>
      <w:r>
        <w:rPr>
          <w:sz w:val="24"/>
        </w:rPr>
        <w:t>alteraciones respiratorias: crisis de apnea y de hiperpnea. Acidosis y anoxia que conducen a dilatación cardíaca y vasodilatación periférica que originan colapso circulatorio e hipotensión que podrá ser responsable de paro cardiaco.</w:t>
      </w:r>
      <w:r>
        <w:rPr>
          <w:spacing w:val="-22"/>
          <w:sz w:val="24"/>
        </w:rPr>
        <w:t> </w:t>
      </w:r>
      <w:r>
        <w:rPr>
          <w:sz w:val="24"/>
        </w:rPr>
        <w:t>(2)</w:t>
      </w:r>
    </w:p>
    <w:p>
      <w:pPr>
        <w:spacing w:after="0" w:line="240" w:lineRule="auto"/>
        <w:jc w:val="both"/>
        <w:rPr>
          <w:sz w:val="24"/>
        </w:rPr>
        <w:sectPr>
          <w:pgSz w:w="12240" w:h="15840"/>
          <w:pgMar w:header="0" w:footer="1005" w:top="1360" w:bottom="1360" w:left="1600" w:right="740"/>
        </w:sectPr>
      </w:pPr>
    </w:p>
    <w:p>
      <w:pPr>
        <w:pStyle w:val="Heading2"/>
        <w:numPr>
          <w:ilvl w:val="1"/>
          <w:numId w:val="13"/>
        </w:numPr>
        <w:tabs>
          <w:tab w:pos="506" w:val="left" w:leader="none"/>
        </w:tabs>
        <w:spacing w:line="240" w:lineRule="auto" w:before="54" w:after="0"/>
        <w:ind w:left="505" w:right="0" w:hanging="403"/>
        <w:jc w:val="both"/>
      </w:pPr>
      <w:r>
        <w:rPr/>
        <w:t>TIPOS DE</w:t>
      </w:r>
      <w:r>
        <w:rPr>
          <w:spacing w:val="-14"/>
        </w:rPr>
        <w:t> </w:t>
      </w:r>
      <w:r>
        <w:rPr/>
        <w:t>ASFIXIAS</w:t>
      </w:r>
    </w:p>
    <w:p>
      <w:pPr>
        <w:pStyle w:val="BodyText"/>
        <w:spacing w:line="242" w:lineRule="auto" w:before="199"/>
        <w:ind w:left="102" w:right="959"/>
      </w:pPr>
      <w:r>
        <w:rPr/>
        <w:t>Las diversas etiologías productoras de cuadros asfícticos, pueden en un intento de simplificación ser agrupadas en tres grandes categorías:</w:t>
      </w:r>
    </w:p>
    <w:p>
      <w:pPr>
        <w:pStyle w:val="ListParagraph"/>
        <w:numPr>
          <w:ilvl w:val="0"/>
          <w:numId w:val="15"/>
        </w:numPr>
        <w:tabs>
          <w:tab w:pos="520" w:val="left" w:leader="none"/>
        </w:tabs>
        <w:spacing w:line="242" w:lineRule="auto" w:before="194" w:after="0"/>
        <w:ind w:left="102" w:right="966" w:firstLine="0"/>
        <w:jc w:val="left"/>
        <w:rPr>
          <w:sz w:val="24"/>
        </w:rPr>
      </w:pPr>
      <w:r>
        <w:rPr>
          <w:sz w:val="24"/>
        </w:rPr>
        <w:t>Las que responden a entidades nosológicas definidas, en las que no intervienen sustancias tóxicas o mecanismos violentos (Asfixias</w:t>
      </w:r>
      <w:r>
        <w:rPr>
          <w:spacing w:val="-15"/>
          <w:sz w:val="24"/>
        </w:rPr>
        <w:t> </w:t>
      </w:r>
      <w:r>
        <w:rPr>
          <w:sz w:val="24"/>
        </w:rPr>
        <w:t>Clínicas).</w:t>
      </w:r>
    </w:p>
    <w:p>
      <w:pPr>
        <w:pStyle w:val="ListParagraph"/>
        <w:numPr>
          <w:ilvl w:val="0"/>
          <w:numId w:val="15"/>
        </w:numPr>
        <w:tabs>
          <w:tab w:pos="453" w:val="left" w:leader="none"/>
        </w:tabs>
        <w:spacing w:line="242" w:lineRule="auto" w:before="194" w:after="0"/>
        <w:ind w:left="102" w:right="965" w:firstLine="0"/>
        <w:jc w:val="left"/>
        <w:rPr>
          <w:sz w:val="24"/>
        </w:rPr>
      </w:pPr>
      <w:r>
        <w:rPr>
          <w:sz w:val="24"/>
        </w:rPr>
        <w:t>Las producidas por contacto con tóxicos, cualquiera sea el modo en que el organismo se vincule con éstos (Asfixias</w:t>
      </w:r>
      <w:r>
        <w:rPr>
          <w:spacing w:val="-16"/>
          <w:sz w:val="24"/>
        </w:rPr>
        <w:t> </w:t>
      </w:r>
      <w:r>
        <w:rPr>
          <w:sz w:val="24"/>
        </w:rPr>
        <w:t>Tóxicas).</w:t>
      </w:r>
    </w:p>
    <w:p>
      <w:pPr>
        <w:pStyle w:val="ListParagraph"/>
        <w:numPr>
          <w:ilvl w:val="0"/>
          <w:numId w:val="15"/>
        </w:numPr>
        <w:tabs>
          <w:tab w:pos="424" w:val="left" w:leader="none"/>
        </w:tabs>
        <w:spacing w:line="242" w:lineRule="auto" w:before="196" w:after="0"/>
        <w:ind w:left="102" w:right="967" w:firstLine="0"/>
        <w:jc w:val="left"/>
        <w:rPr>
          <w:sz w:val="24"/>
        </w:rPr>
      </w:pPr>
      <w:r>
        <w:rPr>
          <w:sz w:val="24"/>
        </w:rPr>
        <w:t>Y aquellas generadas por un impedimento mecánico de la función respiratoria, generalmente de causa violenta (Asfixias Mecánicas). Patito</w:t>
      </w:r>
      <w:r>
        <w:rPr>
          <w:spacing w:val="50"/>
          <w:sz w:val="24"/>
        </w:rPr>
        <w:t> </w:t>
      </w:r>
      <w:r>
        <w:rPr>
          <w:sz w:val="24"/>
        </w:rPr>
        <w:t>pag.199</w:t>
      </w:r>
    </w:p>
    <w:p>
      <w:pPr>
        <w:pStyle w:val="BodyText"/>
      </w:pPr>
    </w:p>
    <w:p>
      <w:pPr>
        <w:pStyle w:val="BodyText"/>
        <w:spacing w:before="3"/>
        <w:rPr>
          <w:sz w:val="34"/>
        </w:rPr>
      </w:pPr>
    </w:p>
    <w:p>
      <w:pPr>
        <w:pStyle w:val="BodyText"/>
        <w:ind w:left="102" w:right="965"/>
        <w:jc w:val="both"/>
      </w:pPr>
      <w:r>
        <w:rPr/>
        <w:t>De Esta manera las asfixias que ocupan a la medicina legal son las de etiología mecánica y por Tóxicos, ya que le proyecto va encaminado a las asfixias mecánicas, se hará entonces mención de la clasificación de las éstas.</w:t>
      </w:r>
    </w:p>
    <w:p>
      <w:pPr>
        <w:pStyle w:val="Heading2"/>
        <w:numPr>
          <w:ilvl w:val="1"/>
          <w:numId w:val="13"/>
        </w:numPr>
        <w:tabs>
          <w:tab w:pos="505" w:val="left" w:leader="none"/>
        </w:tabs>
        <w:spacing w:line="240" w:lineRule="auto" w:before="201" w:after="0"/>
        <w:ind w:left="504" w:right="0" w:hanging="402"/>
        <w:jc w:val="both"/>
      </w:pPr>
      <w:r>
        <w:rPr/>
        <w:t>CLASIFICACION DE LAS</w:t>
      </w:r>
      <w:r>
        <w:rPr>
          <w:spacing w:val="-17"/>
        </w:rPr>
        <w:t> </w:t>
      </w:r>
      <w:r>
        <w:rPr/>
        <w:t>ASFIXIAS</w:t>
      </w:r>
    </w:p>
    <w:p>
      <w:pPr>
        <w:pStyle w:val="Heading3"/>
        <w:numPr>
          <w:ilvl w:val="0"/>
          <w:numId w:val="16"/>
        </w:numPr>
        <w:tabs>
          <w:tab w:pos="371" w:val="left" w:leader="none"/>
        </w:tabs>
        <w:spacing w:line="240" w:lineRule="auto" w:before="197" w:after="0"/>
        <w:ind w:left="370" w:right="0" w:hanging="268"/>
        <w:jc w:val="both"/>
        <w:rPr>
          <w:i/>
        </w:rPr>
      </w:pPr>
      <w:r>
        <w:rPr>
          <w:i/>
        </w:rPr>
        <w:t>Asfixias</w:t>
      </w:r>
      <w:r>
        <w:rPr>
          <w:i/>
          <w:spacing w:val="-10"/>
        </w:rPr>
        <w:t> </w:t>
      </w:r>
      <w:r>
        <w:rPr>
          <w:i/>
        </w:rPr>
        <w:t>Mecánicas:</w:t>
      </w:r>
    </w:p>
    <w:p>
      <w:pPr>
        <w:pStyle w:val="ListParagraph"/>
        <w:numPr>
          <w:ilvl w:val="0"/>
          <w:numId w:val="17"/>
        </w:numPr>
        <w:tabs>
          <w:tab w:pos="410" w:val="left" w:leader="none"/>
        </w:tabs>
        <w:spacing w:line="240" w:lineRule="auto" w:before="0" w:after="0"/>
        <w:ind w:left="102" w:right="0" w:firstLine="0"/>
        <w:jc w:val="both"/>
        <w:rPr>
          <w:sz w:val="24"/>
        </w:rPr>
      </w:pPr>
      <w:r>
        <w:rPr>
          <w:sz w:val="24"/>
        </w:rPr>
        <w:t>Por acción Mecánica</w:t>
      </w:r>
      <w:r>
        <w:rPr>
          <w:spacing w:val="-9"/>
          <w:sz w:val="24"/>
        </w:rPr>
        <w:t> </w:t>
      </w:r>
      <w:r>
        <w:rPr>
          <w:sz w:val="24"/>
        </w:rPr>
        <w:t>Externa:</w:t>
      </w:r>
    </w:p>
    <w:p>
      <w:pPr>
        <w:pStyle w:val="ListParagraph"/>
        <w:numPr>
          <w:ilvl w:val="0"/>
          <w:numId w:val="15"/>
        </w:numPr>
        <w:tabs>
          <w:tab w:pos="410" w:val="left" w:leader="none"/>
        </w:tabs>
        <w:spacing w:line="240" w:lineRule="auto" w:before="0" w:after="0"/>
        <w:ind w:left="409" w:right="0" w:hanging="307"/>
        <w:jc w:val="both"/>
        <w:rPr>
          <w:sz w:val="24"/>
        </w:rPr>
      </w:pPr>
      <w:r>
        <w:rPr>
          <w:sz w:val="24"/>
        </w:rPr>
        <w:t>A nivel cervical: —</w:t>
      </w:r>
      <w:r>
        <w:rPr>
          <w:spacing w:val="-8"/>
          <w:sz w:val="24"/>
        </w:rPr>
        <w:t> </w:t>
      </w:r>
      <w:r>
        <w:rPr>
          <w:sz w:val="24"/>
        </w:rPr>
        <w:t>Ahorcadura</w:t>
      </w:r>
    </w:p>
    <w:p>
      <w:pPr>
        <w:pStyle w:val="ListParagraph"/>
        <w:numPr>
          <w:ilvl w:val="1"/>
          <w:numId w:val="15"/>
        </w:numPr>
        <w:tabs>
          <w:tab w:pos="2477" w:val="left" w:leader="none"/>
        </w:tabs>
        <w:spacing w:line="240" w:lineRule="auto" w:before="0" w:after="0"/>
        <w:ind w:left="2476" w:right="0" w:hanging="306"/>
        <w:jc w:val="left"/>
        <w:rPr>
          <w:sz w:val="24"/>
        </w:rPr>
      </w:pPr>
      <w:r>
        <w:rPr>
          <w:sz w:val="24"/>
        </w:rPr>
        <w:t>Estrangulación</w:t>
      </w:r>
    </w:p>
    <w:p>
      <w:pPr>
        <w:pStyle w:val="ListParagraph"/>
        <w:numPr>
          <w:ilvl w:val="1"/>
          <w:numId w:val="15"/>
        </w:numPr>
        <w:tabs>
          <w:tab w:pos="2477" w:val="left" w:leader="none"/>
        </w:tabs>
        <w:spacing w:line="240" w:lineRule="auto" w:before="0" w:after="0"/>
        <w:ind w:left="2476" w:right="0" w:hanging="306"/>
        <w:jc w:val="left"/>
        <w:rPr>
          <w:sz w:val="24"/>
        </w:rPr>
      </w:pPr>
      <w:r>
        <w:rPr>
          <w:sz w:val="24"/>
        </w:rPr>
        <w:t>A</w:t>
      </w:r>
      <w:r>
        <w:rPr>
          <w:spacing w:val="-4"/>
          <w:sz w:val="24"/>
        </w:rPr>
        <w:t> </w:t>
      </w:r>
      <w:r>
        <w:rPr>
          <w:sz w:val="24"/>
        </w:rPr>
        <w:t>lazo</w:t>
      </w:r>
    </w:p>
    <w:p>
      <w:pPr>
        <w:pStyle w:val="ListParagraph"/>
        <w:numPr>
          <w:ilvl w:val="1"/>
          <w:numId w:val="15"/>
        </w:numPr>
        <w:tabs>
          <w:tab w:pos="2477" w:val="left" w:leader="none"/>
        </w:tabs>
        <w:spacing w:line="240" w:lineRule="auto" w:before="0" w:after="0"/>
        <w:ind w:left="2476" w:right="0" w:hanging="306"/>
        <w:jc w:val="left"/>
        <w:rPr>
          <w:sz w:val="24"/>
        </w:rPr>
      </w:pPr>
      <w:r>
        <w:rPr>
          <w:sz w:val="24"/>
        </w:rPr>
        <w:t>Manual</w:t>
      </w:r>
    </w:p>
    <w:p>
      <w:pPr>
        <w:pStyle w:val="ListParagraph"/>
        <w:numPr>
          <w:ilvl w:val="1"/>
          <w:numId w:val="15"/>
        </w:numPr>
        <w:tabs>
          <w:tab w:pos="2477" w:val="left" w:leader="none"/>
        </w:tabs>
        <w:spacing w:line="240" w:lineRule="auto" w:before="0" w:after="0"/>
        <w:ind w:left="2476" w:right="0" w:hanging="306"/>
        <w:jc w:val="left"/>
        <w:rPr>
          <w:sz w:val="24"/>
        </w:rPr>
      </w:pPr>
      <w:r>
        <w:rPr>
          <w:sz w:val="24"/>
        </w:rPr>
        <w:t>Otras</w:t>
      </w:r>
    </w:p>
    <w:p>
      <w:pPr>
        <w:pStyle w:val="ListParagraph"/>
        <w:numPr>
          <w:ilvl w:val="0"/>
          <w:numId w:val="15"/>
        </w:numPr>
        <w:tabs>
          <w:tab w:pos="410" w:val="left" w:leader="none"/>
        </w:tabs>
        <w:spacing w:line="240" w:lineRule="auto" w:before="0" w:after="0"/>
        <w:ind w:left="409" w:right="0" w:hanging="307"/>
        <w:jc w:val="both"/>
        <w:rPr>
          <w:sz w:val="24"/>
        </w:rPr>
      </w:pPr>
      <w:r>
        <w:rPr>
          <w:sz w:val="24"/>
        </w:rPr>
        <w:t>A nivel de los Orificios Respiratorios: —</w:t>
      </w:r>
      <w:r>
        <w:rPr>
          <w:spacing w:val="-16"/>
          <w:sz w:val="24"/>
        </w:rPr>
        <w:t> </w:t>
      </w:r>
      <w:r>
        <w:rPr>
          <w:sz w:val="24"/>
        </w:rPr>
        <w:t>Sofocación</w:t>
      </w:r>
    </w:p>
    <w:p>
      <w:pPr>
        <w:pStyle w:val="ListParagraph"/>
        <w:numPr>
          <w:ilvl w:val="0"/>
          <w:numId w:val="15"/>
        </w:numPr>
        <w:tabs>
          <w:tab w:pos="410" w:val="left" w:leader="none"/>
        </w:tabs>
        <w:spacing w:line="240" w:lineRule="auto" w:before="0" w:after="0"/>
        <w:ind w:left="409" w:right="0" w:hanging="307"/>
        <w:jc w:val="both"/>
        <w:rPr>
          <w:sz w:val="24"/>
        </w:rPr>
      </w:pPr>
      <w:r>
        <w:rPr>
          <w:sz w:val="24"/>
        </w:rPr>
        <w:t>A nivel del tórax y / o Abdomen: — Compresión torácica y / o</w:t>
      </w:r>
      <w:r>
        <w:rPr>
          <w:spacing w:val="-24"/>
          <w:sz w:val="24"/>
        </w:rPr>
        <w:t> </w:t>
      </w:r>
      <w:r>
        <w:rPr>
          <w:sz w:val="24"/>
        </w:rPr>
        <w:t>abdominal</w:t>
      </w:r>
    </w:p>
    <w:p>
      <w:pPr>
        <w:pStyle w:val="ListParagraph"/>
        <w:numPr>
          <w:ilvl w:val="0"/>
          <w:numId w:val="15"/>
        </w:numPr>
        <w:tabs>
          <w:tab w:pos="410" w:val="left" w:leader="none"/>
        </w:tabs>
        <w:spacing w:line="240" w:lineRule="auto" w:before="0" w:after="0"/>
        <w:ind w:left="409" w:right="0" w:hanging="307"/>
        <w:jc w:val="both"/>
        <w:rPr>
          <w:sz w:val="24"/>
        </w:rPr>
      </w:pPr>
      <w:r>
        <w:rPr>
          <w:sz w:val="24"/>
        </w:rPr>
        <w:t>A nivel diafragmático: —</w:t>
      </w:r>
      <w:r>
        <w:rPr>
          <w:spacing w:val="-12"/>
          <w:sz w:val="24"/>
        </w:rPr>
        <w:t> </w:t>
      </w:r>
      <w:r>
        <w:rPr>
          <w:sz w:val="24"/>
        </w:rPr>
        <w:t>Crucifixión</w:t>
      </w:r>
    </w:p>
    <w:p>
      <w:pPr>
        <w:pStyle w:val="ListParagraph"/>
        <w:numPr>
          <w:ilvl w:val="0"/>
          <w:numId w:val="15"/>
        </w:numPr>
        <w:tabs>
          <w:tab w:pos="410" w:val="left" w:leader="none"/>
        </w:tabs>
        <w:spacing w:line="240" w:lineRule="auto" w:before="0" w:after="0"/>
        <w:ind w:left="409" w:right="0" w:hanging="307"/>
        <w:jc w:val="both"/>
        <w:rPr>
          <w:sz w:val="24"/>
        </w:rPr>
      </w:pPr>
      <w:r>
        <w:rPr>
          <w:sz w:val="24"/>
        </w:rPr>
        <w:t>Suspensión</w:t>
      </w:r>
      <w:r>
        <w:rPr>
          <w:spacing w:val="-7"/>
          <w:sz w:val="24"/>
        </w:rPr>
        <w:t> </w:t>
      </w:r>
      <w:r>
        <w:rPr>
          <w:sz w:val="24"/>
        </w:rPr>
        <w:t>reversa</w:t>
      </w:r>
    </w:p>
    <w:p>
      <w:pPr>
        <w:pStyle w:val="ListParagraph"/>
        <w:numPr>
          <w:ilvl w:val="0"/>
          <w:numId w:val="17"/>
        </w:numPr>
        <w:tabs>
          <w:tab w:pos="410" w:val="left" w:leader="none"/>
        </w:tabs>
        <w:spacing w:line="240" w:lineRule="auto" w:before="0" w:after="0"/>
        <w:ind w:left="409" w:right="0" w:hanging="307"/>
        <w:jc w:val="both"/>
        <w:rPr>
          <w:sz w:val="24"/>
        </w:rPr>
      </w:pPr>
      <w:r>
        <w:rPr>
          <w:sz w:val="24"/>
        </w:rPr>
        <w:t>Por ocupación de Vías</w:t>
      </w:r>
      <w:r>
        <w:rPr>
          <w:spacing w:val="-9"/>
          <w:sz w:val="24"/>
        </w:rPr>
        <w:t> </w:t>
      </w:r>
      <w:r>
        <w:rPr>
          <w:sz w:val="24"/>
        </w:rPr>
        <w:t>Respiratorias:</w:t>
      </w:r>
    </w:p>
    <w:p>
      <w:pPr>
        <w:pStyle w:val="ListParagraph"/>
        <w:numPr>
          <w:ilvl w:val="0"/>
          <w:numId w:val="15"/>
        </w:numPr>
        <w:tabs>
          <w:tab w:pos="410" w:val="left" w:leader="none"/>
        </w:tabs>
        <w:spacing w:line="240" w:lineRule="auto" w:before="0" w:after="0"/>
        <w:ind w:left="409" w:right="0" w:hanging="307"/>
        <w:jc w:val="both"/>
        <w:rPr>
          <w:sz w:val="24"/>
        </w:rPr>
      </w:pPr>
      <w:r>
        <w:rPr>
          <w:sz w:val="24"/>
        </w:rPr>
        <w:t>Por medios sólidos: — Cuerpos</w:t>
      </w:r>
      <w:r>
        <w:rPr>
          <w:spacing w:val="-10"/>
          <w:sz w:val="24"/>
        </w:rPr>
        <w:t> </w:t>
      </w:r>
      <w:r>
        <w:rPr>
          <w:sz w:val="24"/>
        </w:rPr>
        <w:t>extraños</w:t>
      </w:r>
    </w:p>
    <w:p>
      <w:pPr>
        <w:pStyle w:val="ListParagraph"/>
        <w:numPr>
          <w:ilvl w:val="1"/>
          <w:numId w:val="15"/>
        </w:numPr>
        <w:tabs>
          <w:tab w:pos="2945" w:val="left" w:leader="none"/>
        </w:tabs>
        <w:spacing w:line="240" w:lineRule="auto" w:before="0" w:after="0"/>
        <w:ind w:left="2944" w:right="0" w:hanging="307"/>
        <w:jc w:val="left"/>
        <w:rPr>
          <w:sz w:val="24"/>
        </w:rPr>
      </w:pPr>
      <w:r>
        <w:rPr>
          <w:sz w:val="24"/>
        </w:rPr>
        <w:t>Sepultamiento</w:t>
      </w:r>
    </w:p>
    <w:p>
      <w:pPr>
        <w:pStyle w:val="ListParagraph"/>
        <w:numPr>
          <w:ilvl w:val="0"/>
          <w:numId w:val="15"/>
        </w:numPr>
        <w:tabs>
          <w:tab w:pos="410" w:val="left" w:leader="none"/>
        </w:tabs>
        <w:spacing w:line="240" w:lineRule="auto" w:before="0" w:after="0"/>
        <w:ind w:left="409" w:right="0" w:hanging="307"/>
        <w:jc w:val="both"/>
        <w:rPr>
          <w:sz w:val="24"/>
        </w:rPr>
      </w:pPr>
      <w:r>
        <w:rPr>
          <w:sz w:val="24"/>
        </w:rPr>
        <w:t>Por medios líquidos: —</w:t>
      </w:r>
      <w:r>
        <w:rPr>
          <w:spacing w:val="-9"/>
          <w:sz w:val="24"/>
        </w:rPr>
        <w:t> </w:t>
      </w:r>
      <w:r>
        <w:rPr>
          <w:sz w:val="24"/>
        </w:rPr>
        <w:t>Sumersión</w:t>
      </w:r>
    </w:p>
    <w:p>
      <w:pPr>
        <w:pStyle w:val="ListParagraph"/>
        <w:numPr>
          <w:ilvl w:val="0"/>
          <w:numId w:val="15"/>
        </w:numPr>
        <w:tabs>
          <w:tab w:pos="410" w:val="left" w:leader="none"/>
        </w:tabs>
        <w:spacing w:line="240" w:lineRule="auto" w:before="0" w:after="0"/>
        <w:ind w:left="409" w:right="0" w:hanging="307"/>
        <w:jc w:val="both"/>
        <w:rPr>
          <w:sz w:val="24"/>
        </w:rPr>
      </w:pPr>
      <w:r>
        <w:rPr>
          <w:sz w:val="24"/>
        </w:rPr>
        <w:t>Por medios gaseosos: — Gases</w:t>
      </w:r>
      <w:r>
        <w:rPr>
          <w:spacing w:val="-9"/>
          <w:sz w:val="24"/>
        </w:rPr>
        <w:t> </w:t>
      </w:r>
      <w:r>
        <w:rPr>
          <w:sz w:val="24"/>
        </w:rPr>
        <w:t>inertes</w:t>
      </w:r>
    </w:p>
    <w:p>
      <w:pPr>
        <w:pStyle w:val="ListParagraph"/>
        <w:numPr>
          <w:ilvl w:val="0"/>
          <w:numId w:val="17"/>
        </w:numPr>
        <w:tabs>
          <w:tab w:pos="421" w:val="left" w:leader="none"/>
        </w:tabs>
        <w:spacing w:line="240" w:lineRule="auto" w:before="0" w:after="0"/>
        <w:ind w:left="102" w:right="4022" w:firstLine="0"/>
        <w:jc w:val="left"/>
        <w:rPr>
          <w:sz w:val="24"/>
        </w:rPr>
      </w:pPr>
      <w:r>
        <w:rPr>
          <w:sz w:val="24"/>
        </w:rPr>
        <w:t>Por Ausencia de Aire Respirable: —</w:t>
      </w:r>
      <w:r>
        <w:rPr>
          <w:spacing w:val="-17"/>
          <w:sz w:val="24"/>
        </w:rPr>
        <w:t> </w:t>
      </w:r>
      <w:r>
        <w:rPr>
          <w:sz w:val="24"/>
        </w:rPr>
        <w:t>Confinamiento Patito pág.</w:t>
      </w:r>
      <w:r>
        <w:rPr>
          <w:spacing w:val="-5"/>
          <w:sz w:val="24"/>
        </w:rPr>
        <w:t> </w:t>
      </w:r>
      <w:r>
        <w:rPr>
          <w:sz w:val="24"/>
        </w:rPr>
        <w:t>200</w:t>
      </w:r>
    </w:p>
    <w:p>
      <w:pPr>
        <w:pStyle w:val="BodyText"/>
      </w:pPr>
    </w:p>
    <w:p>
      <w:pPr>
        <w:pStyle w:val="Heading3"/>
        <w:numPr>
          <w:ilvl w:val="0"/>
          <w:numId w:val="16"/>
        </w:numPr>
        <w:tabs>
          <w:tab w:pos="383" w:val="left" w:leader="none"/>
        </w:tabs>
        <w:spacing w:line="240" w:lineRule="auto" w:before="202" w:after="0"/>
        <w:ind w:left="382" w:right="0" w:hanging="280"/>
        <w:jc w:val="both"/>
        <w:rPr>
          <w:i/>
        </w:rPr>
      </w:pPr>
      <w:r>
        <w:rPr>
          <w:i/>
        </w:rPr>
        <w:t>Asfixias</w:t>
      </w:r>
      <w:r>
        <w:rPr>
          <w:i/>
          <w:spacing w:val="-6"/>
        </w:rPr>
        <w:t> </w:t>
      </w:r>
      <w:r>
        <w:rPr>
          <w:i/>
        </w:rPr>
        <w:t>Químicas:</w:t>
      </w:r>
    </w:p>
    <w:p>
      <w:pPr>
        <w:pStyle w:val="BodyText"/>
        <w:spacing w:before="197"/>
        <w:ind w:left="102" w:right="955"/>
        <w:jc w:val="both"/>
      </w:pPr>
      <w:r>
        <w:rPr/>
        <w:t>Fundamentalmente ocasionadas por monóxido de carbono, helio, neón, argón, radón, zenón, gases de combate, combinaciones de gases tóxicos como cloro y azufre.</w:t>
      </w:r>
    </w:p>
    <w:p>
      <w:pPr>
        <w:spacing w:after="0"/>
        <w:jc w:val="both"/>
        <w:sectPr>
          <w:footerReference w:type="default" r:id="rId7"/>
          <w:pgSz w:w="12240" w:h="15840"/>
          <w:pgMar w:footer="1174" w:header="0" w:top="1360" w:bottom="1360" w:left="1600" w:right="740"/>
        </w:sectPr>
      </w:pPr>
    </w:p>
    <w:p>
      <w:pPr>
        <w:pStyle w:val="Heading2"/>
        <w:numPr>
          <w:ilvl w:val="1"/>
          <w:numId w:val="13"/>
        </w:numPr>
        <w:tabs>
          <w:tab w:pos="506" w:val="left" w:leader="none"/>
        </w:tabs>
        <w:spacing w:line="240" w:lineRule="auto" w:before="54" w:after="0"/>
        <w:ind w:left="505" w:right="0" w:hanging="403"/>
        <w:jc w:val="both"/>
      </w:pPr>
      <w:r>
        <w:rPr/>
        <w:t>PATOLOGÍA  FORENSE DE </w:t>
      </w:r>
      <w:r>
        <w:rPr>
          <w:spacing w:val="-3"/>
        </w:rPr>
        <w:t>LAS</w:t>
      </w:r>
      <w:r>
        <w:rPr>
          <w:spacing w:val="-8"/>
        </w:rPr>
        <w:t> </w:t>
      </w:r>
      <w:r>
        <w:rPr/>
        <w:t>ASFIXIAS</w:t>
      </w:r>
    </w:p>
    <w:p>
      <w:pPr>
        <w:spacing w:before="197"/>
        <w:ind w:left="102" w:right="0" w:firstLine="0"/>
        <w:jc w:val="both"/>
        <w:rPr>
          <w:i/>
          <w:sz w:val="24"/>
        </w:rPr>
      </w:pPr>
      <w:r>
        <w:rPr>
          <w:sz w:val="24"/>
          <w:u w:val="single"/>
        </w:rPr>
        <w:t>a.-   </w:t>
      </w:r>
      <w:r>
        <w:rPr>
          <w:i/>
          <w:sz w:val="24"/>
          <w:u w:val="single"/>
        </w:rPr>
        <w:t>EXAMEN EXTERNO</w:t>
      </w:r>
    </w:p>
    <w:p>
      <w:pPr>
        <w:pStyle w:val="BodyText"/>
        <w:spacing w:before="2"/>
        <w:ind w:left="102" w:right="5549"/>
      </w:pPr>
      <w:r>
        <w:rPr/>
        <w:t>Existen signos comunes en las asfixias: l.- Signos Cadavéricos:</w:t>
      </w:r>
    </w:p>
    <w:p>
      <w:pPr>
        <w:pStyle w:val="ListParagraph"/>
        <w:numPr>
          <w:ilvl w:val="0"/>
          <w:numId w:val="18"/>
        </w:numPr>
        <w:tabs>
          <w:tab w:pos="371" w:val="left" w:leader="none"/>
        </w:tabs>
        <w:spacing w:line="240" w:lineRule="auto" w:before="0" w:after="0"/>
        <w:ind w:left="102" w:right="0" w:firstLine="0"/>
        <w:jc w:val="both"/>
        <w:rPr>
          <w:sz w:val="24"/>
        </w:rPr>
      </w:pPr>
      <w:r>
        <w:rPr>
          <w:sz w:val="24"/>
        </w:rPr>
        <w:t>Enfriamiento corporal</w:t>
      </w:r>
      <w:r>
        <w:rPr>
          <w:spacing w:val="-11"/>
          <w:sz w:val="24"/>
        </w:rPr>
        <w:t> </w:t>
      </w:r>
      <w:r>
        <w:rPr>
          <w:sz w:val="24"/>
        </w:rPr>
        <w:t>lento.</w:t>
      </w:r>
    </w:p>
    <w:p>
      <w:pPr>
        <w:pStyle w:val="ListParagraph"/>
        <w:numPr>
          <w:ilvl w:val="0"/>
          <w:numId w:val="18"/>
        </w:numPr>
        <w:tabs>
          <w:tab w:pos="371" w:val="left" w:leader="none"/>
        </w:tabs>
        <w:spacing w:line="240" w:lineRule="auto" w:before="0" w:after="0"/>
        <w:ind w:left="370" w:right="0" w:hanging="268"/>
        <w:jc w:val="both"/>
        <w:rPr>
          <w:sz w:val="24"/>
        </w:rPr>
      </w:pPr>
      <w:r>
        <w:rPr>
          <w:sz w:val="24"/>
        </w:rPr>
        <w:t>livideces</w:t>
      </w:r>
      <w:r>
        <w:rPr>
          <w:spacing w:val="-6"/>
          <w:sz w:val="24"/>
        </w:rPr>
        <w:t> </w:t>
      </w:r>
      <w:r>
        <w:rPr>
          <w:sz w:val="24"/>
        </w:rPr>
        <w:t>precoces.</w:t>
      </w:r>
    </w:p>
    <w:p>
      <w:pPr>
        <w:pStyle w:val="ListParagraph"/>
        <w:numPr>
          <w:ilvl w:val="0"/>
          <w:numId w:val="18"/>
        </w:numPr>
        <w:tabs>
          <w:tab w:pos="357" w:val="left" w:leader="none"/>
        </w:tabs>
        <w:spacing w:line="240" w:lineRule="auto" w:before="0" w:after="0"/>
        <w:ind w:left="356" w:right="0" w:hanging="254"/>
        <w:jc w:val="both"/>
        <w:rPr>
          <w:sz w:val="24"/>
        </w:rPr>
      </w:pPr>
      <w:r>
        <w:rPr>
          <w:sz w:val="24"/>
        </w:rPr>
        <w:t>Rigidez cadavérica  lenta pero</w:t>
      </w:r>
      <w:r>
        <w:rPr>
          <w:spacing w:val="-13"/>
          <w:sz w:val="24"/>
        </w:rPr>
        <w:t> </w:t>
      </w:r>
      <w:r>
        <w:rPr>
          <w:sz w:val="24"/>
        </w:rPr>
        <w:t>intensa.</w:t>
      </w:r>
    </w:p>
    <w:p>
      <w:pPr>
        <w:pStyle w:val="ListParagraph"/>
        <w:numPr>
          <w:ilvl w:val="0"/>
          <w:numId w:val="18"/>
        </w:numPr>
        <w:tabs>
          <w:tab w:pos="371" w:val="left" w:leader="none"/>
        </w:tabs>
        <w:spacing w:line="240" w:lineRule="auto" w:before="0" w:after="0"/>
        <w:ind w:left="102" w:right="7393" w:firstLine="0"/>
        <w:jc w:val="left"/>
        <w:rPr>
          <w:sz w:val="24"/>
        </w:rPr>
      </w:pPr>
      <w:r>
        <w:rPr>
          <w:sz w:val="24"/>
        </w:rPr>
        <w:t>Putrefacción rápida. II.- Signos</w:t>
      </w:r>
      <w:r>
        <w:rPr>
          <w:spacing w:val="-9"/>
          <w:sz w:val="24"/>
        </w:rPr>
        <w:t> </w:t>
      </w:r>
      <w:r>
        <w:rPr>
          <w:sz w:val="24"/>
        </w:rPr>
        <w:t>Externos:</w:t>
      </w:r>
    </w:p>
    <w:p>
      <w:pPr>
        <w:pStyle w:val="ListParagraph"/>
        <w:numPr>
          <w:ilvl w:val="0"/>
          <w:numId w:val="19"/>
        </w:numPr>
        <w:tabs>
          <w:tab w:pos="371" w:val="left" w:leader="none"/>
          <w:tab w:pos="1517" w:val="left" w:leader="none"/>
          <w:tab w:pos="5058" w:val="left" w:leader="none"/>
          <w:tab w:pos="6521" w:val="left" w:leader="none"/>
          <w:tab w:pos="7596" w:val="left" w:leader="none"/>
          <w:tab w:pos="8099" w:val="left" w:leader="none"/>
        </w:tabs>
        <w:spacing w:line="240" w:lineRule="auto" w:before="0" w:after="0"/>
        <w:ind w:left="102" w:right="959" w:firstLine="0"/>
        <w:jc w:val="left"/>
        <w:rPr>
          <w:sz w:val="24"/>
        </w:rPr>
      </w:pPr>
      <w:r>
        <w:rPr>
          <w:sz w:val="24"/>
        </w:rPr>
        <w:t>Cianosis. Signo habitual en</w:t>
      </w:r>
      <w:r>
        <w:rPr>
          <w:spacing w:val="-10"/>
          <w:sz w:val="24"/>
        </w:rPr>
        <w:t> </w:t>
      </w:r>
      <w:r>
        <w:rPr>
          <w:sz w:val="24"/>
        </w:rPr>
        <w:t>las</w:t>
      </w:r>
      <w:r>
        <w:rPr>
          <w:spacing w:val="-4"/>
          <w:sz w:val="24"/>
        </w:rPr>
        <w:t> </w:t>
      </w:r>
      <w:r>
        <w:rPr>
          <w:sz w:val="24"/>
        </w:rPr>
        <w:t>asfixias</w:t>
        <w:tab/>
        <w:t>mecánicas,</w:t>
        <w:tab/>
        <w:t>alcanza</w:t>
        <w:tab/>
        <w:t>su</w:t>
        <w:tab/>
      </w:r>
      <w:r>
        <w:rPr>
          <w:w w:val="95"/>
          <w:sz w:val="24"/>
        </w:rPr>
        <w:t>máxima </w:t>
      </w:r>
      <w:r>
        <w:rPr>
          <w:sz w:val="24"/>
        </w:rPr>
        <w:t>intensidad</w:t>
        <w:tab/>
        <w:t>en ahorcados y en compresiones de</w:t>
      </w:r>
      <w:r>
        <w:rPr>
          <w:spacing w:val="-18"/>
          <w:sz w:val="24"/>
        </w:rPr>
        <w:t> </w:t>
      </w:r>
      <w:r>
        <w:rPr>
          <w:sz w:val="24"/>
        </w:rPr>
        <w:t>tórax.</w:t>
      </w:r>
    </w:p>
    <w:p>
      <w:pPr>
        <w:pStyle w:val="ListParagraph"/>
        <w:numPr>
          <w:ilvl w:val="0"/>
          <w:numId w:val="19"/>
        </w:numPr>
        <w:tabs>
          <w:tab w:pos="371" w:val="left" w:leader="none"/>
          <w:tab w:pos="5737" w:val="left" w:leader="none"/>
          <w:tab w:pos="7031" w:val="left" w:leader="none"/>
          <w:tab w:pos="7456" w:val="left" w:leader="none"/>
          <w:tab w:pos="8485" w:val="left" w:leader="none"/>
        </w:tabs>
        <w:spacing w:line="240" w:lineRule="auto" w:before="0" w:after="0"/>
        <w:ind w:left="102" w:right="959" w:firstLine="0"/>
        <w:jc w:val="left"/>
        <w:rPr>
          <w:sz w:val="24"/>
        </w:rPr>
      </w:pPr>
      <w:r>
        <w:rPr>
          <w:sz w:val="24"/>
        </w:rPr>
        <w:t>Punteado petequial a predominio</w:t>
      </w:r>
      <w:r>
        <w:rPr>
          <w:spacing w:val="-11"/>
          <w:sz w:val="24"/>
        </w:rPr>
        <w:t> </w:t>
      </w:r>
      <w:r>
        <w:rPr>
          <w:sz w:val="24"/>
        </w:rPr>
        <w:t>de</w:t>
      </w:r>
      <w:r>
        <w:rPr>
          <w:spacing w:val="55"/>
          <w:sz w:val="24"/>
        </w:rPr>
        <w:t> </w:t>
      </w:r>
      <w:r>
        <w:rPr>
          <w:sz w:val="24"/>
        </w:rPr>
        <w:t>conjuntiva</w:t>
        <w:tab/>
        <w:t>palpebral</w:t>
        <w:tab/>
        <w:t>y</w:t>
        <w:tab/>
        <w:t>ocular.</w:t>
        <w:tab/>
        <w:t>Mas frecuente en los estrangulados  y en comprensión de</w:t>
      </w:r>
      <w:r>
        <w:rPr>
          <w:spacing w:val="-22"/>
          <w:sz w:val="24"/>
        </w:rPr>
        <w:t> </w:t>
      </w:r>
      <w:r>
        <w:rPr>
          <w:sz w:val="24"/>
        </w:rPr>
        <w:t>tórax.</w:t>
      </w:r>
    </w:p>
    <w:p>
      <w:pPr>
        <w:pStyle w:val="ListParagraph"/>
        <w:numPr>
          <w:ilvl w:val="0"/>
          <w:numId w:val="19"/>
        </w:numPr>
        <w:tabs>
          <w:tab w:pos="357" w:val="left" w:leader="none"/>
        </w:tabs>
        <w:spacing w:line="240" w:lineRule="auto" w:before="0" w:after="0"/>
        <w:ind w:left="356" w:right="0" w:hanging="254"/>
        <w:jc w:val="both"/>
        <w:rPr>
          <w:sz w:val="24"/>
        </w:rPr>
      </w:pPr>
      <w:r>
        <w:rPr>
          <w:sz w:val="24"/>
        </w:rPr>
        <w:t>Exoftalmos o protrusión de los globos         </w:t>
      </w:r>
      <w:r>
        <w:rPr>
          <w:spacing w:val="24"/>
          <w:sz w:val="24"/>
        </w:rPr>
        <w:t> </w:t>
      </w:r>
      <w:r>
        <w:rPr>
          <w:sz w:val="24"/>
        </w:rPr>
        <w:t>oculares.</w:t>
      </w:r>
    </w:p>
    <w:p>
      <w:pPr>
        <w:pStyle w:val="ListParagraph"/>
        <w:numPr>
          <w:ilvl w:val="0"/>
          <w:numId w:val="19"/>
        </w:numPr>
        <w:tabs>
          <w:tab w:pos="371" w:val="left" w:leader="none"/>
        </w:tabs>
        <w:spacing w:line="240" w:lineRule="auto" w:before="0" w:after="0"/>
        <w:ind w:left="370" w:right="0" w:hanging="268"/>
        <w:jc w:val="both"/>
        <w:rPr>
          <w:sz w:val="24"/>
        </w:rPr>
      </w:pPr>
      <w:r>
        <w:rPr>
          <w:sz w:val="24"/>
        </w:rPr>
        <w:t>Lengua protruida y</w:t>
      </w:r>
      <w:r>
        <w:rPr>
          <w:spacing w:val="-12"/>
          <w:sz w:val="24"/>
        </w:rPr>
        <w:t> </w:t>
      </w:r>
      <w:r>
        <w:rPr>
          <w:sz w:val="24"/>
        </w:rPr>
        <w:t>mordida.</w:t>
      </w:r>
    </w:p>
    <w:p>
      <w:pPr>
        <w:pStyle w:val="ListParagraph"/>
        <w:numPr>
          <w:ilvl w:val="0"/>
          <w:numId w:val="19"/>
        </w:numPr>
        <w:tabs>
          <w:tab w:pos="371" w:val="left" w:leader="none"/>
          <w:tab w:pos="809" w:val="left" w:leader="none"/>
        </w:tabs>
        <w:spacing w:line="274" w:lineRule="exact" w:before="6" w:after="0"/>
        <w:ind w:left="102" w:right="4929" w:firstLine="0"/>
        <w:jc w:val="left"/>
        <w:rPr>
          <w:b/>
          <w:sz w:val="24"/>
        </w:rPr>
      </w:pPr>
      <w:r>
        <w:rPr>
          <w:sz w:val="24"/>
        </w:rPr>
        <w:t>Hongo de espuma blanca en boca y</w:t>
      </w:r>
      <w:r>
        <w:rPr>
          <w:spacing w:val="-16"/>
          <w:sz w:val="24"/>
        </w:rPr>
        <w:t> </w:t>
      </w:r>
      <w:r>
        <w:rPr>
          <w:sz w:val="24"/>
        </w:rPr>
        <w:t>labios. </w:t>
      </w:r>
      <w:r>
        <w:rPr>
          <w:sz w:val="24"/>
          <w:u w:val="single"/>
        </w:rPr>
        <w:t>b.-</w:t>
        <w:tab/>
      </w:r>
      <w:r>
        <w:rPr>
          <w:i/>
          <w:sz w:val="24"/>
          <w:u w:val="single"/>
        </w:rPr>
        <w:t>NECROPSIA</w:t>
      </w:r>
      <w:r>
        <w:rPr>
          <w:b/>
          <w:sz w:val="24"/>
          <w:u w:val="single"/>
        </w:rPr>
        <w:t>.</w:t>
      </w:r>
    </w:p>
    <w:p>
      <w:pPr>
        <w:pStyle w:val="BodyText"/>
        <w:ind w:left="102" w:right="940"/>
      </w:pPr>
      <w:r>
        <w:rPr/>
        <w:t>La apariencia post-mortem en las muertes por asfixia resulta de la presencia de sangre desoxigenada en los tejidos.</w:t>
      </w:r>
    </w:p>
    <w:p>
      <w:pPr>
        <w:pStyle w:val="BodyText"/>
        <w:ind w:left="102" w:right="940"/>
      </w:pPr>
      <w:r>
        <w:rPr/>
        <w:t>1.- CABEZA.- Congestión cerebral, edematoso y con petequias. Petequias en caja de tímpano y en membrana timpánica.</w:t>
      </w:r>
    </w:p>
    <w:p>
      <w:pPr>
        <w:pStyle w:val="BodyText"/>
        <w:ind w:left="102" w:right="961"/>
        <w:jc w:val="both"/>
      </w:pPr>
      <w:r>
        <w:rPr/>
        <w:t>2.- SISTEMA RESPIRATORIO.- Congestión y espuma en la laringe, tráquea y árbol bronquial. Punteado petequial en pleura e hilios pulmonares. Pulmón congestivo, edematoso y enfisematoso.</w:t>
      </w:r>
    </w:p>
    <w:p>
      <w:pPr>
        <w:pStyle w:val="BodyText"/>
        <w:ind w:left="102"/>
        <w:jc w:val="both"/>
      </w:pPr>
      <w:r>
        <w:rPr/>
        <w:t>3.- SISTEMA CARDIOVASCULAR.- Congestión, éxtasis del corazón derecho.</w:t>
      </w:r>
    </w:p>
    <w:p>
      <w:pPr>
        <w:pStyle w:val="BodyText"/>
        <w:spacing w:line="274" w:lineRule="exact" w:before="6"/>
        <w:ind w:left="102" w:right="940"/>
      </w:pPr>
      <w:r>
        <w:rPr/>
        <w:t>4.- SISTEMA DIGESTIVO.- Congestión y punteado petequial. Éxtasis venosa en estómago, Hígado y bazo hiperemicos.</w:t>
      </w:r>
    </w:p>
    <w:p>
      <w:pPr>
        <w:pStyle w:val="BodyText"/>
        <w:spacing w:line="272" w:lineRule="exact"/>
        <w:ind w:left="102"/>
        <w:jc w:val="both"/>
      </w:pPr>
      <w:r>
        <w:rPr/>
        <w:t>5.- SISTEMA URINARIO.- Riñones congestivos.</w:t>
      </w:r>
    </w:p>
    <w:p>
      <w:pPr>
        <w:pStyle w:val="BodyText"/>
        <w:ind w:left="102" w:right="962"/>
        <w:jc w:val="both"/>
      </w:pPr>
      <w:r>
        <w:rPr/>
        <w:t>6.- SANGRE.- Oscura, fluida y sin coágulos por la alta concentración de hemoglobina, por falta de oxígeno. Las equimosis en las superficies del pulmón y corazón se denominan MANCHAS O EQUIMOSIS DE TARDIEU quien las descubrió en 1855. (4)Con las siguientes características:</w:t>
      </w:r>
    </w:p>
    <w:p>
      <w:pPr>
        <w:pStyle w:val="ListParagraph"/>
        <w:numPr>
          <w:ilvl w:val="0"/>
          <w:numId w:val="20"/>
        </w:numPr>
        <w:tabs>
          <w:tab w:pos="302" w:val="left" w:leader="none"/>
        </w:tabs>
        <w:spacing w:line="240" w:lineRule="auto" w:before="2" w:after="0"/>
        <w:ind w:left="102" w:right="0" w:firstLine="0"/>
        <w:jc w:val="both"/>
        <w:rPr>
          <w:sz w:val="24"/>
        </w:rPr>
      </w:pPr>
      <w:r>
        <w:rPr>
          <w:sz w:val="24"/>
        </w:rPr>
        <w:t>Típicas de localización</w:t>
      </w:r>
      <w:r>
        <w:rPr>
          <w:spacing w:val="-6"/>
          <w:sz w:val="24"/>
        </w:rPr>
        <w:t> </w:t>
      </w:r>
      <w:r>
        <w:rPr>
          <w:sz w:val="24"/>
        </w:rPr>
        <w:t>sub-pleural.</w:t>
      </w:r>
    </w:p>
    <w:p>
      <w:pPr>
        <w:pStyle w:val="ListParagraph"/>
        <w:numPr>
          <w:ilvl w:val="0"/>
          <w:numId w:val="20"/>
        </w:numPr>
        <w:tabs>
          <w:tab w:pos="303" w:val="left" w:leader="none"/>
        </w:tabs>
        <w:spacing w:line="240" w:lineRule="auto" w:before="43" w:after="0"/>
        <w:ind w:left="302" w:right="0" w:hanging="200"/>
        <w:jc w:val="both"/>
        <w:rPr>
          <w:sz w:val="24"/>
        </w:rPr>
      </w:pPr>
      <w:r>
        <w:rPr>
          <w:sz w:val="24"/>
        </w:rPr>
        <w:t>De forma redondeada y pequeño</w:t>
      </w:r>
      <w:r>
        <w:rPr>
          <w:spacing w:val="-17"/>
          <w:sz w:val="24"/>
        </w:rPr>
        <w:t> </w:t>
      </w:r>
      <w:r>
        <w:rPr>
          <w:sz w:val="24"/>
        </w:rPr>
        <w:t>tamaño.</w:t>
      </w:r>
    </w:p>
    <w:p>
      <w:pPr>
        <w:pStyle w:val="ListParagraph"/>
        <w:numPr>
          <w:ilvl w:val="0"/>
          <w:numId w:val="20"/>
        </w:numPr>
        <w:tabs>
          <w:tab w:pos="303" w:val="left" w:leader="none"/>
        </w:tabs>
        <w:spacing w:line="276" w:lineRule="auto" w:before="41" w:after="0"/>
        <w:ind w:left="102" w:right="2251" w:firstLine="0"/>
        <w:jc w:val="left"/>
        <w:rPr>
          <w:sz w:val="24"/>
        </w:rPr>
      </w:pPr>
      <w:r>
        <w:rPr>
          <w:sz w:val="24"/>
        </w:rPr>
        <w:t>Formadas por sangre coagulada (ya que está vivo cuando se</w:t>
      </w:r>
      <w:r>
        <w:rPr>
          <w:spacing w:val="-29"/>
          <w:sz w:val="24"/>
        </w:rPr>
        <w:t> </w:t>
      </w:r>
      <w:r>
        <w:rPr>
          <w:sz w:val="24"/>
        </w:rPr>
        <w:t>asfixia) o Resistentes a la</w:t>
      </w:r>
      <w:r>
        <w:rPr>
          <w:spacing w:val="-11"/>
          <w:sz w:val="24"/>
        </w:rPr>
        <w:t> </w:t>
      </w:r>
      <w:r>
        <w:rPr>
          <w:sz w:val="24"/>
        </w:rPr>
        <w:t>putrefacción</w:t>
      </w:r>
    </w:p>
    <w:p>
      <w:pPr>
        <w:pStyle w:val="ListParagraph"/>
        <w:numPr>
          <w:ilvl w:val="0"/>
          <w:numId w:val="20"/>
        </w:numPr>
        <w:tabs>
          <w:tab w:pos="303" w:val="left" w:leader="none"/>
        </w:tabs>
        <w:spacing w:line="240" w:lineRule="auto" w:before="0" w:after="0"/>
        <w:ind w:left="302" w:right="0" w:hanging="200"/>
        <w:jc w:val="both"/>
        <w:rPr>
          <w:sz w:val="24"/>
        </w:rPr>
      </w:pPr>
      <w:r>
        <w:rPr>
          <w:sz w:val="24"/>
        </w:rPr>
        <w:t>Pero no exclusivas de este cuadro de asfixia</w:t>
      </w:r>
      <w:r>
        <w:rPr>
          <w:spacing w:val="-21"/>
          <w:sz w:val="24"/>
        </w:rPr>
        <w:t> </w:t>
      </w:r>
      <w:r>
        <w:rPr>
          <w:sz w:val="24"/>
        </w:rPr>
        <w:t>mecánica.</w:t>
      </w:r>
    </w:p>
    <w:p>
      <w:pPr>
        <w:pStyle w:val="BodyText"/>
        <w:spacing w:before="6"/>
        <w:rPr>
          <w:sz w:val="27"/>
        </w:rPr>
      </w:pPr>
    </w:p>
    <w:p>
      <w:pPr>
        <w:pStyle w:val="BodyText"/>
        <w:tabs>
          <w:tab w:pos="8742" w:val="left" w:leader="none"/>
        </w:tabs>
        <w:spacing w:before="1"/>
        <w:ind w:left="102" w:right="969"/>
      </w:pPr>
      <w:r>
        <w:rPr/>
        <w:t>Los  hallazgos  son  rápidamente  oscurecidos  por  la  putrefacción  y</w:t>
      </w:r>
      <w:r>
        <w:rPr>
          <w:spacing w:val="15"/>
        </w:rPr>
        <w:t> </w:t>
      </w:r>
      <w:r>
        <w:rPr/>
        <w:t>por</w:t>
      </w:r>
      <w:r>
        <w:rPr>
          <w:spacing w:val="60"/>
        </w:rPr>
        <w:t> </w:t>
      </w:r>
      <w:r>
        <w:rPr/>
        <w:t>ello</w:t>
        <w:tab/>
        <w:t>la necropsia nunca debe ser</w:t>
      </w:r>
      <w:r>
        <w:rPr>
          <w:spacing w:val="-14"/>
        </w:rPr>
        <w:t> </w:t>
      </w:r>
      <w:r>
        <w:rPr/>
        <w:t>pospuesta.</w:t>
      </w:r>
    </w:p>
    <w:p>
      <w:pPr>
        <w:pStyle w:val="BodyText"/>
        <w:ind w:left="102"/>
        <w:jc w:val="both"/>
      </w:pPr>
      <w:r>
        <w:rPr/>
        <w:t>TIEMPO DE SOBREVIDA:</w:t>
      </w:r>
    </w:p>
    <w:p>
      <w:pPr>
        <w:pStyle w:val="BodyText"/>
        <w:tabs>
          <w:tab w:pos="2037" w:val="left" w:leader="none"/>
          <w:tab w:pos="2815" w:val="left" w:leader="none"/>
          <w:tab w:pos="3847" w:val="right" w:leader="none"/>
        </w:tabs>
        <w:ind w:left="370" w:right="5670" w:hanging="269"/>
      </w:pPr>
      <w:r>
        <w:rPr/>
        <w:t>T.de Sobrevida</w:t>
      </w:r>
      <w:r>
        <w:rPr>
          <w:spacing w:val="63"/>
        </w:rPr>
        <w:t> </w:t>
      </w:r>
      <w:r>
        <w:rPr/>
        <w:t>=</w:t>
      </w:r>
      <w:r>
        <w:rPr>
          <w:spacing w:val="-3"/>
        </w:rPr>
        <w:t> </w:t>
      </w:r>
      <w:r>
        <w:rPr/>
        <w:t>Peso</w:t>
        <w:tab/>
        <w:t>x </w:t>
      </w:r>
      <w:r>
        <w:rPr>
          <w:spacing w:val="60"/>
        </w:rPr>
        <w:t> </w:t>
      </w:r>
      <w:r>
        <w:rPr/>
        <w:t>Constante</w:t>
      </w:r>
      <w:r>
        <w:rPr>
          <w:w w:val="99"/>
        </w:rPr>
        <w:t> </w:t>
      </w:r>
      <w:r>
        <w:rPr/>
        <w:t>(Minutos)</w:t>
        <w:tab/>
        <w:t>(</w:t>
      </w:r>
      <w:r>
        <w:rPr>
          <w:spacing w:val="66"/>
        </w:rPr>
        <w:t> </w:t>
      </w:r>
      <w:r>
        <w:rPr/>
        <w:t>kg</w:t>
      </w:r>
      <w:r>
        <w:rPr>
          <w:spacing w:val="-4"/>
        </w:rPr>
        <w:t> </w:t>
      </w:r>
      <w:r>
        <w:rPr/>
        <w:t>)</w:t>
        <w:tab/>
        <w:t>0.08</w:t>
      </w:r>
    </w:p>
    <w:p>
      <w:pPr>
        <w:pStyle w:val="BodyText"/>
        <w:tabs>
          <w:tab w:pos="4948" w:val="left" w:leader="none"/>
        </w:tabs>
        <w:ind w:left="102" w:right="966"/>
      </w:pPr>
      <w:r>
        <w:rPr/>
        <w:t>La  muerte puede  ser  muy rápida</w:t>
      </w:r>
      <w:r>
        <w:rPr>
          <w:spacing w:val="7"/>
        </w:rPr>
        <w:t> </w:t>
      </w:r>
      <w:r>
        <w:rPr/>
        <w:t>por</w:t>
      </w:r>
      <w:r>
        <w:rPr>
          <w:spacing w:val="32"/>
        </w:rPr>
        <w:t> </w:t>
      </w:r>
      <w:r>
        <w:rPr/>
        <w:t>falla</w:t>
        <w:tab/>
        <w:t>circulatoria  o  nerviosa puede</w:t>
      </w:r>
      <w:r>
        <w:rPr>
          <w:spacing w:val="1"/>
        </w:rPr>
        <w:t> </w:t>
      </w:r>
      <w:r>
        <w:rPr/>
        <w:t>no</w:t>
      </w:r>
      <w:r>
        <w:rPr>
          <w:spacing w:val="34"/>
        </w:rPr>
        <w:t> </w:t>
      </w:r>
      <w:r>
        <w:rPr/>
        <w:t>ser</w:t>
      </w:r>
      <w:r>
        <w:rPr>
          <w:w w:val="99"/>
        </w:rPr>
        <w:t> </w:t>
      </w:r>
      <w:r>
        <w:rPr/>
        <w:t>inmediata por el aire residual variable en cada sujeto   y por no ser completo      </w:t>
      </w:r>
      <w:r>
        <w:rPr>
          <w:spacing w:val="19"/>
        </w:rPr>
        <w:t> </w:t>
      </w:r>
      <w:r>
        <w:rPr/>
        <w:t>el</w:t>
      </w:r>
    </w:p>
    <w:p>
      <w:pPr>
        <w:spacing w:after="0"/>
        <w:sectPr>
          <w:footerReference w:type="default" r:id="rId8"/>
          <w:pgSz w:w="12240" w:h="15840"/>
          <w:pgMar w:footer="1174" w:header="0" w:top="1360" w:bottom="1360" w:left="1600" w:right="740"/>
          <w:pgNumType w:start="11"/>
        </w:sectPr>
      </w:pPr>
    </w:p>
    <w:p>
      <w:pPr>
        <w:pStyle w:val="BodyText"/>
        <w:spacing w:before="51"/>
        <w:ind w:left="102" w:right="959"/>
      </w:pPr>
      <w:r>
        <w:rPr/>
        <w:t>mecanismo de obstáculo. En la sumersión y el ahorcamiento puede no pasar de 2 a  3</w:t>
      </w:r>
      <w:r>
        <w:rPr>
          <w:spacing w:val="62"/>
        </w:rPr>
        <w:t> </w:t>
      </w:r>
      <w:r>
        <w:rPr/>
        <w:t>minutos.</w:t>
      </w:r>
    </w:p>
    <w:p>
      <w:pPr>
        <w:pStyle w:val="BodyText"/>
      </w:pPr>
    </w:p>
    <w:p>
      <w:pPr>
        <w:pStyle w:val="Heading2"/>
        <w:numPr>
          <w:ilvl w:val="1"/>
          <w:numId w:val="13"/>
        </w:numPr>
        <w:tabs>
          <w:tab w:pos="640" w:val="left" w:leader="none"/>
        </w:tabs>
        <w:spacing w:line="240" w:lineRule="auto" w:before="204" w:after="0"/>
        <w:ind w:left="639" w:right="0" w:hanging="537"/>
        <w:jc w:val="both"/>
      </w:pPr>
      <w:r>
        <w:rPr/>
        <w:t>ASFIXIA POR</w:t>
      </w:r>
      <w:r>
        <w:rPr>
          <w:spacing w:val="-15"/>
        </w:rPr>
        <w:t> </w:t>
      </w:r>
      <w:r>
        <w:rPr/>
        <w:t>SOFOCACION</w:t>
      </w:r>
    </w:p>
    <w:p>
      <w:pPr>
        <w:pStyle w:val="BodyText"/>
        <w:spacing w:before="197"/>
        <w:ind w:left="102" w:right="954"/>
        <w:jc w:val="both"/>
      </w:pPr>
      <w:r>
        <w:rPr/>
        <w:t>1.- Concepto: Es una asfixia mecánica producida por la obstrucción de las vías aéreas externas o internas con el consiguiente impedimento de que el aire útil entre a los pulmones.</w:t>
      </w:r>
    </w:p>
    <w:p>
      <w:pPr>
        <w:pStyle w:val="BodyText"/>
        <w:spacing w:before="197"/>
        <w:ind w:left="102"/>
        <w:jc w:val="both"/>
      </w:pPr>
      <w:r>
        <w:rPr/>
        <w:t>Existen dos formas de sofocación:</w:t>
      </w:r>
    </w:p>
    <w:p>
      <w:pPr>
        <w:pStyle w:val="ListParagraph"/>
        <w:numPr>
          <w:ilvl w:val="0"/>
          <w:numId w:val="14"/>
        </w:numPr>
        <w:tabs>
          <w:tab w:pos="316" w:val="left" w:leader="none"/>
        </w:tabs>
        <w:spacing w:line="240" w:lineRule="auto" w:before="0" w:after="0"/>
        <w:ind w:left="315" w:right="0" w:hanging="213"/>
        <w:jc w:val="both"/>
        <w:rPr>
          <w:sz w:val="24"/>
        </w:rPr>
      </w:pPr>
      <w:r>
        <w:rPr>
          <w:sz w:val="24"/>
        </w:rPr>
        <w:t>Sofocación</w:t>
      </w:r>
      <w:r>
        <w:rPr>
          <w:spacing w:val="-6"/>
          <w:sz w:val="24"/>
        </w:rPr>
        <w:t> </w:t>
      </w:r>
      <w:r>
        <w:rPr>
          <w:sz w:val="24"/>
        </w:rPr>
        <w:t>externa.</w:t>
      </w:r>
    </w:p>
    <w:p>
      <w:pPr>
        <w:pStyle w:val="ListParagraph"/>
        <w:numPr>
          <w:ilvl w:val="0"/>
          <w:numId w:val="14"/>
        </w:numPr>
        <w:tabs>
          <w:tab w:pos="316" w:val="left" w:leader="none"/>
        </w:tabs>
        <w:spacing w:line="240" w:lineRule="auto" w:before="0" w:after="0"/>
        <w:ind w:left="315" w:right="0" w:hanging="213"/>
        <w:jc w:val="both"/>
        <w:rPr>
          <w:sz w:val="24"/>
        </w:rPr>
      </w:pPr>
      <w:r>
        <w:rPr>
          <w:sz w:val="24"/>
        </w:rPr>
        <w:t>Sofocación</w:t>
      </w:r>
      <w:r>
        <w:rPr>
          <w:spacing w:val="-7"/>
          <w:sz w:val="24"/>
        </w:rPr>
        <w:t> </w:t>
      </w:r>
      <w:r>
        <w:rPr>
          <w:sz w:val="24"/>
        </w:rPr>
        <w:t>Interna.</w:t>
      </w:r>
    </w:p>
    <w:p>
      <w:pPr>
        <w:pStyle w:val="BodyText"/>
      </w:pPr>
    </w:p>
    <w:p>
      <w:pPr>
        <w:pStyle w:val="BodyText"/>
        <w:spacing w:before="202"/>
        <w:ind w:left="102" w:right="5817"/>
      </w:pPr>
      <w:r>
        <w:rPr/>
        <w:t>2.- ETIOLOGÍA MEDICO FORENSE: A.- SOFOCACIÓN</w:t>
      </w:r>
      <w:r>
        <w:rPr>
          <w:spacing w:val="60"/>
        </w:rPr>
        <w:t> </w:t>
      </w:r>
      <w:r>
        <w:rPr/>
        <w:t>EXTERNA:</w:t>
      </w:r>
    </w:p>
    <w:p>
      <w:pPr>
        <w:pStyle w:val="BodyText"/>
        <w:ind w:left="102"/>
        <w:jc w:val="both"/>
      </w:pPr>
      <w:r>
        <w:rPr/>
        <w:t>Pueden ser: ACCIDENTALES</w:t>
      </w:r>
    </w:p>
    <w:p>
      <w:pPr>
        <w:pStyle w:val="BodyText"/>
        <w:ind w:left="1770" w:right="5670" w:firstLine="2"/>
      </w:pPr>
      <w:r>
        <w:rPr/>
        <w:t>HOMICIDAS SUICIDAS</w:t>
      </w:r>
    </w:p>
    <w:p>
      <w:pPr>
        <w:pStyle w:val="Heading3"/>
        <w:rPr>
          <w:i/>
        </w:rPr>
      </w:pPr>
      <w:r>
        <w:rPr>
          <w:i/>
        </w:rPr>
        <w:t>ACCIDENTALES:</w:t>
      </w:r>
    </w:p>
    <w:p>
      <w:pPr>
        <w:pStyle w:val="ListParagraph"/>
        <w:numPr>
          <w:ilvl w:val="0"/>
          <w:numId w:val="21"/>
        </w:numPr>
        <w:tabs>
          <w:tab w:pos="810" w:val="left" w:leader="none"/>
        </w:tabs>
        <w:spacing w:line="240" w:lineRule="auto" w:before="0" w:after="0"/>
        <w:ind w:left="102" w:right="0" w:firstLine="67"/>
        <w:jc w:val="both"/>
        <w:rPr>
          <w:sz w:val="24"/>
        </w:rPr>
      </w:pPr>
      <w:r>
        <w:rPr>
          <w:sz w:val="24"/>
        </w:rPr>
        <w:t>Frecuente en niños, por descuido de la madre o la</w:t>
      </w:r>
      <w:r>
        <w:rPr>
          <w:spacing w:val="50"/>
          <w:sz w:val="24"/>
        </w:rPr>
        <w:t> </w:t>
      </w:r>
      <w:r>
        <w:rPr>
          <w:sz w:val="24"/>
        </w:rPr>
        <w:t>enfermera.</w:t>
      </w:r>
    </w:p>
    <w:p>
      <w:pPr>
        <w:pStyle w:val="ListParagraph"/>
        <w:numPr>
          <w:ilvl w:val="0"/>
          <w:numId w:val="21"/>
        </w:numPr>
        <w:tabs>
          <w:tab w:pos="810" w:val="left" w:leader="none"/>
        </w:tabs>
        <w:spacing w:line="240" w:lineRule="auto" w:before="0" w:after="0"/>
        <w:ind w:left="810" w:right="0" w:hanging="641"/>
        <w:jc w:val="both"/>
        <w:rPr>
          <w:sz w:val="24"/>
        </w:rPr>
      </w:pPr>
      <w:r>
        <w:rPr>
          <w:sz w:val="24"/>
        </w:rPr>
        <w:t>En depresiones del sistema nervioso central, alcohólicos o</w:t>
      </w:r>
      <w:r>
        <w:rPr>
          <w:spacing w:val="-25"/>
          <w:sz w:val="24"/>
        </w:rPr>
        <w:t> </w:t>
      </w:r>
      <w:r>
        <w:rPr>
          <w:sz w:val="24"/>
        </w:rPr>
        <w:t>drogadictos.</w:t>
      </w:r>
    </w:p>
    <w:p>
      <w:pPr>
        <w:pStyle w:val="Heading3"/>
        <w:rPr>
          <w:b w:val="0"/>
          <w:i w:val="0"/>
        </w:rPr>
      </w:pPr>
      <w:r>
        <w:rPr>
          <w:i/>
        </w:rPr>
        <w:t>HOMICIDAS</w:t>
      </w:r>
      <w:r>
        <w:rPr>
          <w:b w:val="0"/>
          <w:i w:val="0"/>
        </w:rPr>
        <w:t>:</w:t>
      </w:r>
    </w:p>
    <w:p>
      <w:pPr>
        <w:pStyle w:val="ListParagraph"/>
        <w:numPr>
          <w:ilvl w:val="0"/>
          <w:numId w:val="21"/>
        </w:numPr>
        <w:tabs>
          <w:tab w:pos="809" w:val="left" w:leader="none"/>
          <w:tab w:pos="810" w:val="left" w:leader="none"/>
          <w:tab w:pos="4398" w:val="left" w:leader="none"/>
          <w:tab w:pos="5705" w:val="left" w:leader="none"/>
          <w:tab w:pos="6810" w:val="left" w:leader="none"/>
          <w:tab w:pos="8667" w:val="left" w:leader="none"/>
        </w:tabs>
        <w:spacing w:line="240" w:lineRule="auto" w:before="0" w:after="0"/>
        <w:ind w:left="102" w:right="965" w:firstLine="67"/>
        <w:jc w:val="left"/>
        <w:rPr>
          <w:sz w:val="24"/>
        </w:rPr>
      </w:pPr>
      <w:r>
        <w:rPr>
          <w:sz w:val="24"/>
        </w:rPr>
        <w:t>En   forma </w:t>
      </w:r>
      <w:r>
        <w:rPr>
          <w:spacing w:val="60"/>
          <w:sz w:val="24"/>
        </w:rPr>
        <w:t> </w:t>
      </w:r>
      <w:r>
        <w:rPr>
          <w:sz w:val="24"/>
        </w:rPr>
        <w:t>manual </w:t>
      </w:r>
      <w:r>
        <w:rPr>
          <w:spacing w:val="63"/>
          <w:sz w:val="24"/>
        </w:rPr>
        <w:t> </w:t>
      </w:r>
      <w:r>
        <w:rPr>
          <w:sz w:val="24"/>
        </w:rPr>
        <w:t>ocluyendo</w:t>
        <w:tab/>
        <w:t>la </w:t>
      </w:r>
      <w:r>
        <w:rPr>
          <w:spacing w:val="63"/>
          <w:sz w:val="24"/>
        </w:rPr>
        <w:t> </w:t>
      </w:r>
      <w:r>
        <w:rPr>
          <w:sz w:val="24"/>
        </w:rPr>
        <w:t>boca</w:t>
        <w:tab/>
        <w:t>y </w:t>
      </w:r>
      <w:r>
        <w:rPr>
          <w:spacing w:val="61"/>
          <w:sz w:val="24"/>
        </w:rPr>
        <w:t> </w:t>
      </w:r>
      <w:r>
        <w:rPr>
          <w:sz w:val="24"/>
        </w:rPr>
        <w:t>nariz,</w:t>
        <w:tab/>
        <w:t>particularmente</w:t>
        <w:tab/>
        <w:t>en</w:t>
      </w:r>
      <w:r>
        <w:rPr>
          <w:w w:val="99"/>
          <w:sz w:val="24"/>
        </w:rPr>
        <w:t> </w:t>
      </w:r>
      <w:r>
        <w:rPr>
          <w:sz w:val="24"/>
        </w:rPr>
        <w:t>infanticidios.</w:t>
      </w:r>
    </w:p>
    <w:p>
      <w:pPr>
        <w:pStyle w:val="ListParagraph"/>
        <w:numPr>
          <w:ilvl w:val="0"/>
          <w:numId w:val="21"/>
        </w:numPr>
        <w:tabs>
          <w:tab w:pos="810" w:val="left" w:leader="none"/>
        </w:tabs>
        <w:spacing w:line="240" w:lineRule="auto" w:before="0" w:after="0"/>
        <w:ind w:left="810" w:right="0" w:hanging="641"/>
        <w:jc w:val="both"/>
        <w:rPr>
          <w:sz w:val="24"/>
        </w:rPr>
      </w:pPr>
      <w:r>
        <w:rPr>
          <w:sz w:val="24"/>
        </w:rPr>
        <w:t>Otras formas como el uso de toallas, almohadas, mordazas entre</w:t>
      </w:r>
      <w:r>
        <w:rPr>
          <w:spacing w:val="-28"/>
          <w:sz w:val="24"/>
        </w:rPr>
        <w:t> </w:t>
      </w:r>
      <w:r>
        <w:rPr>
          <w:sz w:val="24"/>
        </w:rPr>
        <w:t>otros.</w:t>
      </w:r>
    </w:p>
    <w:p>
      <w:pPr>
        <w:pStyle w:val="ListParagraph"/>
        <w:numPr>
          <w:ilvl w:val="0"/>
          <w:numId w:val="21"/>
        </w:numPr>
        <w:tabs>
          <w:tab w:pos="809" w:val="left" w:leader="none"/>
          <w:tab w:pos="810" w:val="left" w:leader="none"/>
        </w:tabs>
        <w:spacing w:line="240" w:lineRule="auto" w:before="0" w:after="0"/>
        <w:ind w:left="102" w:right="963" w:firstLine="134"/>
        <w:jc w:val="left"/>
        <w:rPr>
          <w:sz w:val="24"/>
        </w:rPr>
      </w:pPr>
      <w:r>
        <w:rPr>
          <w:sz w:val="24"/>
        </w:rPr>
        <w:t>Cuando se utiliza métodos homicidas, predomina la violencia del ejecutor sobre  la víctima  y son cometidos por la ira o la</w:t>
      </w:r>
      <w:r>
        <w:rPr>
          <w:spacing w:val="-15"/>
          <w:sz w:val="24"/>
        </w:rPr>
        <w:t> </w:t>
      </w:r>
      <w:r>
        <w:rPr>
          <w:sz w:val="24"/>
        </w:rPr>
        <w:t>pasión.</w:t>
      </w:r>
    </w:p>
    <w:p>
      <w:pPr>
        <w:pStyle w:val="Heading3"/>
        <w:spacing w:line="275" w:lineRule="exact"/>
        <w:rPr>
          <w:b w:val="0"/>
          <w:i w:val="0"/>
        </w:rPr>
      </w:pPr>
      <w:r>
        <w:rPr>
          <w:i/>
        </w:rPr>
        <w:t>SUICIDAS</w:t>
      </w:r>
      <w:r>
        <w:rPr>
          <w:b w:val="0"/>
          <w:i w:val="0"/>
        </w:rPr>
        <w:t>:</w:t>
      </w:r>
    </w:p>
    <w:p>
      <w:pPr>
        <w:pStyle w:val="ListParagraph"/>
        <w:numPr>
          <w:ilvl w:val="0"/>
          <w:numId w:val="21"/>
        </w:numPr>
        <w:tabs>
          <w:tab w:pos="810" w:val="left" w:leader="none"/>
        </w:tabs>
        <w:spacing w:line="274" w:lineRule="exact" w:before="0" w:after="0"/>
        <w:ind w:left="810" w:right="0" w:hanging="641"/>
        <w:jc w:val="both"/>
        <w:rPr>
          <w:sz w:val="24"/>
        </w:rPr>
      </w:pPr>
      <w:r>
        <w:rPr>
          <w:sz w:val="24"/>
        </w:rPr>
        <w:t>Son bastante raras  pero pueden</w:t>
      </w:r>
      <w:r>
        <w:rPr>
          <w:spacing w:val="-21"/>
          <w:sz w:val="24"/>
        </w:rPr>
        <w:t> </w:t>
      </w:r>
      <w:r>
        <w:rPr>
          <w:sz w:val="24"/>
        </w:rPr>
        <w:t>presentarse.</w:t>
      </w:r>
    </w:p>
    <w:p>
      <w:pPr>
        <w:pStyle w:val="ListParagraph"/>
        <w:numPr>
          <w:ilvl w:val="0"/>
          <w:numId w:val="22"/>
        </w:numPr>
        <w:tabs>
          <w:tab w:pos="263" w:val="left" w:leader="none"/>
        </w:tabs>
        <w:spacing w:line="275" w:lineRule="exact" w:before="0" w:after="0"/>
        <w:ind w:left="262" w:right="0" w:hanging="160"/>
        <w:jc w:val="both"/>
        <w:rPr>
          <w:i/>
          <w:sz w:val="24"/>
        </w:rPr>
      </w:pPr>
      <w:r>
        <w:rPr>
          <w:i/>
          <w:sz w:val="24"/>
        </w:rPr>
        <w:t>SOFOCACIÓN</w:t>
      </w:r>
      <w:r>
        <w:rPr>
          <w:i/>
          <w:spacing w:val="-3"/>
          <w:sz w:val="24"/>
        </w:rPr>
        <w:t> </w:t>
      </w:r>
      <w:r>
        <w:rPr>
          <w:i/>
          <w:sz w:val="24"/>
        </w:rPr>
        <w:t>INTERNA.</w:t>
      </w:r>
    </w:p>
    <w:p>
      <w:pPr>
        <w:pStyle w:val="BodyText"/>
        <w:spacing w:before="2"/>
        <w:ind w:left="102" w:right="940"/>
      </w:pPr>
      <w:r>
        <w:rPr/>
        <w:t>La mayor parte son accidentales por atragantamientos. Existen casos suicidas y homicidas, por lo general en infantes.</w:t>
      </w:r>
    </w:p>
    <w:p>
      <w:pPr>
        <w:pStyle w:val="ListParagraph"/>
        <w:numPr>
          <w:ilvl w:val="0"/>
          <w:numId w:val="22"/>
        </w:numPr>
        <w:tabs>
          <w:tab w:pos="263" w:val="left" w:leader="none"/>
        </w:tabs>
        <w:spacing w:line="274" w:lineRule="exact" w:before="0" w:after="0"/>
        <w:ind w:left="262" w:right="0" w:hanging="160"/>
        <w:jc w:val="both"/>
        <w:rPr>
          <w:i/>
          <w:sz w:val="24"/>
        </w:rPr>
      </w:pPr>
      <w:r>
        <w:rPr>
          <w:i/>
          <w:sz w:val="24"/>
        </w:rPr>
        <w:t>ASFIXIA</w:t>
      </w:r>
      <w:r>
        <w:rPr>
          <w:i/>
          <w:spacing w:val="-5"/>
          <w:sz w:val="24"/>
        </w:rPr>
        <w:t> </w:t>
      </w:r>
      <w:r>
        <w:rPr>
          <w:i/>
          <w:sz w:val="24"/>
        </w:rPr>
        <w:t>TRAUMÁTICA.</w:t>
      </w:r>
    </w:p>
    <w:p>
      <w:pPr>
        <w:pStyle w:val="BodyText"/>
        <w:spacing w:before="2"/>
        <w:ind w:left="102" w:right="965"/>
        <w:jc w:val="both"/>
      </w:pPr>
      <w:r>
        <w:rPr/>
        <w:t>1.- Concepto: Es una asfixia mecánica provocada por la compresión toraco abdominal sostenida, impidiéndose el ingreso de aire por un cese de los movimientos respiratorios. No se requiere de fracturas torácicas.</w:t>
      </w:r>
    </w:p>
    <w:p>
      <w:pPr>
        <w:pStyle w:val="BodyText"/>
      </w:pPr>
    </w:p>
    <w:p>
      <w:pPr>
        <w:pStyle w:val="BodyText"/>
        <w:spacing w:before="10"/>
        <w:rPr>
          <w:sz w:val="34"/>
        </w:rPr>
      </w:pPr>
    </w:p>
    <w:p>
      <w:pPr>
        <w:pStyle w:val="Heading3"/>
        <w:rPr>
          <w:i/>
        </w:rPr>
      </w:pPr>
      <w:r>
        <w:rPr>
          <w:i/>
        </w:rPr>
        <w:t>Etiología  Médico Forense</w:t>
      </w:r>
    </w:p>
    <w:p>
      <w:pPr>
        <w:pStyle w:val="BodyText"/>
        <w:tabs>
          <w:tab w:pos="7258" w:val="left" w:leader="none"/>
        </w:tabs>
        <w:spacing w:line="242" w:lineRule="auto" w:before="197"/>
        <w:ind w:left="102" w:right="965"/>
      </w:pPr>
      <w:r>
        <w:rPr/>
        <w:t>La  etiología  más  frecuente  es  la  accidental:</w:t>
      </w:r>
      <w:r>
        <w:rPr>
          <w:spacing w:val="-18"/>
        </w:rPr>
        <w:t> </w:t>
      </w:r>
      <w:r>
        <w:rPr/>
        <w:t>Niños</w:t>
      </w:r>
      <w:r>
        <w:rPr>
          <w:spacing w:val="56"/>
        </w:rPr>
        <w:t> </w:t>
      </w:r>
      <w:r>
        <w:rPr/>
        <w:t>impedidos</w:t>
        <w:tab/>
        <w:t>de</w:t>
      </w:r>
      <w:r>
        <w:rPr>
          <w:spacing w:val="54"/>
        </w:rPr>
        <w:t> </w:t>
      </w:r>
      <w:r>
        <w:rPr/>
        <w:t>respirar</w:t>
      </w:r>
      <w:r>
        <w:rPr>
          <w:spacing w:val="53"/>
        </w:rPr>
        <w:t> </w:t>
      </w:r>
      <w:r>
        <w:rPr/>
        <w:t>por</w:t>
      </w:r>
      <w:r>
        <w:rPr>
          <w:w w:val="99"/>
        </w:rPr>
        <w:t> </w:t>
      </w:r>
      <w:r>
        <w:rPr/>
        <w:t>padres dormidos, multitudes apretadas, derrumbe de edificios</w:t>
      </w:r>
      <w:r>
        <w:rPr>
          <w:spacing w:val="-30"/>
        </w:rPr>
        <w:t> </w:t>
      </w:r>
      <w:r>
        <w:rPr/>
        <w:t>descarrilamientos.</w:t>
      </w:r>
    </w:p>
    <w:p>
      <w:pPr>
        <w:pStyle w:val="BodyText"/>
        <w:spacing w:line="242" w:lineRule="auto" w:before="196"/>
        <w:ind w:left="102" w:right="940"/>
      </w:pPr>
      <w:r>
        <w:rPr/>
        <w:t>En los casos homicidas, el agresor puede arrodillarse en el tórax de la víctima o prensarlo con los brazos o piernas en una pelea.</w:t>
      </w:r>
    </w:p>
    <w:p>
      <w:pPr>
        <w:spacing w:after="0" w:line="242" w:lineRule="auto"/>
        <w:sectPr>
          <w:pgSz w:w="12240" w:h="15840"/>
          <w:pgMar w:header="0" w:footer="1174" w:top="1360" w:bottom="1360" w:left="1600" w:right="740"/>
        </w:sectPr>
      </w:pPr>
    </w:p>
    <w:p>
      <w:pPr>
        <w:pStyle w:val="BodyText"/>
        <w:spacing w:before="54"/>
        <w:ind w:left="102"/>
        <w:jc w:val="both"/>
      </w:pPr>
      <w:r>
        <w:rPr/>
        <w:t>1.2 CHIMALHUACAN</w:t>
      </w:r>
    </w:p>
    <w:p>
      <w:pPr>
        <w:pStyle w:val="BodyText"/>
        <w:tabs>
          <w:tab w:pos="8418" w:val="left" w:leader="none"/>
        </w:tabs>
        <w:spacing w:before="199"/>
        <w:ind w:left="102" w:right="956"/>
        <w:jc w:val="both"/>
      </w:pPr>
      <w:r>
        <w:rPr/>
        <w:t>Chimalhuacán fue fundado en 1259. Consumada la Independencia los  legisladores mexicanos se dan a la tarea de crear instrumentos legales para organizar y estructurar el Estado mexicano. Así el Congreso expidió el 31 de enero de l824, el Acta Constitutiva de la Nación Mexicana en la que se considera al Estado   de   México   como   uno   de   los   integrantes   de   la   Nación.   Después de haber pertenecido al partido de Chalco, el 4 de enero de l827, los supremos poderes del Estado se trasladaron a la ciudad de Texcoco, por lo que resulta histórico para Chimalhuacán el haber sido colindante, por breve tiempo, cuatro meses, de la residencia de los poderes del Estado. En la ciudad de Texcoco fue dada la primera Constitución del Estado de México, el 14 de febrero de</w:t>
        <w:tab/>
        <w:t>l827.</w:t>
      </w:r>
    </w:p>
    <w:p>
      <w:pPr>
        <w:pStyle w:val="BodyText"/>
      </w:pPr>
    </w:p>
    <w:p>
      <w:pPr>
        <w:pStyle w:val="BodyText"/>
        <w:ind w:left="102" w:right="962"/>
        <w:jc w:val="both"/>
      </w:pPr>
      <w:r>
        <w:rPr/>
        <w:t>El l4 de octubre de l862, un beneficio muy directo y significativo se desprende de  la lucha liberal, El Lic. Benito Juárez declara a favor de Chimalhuacán la propiedad de los terrenos de repartimiento que poseían por adjudicación pero con restricciones.</w:t>
      </w:r>
    </w:p>
    <w:p>
      <w:pPr>
        <w:pStyle w:val="BodyText"/>
        <w:ind w:left="102" w:right="958"/>
        <w:jc w:val="both"/>
      </w:pPr>
      <w:r>
        <w:rPr/>
        <w:t>Ante la imposibilidad, hasta el momento, de conocer el decreto por el que este pueblo se erigió en municipio se ha optado por considerar el año de 1824 como el año de su fundación, debido a un mecanograma consultado en el Archivo General del Estado y que registra las fechas en que se constituyen los municipios de la entidad.</w:t>
      </w:r>
    </w:p>
    <w:p>
      <w:pPr>
        <w:pStyle w:val="BodyText"/>
        <w:tabs>
          <w:tab w:pos="1404" w:val="left" w:leader="none"/>
          <w:tab w:pos="2013" w:val="left" w:leader="none"/>
          <w:tab w:pos="2920" w:val="left" w:leader="none"/>
          <w:tab w:pos="3524" w:val="left" w:leader="none"/>
          <w:tab w:pos="4160" w:val="left" w:leader="none"/>
          <w:tab w:pos="4675" w:val="left" w:leader="none"/>
          <w:tab w:pos="6223" w:val="left" w:leader="none"/>
          <w:tab w:pos="6467" w:val="left" w:leader="none"/>
          <w:tab w:pos="7309" w:val="left" w:leader="none"/>
          <w:tab w:pos="7538" w:val="left" w:leader="none"/>
        </w:tabs>
        <w:ind w:left="102" w:right="958"/>
        <w:jc w:val="both"/>
      </w:pPr>
      <w:r>
        <w:rPr/>
        <w:t>En 1875, con territorio de este municipio se da origen a otro con los pueblos de la Magdalena</w:t>
        <w:tab/>
        <w:tab/>
        <w:t>Atlipac,</w:t>
        <w:tab/>
        <w:tab/>
        <w:t>San</w:t>
        <w:tab/>
        <w:tab/>
        <w:t>Sebastián</w:t>
        <w:tab/>
        <w:tab/>
        <w:t>y</w:t>
        <w:tab/>
        <w:t>Tecamachalco. Siendo desconocido, hasta ahora el dato exacto, con territorio chimalhuaquense se</w:t>
        <w:tab/>
        <w:t>crea</w:t>
        <w:tab/>
        <w:tab/>
        <w:t>el</w:t>
        <w:tab/>
        <w:tab/>
        <w:t>municipio</w:t>
        <w:tab/>
        <w:t>de</w:t>
        <w:tab/>
        <w:tab/>
        <w:t>Chicoloapan. Para l922, se dota al pueblo con terreno ejidal lo que favorece a la economía. De aquí y hasta l949 se aprecia un sensible auge de la agricultura. Para l952, el proceso de desecación del lago llega prácticamente a su fin. Los pozos artesianos bajan su nivel. A partir de este momento la agricultura va disminuyendo paulatinamente las actividades lacustres son abandonadas. La fuente de trabajo se centra fuera del municipio recayendo gran parte de ésta en la  ciudad  de México.    Actualmente,   la   principal   actividad    económica   es   el    </w:t>
      </w:r>
      <w:r>
        <w:rPr>
          <w:spacing w:val="47"/>
        </w:rPr>
        <w:t> </w:t>
      </w:r>
      <w:r>
        <w:rPr/>
        <w:t>comercio.</w:t>
      </w:r>
    </w:p>
    <w:p>
      <w:pPr>
        <w:pStyle w:val="BodyText"/>
      </w:pPr>
    </w:p>
    <w:p>
      <w:pPr>
        <w:pStyle w:val="BodyText"/>
        <w:ind w:left="102" w:right="957"/>
        <w:jc w:val="both"/>
      </w:pPr>
      <w:r>
        <w:rPr/>
        <w:t>En l963, con territorio de Chimalhuacán se crea el municipio de Nezahualcóyotl, conformado</w:t>
      </w:r>
      <w:r>
        <w:rPr>
          <w:spacing w:val="52"/>
        </w:rPr>
        <w:t> </w:t>
      </w:r>
      <w:r>
        <w:rPr/>
        <w:t>por</w:t>
      </w:r>
      <w:r>
        <w:rPr>
          <w:spacing w:val="50"/>
        </w:rPr>
        <w:t> </w:t>
      </w:r>
      <w:r>
        <w:rPr/>
        <w:t>lo</w:t>
      </w:r>
      <w:r>
        <w:rPr>
          <w:spacing w:val="51"/>
        </w:rPr>
        <w:t> </w:t>
      </w:r>
      <w:r>
        <w:rPr/>
        <w:t>que</w:t>
      </w:r>
      <w:r>
        <w:rPr>
          <w:spacing w:val="52"/>
        </w:rPr>
        <w:t> </w:t>
      </w:r>
      <w:r>
        <w:rPr/>
        <w:t>fueran</w:t>
      </w:r>
      <w:r>
        <w:rPr>
          <w:spacing w:val="52"/>
        </w:rPr>
        <w:t> </w:t>
      </w:r>
      <w:r>
        <w:rPr/>
        <w:t>las</w:t>
      </w:r>
      <w:r>
        <w:rPr>
          <w:spacing w:val="51"/>
        </w:rPr>
        <w:t> </w:t>
      </w:r>
      <w:r>
        <w:rPr/>
        <w:t>llamadas colonias</w:t>
      </w:r>
      <w:r>
        <w:rPr>
          <w:spacing w:val="51"/>
        </w:rPr>
        <w:t> </w:t>
      </w:r>
      <w:r>
        <w:rPr/>
        <w:t>del</w:t>
      </w:r>
      <w:r>
        <w:rPr>
          <w:spacing w:val="50"/>
        </w:rPr>
        <w:t> </w:t>
      </w:r>
      <w:r>
        <w:rPr/>
        <w:t>Ex–vaso</w:t>
      </w:r>
      <w:r>
        <w:rPr>
          <w:spacing w:val="52"/>
        </w:rPr>
        <w:t> </w:t>
      </w:r>
      <w:r>
        <w:rPr/>
        <w:t>de Texcoco.</w:t>
      </w:r>
    </w:p>
    <w:p>
      <w:pPr>
        <w:pStyle w:val="BodyText"/>
      </w:pPr>
    </w:p>
    <w:p>
      <w:pPr>
        <w:pStyle w:val="BodyText"/>
        <w:tabs>
          <w:tab w:pos="4561" w:val="left" w:leader="none"/>
          <w:tab w:pos="7821" w:val="left" w:leader="none"/>
        </w:tabs>
        <w:ind w:left="102" w:right="957"/>
        <w:jc w:val="both"/>
      </w:pPr>
      <w:r>
        <w:rPr/>
        <w:t>Localización</w:t>
        <w:tab/>
        <w:t>y</w:t>
        <w:tab/>
      </w:r>
      <w:r>
        <w:rPr>
          <w:spacing w:val="-1"/>
        </w:rPr>
        <w:t>Extensión: </w:t>
      </w:r>
      <w:r>
        <w:rPr/>
        <w:t>Chimalhuacán</w:t>
      </w:r>
      <w:r>
        <w:rPr>
          <w:spacing w:val="14"/>
        </w:rPr>
        <w:t> </w:t>
      </w:r>
      <w:r>
        <w:rPr/>
        <w:t>está</w:t>
      </w:r>
      <w:r>
        <w:rPr>
          <w:spacing w:val="14"/>
        </w:rPr>
        <w:t> </w:t>
      </w:r>
      <w:r>
        <w:rPr/>
        <w:t>situado</w:t>
      </w:r>
      <w:r>
        <w:rPr>
          <w:spacing w:val="14"/>
        </w:rPr>
        <w:t> </w:t>
      </w:r>
      <w:r>
        <w:rPr/>
        <w:t>a</w:t>
      </w:r>
      <w:r>
        <w:rPr>
          <w:spacing w:val="14"/>
        </w:rPr>
        <w:t> </w:t>
      </w:r>
      <w:r>
        <w:rPr/>
        <w:t>los</w:t>
      </w:r>
      <w:r>
        <w:rPr>
          <w:spacing w:val="14"/>
        </w:rPr>
        <w:t> </w:t>
      </w:r>
      <w:r>
        <w:rPr/>
        <w:t>98°</w:t>
      </w:r>
      <w:r>
        <w:rPr>
          <w:spacing w:val="13"/>
        </w:rPr>
        <w:t> </w:t>
      </w:r>
      <w:r>
        <w:rPr/>
        <w:t>55’</w:t>
      </w:r>
      <w:r>
        <w:rPr>
          <w:spacing w:val="13"/>
        </w:rPr>
        <w:t> </w:t>
      </w:r>
      <w:r>
        <w:rPr/>
        <w:t>18’’</w:t>
      </w:r>
      <w:r>
        <w:rPr>
          <w:spacing w:val="12"/>
        </w:rPr>
        <w:t> </w:t>
      </w:r>
      <w:r>
        <w:rPr/>
        <w:t>de</w:t>
      </w:r>
      <w:r>
        <w:rPr>
          <w:spacing w:val="14"/>
        </w:rPr>
        <w:t> </w:t>
      </w:r>
      <w:r>
        <w:rPr/>
        <w:t>longitud</w:t>
      </w:r>
      <w:r>
        <w:rPr>
          <w:spacing w:val="14"/>
        </w:rPr>
        <w:t> </w:t>
      </w:r>
      <w:r>
        <w:rPr/>
        <w:t>mínima</w:t>
      </w:r>
      <w:r>
        <w:rPr>
          <w:spacing w:val="14"/>
        </w:rPr>
        <w:t> </w:t>
      </w:r>
      <w:r>
        <w:rPr/>
        <w:t>y</w:t>
      </w:r>
      <w:r>
        <w:rPr>
          <w:spacing w:val="13"/>
        </w:rPr>
        <w:t> </w:t>
      </w:r>
      <w:r>
        <w:rPr/>
        <w:t>98°</w:t>
      </w:r>
      <w:r>
        <w:rPr>
          <w:spacing w:val="13"/>
        </w:rPr>
        <w:t> </w:t>
      </w:r>
      <w:r>
        <w:rPr/>
        <w:t>59’</w:t>
      </w:r>
      <w:r>
        <w:rPr>
          <w:spacing w:val="13"/>
        </w:rPr>
        <w:t> </w:t>
      </w:r>
      <w:r>
        <w:rPr/>
        <w:t>58’’</w:t>
      </w:r>
      <w:r>
        <w:rPr>
          <w:spacing w:val="12"/>
        </w:rPr>
        <w:t> </w:t>
      </w:r>
      <w:r>
        <w:rPr/>
        <w:t>de</w:t>
      </w:r>
    </w:p>
    <w:p>
      <w:pPr>
        <w:pStyle w:val="BodyText"/>
        <w:ind w:left="102" w:right="955"/>
        <w:jc w:val="both"/>
      </w:pPr>
      <w:r>
        <w:rPr/>
        <w:t>máxima. Su latitud se ubica a los 19° 22’ 27’’ de mínima y 19° 27’ 48’’ de máxima. Limita al norte con el municipio de Texcoco, al sur con los municipios de La Paz y Nezahualcóyotl; al oriente con los municipios de Chicoloapan e Ixtapaluca y al poniente con el de Nezahualcóyotl. Su distancia aproximada a la capital del Estado, Toluca, es de 122 kilómetros. Cuenta actualmente con 73.63 Km2 lo </w:t>
      </w:r>
      <w:r>
        <w:rPr>
          <w:spacing w:val="-2"/>
        </w:rPr>
        <w:t>que </w:t>
      </w:r>
      <w:r>
        <w:rPr/>
        <w:t>representa       el       0.2%        de        la        superficie        del        Estado.  Clima:</w:t>
      </w:r>
    </w:p>
    <w:p>
      <w:pPr>
        <w:spacing w:after="0"/>
        <w:jc w:val="both"/>
        <w:sectPr>
          <w:pgSz w:w="12240" w:h="15840"/>
          <w:pgMar w:header="0" w:footer="1174" w:top="1360" w:bottom="1360" w:left="1600" w:right="740"/>
        </w:sectPr>
      </w:pPr>
    </w:p>
    <w:p>
      <w:pPr>
        <w:pStyle w:val="BodyText"/>
        <w:tabs>
          <w:tab w:pos="8140" w:val="left" w:leader="none"/>
        </w:tabs>
        <w:spacing w:before="51"/>
        <w:ind w:left="102" w:right="956"/>
        <w:jc w:val="both"/>
      </w:pPr>
      <w:r>
        <w:rPr/>
        <w:t>Por la inexistencia de cuerpos de agua la humedad ha decrecido y la clasificación del clima se ha modificado para quedar como templado subhúmedo C(wO), en un mínimo del territorio y en semi seco templado, BSIK, en el 96.09% o sea la gran mayoría. La temperatura media anual es de 14.87°C, mientras que la máxima es de 17.70°C y la mínima de 11.10°C. La temperatura más alta ocurre en el solsticio de</w:t>
        <w:tab/>
        <w:t>verano.</w:t>
      </w:r>
    </w:p>
    <w:p>
      <w:pPr>
        <w:pStyle w:val="BodyText"/>
        <w:tabs>
          <w:tab w:pos="4362" w:val="left" w:leader="none"/>
          <w:tab w:pos="8195" w:val="left" w:leader="none"/>
          <w:tab w:pos="8339" w:val="left" w:leader="none"/>
        </w:tabs>
        <w:ind w:left="102" w:right="956"/>
        <w:jc w:val="both"/>
      </w:pPr>
      <w:r>
        <w:rPr/>
        <w:t>Flora</w:t>
        <w:tab/>
        <w:t>y</w:t>
        <w:tab/>
        <w:t>Fauna:</w:t>
      </w:r>
      <w:r>
        <w:rPr>
          <w:w w:val="100"/>
        </w:rPr>
        <w:t> </w:t>
      </w:r>
      <w:r>
        <w:rPr/>
        <w:t>La vegetación, aunque no es abundante, sí está presente con excepción de la parte del ex-lago, en donde crece sólo el pasto salado. Los árboles que abundan son el pirúl, eucalipto y sauce, sin olvidar los frutales como el higo, durazno, limón, ciruela y capulín, entre otros. En algunos barrios, como el </w:t>
      </w:r>
      <w:r>
        <w:rPr>
          <w:spacing w:val="4"/>
        </w:rPr>
        <w:t>de </w:t>
      </w:r>
      <w:r>
        <w:rPr/>
        <w:t>Xochiaca, se dan los olivos. Subsisten aún algunos árboles llamados ahuejotes. En la cabecera municipal, y en la zona arqueológica, crecen unos arbustos llamados pochotes. Las plantas de maguey y nopal se dan en la mayor parte de esta. De entre las especies que aún se conservan están los conejos silvestres, ardillas, tusas, ratas, zorrillos, camaleones, lagartijas, sencuates, sapos, chapulines, grillos, cigarras, entre</w:t>
        <w:tab/>
        <w:tab/>
        <w:tab/>
        <w:t>otros.</w:t>
      </w:r>
    </w:p>
    <w:p>
      <w:pPr>
        <w:pStyle w:val="BodyText"/>
      </w:pPr>
    </w:p>
    <w:p>
      <w:pPr>
        <w:pStyle w:val="BodyText"/>
        <w:spacing w:before="201"/>
        <w:ind w:left="102"/>
        <w:jc w:val="both"/>
      </w:pPr>
      <w:r>
        <w:rPr/>
        <w:t>PERFÍL</w:t>
      </w:r>
      <w:r>
        <w:rPr>
          <w:spacing w:val="63"/>
        </w:rPr>
        <w:t> </w:t>
      </w:r>
      <w:r>
        <w:rPr/>
        <w:t>SOCIODEMOGRÁFICO</w:t>
      </w:r>
    </w:p>
    <w:p>
      <w:pPr>
        <w:pStyle w:val="BodyText"/>
        <w:ind w:left="102" w:right="958"/>
        <w:jc w:val="both"/>
      </w:pPr>
      <w:r>
        <w:rPr/>
        <w:t>Es importante señalar que para el año 2000, de acuerdo con los resultados preliminares del Censo General de Población y Vivienda efectuado por el INEGI, para entonces existían en el municipio un total de 490,245 habitantes, de  los cuales 242,320 son hombres y 247,925 son mujeres; esto representa el 49.4% del sexo         masculino         y         el         50.6%         del         sexo           femenino.</w:t>
      </w:r>
    </w:p>
    <w:p>
      <w:pPr>
        <w:pStyle w:val="BodyText"/>
      </w:pPr>
    </w:p>
    <w:p>
      <w:pPr>
        <w:pStyle w:val="BodyText"/>
        <w:spacing w:line="275" w:lineRule="exact"/>
        <w:ind w:left="102"/>
        <w:jc w:val="both"/>
      </w:pPr>
      <w:r>
        <w:rPr/>
        <w:t>RELIGIÓN</w:t>
      </w:r>
    </w:p>
    <w:p>
      <w:pPr>
        <w:pStyle w:val="BodyText"/>
        <w:ind w:left="102" w:right="966"/>
        <w:jc w:val="both"/>
      </w:pPr>
      <w:r>
        <w:rPr/>
        <w:t>La religión predominante es la católica, con un total de 189,227 creyentes los cuales representan el 91.5% del total de la población del municipio, sin dejar de indicar que existen otras.</w:t>
      </w:r>
    </w:p>
    <w:p>
      <w:pPr>
        <w:spacing w:after="0"/>
        <w:jc w:val="both"/>
        <w:sectPr>
          <w:pgSz w:w="12240" w:h="15840"/>
          <w:pgMar w:header="0" w:footer="1174" w:top="1360" w:bottom="1360" w:left="1600" w:right="740"/>
        </w:sectPr>
      </w:pPr>
    </w:p>
    <w:p>
      <w:pPr>
        <w:pStyle w:val="Heading1"/>
        <w:numPr>
          <w:ilvl w:val="1"/>
          <w:numId w:val="1"/>
        </w:numPr>
        <w:tabs>
          <w:tab w:pos="822" w:val="left" w:leader="none"/>
        </w:tabs>
        <w:spacing w:line="240" w:lineRule="auto" w:before="52" w:after="0"/>
        <w:ind w:left="822" w:right="0" w:hanging="360"/>
        <w:jc w:val="left"/>
      </w:pPr>
      <w:r>
        <w:rPr/>
        <w:t>JUSTIFICACION</w:t>
      </w:r>
    </w:p>
    <w:p>
      <w:pPr>
        <w:pStyle w:val="BodyText"/>
        <w:rPr>
          <w:b/>
          <w:sz w:val="28"/>
        </w:rPr>
      </w:pPr>
    </w:p>
    <w:p>
      <w:pPr>
        <w:pStyle w:val="BodyText"/>
        <w:spacing w:before="10"/>
        <w:rPr>
          <w:b/>
          <w:sz w:val="38"/>
        </w:rPr>
      </w:pPr>
    </w:p>
    <w:p>
      <w:pPr>
        <w:pStyle w:val="BodyText"/>
        <w:spacing w:line="276" w:lineRule="auto"/>
        <w:ind w:left="102" w:right="955"/>
        <w:jc w:val="both"/>
      </w:pPr>
      <w:r>
        <w:rPr/>
        <w:t>En base a que no existe información sobre la frecuencia de muertes por asfixia por sofocación por obstrucción de vías respiratorias por contenido gastro-esofágico,  en el municipio de Chimalhuacán, Estado de México, ya que considero que es importante conocer la frecuencia con que se da este tipo de causa de muerte para enfocarse a la prevención, de los factores de riesgo en los grupos vulnerables a este tipo de muerte, y además representa una oportunidad para realizar investigación en este campo para obtener el grado académico de especialista en Medicina Legal, me es inquietante realizar dicha</w:t>
      </w:r>
      <w:r>
        <w:rPr>
          <w:spacing w:val="-23"/>
        </w:rPr>
        <w:t> </w:t>
      </w:r>
      <w:r>
        <w:rPr/>
        <w:t>investigación.</w:t>
      </w:r>
    </w:p>
    <w:p>
      <w:pPr>
        <w:spacing w:after="0" w:line="276" w:lineRule="auto"/>
        <w:jc w:val="both"/>
        <w:sectPr>
          <w:pgSz w:w="12240" w:h="15840"/>
          <w:pgMar w:header="0" w:footer="1174" w:top="1360" w:bottom="1360" w:left="1600" w:right="740"/>
        </w:sectPr>
      </w:pPr>
    </w:p>
    <w:p>
      <w:pPr>
        <w:pStyle w:val="BodyText"/>
        <w:rPr>
          <w:sz w:val="20"/>
        </w:rPr>
      </w:pPr>
    </w:p>
    <w:p>
      <w:pPr>
        <w:pStyle w:val="Heading1"/>
        <w:numPr>
          <w:ilvl w:val="1"/>
          <w:numId w:val="1"/>
        </w:numPr>
        <w:tabs>
          <w:tab w:pos="822" w:val="left" w:leader="none"/>
        </w:tabs>
        <w:spacing w:line="240" w:lineRule="auto" w:before="201" w:after="0"/>
        <w:ind w:left="822" w:right="0" w:hanging="360"/>
        <w:jc w:val="left"/>
      </w:pPr>
      <w:r>
        <w:rPr/>
        <w:t>PLANTEAMIENTO DEL</w:t>
      </w:r>
      <w:r>
        <w:rPr>
          <w:spacing w:val="-7"/>
        </w:rPr>
        <w:t> </w:t>
      </w:r>
      <w:r>
        <w:rPr/>
        <w:t>PROBLEMA</w:t>
      </w:r>
    </w:p>
    <w:p>
      <w:pPr>
        <w:pStyle w:val="BodyText"/>
        <w:rPr>
          <w:b/>
          <w:sz w:val="28"/>
        </w:rPr>
      </w:pPr>
    </w:p>
    <w:p>
      <w:pPr>
        <w:pStyle w:val="BodyText"/>
        <w:spacing w:before="7"/>
        <w:rPr>
          <w:b/>
          <w:sz w:val="38"/>
        </w:rPr>
      </w:pPr>
    </w:p>
    <w:p>
      <w:pPr>
        <w:pStyle w:val="BodyText"/>
        <w:spacing w:line="276" w:lineRule="auto" w:before="1"/>
        <w:ind w:left="102" w:right="954"/>
        <w:jc w:val="both"/>
      </w:pPr>
      <w:r>
        <w:rPr/>
        <w:t>De acuerdo a las estadísticas generales del país, (INEGI 2010) existe una alta frecuencia en cuanto muertes violentas, generadas por asfixias, con un mayor predominio por ahorcadura y estrangulamiento, y sin que se encuentre una categoría para conocer la frecuencia de las asfixias por sofocación  por  obstrucción de vías respiratorias por contenido gastro-esofágico; Así como tampoco encontré datos estadísticos para esta modalidad de causa </w:t>
      </w:r>
      <w:r>
        <w:rPr>
          <w:spacing w:val="3"/>
        </w:rPr>
        <w:t>de </w:t>
      </w:r>
      <w:r>
        <w:rPr/>
        <w:t>muerte, ni  a nivel municipal, a nivel estatal pude identificar de manera general la frecuencia de estas asfixias en los trabajos de tesis de Hernández y Ocampo, siendo la tercera causa más frecuente de asfixias; tomando en cuenta que durante el  tiempo que me he encontrado en capacitación y laborando en el Servicio Médico Forense del Estado de México, específicamente en Chimalhuacán, me percaté de que esta causa de muerte es frecuente, y más aún, generalmente en el grupo de los lactantes menores, debido a diversas circunstancias como descuido de la madre, infecciones respiratorias, reflujo esofágico, entre otras; así como también se escribe sobre la alta frecuencia de muertes de este tipo en adultos ya que se vincula con el alcoholismo y la incapacidad </w:t>
      </w:r>
      <w:r>
        <w:rPr>
          <w:spacing w:val="3"/>
        </w:rPr>
        <w:t>de </w:t>
      </w:r>
      <w:r>
        <w:rPr/>
        <w:t>reaccionar ante una bronco- aspiración en estado de intoxicación etílica; de acuerdo a esta observación, el investigador considera importante la realización de este estudio, para confirmar las estadísticas generales, y en específico, saber la frecuencia que se reporta en el centro de justicia de Chimalhuacán, para posteriormente hacer del conocimiento de dicha situación a las autoridades de salud, y de esta manera poder llevar a cabo en determinado momento, platicas de prevención, folletos con información, etc; acerca de cómo prevenir este tipo de incidentes, con la finalidad de disminuir de manera considerable la frecuencia de dicho mecanismo de muerte que sin  lugar a duda, son muy frecuentes en la población a</w:t>
      </w:r>
      <w:r>
        <w:rPr>
          <w:spacing w:val="-23"/>
        </w:rPr>
        <w:t> </w:t>
      </w:r>
      <w:r>
        <w:rPr/>
        <w:t>estudiar.</w:t>
      </w:r>
    </w:p>
    <w:p>
      <w:pPr>
        <w:pStyle w:val="BodyText"/>
        <w:spacing w:line="276" w:lineRule="auto" w:before="200"/>
        <w:ind w:left="102" w:right="957"/>
        <w:jc w:val="both"/>
      </w:pPr>
      <w:r>
        <w:rPr/>
        <w:t>Por esta razón se plantea la siguiente pregunta ¿Cuál es la frecuencia de muertes por asfixia mecánica, por sofocación en su modalidad de obstrucción de vías respiratorias por contenido gastro- esofágico registradas en el Centro de Justicia de Chimalhuacán, Estado de México, durante el periodo del 01 de julio 2008 al 30 de Junio 2010?</w:t>
      </w:r>
    </w:p>
    <w:p>
      <w:pPr>
        <w:spacing w:after="0" w:line="276" w:lineRule="auto"/>
        <w:jc w:val="both"/>
        <w:sectPr>
          <w:pgSz w:w="12240" w:h="15840"/>
          <w:pgMar w:header="0" w:footer="1174" w:top="1500" w:bottom="1360" w:left="1600" w:right="740"/>
        </w:sectPr>
      </w:pPr>
    </w:p>
    <w:p>
      <w:pPr>
        <w:pStyle w:val="BodyText"/>
        <w:rPr>
          <w:sz w:val="20"/>
        </w:rPr>
      </w:pPr>
    </w:p>
    <w:p>
      <w:pPr>
        <w:pStyle w:val="Heading1"/>
        <w:numPr>
          <w:ilvl w:val="1"/>
          <w:numId w:val="1"/>
        </w:numPr>
        <w:tabs>
          <w:tab w:pos="822" w:val="left" w:leader="none"/>
        </w:tabs>
        <w:spacing w:line="240" w:lineRule="auto" w:before="201" w:after="0"/>
        <w:ind w:left="822" w:right="0" w:hanging="360"/>
        <w:jc w:val="left"/>
      </w:pPr>
      <w:r>
        <w:rPr/>
        <w:t>Hipótesis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8"/>
        <w:rPr>
          <w:b/>
          <w:sz w:val="34"/>
        </w:rPr>
      </w:pPr>
    </w:p>
    <w:p>
      <w:pPr>
        <w:pStyle w:val="BodyText"/>
        <w:spacing w:line="276" w:lineRule="auto"/>
        <w:ind w:left="102" w:right="958"/>
        <w:jc w:val="both"/>
      </w:pPr>
      <w:r>
        <w:rPr/>
        <w:t>En el grupo de adulto y adulto mayor se encuentra la mayor frecuencia  de  muertes por asfixia mecánica por sofocación por ocupación de vías respiratorias por contenido</w:t>
      </w:r>
      <w:r>
        <w:rPr>
          <w:spacing w:val="-8"/>
        </w:rPr>
        <w:t> </w:t>
      </w:r>
      <w:r>
        <w:rPr/>
        <w:t>gastro-esofágico.</w:t>
      </w:r>
    </w:p>
    <w:p>
      <w:pPr>
        <w:spacing w:after="0" w:line="276" w:lineRule="auto"/>
        <w:jc w:val="both"/>
        <w:sectPr>
          <w:pgSz w:w="12240" w:h="15840"/>
          <w:pgMar w:header="0" w:footer="1174" w:top="1500" w:bottom="1360" w:left="1600" w:right="740"/>
        </w:sectPr>
      </w:pPr>
    </w:p>
    <w:p>
      <w:pPr>
        <w:pStyle w:val="BodyText"/>
        <w:rPr>
          <w:sz w:val="20"/>
        </w:rPr>
      </w:pPr>
    </w:p>
    <w:p>
      <w:pPr>
        <w:pStyle w:val="Heading1"/>
        <w:numPr>
          <w:ilvl w:val="1"/>
          <w:numId w:val="1"/>
        </w:numPr>
        <w:tabs>
          <w:tab w:pos="822" w:val="left" w:leader="none"/>
        </w:tabs>
        <w:spacing w:line="240" w:lineRule="auto" w:before="201" w:after="0"/>
        <w:ind w:left="822" w:right="0" w:hanging="360"/>
        <w:jc w:val="left"/>
      </w:pPr>
      <w:r>
        <w:rPr/>
        <w:t>OBJETIVOS</w:t>
      </w:r>
    </w:p>
    <w:p>
      <w:pPr>
        <w:pStyle w:val="BodyText"/>
        <w:rPr>
          <w:b/>
          <w:sz w:val="28"/>
        </w:rPr>
      </w:pPr>
    </w:p>
    <w:p>
      <w:pPr>
        <w:pStyle w:val="BodyText"/>
        <w:spacing w:before="7"/>
        <w:rPr>
          <w:b/>
          <w:sz w:val="38"/>
        </w:rPr>
      </w:pPr>
    </w:p>
    <w:p>
      <w:pPr>
        <w:pStyle w:val="ListParagraph"/>
        <w:numPr>
          <w:ilvl w:val="1"/>
          <w:numId w:val="23"/>
        </w:numPr>
        <w:tabs>
          <w:tab w:pos="506" w:val="left" w:leader="none"/>
        </w:tabs>
        <w:spacing w:line="240" w:lineRule="auto" w:before="1" w:after="0"/>
        <w:ind w:left="505" w:right="0" w:hanging="403"/>
        <w:jc w:val="both"/>
        <w:rPr>
          <w:sz w:val="24"/>
        </w:rPr>
      </w:pPr>
      <w:r>
        <w:rPr>
          <w:sz w:val="24"/>
        </w:rPr>
        <w:t>General:</w:t>
      </w:r>
    </w:p>
    <w:p>
      <w:pPr>
        <w:pStyle w:val="BodyText"/>
        <w:rPr>
          <w:sz w:val="21"/>
        </w:rPr>
      </w:pPr>
    </w:p>
    <w:p>
      <w:pPr>
        <w:pStyle w:val="BodyText"/>
        <w:spacing w:line="276" w:lineRule="auto" w:before="1"/>
        <w:ind w:left="102" w:right="955"/>
        <w:jc w:val="both"/>
      </w:pPr>
      <w:r>
        <w:rPr/>
        <w:t>Determinar la frecuencia de muertes por asfixia mecánica, por sofocación en su modalidad de obstrucción de vías respiratorias por contenido gastro- esofágico, registradas en el Centro de Justicia en Chimalhuacán, Estado de México, durante el periodo  del 01 de julio de2008 al 30 de junio de 2010.</w:t>
      </w:r>
    </w:p>
    <w:p>
      <w:pPr>
        <w:pStyle w:val="BodyText"/>
      </w:pPr>
    </w:p>
    <w:p>
      <w:pPr>
        <w:pStyle w:val="BodyText"/>
      </w:pPr>
    </w:p>
    <w:p>
      <w:pPr>
        <w:pStyle w:val="ListParagraph"/>
        <w:numPr>
          <w:ilvl w:val="1"/>
          <w:numId w:val="23"/>
        </w:numPr>
        <w:tabs>
          <w:tab w:pos="506" w:val="left" w:leader="none"/>
        </w:tabs>
        <w:spacing w:line="240" w:lineRule="auto" w:before="169" w:after="0"/>
        <w:ind w:left="505" w:right="0" w:hanging="403"/>
        <w:jc w:val="both"/>
        <w:rPr>
          <w:sz w:val="24"/>
        </w:rPr>
      </w:pPr>
      <w:r>
        <w:rPr>
          <w:sz w:val="24"/>
        </w:rPr>
        <w:t>Específicos:</w:t>
      </w:r>
    </w:p>
    <w:p>
      <w:pPr>
        <w:pStyle w:val="BodyText"/>
        <w:spacing w:before="10"/>
        <w:rPr>
          <w:sz w:val="20"/>
        </w:rPr>
      </w:pPr>
    </w:p>
    <w:p>
      <w:pPr>
        <w:pStyle w:val="BodyText"/>
        <w:spacing w:line="276" w:lineRule="auto"/>
        <w:ind w:left="102" w:right="963"/>
        <w:jc w:val="both"/>
      </w:pPr>
      <w:r>
        <w:rPr/>
        <w:t>Identificar la frecuencia por género, de muertes por asfixia mecánica, por sofocación en su modalidad de obstrucción de vías respiratorias por contenido gastro- esofágico, registradas en el Centro de Justicia en Chimalhuacán, Estado de México,  durante el periodo  del 01 de julio de2008 al 30 de junio de</w:t>
      </w:r>
      <w:r>
        <w:rPr>
          <w:spacing w:val="38"/>
        </w:rPr>
        <w:t> </w:t>
      </w:r>
      <w:r>
        <w:rPr/>
        <w:t>2010.</w:t>
      </w:r>
    </w:p>
    <w:p>
      <w:pPr>
        <w:pStyle w:val="BodyText"/>
        <w:spacing w:line="276" w:lineRule="auto" w:before="200"/>
        <w:ind w:left="102" w:right="956"/>
        <w:jc w:val="both"/>
      </w:pPr>
      <w:r>
        <w:rPr/>
        <w:t>Identificar la frecuencia de muertes por asfixia mecánica, por sofocación en su modalidad de obstrucción de vías respiratorias por contenido gastro- esofágico,  por grupo de edad  de cero a ochenta años, registradas en el Centro de Justicia  en Chimalhuacán, Estado de México, durante el periodo del 01 de julio de2008 al 30 de junio de</w:t>
      </w:r>
      <w:r>
        <w:rPr>
          <w:spacing w:val="58"/>
        </w:rPr>
        <w:t> </w:t>
      </w:r>
      <w:r>
        <w:rPr/>
        <w:t>2010.</w:t>
      </w:r>
    </w:p>
    <w:p>
      <w:pPr>
        <w:pStyle w:val="BodyText"/>
        <w:spacing w:line="276" w:lineRule="auto" w:before="202"/>
        <w:ind w:left="102" w:right="958"/>
        <w:jc w:val="both"/>
      </w:pPr>
      <w:r>
        <w:rPr/>
        <w:t>Identificar la frecuencia de muertes por asfixia mecánica, por sofocación en su modalidad de obstrucción de vías respiratorias por contenido gastro- esofágico, de acuerdo a la estación del año, registradas en el Centro de Justicia en Chimalhuacán, Estado de México, durante el periodo del 01 de julio de2008 al 30 de junio de</w:t>
      </w:r>
      <w:r>
        <w:rPr>
          <w:spacing w:val="59"/>
        </w:rPr>
        <w:t> </w:t>
      </w:r>
      <w:r>
        <w:rPr/>
        <w:t>2010.</w:t>
      </w:r>
    </w:p>
    <w:p>
      <w:pPr>
        <w:spacing w:after="0" w:line="276" w:lineRule="auto"/>
        <w:jc w:val="both"/>
        <w:sectPr>
          <w:pgSz w:w="12240" w:h="15840"/>
          <w:pgMar w:header="0" w:footer="1174" w:top="1500" w:bottom="1360" w:left="1600" w:right="740"/>
        </w:sectPr>
      </w:pPr>
    </w:p>
    <w:p>
      <w:pPr>
        <w:pStyle w:val="BodyText"/>
        <w:rPr>
          <w:sz w:val="20"/>
        </w:rPr>
      </w:pPr>
    </w:p>
    <w:p>
      <w:pPr>
        <w:pStyle w:val="Heading1"/>
        <w:numPr>
          <w:ilvl w:val="1"/>
          <w:numId w:val="1"/>
        </w:numPr>
        <w:tabs>
          <w:tab w:pos="942" w:val="left" w:leader="none"/>
        </w:tabs>
        <w:spacing w:line="240" w:lineRule="auto" w:before="201" w:after="0"/>
        <w:ind w:left="942" w:right="0" w:hanging="360"/>
        <w:jc w:val="left"/>
        <w:rPr>
          <w:b w:val="0"/>
          <w:sz w:val="24"/>
        </w:rPr>
      </w:pPr>
      <w:r>
        <w:rPr/>
        <w:t>MATERIAL Y</w:t>
      </w:r>
      <w:r>
        <w:rPr>
          <w:spacing w:val="-3"/>
        </w:rPr>
        <w:t> </w:t>
      </w:r>
      <w:r>
        <w:rPr/>
        <w:t>METODOS</w:t>
      </w:r>
      <w:r>
        <w:rPr>
          <w:b w:val="0"/>
          <w:sz w:val="24"/>
        </w:rPr>
        <w:t>:</w:t>
      </w:r>
    </w:p>
    <w:p>
      <w:pPr>
        <w:pStyle w:val="ListParagraph"/>
        <w:numPr>
          <w:ilvl w:val="1"/>
          <w:numId w:val="24"/>
        </w:numPr>
        <w:tabs>
          <w:tab w:pos="626" w:val="left" w:leader="none"/>
        </w:tabs>
        <w:spacing w:line="240" w:lineRule="auto" w:before="250" w:after="0"/>
        <w:ind w:left="102" w:right="0" w:firstLine="120"/>
        <w:jc w:val="left"/>
        <w:rPr>
          <w:sz w:val="24"/>
        </w:rPr>
      </w:pPr>
      <w:r>
        <w:rPr>
          <w:sz w:val="24"/>
        </w:rPr>
        <w:t>Diseño de</w:t>
      </w:r>
      <w:r>
        <w:rPr>
          <w:spacing w:val="-9"/>
          <w:sz w:val="24"/>
        </w:rPr>
        <w:t> </w:t>
      </w:r>
      <w:r>
        <w:rPr>
          <w:sz w:val="24"/>
        </w:rPr>
        <w:t>estudio:</w:t>
      </w:r>
    </w:p>
    <w:p>
      <w:pPr>
        <w:pStyle w:val="BodyText"/>
        <w:spacing w:before="10"/>
        <w:rPr>
          <w:sz w:val="20"/>
        </w:rPr>
      </w:pPr>
    </w:p>
    <w:p>
      <w:pPr>
        <w:pStyle w:val="BodyText"/>
        <w:ind w:left="222"/>
      </w:pPr>
      <w:r>
        <w:rPr/>
        <w:t>Tipo de Estudio: Retrospectivo, Observacional  y descriptivo.</w:t>
      </w:r>
    </w:p>
    <w:p>
      <w:pPr>
        <w:pStyle w:val="BodyText"/>
      </w:pPr>
    </w:p>
    <w:p>
      <w:pPr>
        <w:pStyle w:val="BodyText"/>
      </w:pPr>
    </w:p>
    <w:p>
      <w:pPr>
        <w:pStyle w:val="ListParagraph"/>
        <w:numPr>
          <w:ilvl w:val="1"/>
          <w:numId w:val="24"/>
        </w:numPr>
        <w:tabs>
          <w:tab w:pos="626" w:val="left" w:leader="none"/>
        </w:tabs>
        <w:spacing w:line="240" w:lineRule="auto" w:before="206" w:after="0"/>
        <w:ind w:left="625" w:right="0" w:hanging="403"/>
        <w:jc w:val="left"/>
        <w:rPr>
          <w:sz w:val="24"/>
        </w:rPr>
      </w:pPr>
      <w:r>
        <w:rPr>
          <w:sz w:val="24"/>
        </w:rPr>
        <w:t>Operacionalización de las</w:t>
      </w:r>
      <w:r>
        <w:rPr>
          <w:spacing w:val="-16"/>
          <w:sz w:val="24"/>
        </w:rPr>
        <w:t> </w:t>
      </w:r>
      <w:r>
        <w:rPr>
          <w:sz w:val="24"/>
        </w:rPr>
        <w:t>variables.</w:t>
      </w:r>
    </w:p>
    <w:p>
      <w:pPr>
        <w:pStyle w:val="BodyText"/>
        <w:spacing w:before="2" w:after="1"/>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2"/>
        <w:gridCol w:w="2309"/>
        <w:gridCol w:w="2127"/>
        <w:gridCol w:w="1483"/>
        <w:gridCol w:w="1935"/>
      </w:tblGrid>
      <w:tr>
        <w:trPr>
          <w:trHeight w:val="963" w:hRule="exact"/>
        </w:trPr>
        <w:tc>
          <w:tcPr>
            <w:tcW w:w="1202" w:type="dxa"/>
          </w:tcPr>
          <w:p>
            <w:pPr>
              <w:pStyle w:val="TableParagraph"/>
              <w:spacing w:line="240" w:lineRule="auto" w:before="4"/>
              <w:ind w:left="0"/>
              <w:rPr>
                <w:sz w:val="27"/>
              </w:rPr>
            </w:pPr>
          </w:p>
          <w:p>
            <w:pPr>
              <w:pStyle w:val="TableParagraph"/>
              <w:spacing w:line="240" w:lineRule="auto"/>
              <w:ind w:right="149"/>
              <w:rPr>
                <w:sz w:val="24"/>
              </w:rPr>
            </w:pPr>
            <w:r>
              <w:rPr>
                <w:sz w:val="24"/>
              </w:rPr>
              <w:t>Variable</w:t>
            </w:r>
          </w:p>
        </w:tc>
        <w:tc>
          <w:tcPr>
            <w:tcW w:w="2309" w:type="dxa"/>
          </w:tcPr>
          <w:p>
            <w:pPr>
              <w:pStyle w:val="TableParagraph"/>
              <w:spacing w:line="240" w:lineRule="auto" w:before="4"/>
              <w:ind w:left="0"/>
              <w:rPr>
                <w:sz w:val="27"/>
              </w:rPr>
            </w:pPr>
          </w:p>
          <w:p>
            <w:pPr>
              <w:pStyle w:val="TableParagraph"/>
              <w:spacing w:line="278" w:lineRule="auto"/>
              <w:ind w:right="1015"/>
              <w:rPr>
                <w:sz w:val="24"/>
              </w:rPr>
            </w:pPr>
            <w:r>
              <w:rPr>
                <w:sz w:val="24"/>
              </w:rPr>
              <w:t>Definición conceptual</w:t>
            </w:r>
          </w:p>
        </w:tc>
        <w:tc>
          <w:tcPr>
            <w:tcW w:w="2127" w:type="dxa"/>
          </w:tcPr>
          <w:p>
            <w:pPr>
              <w:pStyle w:val="TableParagraph"/>
              <w:spacing w:line="240" w:lineRule="auto" w:before="4"/>
              <w:ind w:left="0"/>
              <w:rPr>
                <w:sz w:val="27"/>
              </w:rPr>
            </w:pPr>
          </w:p>
          <w:p>
            <w:pPr>
              <w:pStyle w:val="TableParagraph"/>
              <w:spacing w:line="278" w:lineRule="auto"/>
              <w:ind w:left="100" w:right="756"/>
              <w:rPr>
                <w:sz w:val="24"/>
              </w:rPr>
            </w:pPr>
            <w:r>
              <w:rPr>
                <w:sz w:val="24"/>
              </w:rPr>
              <w:t>Definición operacional</w:t>
            </w:r>
          </w:p>
        </w:tc>
        <w:tc>
          <w:tcPr>
            <w:tcW w:w="1483" w:type="dxa"/>
          </w:tcPr>
          <w:p>
            <w:pPr>
              <w:pStyle w:val="TableParagraph"/>
              <w:spacing w:line="240" w:lineRule="auto" w:before="4"/>
              <w:ind w:left="0"/>
              <w:rPr>
                <w:sz w:val="27"/>
              </w:rPr>
            </w:pPr>
          </w:p>
          <w:p>
            <w:pPr>
              <w:pStyle w:val="TableParagraph"/>
              <w:tabs>
                <w:tab w:pos="1103" w:val="left" w:leader="none"/>
              </w:tabs>
              <w:spacing w:line="278" w:lineRule="auto"/>
              <w:ind w:left="100" w:right="102"/>
              <w:rPr>
                <w:sz w:val="24"/>
              </w:rPr>
            </w:pPr>
            <w:r>
              <w:rPr>
                <w:sz w:val="24"/>
              </w:rPr>
              <w:t>Escala</w:t>
              <w:tab/>
              <w:t>de</w:t>
            </w:r>
            <w:r>
              <w:rPr>
                <w:w w:val="99"/>
                <w:sz w:val="24"/>
              </w:rPr>
              <w:t> </w:t>
            </w:r>
            <w:r>
              <w:rPr>
                <w:sz w:val="24"/>
              </w:rPr>
              <w:t>medición</w:t>
            </w:r>
          </w:p>
        </w:tc>
        <w:tc>
          <w:tcPr>
            <w:tcW w:w="1935" w:type="dxa"/>
          </w:tcPr>
          <w:p>
            <w:pPr>
              <w:pStyle w:val="TableParagraph"/>
              <w:spacing w:line="240" w:lineRule="auto" w:before="4"/>
              <w:ind w:left="0"/>
              <w:rPr>
                <w:sz w:val="27"/>
              </w:rPr>
            </w:pPr>
          </w:p>
          <w:p>
            <w:pPr>
              <w:pStyle w:val="TableParagraph"/>
              <w:spacing w:line="240" w:lineRule="auto"/>
              <w:ind w:right="449"/>
              <w:rPr>
                <w:sz w:val="24"/>
              </w:rPr>
            </w:pPr>
            <w:r>
              <w:rPr>
                <w:sz w:val="24"/>
              </w:rPr>
              <w:t>Categoría</w:t>
            </w:r>
          </w:p>
        </w:tc>
      </w:tr>
      <w:tr>
        <w:trPr>
          <w:trHeight w:val="1754" w:hRule="exact"/>
        </w:trPr>
        <w:tc>
          <w:tcPr>
            <w:tcW w:w="1202" w:type="dxa"/>
          </w:tcPr>
          <w:p>
            <w:pPr>
              <w:pStyle w:val="TableParagraph"/>
              <w:spacing w:line="274" w:lineRule="exact"/>
              <w:ind w:right="149"/>
              <w:rPr>
                <w:sz w:val="24"/>
              </w:rPr>
            </w:pPr>
            <w:r>
              <w:rPr>
                <w:sz w:val="24"/>
              </w:rPr>
              <w:t>Genero</w:t>
            </w:r>
          </w:p>
        </w:tc>
        <w:tc>
          <w:tcPr>
            <w:tcW w:w="2309" w:type="dxa"/>
          </w:tcPr>
          <w:p>
            <w:pPr>
              <w:pStyle w:val="TableParagraph"/>
              <w:tabs>
                <w:tab w:pos="2074" w:val="left" w:leader="none"/>
              </w:tabs>
              <w:spacing w:line="276" w:lineRule="auto"/>
              <w:ind w:right="102"/>
              <w:jc w:val="both"/>
              <w:rPr>
                <w:sz w:val="24"/>
              </w:rPr>
            </w:pPr>
            <w:r>
              <w:rPr>
                <w:sz w:val="24"/>
              </w:rPr>
              <w:t>Condición biológica que distingue entre hombres</w:t>
              <w:tab/>
              <w:t>y mujeres.</w:t>
            </w:r>
          </w:p>
        </w:tc>
        <w:tc>
          <w:tcPr>
            <w:tcW w:w="2127" w:type="dxa"/>
          </w:tcPr>
          <w:p>
            <w:pPr>
              <w:pStyle w:val="TableParagraph"/>
              <w:spacing w:line="276" w:lineRule="auto"/>
              <w:ind w:left="259" w:right="262"/>
              <w:jc w:val="center"/>
              <w:rPr>
                <w:sz w:val="22"/>
              </w:rPr>
            </w:pPr>
            <w:r>
              <w:rPr>
                <w:sz w:val="22"/>
              </w:rPr>
              <w:t>Presencia de caracteres sexuales que se define como masculino / femenino.</w:t>
            </w:r>
          </w:p>
        </w:tc>
        <w:tc>
          <w:tcPr>
            <w:tcW w:w="1483" w:type="dxa"/>
          </w:tcPr>
          <w:p>
            <w:pPr>
              <w:pStyle w:val="TableParagraph"/>
              <w:spacing w:line="240" w:lineRule="auto"/>
              <w:ind w:left="0"/>
              <w:rPr>
                <w:sz w:val="25"/>
              </w:rPr>
            </w:pPr>
          </w:p>
          <w:p>
            <w:pPr>
              <w:pStyle w:val="TableParagraph"/>
              <w:spacing w:line="276" w:lineRule="auto"/>
              <w:ind w:left="347" w:right="207" w:hanging="128"/>
              <w:rPr>
                <w:sz w:val="22"/>
              </w:rPr>
            </w:pPr>
            <w:r>
              <w:rPr>
                <w:sz w:val="22"/>
              </w:rPr>
              <w:t>Cualitativa nominal</w:t>
            </w:r>
          </w:p>
        </w:tc>
        <w:tc>
          <w:tcPr>
            <w:tcW w:w="1935" w:type="dxa"/>
          </w:tcPr>
          <w:p>
            <w:pPr>
              <w:pStyle w:val="TableParagraph"/>
              <w:spacing w:line="240" w:lineRule="auto"/>
              <w:ind w:left="0"/>
              <w:rPr>
                <w:sz w:val="25"/>
              </w:rPr>
            </w:pPr>
          </w:p>
          <w:p>
            <w:pPr>
              <w:pStyle w:val="TableParagraph"/>
              <w:spacing w:line="276" w:lineRule="auto"/>
              <w:ind w:left="465" w:right="449" w:firstLine="4"/>
              <w:rPr>
                <w:sz w:val="22"/>
              </w:rPr>
            </w:pPr>
            <w:r>
              <w:rPr>
                <w:sz w:val="22"/>
              </w:rPr>
              <w:t>Femenino Masculino</w:t>
            </w:r>
          </w:p>
        </w:tc>
      </w:tr>
      <w:tr>
        <w:trPr>
          <w:trHeight w:val="2868" w:hRule="exact"/>
        </w:trPr>
        <w:tc>
          <w:tcPr>
            <w:tcW w:w="1202" w:type="dxa"/>
          </w:tcPr>
          <w:p>
            <w:pPr>
              <w:pStyle w:val="TableParagraph"/>
              <w:spacing w:line="274" w:lineRule="exact"/>
              <w:ind w:right="149"/>
              <w:rPr>
                <w:sz w:val="24"/>
              </w:rPr>
            </w:pPr>
            <w:r>
              <w:rPr>
                <w:sz w:val="24"/>
              </w:rPr>
              <w:t>Edad</w:t>
            </w:r>
          </w:p>
        </w:tc>
        <w:tc>
          <w:tcPr>
            <w:tcW w:w="2309" w:type="dxa"/>
          </w:tcPr>
          <w:p>
            <w:pPr>
              <w:pStyle w:val="TableParagraph"/>
              <w:tabs>
                <w:tab w:pos="786" w:val="left" w:leader="none"/>
                <w:tab w:pos="973" w:val="left" w:leader="none"/>
                <w:tab w:pos="1182" w:val="left" w:leader="none"/>
                <w:tab w:pos="1577" w:val="left" w:leader="none"/>
                <w:tab w:pos="1673" w:val="left" w:leader="none"/>
                <w:tab w:pos="1872" w:val="left" w:leader="none"/>
                <w:tab w:pos="2007" w:val="left" w:leader="none"/>
              </w:tabs>
              <w:spacing w:line="276" w:lineRule="auto"/>
              <w:ind w:right="104"/>
              <w:rPr>
                <w:sz w:val="24"/>
              </w:rPr>
            </w:pPr>
            <w:r>
              <w:rPr>
                <w:sz w:val="24"/>
              </w:rPr>
              <w:t>Número</w:t>
              <w:tab/>
              <w:tab/>
              <w:t>de</w:t>
              <w:tab/>
              <w:tab/>
              <w:t>años completos transcurridos entre la</w:t>
              <w:tab/>
              <w:t>fecha</w:t>
              <w:tab/>
              <w:tab/>
              <w:tab/>
              <w:t>del nacimiento</w:t>
              <w:tab/>
              <w:t>y</w:t>
              <w:tab/>
              <w:tab/>
              <w:t>la fecha de la muerte, para</w:t>
              <w:tab/>
              <w:tab/>
              <w:t>fines</w:t>
              <w:tab/>
              <w:tab/>
              <w:tab/>
              <w:t>del proyecto.</w:t>
            </w:r>
          </w:p>
        </w:tc>
        <w:tc>
          <w:tcPr>
            <w:tcW w:w="2127" w:type="dxa"/>
          </w:tcPr>
          <w:p>
            <w:pPr>
              <w:pStyle w:val="TableParagraph"/>
              <w:spacing w:line="276" w:lineRule="auto"/>
              <w:ind w:left="131" w:right="135" w:hanging="2"/>
              <w:jc w:val="center"/>
              <w:rPr>
                <w:sz w:val="22"/>
              </w:rPr>
            </w:pPr>
            <w:r>
              <w:rPr>
                <w:sz w:val="22"/>
              </w:rPr>
              <w:t>Determinada por tiempo cronológico de vida en años.</w:t>
            </w:r>
          </w:p>
        </w:tc>
        <w:tc>
          <w:tcPr>
            <w:tcW w:w="1483" w:type="dxa"/>
          </w:tcPr>
          <w:p>
            <w:pPr>
              <w:pStyle w:val="TableParagraph"/>
              <w:spacing w:line="278" w:lineRule="auto"/>
              <w:ind w:left="100" w:right="191"/>
              <w:rPr>
                <w:sz w:val="22"/>
              </w:rPr>
            </w:pPr>
            <w:r>
              <w:rPr>
                <w:sz w:val="22"/>
              </w:rPr>
              <w:t>Cuantitativa continua</w:t>
            </w:r>
          </w:p>
        </w:tc>
        <w:tc>
          <w:tcPr>
            <w:tcW w:w="1935" w:type="dxa"/>
          </w:tcPr>
          <w:p>
            <w:pPr>
              <w:pStyle w:val="TableParagraph"/>
              <w:spacing w:line="276" w:lineRule="auto"/>
              <w:ind w:right="273"/>
              <w:rPr>
                <w:sz w:val="22"/>
              </w:rPr>
            </w:pPr>
            <w:r>
              <w:rPr>
                <w:sz w:val="22"/>
              </w:rPr>
              <w:t>Recién nacido Lactante Menor Lactante Mayor Preescolar Escolar Adolescente Adulto Joven Adulto</w:t>
            </w:r>
          </w:p>
          <w:p>
            <w:pPr>
              <w:pStyle w:val="TableParagraph"/>
              <w:spacing w:line="240" w:lineRule="auto"/>
              <w:ind w:right="449"/>
              <w:rPr>
                <w:sz w:val="22"/>
              </w:rPr>
            </w:pPr>
            <w:r>
              <w:rPr>
                <w:sz w:val="22"/>
              </w:rPr>
              <w:t>Adulto Mayor</w:t>
            </w:r>
          </w:p>
        </w:tc>
      </w:tr>
      <w:tr>
        <w:trPr>
          <w:trHeight w:val="3819" w:hRule="exact"/>
        </w:trPr>
        <w:tc>
          <w:tcPr>
            <w:tcW w:w="1202" w:type="dxa"/>
          </w:tcPr>
          <w:p>
            <w:pPr>
              <w:pStyle w:val="TableParagraph"/>
              <w:spacing w:line="276" w:lineRule="auto"/>
              <w:ind w:right="149"/>
              <w:rPr>
                <w:sz w:val="24"/>
              </w:rPr>
            </w:pPr>
            <w:r>
              <w:rPr>
                <w:sz w:val="24"/>
              </w:rPr>
              <w:t>Estación del año</w:t>
            </w:r>
          </w:p>
        </w:tc>
        <w:tc>
          <w:tcPr>
            <w:tcW w:w="2309" w:type="dxa"/>
          </w:tcPr>
          <w:p>
            <w:pPr>
              <w:pStyle w:val="TableParagraph"/>
              <w:tabs>
                <w:tab w:pos="674" w:val="left" w:leader="none"/>
                <w:tab w:pos="1041" w:val="left" w:leader="none"/>
                <w:tab w:pos="1872" w:val="left" w:leader="none"/>
                <w:tab w:pos="1928" w:val="left" w:leader="none"/>
              </w:tabs>
              <w:spacing w:line="276" w:lineRule="auto"/>
              <w:ind w:right="103"/>
              <w:rPr>
                <w:sz w:val="24"/>
              </w:rPr>
            </w:pPr>
            <w:r>
              <w:rPr>
                <w:sz w:val="24"/>
              </w:rPr>
              <w:t>Las estaciones son los</w:t>
              <w:tab/>
              <w:t>períodos</w:t>
              <w:tab/>
              <w:t>del año en los que las condiciones climatológicas imperantes</w:t>
              <w:tab/>
              <w:tab/>
              <w:t>se</w:t>
            </w:r>
            <w:r>
              <w:rPr>
                <w:w w:val="99"/>
                <w:sz w:val="24"/>
              </w:rPr>
              <w:t> </w:t>
            </w:r>
            <w:r>
              <w:rPr>
                <w:sz w:val="24"/>
              </w:rPr>
              <w:t>mantienen, en una determinada región,</w:t>
              <w:tab/>
              <w:t>dentro</w:t>
              <w:tab/>
              <w:tab/>
              <w:t>de</w:t>
            </w:r>
            <w:r>
              <w:rPr>
                <w:w w:val="99"/>
                <w:sz w:val="24"/>
              </w:rPr>
              <w:t> </w:t>
            </w:r>
            <w:r>
              <w:rPr>
                <w:sz w:val="24"/>
              </w:rPr>
              <w:t>un cierto</w:t>
            </w:r>
            <w:r>
              <w:rPr>
                <w:spacing w:val="-4"/>
                <w:sz w:val="24"/>
              </w:rPr>
              <w:t> </w:t>
            </w:r>
            <w:r>
              <w:rPr>
                <w:sz w:val="24"/>
              </w:rPr>
              <w:t>rango.</w:t>
            </w:r>
          </w:p>
        </w:tc>
        <w:tc>
          <w:tcPr>
            <w:tcW w:w="2127" w:type="dxa"/>
          </w:tcPr>
          <w:p>
            <w:pPr>
              <w:pStyle w:val="TableParagraph"/>
              <w:tabs>
                <w:tab w:pos="1745" w:val="left" w:leader="none"/>
              </w:tabs>
              <w:spacing w:line="276" w:lineRule="auto"/>
              <w:ind w:left="100" w:right="103"/>
              <w:jc w:val="both"/>
              <w:rPr>
                <w:sz w:val="24"/>
              </w:rPr>
            </w:pPr>
            <w:r>
              <w:rPr>
                <w:sz w:val="24"/>
              </w:rPr>
              <w:t>Determinada por periodos</w:t>
              <w:tab/>
              <w:t>de tiempo</w:t>
            </w:r>
          </w:p>
        </w:tc>
        <w:tc>
          <w:tcPr>
            <w:tcW w:w="1483" w:type="dxa"/>
          </w:tcPr>
          <w:p>
            <w:pPr>
              <w:pStyle w:val="TableParagraph"/>
              <w:spacing w:line="276" w:lineRule="auto"/>
              <w:ind w:left="100" w:right="86"/>
              <w:rPr>
                <w:sz w:val="24"/>
              </w:rPr>
            </w:pPr>
            <w:r>
              <w:rPr>
                <w:sz w:val="24"/>
              </w:rPr>
              <w:t>Cuantitativa continua</w:t>
            </w:r>
          </w:p>
        </w:tc>
        <w:tc>
          <w:tcPr>
            <w:tcW w:w="1935" w:type="dxa"/>
          </w:tcPr>
          <w:p>
            <w:pPr>
              <w:pStyle w:val="TableParagraph"/>
              <w:spacing w:line="276" w:lineRule="auto"/>
              <w:ind w:right="708"/>
              <w:rPr>
                <w:sz w:val="24"/>
              </w:rPr>
            </w:pPr>
            <w:r>
              <w:rPr>
                <w:sz w:val="24"/>
              </w:rPr>
              <w:t>Primavera Verano Otoño Invierno</w:t>
            </w:r>
          </w:p>
        </w:tc>
      </w:tr>
    </w:tbl>
    <w:p>
      <w:pPr>
        <w:spacing w:after="0" w:line="276" w:lineRule="auto"/>
        <w:rPr>
          <w:sz w:val="24"/>
        </w:rPr>
        <w:sectPr>
          <w:pgSz w:w="12240" w:h="15840"/>
          <w:pgMar w:header="0" w:footer="1174" w:top="1500" w:bottom="1360" w:left="1480" w:right="740"/>
        </w:sectPr>
      </w:pPr>
    </w:p>
    <w:p>
      <w:pPr>
        <w:pStyle w:val="BodyText"/>
        <w:rPr>
          <w:sz w:val="20"/>
        </w:rPr>
      </w:pPr>
    </w:p>
    <w:p>
      <w:pPr>
        <w:pStyle w:val="BodyText"/>
        <w:spacing w:before="5"/>
        <w:rPr>
          <w:sz w:val="16"/>
        </w:rPr>
      </w:pPr>
    </w:p>
    <w:p>
      <w:pPr>
        <w:pStyle w:val="Heading1"/>
        <w:numPr>
          <w:ilvl w:val="1"/>
          <w:numId w:val="24"/>
        </w:numPr>
        <w:tabs>
          <w:tab w:pos="573" w:val="left" w:leader="none"/>
        </w:tabs>
        <w:spacing w:line="240" w:lineRule="auto" w:before="65" w:after="0"/>
        <w:ind w:left="572" w:right="0" w:hanging="470"/>
        <w:jc w:val="both"/>
      </w:pPr>
      <w:r>
        <w:rPr/>
        <w:t>UNIVERSO DE</w:t>
      </w:r>
      <w:r>
        <w:rPr>
          <w:spacing w:val="-9"/>
        </w:rPr>
        <w:t> </w:t>
      </w:r>
      <w:r>
        <w:rPr/>
        <w:t>ESTUDIO</w:t>
      </w:r>
    </w:p>
    <w:p>
      <w:pPr>
        <w:pStyle w:val="BodyText"/>
        <w:spacing w:line="276" w:lineRule="auto" w:before="250"/>
        <w:ind w:left="102" w:right="957"/>
        <w:jc w:val="both"/>
      </w:pPr>
      <w:r>
        <w:rPr/>
        <w:t>Libros de Gobierno del Centro de justicia de Chimalhuacán durante el periodo del 01 de julio de2008 al 30 de junio de 2010.</w:t>
      </w:r>
    </w:p>
    <w:p>
      <w:pPr>
        <w:pStyle w:val="BodyText"/>
      </w:pPr>
    </w:p>
    <w:p>
      <w:pPr>
        <w:pStyle w:val="BodyText"/>
      </w:pPr>
    </w:p>
    <w:p>
      <w:pPr>
        <w:pStyle w:val="BodyText"/>
        <w:spacing w:before="10"/>
        <w:rPr>
          <w:sz w:val="18"/>
        </w:rPr>
      </w:pPr>
    </w:p>
    <w:p>
      <w:pPr>
        <w:pStyle w:val="Heading1"/>
        <w:numPr>
          <w:ilvl w:val="2"/>
          <w:numId w:val="24"/>
        </w:numPr>
        <w:tabs>
          <w:tab w:pos="805" w:val="left" w:leader="none"/>
        </w:tabs>
        <w:spacing w:line="240" w:lineRule="auto" w:before="0" w:after="0"/>
        <w:ind w:left="804" w:right="0" w:hanging="702"/>
        <w:jc w:val="both"/>
        <w:rPr>
          <w:b w:val="0"/>
          <w:sz w:val="24"/>
        </w:rPr>
      </w:pPr>
      <w:r>
        <w:rPr/>
        <w:t>CRITERIO DE</w:t>
      </w:r>
      <w:r>
        <w:rPr>
          <w:spacing w:val="-11"/>
        </w:rPr>
        <w:t> </w:t>
      </w:r>
      <w:r>
        <w:rPr/>
        <w:t>INCLUSIÓN</w:t>
      </w:r>
      <w:r>
        <w:rPr>
          <w:b w:val="0"/>
          <w:sz w:val="24"/>
        </w:rPr>
        <w:t>:</w:t>
      </w:r>
    </w:p>
    <w:p>
      <w:pPr>
        <w:pStyle w:val="BodyText"/>
        <w:spacing w:line="276" w:lineRule="auto" w:before="250"/>
        <w:ind w:left="102" w:right="962"/>
        <w:jc w:val="both"/>
      </w:pPr>
      <w:r>
        <w:rPr/>
        <w:t>Todos los casos retenidos del Centro de Justicia de Chimalhuacán durante el periodo ya indicado deberán contener toda la información necesaria para el análisis estadístico, esto incluye edad, genero, mes del año y resultado de necropsia</w:t>
      </w:r>
    </w:p>
    <w:p>
      <w:pPr>
        <w:pStyle w:val="Heading1"/>
        <w:numPr>
          <w:ilvl w:val="2"/>
          <w:numId w:val="24"/>
        </w:numPr>
        <w:tabs>
          <w:tab w:pos="806" w:val="left" w:leader="none"/>
        </w:tabs>
        <w:spacing w:line="240" w:lineRule="auto" w:before="200" w:after="0"/>
        <w:ind w:left="805" w:right="0" w:hanging="703"/>
        <w:jc w:val="both"/>
        <w:rPr>
          <w:b w:val="0"/>
          <w:sz w:val="24"/>
        </w:rPr>
      </w:pPr>
      <w:r>
        <w:rPr/>
        <w:t>CRITERIO DE</w:t>
      </w:r>
      <w:r>
        <w:rPr>
          <w:spacing w:val="-8"/>
        </w:rPr>
        <w:t> </w:t>
      </w:r>
      <w:r>
        <w:rPr/>
        <w:t>EXCLUSIÓN</w:t>
      </w:r>
      <w:r>
        <w:rPr>
          <w:b w:val="0"/>
          <w:sz w:val="24"/>
        </w:rPr>
        <w:t>:</w:t>
      </w:r>
    </w:p>
    <w:p>
      <w:pPr>
        <w:pStyle w:val="BodyText"/>
        <w:spacing w:line="276" w:lineRule="auto" w:before="250"/>
        <w:ind w:left="102" w:right="967"/>
        <w:jc w:val="both"/>
      </w:pPr>
      <w:r>
        <w:rPr/>
        <w:t>Todos aquellos casos que no cumplan con los criterios de inclusión. Se excluirán todos aquellos casos en los cuales el mecanismo de muerte sea cualquier otro diferente a asfixia mecánica por sofocación en su modalidad de obstrucción de vía aérea por contenido gastro- esofágico.</w:t>
      </w:r>
    </w:p>
    <w:p>
      <w:pPr>
        <w:pStyle w:val="BodyText"/>
        <w:spacing w:line="276" w:lineRule="auto" w:before="202"/>
        <w:ind w:left="102" w:right="966"/>
        <w:jc w:val="both"/>
      </w:pPr>
      <w:r>
        <w:rPr/>
        <w:t>Todos aquellos casos de averiguaciones previas que se inicien en Chicoloapan Estado de México.</w:t>
      </w:r>
    </w:p>
    <w:p>
      <w:pPr>
        <w:pStyle w:val="Heading1"/>
        <w:numPr>
          <w:ilvl w:val="2"/>
          <w:numId w:val="24"/>
        </w:numPr>
        <w:tabs>
          <w:tab w:pos="806" w:val="left" w:leader="none"/>
        </w:tabs>
        <w:spacing w:line="240" w:lineRule="auto" w:before="201" w:after="0"/>
        <w:ind w:left="805" w:right="0" w:hanging="703"/>
        <w:jc w:val="both"/>
      </w:pPr>
      <w:r>
        <w:rPr/>
        <w:t>CRITERIO DE</w:t>
      </w:r>
      <w:r>
        <w:rPr>
          <w:spacing w:val="-16"/>
        </w:rPr>
        <w:t> </w:t>
      </w:r>
      <w:r>
        <w:rPr/>
        <w:t>ELIMINACION</w:t>
      </w:r>
    </w:p>
    <w:p>
      <w:pPr>
        <w:pStyle w:val="BodyText"/>
        <w:spacing w:line="278" w:lineRule="auto" w:before="248"/>
        <w:ind w:left="102" w:right="967"/>
        <w:jc w:val="both"/>
      </w:pPr>
      <w:r>
        <w:rPr/>
        <w:t>Todos aquellos casos que cumplan con los criterios de inclusión pero que sin embargo, los datos necesarios estén incompletos.</w:t>
      </w:r>
    </w:p>
    <w:p>
      <w:pPr>
        <w:pStyle w:val="BodyText"/>
      </w:pPr>
    </w:p>
    <w:p>
      <w:pPr>
        <w:pStyle w:val="BodyText"/>
      </w:pPr>
    </w:p>
    <w:p>
      <w:pPr>
        <w:pStyle w:val="Heading1"/>
        <w:numPr>
          <w:ilvl w:val="1"/>
          <w:numId w:val="24"/>
        </w:numPr>
        <w:tabs>
          <w:tab w:pos="990" w:val="left" w:leader="none"/>
        </w:tabs>
        <w:spacing w:line="276" w:lineRule="auto" w:before="215" w:after="0"/>
        <w:ind w:left="102" w:right="958" w:firstLine="0"/>
        <w:jc w:val="both"/>
      </w:pPr>
      <w:r>
        <w:rPr/>
        <w:t>INSTRUMENTO Y PROCEDIMIENTOS PARA LA RECOLECCIÓN DE</w:t>
      </w:r>
      <w:r>
        <w:rPr>
          <w:spacing w:val="-10"/>
        </w:rPr>
        <w:t> </w:t>
      </w:r>
      <w:r>
        <w:rPr/>
        <w:t>DATOS:</w:t>
      </w:r>
    </w:p>
    <w:p>
      <w:pPr>
        <w:pStyle w:val="BodyText"/>
        <w:spacing w:line="276" w:lineRule="auto" w:before="204"/>
        <w:ind w:left="102" w:right="966"/>
        <w:jc w:val="both"/>
      </w:pPr>
      <w:r>
        <w:rPr/>
        <w:t>Los datos necesarios para la investigación se obtuvieron del Libro de Gobierno de Necropsias, el cual se encuentra en el archivo del Servicio Médico Forense, del municipio de Chimalhuacán, Estado de México de donde se extrajo información  del expediente, dictamen de necropsia y certificado de</w:t>
      </w:r>
      <w:r>
        <w:rPr>
          <w:spacing w:val="-26"/>
        </w:rPr>
        <w:t> </w:t>
      </w:r>
      <w:r>
        <w:rPr/>
        <w:t>defunción.</w:t>
      </w:r>
    </w:p>
    <w:p>
      <w:pPr>
        <w:pStyle w:val="BodyText"/>
        <w:spacing w:line="276" w:lineRule="auto" w:before="202"/>
        <w:ind w:left="102" w:right="958"/>
        <w:jc w:val="both"/>
      </w:pPr>
      <w:r>
        <w:rPr/>
        <w:t>Para esta finalidad se llevó a cabo la realización de un cuadro para vaciado de datos, que se encuentra en el apartado de anexos como anexo 1.</w:t>
      </w:r>
    </w:p>
    <w:p>
      <w:pPr>
        <w:spacing w:after="0" w:line="276" w:lineRule="auto"/>
        <w:jc w:val="both"/>
        <w:sectPr>
          <w:footerReference w:type="default" r:id="rId9"/>
          <w:pgSz w:w="12240" w:h="15840"/>
          <w:pgMar w:footer="1174" w:header="0" w:top="1500" w:bottom="1360" w:left="1600" w:right="740"/>
        </w:sectPr>
      </w:pPr>
    </w:p>
    <w:p>
      <w:pPr>
        <w:pStyle w:val="BodyText"/>
        <w:rPr>
          <w:sz w:val="20"/>
        </w:rPr>
      </w:pPr>
    </w:p>
    <w:p>
      <w:pPr>
        <w:pStyle w:val="BodyText"/>
        <w:spacing w:before="5"/>
        <w:rPr>
          <w:sz w:val="16"/>
        </w:rPr>
      </w:pPr>
    </w:p>
    <w:p>
      <w:pPr>
        <w:pStyle w:val="Heading1"/>
        <w:numPr>
          <w:ilvl w:val="1"/>
          <w:numId w:val="24"/>
        </w:numPr>
        <w:tabs>
          <w:tab w:pos="573" w:val="left" w:leader="none"/>
        </w:tabs>
        <w:spacing w:line="240" w:lineRule="auto" w:before="65" w:after="0"/>
        <w:ind w:left="572" w:right="0" w:hanging="470"/>
        <w:jc w:val="both"/>
      </w:pPr>
      <w:r>
        <w:rPr/>
        <w:t>DESARROLLO DEL</w:t>
      </w:r>
      <w:r>
        <w:rPr>
          <w:spacing w:val="-12"/>
        </w:rPr>
        <w:t> </w:t>
      </w:r>
      <w:r>
        <w:rPr/>
        <w:t>PROYECTO</w:t>
      </w:r>
    </w:p>
    <w:p>
      <w:pPr>
        <w:pStyle w:val="BodyText"/>
        <w:spacing w:line="276" w:lineRule="auto" w:before="250"/>
        <w:ind w:left="102" w:right="966"/>
        <w:jc w:val="both"/>
      </w:pPr>
      <w:r>
        <w:rPr/>
        <w:t>Se realizó un oficio solicitando la autorización para la revisión del Libro de Gobierno de registro de Necropsias, así como los expedientes y dictamen de necropsia, obteniendo así la información.</w:t>
      </w:r>
    </w:p>
    <w:p>
      <w:pPr>
        <w:pStyle w:val="BodyText"/>
        <w:spacing w:line="276" w:lineRule="auto" w:before="202"/>
        <w:ind w:left="102" w:right="958"/>
        <w:jc w:val="both"/>
      </w:pPr>
      <w:r>
        <w:rPr/>
        <w:t>Se hizo una revisión de manera exhaustiva de los dictámenes de necropsia de acuerdo al registro en el Libro de Gobierno en donde la causa de muertes fuera Asfixia por bronco-aspiracion de contenido gástrico, Asfixia por bronco aspiración  o  Asfixia  por el paso de contenido gástrico a las vías</w:t>
      </w:r>
      <w:r>
        <w:rPr>
          <w:spacing w:val="-27"/>
        </w:rPr>
        <w:t> </w:t>
      </w:r>
      <w:r>
        <w:rPr/>
        <w:t>respiratorias.</w:t>
      </w:r>
    </w:p>
    <w:p>
      <w:pPr>
        <w:pStyle w:val="BodyText"/>
        <w:spacing w:line="276" w:lineRule="auto" w:before="203"/>
        <w:ind w:left="102" w:right="953"/>
        <w:jc w:val="both"/>
      </w:pPr>
      <w:r>
        <w:rPr/>
        <w:t>Los datos que se obtuvieron del libro de Gobierno, de registro de Necropsias, así como del expediente fueron los siguientes: número de SEMEFO, edad, sexo, fecha  de levantamiento y médico que realizo el dictamen de</w:t>
      </w:r>
      <w:r>
        <w:rPr>
          <w:spacing w:val="-22"/>
        </w:rPr>
        <w:t> </w:t>
      </w:r>
      <w:r>
        <w:rPr/>
        <w:t>necropsia.</w:t>
      </w:r>
    </w:p>
    <w:p>
      <w:pPr>
        <w:pStyle w:val="BodyText"/>
      </w:pPr>
    </w:p>
    <w:p>
      <w:pPr>
        <w:pStyle w:val="BodyText"/>
      </w:pPr>
    </w:p>
    <w:p>
      <w:pPr>
        <w:pStyle w:val="Heading1"/>
        <w:numPr>
          <w:ilvl w:val="1"/>
          <w:numId w:val="24"/>
        </w:numPr>
        <w:tabs>
          <w:tab w:pos="573" w:val="left" w:leader="none"/>
        </w:tabs>
        <w:spacing w:line="240" w:lineRule="auto" w:before="167" w:after="0"/>
        <w:ind w:left="572" w:right="0" w:hanging="470"/>
        <w:jc w:val="both"/>
      </w:pPr>
      <w:r>
        <w:rPr/>
        <w:t>LÍMITE DE</w:t>
      </w:r>
      <w:r>
        <w:rPr>
          <w:spacing w:val="68"/>
        </w:rPr>
        <w:t> </w:t>
      </w:r>
      <w:r>
        <w:rPr/>
        <w:t>TIEMPO</w:t>
      </w:r>
    </w:p>
    <w:p>
      <w:pPr>
        <w:pStyle w:val="BodyText"/>
        <w:spacing w:before="248"/>
        <w:ind w:left="102"/>
        <w:jc w:val="both"/>
      </w:pPr>
      <w:r>
        <w:rPr/>
        <w:t>Del 01 de julio de2008 al 30 de junio de 2010.</w:t>
      </w:r>
    </w:p>
    <w:p>
      <w:pPr>
        <w:pStyle w:val="BodyText"/>
        <w:spacing w:before="10"/>
        <w:rPr>
          <w:sz w:val="20"/>
        </w:rPr>
      </w:pPr>
    </w:p>
    <w:p>
      <w:pPr>
        <w:pStyle w:val="Heading1"/>
        <w:numPr>
          <w:ilvl w:val="1"/>
          <w:numId w:val="24"/>
        </w:numPr>
        <w:tabs>
          <w:tab w:pos="573" w:val="left" w:leader="none"/>
        </w:tabs>
        <w:spacing w:line="240" w:lineRule="auto" w:before="1" w:after="0"/>
        <w:ind w:left="572" w:right="0" w:hanging="470"/>
        <w:jc w:val="both"/>
      </w:pPr>
      <w:r>
        <w:rPr/>
        <w:t>LÍMITE DE</w:t>
      </w:r>
      <w:r>
        <w:rPr>
          <w:spacing w:val="-13"/>
        </w:rPr>
        <w:t> </w:t>
      </w:r>
      <w:r>
        <w:rPr/>
        <w:t>ESPACIO</w:t>
      </w:r>
    </w:p>
    <w:p>
      <w:pPr>
        <w:pStyle w:val="BodyText"/>
        <w:spacing w:before="248"/>
        <w:ind w:left="102"/>
        <w:jc w:val="both"/>
      </w:pPr>
      <w:r>
        <w:rPr/>
        <w:t>Centro de Justicia de Chimalhuacán Estado de México.</w:t>
      </w:r>
    </w:p>
    <w:p>
      <w:pPr>
        <w:pStyle w:val="BodyText"/>
        <w:spacing w:before="10"/>
        <w:rPr>
          <w:sz w:val="20"/>
        </w:rPr>
      </w:pPr>
    </w:p>
    <w:p>
      <w:pPr>
        <w:pStyle w:val="Heading1"/>
        <w:numPr>
          <w:ilvl w:val="1"/>
          <w:numId w:val="24"/>
        </w:numPr>
        <w:tabs>
          <w:tab w:pos="575" w:val="left" w:leader="none"/>
        </w:tabs>
        <w:spacing w:line="240" w:lineRule="auto" w:before="1" w:after="0"/>
        <w:ind w:left="574" w:right="0" w:hanging="472"/>
        <w:jc w:val="both"/>
      </w:pPr>
      <w:r>
        <w:rPr/>
        <w:t>ANALISIS</w:t>
      </w:r>
      <w:r>
        <w:rPr>
          <w:spacing w:val="-19"/>
        </w:rPr>
        <w:t> </w:t>
      </w:r>
      <w:r>
        <w:rPr/>
        <w:t>ESTADISTICO</w:t>
      </w:r>
    </w:p>
    <w:p>
      <w:pPr>
        <w:pStyle w:val="BodyText"/>
        <w:spacing w:line="276" w:lineRule="auto" w:before="250"/>
        <w:ind w:left="102" w:right="960"/>
        <w:jc w:val="both"/>
      </w:pPr>
      <w:r>
        <w:rPr/>
        <w:t>Tomando en cuenta que el estudio es de tipo retrospectivo, observacional y descriptivo, el análisis de los resultados se realizó en base a la medidas de tendencia central y medidas de frecuencia. Para el procesamiento de los datos se empleó el software SPSS15.0.</w:t>
      </w:r>
    </w:p>
    <w:p>
      <w:pPr>
        <w:pStyle w:val="BodyText"/>
      </w:pPr>
    </w:p>
    <w:p>
      <w:pPr>
        <w:pStyle w:val="BodyText"/>
      </w:pPr>
    </w:p>
    <w:p>
      <w:pPr>
        <w:pStyle w:val="BodyText"/>
        <w:spacing w:before="10"/>
        <w:rPr>
          <w:sz w:val="18"/>
        </w:rPr>
      </w:pPr>
    </w:p>
    <w:p>
      <w:pPr>
        <w:pStyle w:val="Heading1"/>
        <w:numPr>
          <w:ilvl w:val="1"/>
          <w:numId w:val="1"/>
        </w:numPr>
        <w:tabs>
          <w:tab w:pos="822" w:val="left" w:leader="none"/>
        </w:tabs>
        <w:spacing w:line="240" w:lineRule="auto" w:before="0" w:after="0"/>
        <w:ind w:left="822" w:right="0" w:hanging="360"/>
        <w:jc w:val="left"/>
      </w:pPr>
      <w:r>
        <w:rPr/>
        <w:t>IMPLICACIONES</w:t>
      </w:r>
      <w:r>
        <w:rPr>
          <w:spacing w:val="-14"/>
        </w:rPr>
        <w:t> </w:t>
      </w:r>
      <w:r>
        <w:rPr/>
        <w:t>ÉTICAS</w:t>
      </w:r>
    </w:p>
    <w:p>
      <w:pPr>
        <w:pStyle w:val="BodyText"/>
        <w:spacing w:line="276" w:lineRule="auto" w:before="251"/>
        <w:ind w:left="102" w:right="956"/>
        <w:jc w:val="both"/>
      </w:pPr>
      <w:r>
        <w:rPr/>
        <w:t>El estudio realizado tiene como implicación ética, mantener en el anonimato, los nombres de las personas registrados en cada uno de los expedientes, así como tampoco el nombre del médico que realiza el dictamen de necropsia, se contempla también no realizar extracción del libro de gobierno, de los expedientes ni del dictamen de necropsia. Por tal motivo no se incluyen estos datos en el cuadro destinado al vaciado de datos.</w:t>
      </w:r>
    </w:p>
    <w:p>
      <w:pPr>
        <w:spacing w:after="0" w:line="276" w:lineRule="auto"/>
        <w:jc w:val="both"/>
        <w:sectPr>
          <w:footerReference w:type="default" r:id="rId10"/>
          <w:pgSz w:w="12240" w:h="15840"/>
          <w:pgMar w:footer="1174" w:header="0" w:top="1500" w:bottom="1360" w:left="1600" w:right="740"/>
          <w:pgNumType w:start="21"/>
        </w:sectPr>
      </w:pPr>
    </w:p>
    <w:p>
      <w:pPr>
        <w:pStyle w:val="BodyText"/>
        <w:rPr>
          <w:sz w:val="20"/>
        </w:rPr>
      </w:pPr>
    </w:p>
    <w:p>
      <w:pPr>
        <w:pStyle w:val="BodyText"/>
        <w:spacing w:before="5"/>
        <w:rPr>
          <w:sz w:val="16"/>
        </w:rPr>
      </w:pPr>
    </w:p>
    <w:p>
      <w:pPr>
        <w:pStyle w:val="Heading1"/>
        <w:numPr>
          <w:ilvl w:val="1"/>
          <w:numId w:val="1"/>
        </w:numPr>
        <w:tabs>
          <w:tab w:pos="822" w:val="left" w:leader="none"/>
        </w:tabs>
        <w:spacing w:line="240" w:lineRule="auto" w:before="65" w:after="0"/>
        <w:ind w:left="822" w:right="0" w:hanging="360"/>
        <w:jc w:val="left"/>
      </w:pPr>
      <w:r>
        <w:rPr/>
        <w:t>ORGANIZACIÓN</w:t>
      </w:r>
    </w:p>
    <w:p>
      <w:pPr>
        <w:pStyle w:val="BodyText"/>
        <w:spacing w:before="250"/>
        <w:ind w:left="102"/>
        <w:jc w:val="both"/>
      </w:pPr>
      <w:r>
        <w:rPr/>
        <w:t>La investigación fue realizada por:</w:t>
      </w:r>
    </w:p>
    <w:p>
      <w:pPr>
        <w:pStyle w:val="BodyText"/>
        <w:spacing w:before="10"/>
        <w:rPr>
          <w:sz w:val="20"/>
        </w:rPr>
      </w:pPr>
    </w:p>
    <w:p>
      <w:pPr>
        <w:pStyle w:val="BodyText"/>
        <w:ind w:left="102"/>
        <w:jc w:val="both"/>
      </w:pPr>
      <w:r>
        <w:rPr/>
        <w:t>Director de Tesis el Especialista en Medicina Legal Rogelio Alberto Ortega Madrid.</w:t>
      </w:r>
    </w:p>
    <w:p>
      <w:pPr>
        <w:pStyle w:val="BodyText"/>
        <w:rPr>
          <w:sz w:val="21"/>
        </w:rPr>
      </w:pPr>
    </w:p>
    <w:p>
      <w:pPr>
        <w:pStyle w:val="BodyText"/>
        <w:spacing w:line="276" w:lineRule="auto" w:before="1"/>
        <w:ind w:left="102" w:right="957"/>
        <w:jc w:val="both"/>
      </w:pPr>
      <w:r>
        <w:rPr/>
        <w:t>La tesista Médico Cirujano Esmeralda Xiuthzal Cruz Franco residente del segundo año de la Especialidad en Medicina Legal, con sede en el Instituto de Servicios Periciales de la PGJ del Estado de México.</w:t>
      </w:r>
    </w:p>
    <w:p>
      <w:pPr>
        <w:pStyle w:val="BodyText"/>
        <w:spacing w:before="202"/>
        <w:ind w:left="461" w:right="940"/>
      </w:pPr>
      <w:r>
        <w:rPr/>
        <w:t>Revisores de Tesis:</w:t>
      </w:r>
    </w:p>
    <w:p>
      <w:pPr>
        <w:pStyle w:val="BodyText"/>
        <w:spacing w:before="10"/>
        <w:rPr>
          <w:sz w:val="20"/>
        </w:rPr>
      </w:pPr>
    </w:p>
    <w:p>
      <w:pPr>
        <w:spacing w:before="0"/>
        <w:ind w:left="102" w:right="0" w:firstLine="0"/>
        <w:jc w:val="both"/>
        <w:rPr>
          <w:sz w:val="22"/>
        </w:rPr>
      </w:pPr>
      <w:r>
        <w:rPr>
          <w:sz w:val="22"/>
        </w:rPr>
        <w:t>M. en I.C. HECTOR L. OCAÑA SERVIN</w:t>
      </w:r>
    </w:p>
    <w:p>
      <w:pPr>
        <w:spacing w:line="252" w:lineRule="exact" w:before="1"/>
        <w:ind w:left="102" w:right="0" w:firstLine="0"/>
        <w:jc w:val="both"/>
        <w:rPr>
          <w:sz w:val="22"/>
        </w:rPr>
      </w:pPr>
      <w:r>
        <w:rPr>
          <w:sz w:val="22"/>
        </w:rPr>
        <w:t>E. en M.L. LUZ MARÍA GONZÁLEZ GONZÁLEZ</w:t>
      </w:r>
    </w:p>
    <w:p>
      <w:pPr>
        <w:spacing w:line="252" w:lineRule="exact" w:before="0"/>
        <w:ind w:left="102" w:right="0" w:firstLine="0"/>
        <w:jc w:val="both"/>
        <w:rPr>
          <w:sz w:val="22"/>
        </w:rPr>
      </w:pPr>
      <w:r>
        <w:rPr>
          <w:sz w:val="22"/>
        </w:rPr>
        <w:t>E. en M.L. MARÍA DE LA LUZ PIEDRA PICHARDO</w:t>
      </w:r>
    </w:p>
    <w:p>
      <w:pPr>
        <w:spacing w:before="1"/>
        <w:ind w:left="102" w:right="0" w:firstLine="0"/>
        <w:jc w:val="both"/>
        <w:rPr>
          <w:sz w:val="22"/>
        </w:rPr>
      </w:pPr>
      <w:r>
        <w:rPr>
          <w:sz w:val="22"/>
        </w:rPr>
        <w:t>E. en M.L. LINETE HERNÁNDEZ GAMA</w:t>
      </w:r>
    </w:p>
    <w:p>
      <w:pPr>
        <w:pStyle w:val="BodyText"/>
        <w:rPr>
          <w:sz w:val="22"/>
        </w:rPr>
      </w:pPr>
    </w:p>
    <w:p>
      <w:pPr>
        <w:pStyle w:val="BodyText"/>
        <w:rPr>
          <w:sz w:val="22"/>
        </w:rPr>
      </w:pPr>
    </w:p>
    <w:p>
      <w:pPr>
        <w:pStyle w:val="BodyText"/>
        <w:spacing w:before="6"/>
        <w:rPr>
          <w:sz w:val="21"/>
        </w:rPr>
      </w:pPr>
    </w:p>
    <w:p>
      <w:pPr>
        <w:pStyle w:val="Heading1"/>
        <w:numPr>
          <w:ilvl w:val="1"/>
          <w:numId w:val="1"/>
        </w:numPr>
        <w:tabs>
          <w:tab w:pos="822" w:val="left" w:leader="none"/>
        </w:tabs>
        <w:spacing w:line="240" w:lineRule="auto" w:before="0" w:after="0"/>
        <w:ind w:left="822" w:right="0" w:hanging="360"/>
        <w:jc w:val="left"/>
      </w:pPr>
      <w:r>
        <w:rPr/>
        <w:t>PRESUPUESTO Y</w:t>
      </w:r>
      <w:r>
        <w:rPr>
          <w:spacing w:val="-13"/>
        </w:rPr>
        <w:t> </w:t>
      </w:r>
      <w:r>
        <w:rPr/>
        <w:t>FINANCIAMIENTO</w:t>
      </w:r>
    </w:p>
    <w:p>
      <w:pPr>
        <w:pStyle w:val="BodyText"/>
        <w:spacing w:line="276" w:lineRule="auto" w:before="248"/>
        <w:ind w:left="102" w:right="957"/>
        <w:jc w:val="both"/>
      </w:pPr>
      <w:r>
        <w:rPr/>
        <w:t>Para la realización de esta tesis se necesitó material de papelería, equipo de cómputo, impresiones y recursos para el transporte que generaron un monto de diecisiete mil pesos, los cuales fueron cubiertos con ingresos de quien realizó la presente tesis.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numPr>
          <w:ilvl w:val="1"/>
          <w:numId w:val="1"/>
        </w:numPr>
        <w:tabs>
          <w:tab w:pos="1517" w:val="left" w:leader="none"/>
          <w:tab w:pos="1518" w:val="left" w:leader="none"/>
        </w:tabs>
        <w:spacing w:line="240" w:lineRule="auto" w:before="165" w:after="0"/>
        <w:ind w:left="1518" w:right="0" w:hanging="1056"/>
        <w:jc w:val="left"/>
      </w:pPr>
      <w:r>
        <w:rPr/>
        <w:t>PRESENTACION DE</w:t>
      </w:r>
      <w:r>
        <w:rPr>
          <w:spacing w:val="-15"/>
        </w:rPr>
        <w:t> </w:t>
      </w:r>
      <w:r>
        <w:rPr/>
        <w:t>RESULTADOS</w:t>
      </w:r>
    </w:p>
    <w:p>
      <w:pPr>
        <w:spacing w:after="0" w:line="240" w:lineRule="auto"/>
        <w:jc w:val="left"/>
        <w:sectPr>
          <w:pgSz w:w="12240" w:h="15840"/>
          <w:pgMar w:header="0" w:footer="1174" w:top="1500" w:bottom="1360" w:left="1600" w:right="740"/>
        </w:sectPr>
      </w:pPr>
    </w:p>
    <w:p>
      <w:pPr>
        <w:pStyle w:val="BodyText"/>
        <w:spacing w:line="276" w:lineRule="auto" w:before="54"/>
        <w:ind w:left="222" w:right="963"/>
        <w:jc w:val="both"/>
      </w:pPr>
      <w:r>
        <w:rPr/>
        <w:t>En el cuadro uno se puede observar que la frecuencia de muertes por asfixia mecánica por sofocación en su modalidad de obstrucción de vías respiratorias por contenido gastro- esofágico en del 5.5% en relación con otras causas de muerte, durante el periodo estudiado.</w:t>
      </w:r>
    </w:p>
    <w:p>
      <w:pPr>
        <w:pStyle w:val="BodyText"/>
        <w:spacing w:line="276" w:lineRule="auto" w:before="202"/>
        <w:ind w:left="222" w:right="956"/>
        <w:jc w:val="both"/>
      </w:pPr>
      <w:r>
        <w:rPr/>
        <w:t>CUADRO 1. FRECUENCIA EN PORCENTAJE DE MUERTES POR ASFIXIA MECÁNICA, POR SOFOCACIÓN EN SU MODALIDAD DE OBSTRUCCIÓN DE VÍAS RESPIRATORIAS POR CONTENIDO GASTRO- ESOFÁGICO, EN CHIMALHUACÁN, ESTADO DE MÉXICO, 2008 A</w:t>
      </w:r>
      <w:r>
        <w:rPr>
          <w:spacing w:val="54"/>
        </w:rPr>
        <w:t> </w:t>
      </w:r>
      <w:r>
        <w:rPr/>
        <w:t>2010.”</w:t>
      </w:r>
    </w:p>
    <w:p>
      <w:pPr>
        <w:pStyle w:val="BodyText"/>
        <w:spacing w:before="8"/>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6"/>
        <w:gridCol w:w="2105"/>
        <w:gridCol w:w="1534"/>
        <w:gridCol w:w="1752"/>
        <w:gridCol w:w="1589"/>
      </w:tblGrid>
      <w:tr>
        <w:trPr>
          <w:trHeight w:val="1364" w:hRule="exact"/>
        </w:trPr>
        <w:tc>
          <w:tcPr>
            <w:tcW w:w="2076" w:type="dxa"/>
          </w:tcPr>
          <w:p>
            <w:pPr>
              <w:pStyle w:val="TableParagraph"/>
              <w:tabs>
                <w:tab w:pos="1628" w:val="left" w:leader="none"/>
              </w:tabs>
              <w:spacing w:line="276" w:lineRule="auto"/>
              <w:ind w:right="102"/>
              <w:rPr>
                <w:sz w:val="24"/>
              </w:rPr>
            </w:pPr>
            <w:r>
              <w:rPr>
                <w:sz w:val="24"/>
              </w:rPr>
              <w:t>CAUSAS</w:t>
              <w:tab/>
              <w:t>DE MUERTE</w:t>
            </w:r>
          </w:p>
        </w:tc>
        <w:tc>
          <w:tcPr>
            <w:tcW w:w="2105" w:type="dxa"/>
          </w:tcPr>
          <w:p>
            <w:pPr>
              <w:pStyle w:val="TableParagraph"/>
              <w:spacing w:line="274" w:lineRule="exact"/>
              <w:ind w:left="100"/>
              <w:rPr>
                <w:sz w:val="24"/>
              </w:rPr>
            </w:pPr>
            <w:r>
              <w:rPr>
                <w:sz w:val="24"/>
              </w:rPr>
              <w:t>ASMOVRCGE</w:t>
            </w:r>
          </w:p>
        </w:tc>
        <w:tc>
          <w:tcPr>
            <w:tcW w:w="1534" w:type="dxa"/>
          </w:tcPr>
          <w:p>
            <w:pPr>
              <w:pStyle w:val="TableParagraph"/>
              <w:spacing w:line="274" w:lineRule="exact"/>
              <w:rPr>
                <w:sz w:val="24"/>
              </w:rPr>
            </w:pPr>
            <w:r>
              <w:rPr>
                <w:sz w:val="24"/>
              </w:rPr>
              <w:t>OTRAS</w:t>
            </w:r>
          </w:p>
        </w:tc>
        <w:tc>
          <w:tcPr>
            <w:tcW w:w="1752" w:type="dxa"/>
          </w:tcPr>
          <w:p>
            <w:pPr>
              <w:pStyle w:val="TableParagraph"/>
              <w:tabs>
                <w:tab w:pos="1306" w:val="left" w:leader="none"/>
              </w:tabs>
              <w:spacing w:line="276" w:lineRule="auto"/>
              <w:ind w:right="101"/>
              <w:rPr>
                <w:sz w:val="24"/>
              </w:rPr>
            </w:pPr>
            <w:r>
              <w:rPr>
                <w:sz w:val="24"/>
              </w:rPr>
              <w:t>TOTAL</w:t>
              <w:tab/>
              <w:t>DE MUERTES</w:t>
            </w:r>
          </w:p>
        </w:tc>
        <w:tc>
          <w:tcPr>
            <w:tcW w:w="1589" w:type="dxa"/>
          </w:tcPr>
          <w:p>
            <w:pPr>
              <w:pStyle w:val="TableParagraph"/>
              <w:spacing w:line="274" w:lineRule="exact"/>
              <w:rPr>
                <w:sz w:val="24"/>
              </w:rPr>
            </w:pPr>
            <w:r>
              <w:rPr>
                <w:w w:val="99"/>
                <w:sz w:val="24"/>
              </w:rPr>
              <w:t>%</w:t>
            </w:r>
          </w:p>
        </w:tc>
      </w:tr>
      <w:tr>
        <w:trPr>
          <w:trHeight w:val="526" w:hRule="exact"/>
        </w:trPr>
        <w:tc>
          <w:tcPr>
            <w:tcW w:w="2076" w:type="dxa"/>
          </w:tcPr>
          <w:p>
            <w:pPr>
              <w:pStyle w:val="TableParagraph"/>
              <w:spacing w:line="274" w:lineRule="exact"/>
              <w:ind w:right="102"/>
              <w:rPr>
                <w:sz w:val="24"/>
              </w:rPr>
            </w:pPr>
            <w:r>
              <w:rPr>
                <w:sz w:val="24"/>
              </w:rPr>
              <w:t>CASOS</w:t>
            </w:r>
          </w:p>
        </w:tc>
        <w:tc>
          <w:tcPr>
            <w:tcW w:w="2105" w:type="dxa"/>
          </w:tcPr>
          <w:p>
            <w:pPr>
              <w:pStyle w:val="TableParagraph"/>
              <w:spacing w:line="274" w:lineRule="exact"/>
              <w:ind w:left="100"/>
              <w:rPr>
                <w:sz w:val="24"/>
              </w:rPr>
            </w:pPr>
            <w:r>
              <w:rPr>
                <w:sz w:val="24"/>
              </w:rPr>
              <w:t>28</w:t>
            </w:r>
          </w:p>
        </w:tc>
        <w:tc>
          <w:tcPr>
            <w:tcW w:w="1534" w:type="dxa"/>
          </w:tcPr>
          <w:p>
            <w:pPr>
              <w:pStyle w:val="TableParagraph"/>
              <w:spacing w:line="274" w:lineRule="exact"/>
              <w:rPr>
                <w:sz w:val="24"/>
              </w:rPr>
            </w:pPr>
            <w:r>
              <w:rPr>
                <w:sz w:val="24"/>
              </w:rPr>
              <w:t>276</w:t>
            </w:r>
          </w:p>
        </w:tc>
        <w:tc>
          <w:tcPr>
            <w:tcW w:w="1752" w:type="dxa"/>
          </w:tcPr>
          <w:p>
            <w:pPr>
              <w:pStyle w:val="TableParagraph"/>
              <w:spacing w:line="274" w:lineRule="exact"/>
              <w:ind w:right="101"/>
              <w:rPr>
                <w:sz w:val="24"/>
              </w:rPr>
            </w:pPr>
            <w:r>
              <w:rPr>
                <w:sz w:val="24"/>
              </w:rPr>
              <w:t>504</w:t>
            </w:r>
          </w:p>
        </w:tc>
        <w:tc>
          <w:tcPr>
            <w:tcW w:w="1589" w:type="dxa"/>
          </w:tcPr>
          <w:p>
            <w:pPr>
              <w:pStyle w:val="TableParagraph"/>
              <w:spacing w:line="274" w:lineRule="exact"/>
              <w:rPr>
                <w:sz w:val="24"/>
              </w:rPr>
            </w:pPr>
            <w:r>
              <w:rPr>
                <w:sz w:val="24"/>
              </w:rPr>
              <w:t>5.5 %</w:t>
            </w:r>
          </w:p>
        </w:tc>
      </w:tr>
    </w:tbl>
    <w:p>
      <w:pPr>
        <w:spacing w:line="278" w:lineRule="auto" w:before="0"/>
        <w:ind w:left="222" w:right="959" w:firstLine="0"/>
        <w:jc w:val="both"/>
        <w:rPr>
          <w:sz w:val="22"/>
        </w:rPr>
      </w:pPr>
      <w:r>
        <w:rPr>
          <w:sz w:val="22"/>
        </w:rPr>
        <w:t>FUENTE: LIBRO DE GOBIERNO DE REGISTRO DE NECROPSIAS DE CHIMALHUACAN MEXICO, 2008-2010.</w:t>
      </w:r>
    </w:p>
    <w:p>
      <w:pPr>
        <w:pStyle w:val="BodyText"/>
        <w:spacing w:line="276" w:lineRule="auto" w:before="197"/>
        <w:ind w:left="222" w:right="956"/>
        <w:jc w:val="both"/>
      </w:pPr>
      <w:r>
        <w:rPr/>
        <w:t>GRAFICA1. FRECUENCIA EN PORCENTAJE DE MUERTES POR ASFIXIA MECÁNICA, POR SOFOCACIÓN EN SU MODALIDAD DE OBSTRUCCIÓN DE VÍAS RESPIRATORIAS POR CONTENIDO GASTRO- ESOFÁGICO, EN CHIMALHUACÁN, ESTADO DE MÉXICO, 2008 A</w:t>
      </w:r>
      <w:r>
        <w:rPr>
          <w:spacing w:val="54"/>
        </w:rPr>
        <w:t> </w:t>
      </w:r>
      <w:r>
        <w:rPr/>
        <w:t>2010.”</w:t>
      </w:r>
    </w:p>
    <w:p>
      <w:pPr>
        <w:pStyle w:val="BodyText"/>
        <w:spacing w:before="5"/>
        <w:rPr>
          <w:sz w:val="13"/>
        </w:rPr>
      </w:pPr>
      <w:r>
        <w:rPr/>
        <w:pict>
          <v:group style="position:absolute;margin-left:86.175003pt;margin-top:9.721091pt;width:360.75pt;height:216.75pt;mso-position-horizontal-relative:page;mso-position-vertical-relative:paragraph;z-index:1120;mso-wrap-distance-left:0;mso-wrap-distance-right:0" coordorigin="1724,194" coordsize="7215,4335">
            <v:shape style="position:absolute;left:2278;top:690;width:4140;height:3343" type="#_x0000_t75" stroked="false">
              <v:imagedata r:id="rId11" o:title=""/>
            </v:shape>
            <v:rect style="position:absolute;left:7064;top:1884;width:110;height:110" filled="true" fillcolor="#4f81bc" stroked="false">
              <v:fill type="solid"/>
            </v:rect>
            <v:rect style="position:absolute;left:7064;top:2488;width:110;height:110" filled="true" fillcolor="#c0504d" stroked="false">
              <v:fill type="solid"/>
            </v:rect>
            <v:rect style="position:absolute;left:1731;top:202;width:7200;height:4320" filled="false" stroked="true" strokeweight=".75pt" strokecolor="#858585"/>
            <v:shape style="position:absolute;left:4553;top:918;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744;top:270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95%</w:t>
                    </w:r>
                  </w:p>
                </w:txbxContent>
              </v:textbox>
              <w10:wrap type="none"/>
            </v:shape>
            <v:shape style="position:absolute;left:7223;top:1848;width:1506;height:1048" type="#_x0000_t202" filled="false" stroked="false">
              <v:textbox inset="0,0,0,0">
                <w:txbxContent>
                  <w:p>
                    <w:pPr>
                      <w:spacing w:line="203" w:lineRule="exact" w:before="0"/>
                      <w:ind w:left="0" w:right="-13" w:firstLine="0"/>
                      <w:jc w:val="left"/>
                      <w:rPr>
                        <w:rFonts w:ascii="Calibri"/>
                        <w:sz w:val="20"/>
                      </w:rPr>
                    </w:pPr>
                    <w:r>
                      <w:rPr>
                        <w:rFonts w:ascii="Calibri"/>
                        <w:sz w:val="20"/>
                      </w:rPr>
                      <w:t>MUERTES POR</w:t>
                    </w:r>
                  </w:p>
                  <w:p>
                    <w:pPr>
                      <w:spacing w:before="0"/>
                      <w:ind w:left="0" w:right="-13" w:firstLine="0"/>
                      <w:jc w:val="left"/>
                      <w:rPr>
                        <w:rFonts w:ascii="Calibri"/>
                        <w:sz w:val="20"/>
                      </w:rPr>
                    </w:pPr>
                    <w:r>
                      <w:rPr>
                        <w:rFonts w:ascii="Calibri"/>
                        <w:sz w:val="20"/>
                      </w:rPr>
                      <w:t>SMOVRCGE</w:t>
                    </w:r>
                  </w:p>
                  <w:p>
                    <w:pPr>
                      <w:spacing w:before="114"/>
                      <w:ind w:left="0" w:right="-13" w:firstLine="0"/>
                      <w:jc w:val="left"/>
                      <w:rPr>
                        <w:rFonts w:ascii="Calibri"/>
                        <w:sz w:val="20"/>
                      </w:rPr>
                    </w:pPr>
                    <w:r>
                      <w:rPr>
                        <w:rFonts w:ascii="Calibri"/>
                        <w:sz w:val="20"/>
                      </w:rPr>
                      <w:t>OTRAS CAUSAS</w:t>
                    </w:r>
                    <w:r>
                      <w:rPr>
                        <w:rFonts w:ascii="Calibri"/>
                        <w:spacing w:val="-9"/>
                        <w:sz w:val="20"/>
                      </w:rPr>
                      <w:t> </w:t>
                    </w:r>
                    <w:r>
                      <w:rPr>
                        <w:rFonts w:ascii="Calibri"/>
                        <w:sz w:val="20"/>
                      </w:rPr>
                      <w:t>DE MUERTE</w:t>
                    </w:r>
                  </w:p>
                </w:txbxContent>
              </v:textbox>
              <w10:wrap type="none"/>
            </v:shape>
            <w10:wrap type="topAndBottom"/>
          </v:group>
        </w:pict>
      </w:r>
    </w:p>
    <w:p>
      <w:pPr>
        <w:spacing w:before="204"/>
        <w:ind w:left="222" w:right="0" w:firstLine="0"/>
        <w:jc w:val="both"/>
        <w:rPr>
          <w:sz w:val="22"/>
        </w:rPr>
      </w:pPr>
      <w:r>
        <w:rPr>
          <w:sz w:val="22"/>
        </w:rPr>
        <w:t>FUENTE: CUADRO 1.</w:t>
      </w:r>
    </w:p>
    <w:p>
      <w:pPr>
        <w:spacing w:after="0"/>
        <w:jc w:val="both"/>
        <w:rPr>
          <w:sz w:val="22"/>
        </w:rPr>
        <w:sectPr>
          <w:pgSz w:w="12240" w:h="15840"/>
          <w:pgMar w:header="0" w:footer="1174" w:top="1360" w:bottom="1360" w:left="1480" w:right="740"/>
        </w:sectPr>
      </w:pPr>
    </w:p>
    <w:p>
      <w:pPr>
        <w:pStyle w:val="BodyText"/>
        <w:spacing w:line="276" w:lineRule="auto" w:before="54"/>
        <w:ind w:left="222" w:right="964"/>
        <w:jc w:val="both"/>
      </w:pPr>
      <w:r>
        <w:rPr/>
        <w:t>En el cuadro número dos es evidente que durante el periodo comprendido de 2008 a 2009, la frecuencia de esta causa de muertes fue menor en relación al periodo 2009  a 2010.</w:t>
      </w:r>
    </w:p>
    <w:p>
      <w:pPr>
        <w:pStyle w:val="BodyText"/>
        <w:spacing w:line="276" w:lineRule="auto" w:before="200" w:after="5"/>
        <w:ind w:left="222" w:right="955"/>
        <w:jc w:val="both"/>
      </w:pPr>
      <w:r>
        <w:rPr/>
        <w:t>CUADRO 2. DE FRECUENCIA DE MUERTES POR ASFIXIA MECÁNICA, POR SOFOCACIÓN EN SU MODALIDAD DE OBSTRUCCIÓN DE VÍAS RESPIRATORIAS POR CONTENIDO GASTRO- ESOFÁGICO, POR GENERO Y POR PERIODO ANUAL EN CHIMALHUACÁN, ESTADO DE MÉXICO, 2008 A 2010.</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8"/>
        <w:gridCol w:w="2132"/>
        <w:gridCol w:w="1551"/>
        <w:gridCol w:w="1553"/>
        <w:gridCol w:w="1772"/>
      </w:tblGrid>
      <w:tr>
        <w:trPr>
          <w:trHeight w:val="936" w:hRule="exact"/>
        </w:trPr>
        <w:tc>
          <w:tcPr>
            <w:tcW w:w="1978" w:type="dxa"/>
          </w:tcPr>
          <w:p>
            <w:pPr>
              <w:pStyle w:val="TableParagraph"/>
              <w:spacing w:line="265" w:lineRule="exact"/>
              <w:rPr>
                <w:rFonts w:ascii="Calibri"/>
                <w:sz w:val="22"/>
              </w:rPr>
            </w:pPr>
            <w:r>
              <w:rPr>
                <w:rFonts w:ascii="Calibri"/>
                <w:sz w:val="22"/>
              </w:rPr>
              <w:t>PERIODO</w:t>
            </w:r>
          </w:p>
        </w:tc>
        <w:tc>
          <w:tcPr>
            <w:tcW w:w="2132" w:type="dxa"/>
          </w:tcPr>
          <w:p>
            <w:pPr>
              <w:pStyle w:val="TableParagraph"/>
              <w:spacing w:line="276" w:lineRule="auto"/>
              <w:ind w:left="100" w:right="701"/>
              <w:rPr>
                <w:rFonts w:ascii="Calibri"/>
                <w:sz w:val="22"/>
              </w:rPr>
            </w:pPr>
            <w:r>
              <w:rPr>
                <w:rFonts w:ascii="Calibri"/>
                <w:sz w:val="22"/>
              </w:rPr>
              <w:t>MUERTES POR ASMOVRCGE</w:t>
            </w:r>
          </w:p>
        </w:tc>
        <w:tc>
          <w:tcPr>
            <w:tcW w:w="1551" w:type="dxa"/>
          </w:tcPr>
          <w:p>
            <w:pPr>
              <w:pStyle w:val="TableParagraph"/>
              <w:spacing w:line="265" w:lineRule="exact"/>
              <w:rPr>
                <w:rFonts w:ascii="Calibri"/>
                <w:sz w:val="22"/>
              </w:rPr>
            </w:pPr>
            <w:r>
              <w:rPr>
                <w:rFonts w:ascii="Calibri"/>
                <w:w w:val="100"/>
                <w:sz w:val="22"/>
              </w:rPr>
              <w:t>%</w:t>
            </w:r>
          </w:p>
        </w:tc>
        <w:tc>
          <w:tcPr>
            <w:tcW w:w="1553" w:type="dxa"/>
          </w:tcPr>
          <w:p>
            <w:pPr>
              <w:pStyle w:val="TableParagraph"/>
              <w:spacing w:line="276" w:lineRule="auto"/>
              <w:ind w:right="412"/>
              <w:rPr>
                <w:rFonts w:ascii="Calibri"/>
                <w:sz w:val="22"/>
              </w:rPr>
            </w:pPr>
            <w:r>
              <w:rPr>
                <w:rFonts w:ascii="Calibri"/>
                <w:sz w:val="22"/>
              </w:rPr>
              <w:t>OTRAS CAUSAS DE MUERTE</w:t>
            </w:r>
          </w:p>
        </w:tc>
        <w:tc>
          <w:tcPr>
            <w:tcW w:w="1772" w:type="dxa"/>
          </w:tcPr>
          <w:p>
            <w:pPr>
              <w:pStyle w:val="TableParagraph"/>
              <w:spacing w:line="276" w:lineRule="auto"/>
              <w:ind w:left="100" w:right="769"/>
              <w:rPr>
                <w:rFonts w:ascii="Calibri"/>
                <w:sz w:val="22"/>
              </w:rPr>
            </w:pPr>
            <w:r>
              <w:rPr>
                <w:rFonts w:ascii="Calibri"/>
                <w:sz w:val="22"/>
              </w:rPr>
              <w:t>TOTAL DE MUERTES</w:t>
            </w:r>
          </w:p>
        </w:tc>
      </w:tr>
      <w:tr>
        <w:trPr>
          <w:trHeight w:val="627" w:hRule="exact"/>
        </w:trPr>
        <w:tc>
          <w:tcPr>
            <w:tcW w:w="1978" w:type="dxa"/>
          </w:tcPr>
          <w:p>
            <w:pPr>
              <w:pStyle w:val="TableParagraph"/>
              <w:spacing w:line="266" w:lineRule="exact"/>
              <w:rPr>
                <w:rFonts w:ascii="Calibri"/>
                <w:sz w:val="22"/>
              </w:rPr>
            </w:pPr>
            <w:r>
              <w:rPr>
                <w:rFonts w:ascii="Calibri"/>
                <w:sz w:val="22"/>
              </w:rPr>
              <w:t>01 DE JULIO 2008</w:t>
            </w:r>
          </w:p>
          <w:p>
            <w:pPr>
              <w:pStyle w:val="TableParagraph"/>
              <w:spacing w:line="240" w:lineRule="auto" w:before="41"/>
              <w:rPr>
                <w:rFonts w:ascii="Calibri"/>
                <w:sz w:val="22"/>
              </w:rPr>
            </w:pPr>
            <w:r>
              <w:rPr>
                <w:rFonts w:ascii="Calibri"/>
                <w:sz w:val="22"/>
              </w:rPr>
              <w:t>AL 30 JUNIO 2009</w:t>
            </w:r>
          </w:p>
        </w:tc>
        <w:tc>
          <w:tcPr>
            <w:tcW w:w="2132" w:type="dxa"/>
          </w:tcPr>
          <w:p>
            <w:pPr>
              <w:pStyle w:val="TableParagraph"/>
              <w:spacing w:line="266" w:lineRule="exact"/>
              <w:ind w:left="100" w:right="701"/>
              <w:rPr>
                <w:rFonts w:ascii="Calibri"/>
                <w:sz w:val="22"/>
              </w:rPr>
            </w:pPr>
            <w:r>
              <w:rPr>
                <w:rFonts w:ascii="Calibri"/>
                <w:sz w:val="22"/>
              </w:rPr>
              <w:t>11</w:t>
            </w:r>
          </w:p>
        </w:tc>
        <w:tc>
          <w:tcPr>
            <w:tcW w:w="1551" w:type="dxa"/>
          </w:tcPr>
          <w:p>
            <w:pPr>
              <w:pStyle w:val="TableParagraph"/>
              <w:spacing w:line="266" w:lineRule="exact"/>
              <w:rPr>
                <w:rFonts w:ascii="Calibri"/>
                <w:sz w:val="22"/>
              </w:rPr>
            </w:pPr>
            <w:r>
              <w:rPr>
                <w:rFonts w:ascii="Calibri"/>
                <w:sz w:val="22"/>
              </w:rPr>
              <w:t>4.9</w:t>
            </w:r>
          </w:p>
        </w:tc>
        <w:tc>
          <w:tcPr>
            <w:tcW w:w="1553" w:type="dxa"/>
          </w:tcPr>
          <w:p>
            <w:pPr>
              <w:pStyle w:val="TableParagraph"/>
              <w:spacing w:line="266" w:lineRule="exact"/>
              <w:ind w:right="412"/>
              <w:rPr>
                <w:rFonts w:ascii="Calibri"/>
                <w:sz w:val="22"/>
              </w:rPr>
            </w:pPr>
            <w:r>
              <w:rPr>
                <w:rFonts w:ascii="Calibri"/>
                <w:sz w:val="22"/>
              </w:rPr>
              <w:t>224</w:t>
            </w:r>
          </w:p>
        </w:tc>
        <w:tc>
          <w:tcPr>
            <w:tcW w:w="1772" w:type="dxa"/>
          </w:tcPr>
          <w:p>
            <w:pPr>
              <w:pStyle w:val="TableParagraph"/>
              <w:spacing w:line="266" w:lineRule="exact"/>
              <w:ind w:left="100" w:right="769"/>
              <w:rPr>
                <w:rFonts w:ascii="Calibri"/>
                <w:sz w:val="22"/>
              </w:rPr>
            </w:pPr>
            <w:r>
              <w:rPr>
                <w:rFonts w:ascii="Calibri"/>
                <w:sz w:val="22"/>
              </w:rPr>
              <w:t>235</w:t>
            </w:r>
          </w:p>
        </w:tc>
      </w:tr>
      <w:tr>
        <w:trPr>
          <w:trHeight w:val="938" w:hRule="exact"/>
        </w:trPr>
        <w:tc>
          <w:tcPr>
            <w:tcW w:w="1978" w:type="dxa"/>
          </w:tcPr>
          <w:p>
            <w:pPr>
              <w:pStyle w:val="TableParagraph"/>
              <w:spacing w:line="276" w:lineRule="auto"/>
              <w:ind w:right="279"/>
              <w:rPr>
                <w:rFonts w:ascii="Calibri"/>
                <w:sz w:val="22"/>
              </w:rPr>
            </w:pPr>
            <w:r>
              <w:rPr>
                <w:rFonts w:ascii="Calibri"/>
                <w:sz w:val="22"/>
              </w:rPr>
              <w:t>01 DE JULIO 2009 AL 30 DE JUNIO 2010</w:t>
            </w:r>
          </w:p>
        </w:tc>
        <w:tc>
          <w:tcPr>
            <w:tcW w:w="2132" w:type="dxa"/>
          </w:tcPr>
          <w:p>
            <w:pPr>
              <w:pStyle w:val="TableParagraph"/>
              <w:spacing w:line="268" w:lineRule="exact"/>
              <w:ind w:left="100" w:right="701"/>
              <w:rPr>
                <w:rFonts w:ascii="Calibri"/>
                <w:sz w:val="22"/>
              </w:rPr>
            </w:pPr>
            <w:r>
              <w:rPr>
                <w:rFonts w:ascii="Calibri"/>
                <w:sz w:val="22"/>
              </w:rPr>
              <w:t>17</w:t>
            </w:r>
          </w:p>
        </w:tc>
        <w:tc>
          <w:tcPr>
            <w:tcW w:w="1551" w:type="dxa"/>
          </w:tcPr>
          <w:p>
            <w:pPr>
              <w:pStyle w:val="TableParagraph"/>
              <w:spacing w:line="268" w:lineRule="exact"/>
              <w:rPr>
                <w:rFonts w:ascii="Calibri"/>
                <w:sz w:val="22"/>
              </w:rPr>
            </w:pPr>
            <w:r>
              <w:rPr>
                <w:rFonts w:ascii="Calibri"/>
                <w:sz w:val="22"/>
              </w:rPr>
              <w:t>6.7</w:t>
            </w:r>
          </w:p>
        </w:tc>
        <w:tc>
          <w:tcPr>
            <w:tcW w:w="1553" w:type="dxa"/>
          </w:tcPr>
          <w:p>
            <w:pPr>
              <w:pStyle w:val="TableParagraph"/>
              <w:spacing w:line="268" w:lineRule="exact"/>
              <w:ind w:right="412"/>
              <w:rPr>
                <w:rFonts w:ascii="Calibri"/>
                <w:sz w:val="22"/>
              </w:rPr>
            </w:pPr>
            <w:r>
              <w:rPr>
                <w:rFonts w:ascii="Calibri"/>
                <w:sz w:val="22"/>
              </w:rPr>
              <w:t>252</w:t>
            </w:r>
          </w:p>
        </w:tc>
        <w:tc>
          <w:tcPr>
            <w:tcW w:w="1772" w:type="dxa"/>
          </w:tcPr>
          <w:p>
            <w:pPr>
              <w:pStyle w:val="TableParagraph"/>
              <w:spacing w:line="268" w:lineRule="exact"/>
              <w:ind w:left="100" w:right="769"/>
              <w:rPr>
                <w:rFonts w:ascii="Calibri"/>
                <w:sz w:val="22"/>
              </w:rPr>
            </w:pPr>
            <w:r>
              <w:rPr>
                <w:rFonts w:ascii="Calibri"/>
                <w:sz w:val="22"/>
              </w:rPr>
              <w:t>269</w:t>
            </w:r>
          </w:p>
        </w:tc>
      </w:tr>
      <w:tr>
        <w:trPr>
          <w:trHeight w:val="319" w:hRule="exact"/>
        </w:trPr>
        <w:tc>
          <w:tcPr>
            <w:tcW w:w="1978" w:type="dxa"/>
          </w:tcPr>
          <w:p>
            <w:pPr>
              <w:pStyle w:val="TableParagraph"/>
              <w:spacing w:line="265" w:lineRule="exact"/>
              <w:rPr>
                <w:rFonts w:ascii="Calibri"/>
                <w:sz w:val="22"/>
              </w:rPr>
            </w:pPr>
            <w:r>
              <w:rPr>
                <w:rFonts w:ascii="Calibri"/>
                <w:sz w:val="22"/>
              </w:rPr>
              <w:t>TOTAL</w:t>
            </w:r>
          </w:p>
        </w:tc>
        <w:tc>
          <w:tcPr>
            <w:tcW w:w="2132" w:type="dxa"/>
          </w:tcPr>
          <w:p>
            <w:pPr>
              <w:pStyle w:val="TableParagraph"/>
              <w:spacing w:line="265" w:lineRule="exact"/>
              <w:ind w:left="100" w:right="701"/>
              <w:rPr>
                <w:rFonts w:ascii="Calibri"/>
                <w:sz w:val="22"/>
              </w:rPr>
            </w:pPr>
            <w:r>
              <w:rPr>
                <w:rFonts w:ascii="Calibri"/>
                <w:sz w:val="22"/>
              </w:rPr>
              <w:t>28</w:t>
            </w:r>
          </w:p>
        </w:tc>
        <w:tc>
          <w:tcPr>
            <w:tcW w:w="1551" w:type="dxa"/>
          </w:tcPr>
          <w:p>
            <w:pPr/>
          </w:p>
        </w:tc>
        <w:tc>
          <w:tcPr>
            <w:tcW w:w="1553" w:type="dxa"/>
          </w:tcPr>
          <w:p>
            <w:pPr>
              <w:pStyle w:val="TableParagraph"/>
              <w:spacing w:line="265" w:lineRule="exact"/>
              <w:ind w:right="412"/>
              <w:rPr>
                <w:rFonts w:ascii="Calibri"/>
                <w:sz w:val="22"/>
              </w:rPr>
            </w:pPr>
            <w:r>
              <w:rPr>
                <w:rFonts w:ascii="Calibri"/>
                <w:sz w:val="22"/>
              </w:rPr>
              <w:t>476</w:t>
            </w:r>
          </w:p>
        </w:tc>
        <w:tc>
          <w:tcPr>
            <w:tcW w:w="1772" w:type="dxa"/>
          </w:tcPr>
          <w:p>
            <w:pPr>
              <w:pStyle w:val="TableParagraph"/>
              <w:spacing w:line="265" w:lineRule="exact"/>
              <w:ind w:left="100" w:right="769"/>
              <w:rPr>
                <w:rFonts w:ascii="Calibri"/>
                <w:sz w:val="22"/>
              </w:rPr>
            </w:pPr>
            <w:r>
              <w:rPr>
                <w:rFonts w:ascii="Calibri"/>
                <w:sz w:val="22"/>
              </w:rPr>
              <w:t>504</w:t>
            </w:r>
          </w:p>
        </w:tc>
      </w:tr>
    </w:tbl>
    <w:p>
      <w:pPr>
        <w:spacing w:line="237" w:lineRule="auto" w:before="0"/>
        <w:ind w:left="222" w:right="958" w:firstLine="0"/>
        <w:jc w:val="both"/>
        <w:rPr>
          <w:sz w:val="24"/>
        </w:rPr>
      </w:pPr>
      <w:r>
        <w:rPr>
          <w:sz w:val="22"/>
        </w:rPr>
        <w:t>FUENTE: LIBRO DE GOBIERNO DE REGISTRO DE NECROPSIAS DE CHIMALHUACAN MEXICO, 2008-2010</w:t>
      </w:r>
      <w:r>
        <w:rPr>
          <w:sz w:val="24"/>
        </w:rPr>
        <w:t>.</w:t>
      </w:r>
    </w:p>
    <w:p>
      <w:pPr>
        <w:pStyle w:val="BodyText"/>
      </w:pPr>
    </w:p>
    <w:p>
      <w:pPr>
        <w:pStyle w:val="BodyText"/>
        <w:spacing w:before="199"/>
        <w:ind w:left="222" w:right="955"/>
        <w:jc w:val="both"/>
      </w:pPr>
      <w:r>
        <w:rPr/>
        <w:t>GRAFICA 2. DE FRECUENCIA DE MUERTES POR ASFIXIA MECÁNICA, POR SOFOCACIÓN EN SU MODALIDAD DE OBSTRUCCIÓN DE VÍAS RESPIRATORIAS POR CONTENIDO GASTRO- ESOFÁGICO, POR GENERO Y POR PERIODO ANUAL EN CHIMALHUACÁN, ESTADO DE MÉXICO, 2008 A 2010.”</w:t>
      </w:r>
    </w:p>
    <w:p>
      <w:pPr>
        <w:pStyle w:val="BodyText"/>
        <w:spacing w:before="5"/>
        <w:rPr>
          <w:sz w:val="13"/>
        </w:rPr>
      </w:pPr>
      <w:r>
        <w:rPr/>
        <w:pict>
          <v:group style="position:absolute;margin-left:86.175003pt;margin-top:9.689028pt;width:360.75pt;height:216.75pt;mso-position-horizontal-relative:page;mso-position-vertical-relative:paragraph;z-index:1240;mso-wrap-distance-left:0;mso-wrap-distance-right:0" coordorigin="1724,194" coordsize="7215,4335">
            <v:line style="position:absolute" from="2546,3435" to="6811,3435" stroked="true" strokeweight=".72pt" strokecolor="#858585"/>
            <v:line style="position:absolute" from="2546,3094" to="6811,3094" stroked="true" strokeweight=".72pt" strokecolor="#858585"/>
            <v:line style="position:absolute" from="2546,2751" to="6811,2751" stroked="true" strokeweight=".72pt" strokecolor="#858585"/>
            <v:line style="position:absolute" from="2546,2410" to="6811,2410" stroked="true" strokeweight=".72pt" strokecolor="#858585"/>
            <v:line style="position:absolute" from="2546,2069" to="6811,2069" stroked="true" strokeweight=".72pt" strokecolor="#858585"/>
            <v:line style="position:absolute" from="2546,1726" to="6811,1726" stroked="true" strokeweight=".72pt" strokecolor="#858585"/>
            <v:line style="position:absolute" from="2546,1385" to="6811,1385" stroked="true" strokeweight=".72pt" strokecolor="#858585"/>
            <v:line style="position:absolute" from="2546,1045" to="6811,1045" stroked="true" strokeweight=".72pt" strokecolor="#858585"/>
            <v:line style="position:absolute" from="2546,3778" to="2546,1045" stroked="true" strokeweight=".72pt" strokecolor="#858585"/>
            <v:line style="position:absolute" from="2482,3778" to="2546,3778" stroked="true" strokeweight=".72pt" strokecolor="#858585"/>
            <v:line style="position:absolute" from="2482,3435" to="2546,3435" stroked="true" strokeweight=".72pt" strokecolor="#858585"/>
            <v:line style="position:absolute" from="2482,3094" to="2546,3094" stroked="true" strokeweight=".72pt" strokecolor="#858585"/>
            <v:line style="position:absolute" from="2482,2751" to="2546,2751" stroked="true" strokeweight=".72pt" strokecolor="#858585"/>
            <v:line style="position:absolute" from="2482,2410" to="2546,2410" stroked="true" strokeweight=".72pt" strokecolor="#858585"/>
            <v:line style="position:absolute" from="2482,2069" to="2546,2069" stroked="true" strokeweight=".72pt" strokecolor="#858585"/>
            <v:line style="position:absolute" from="2482,1726" to="2546,1726" stroked="true" strokeweight=".72pt" strokecolor="#858585"/>
            <v:line style="position:absolute" from="2482,1385" to="2546,1385" stroked="true" strokeweight=".72pt" strokecolor="#858585"/>
            <v:line style="position:absolute" from="2482,1045" to="2546,1045" stroked="true" strokeweight=".72pt" strokecolor="#858585"/>
            <v:line style="position:absolute" from="2546,3778" to="6811,3778" stroked="true" strokeweight=".72pt" strokecolor="#858585"/>
            <v:line style="position:absolute" from="2546,3778" to="2546,3841" stroked="true" strokeweight=".72pt" strokecolor="#858585"/>
            <v:line style="position:absolute" from="4678,3778" to="4678,3841" stroked="true" strokeweight=".72pt" strokecolor="#858585"/>
            <v:line style="position:absolute" from="6811,3778" to="6811,3841" stroked="true" strokeweight=".72pt" strokecolor="#858585"/>
            <v:line style="position:absolute" from="3612,2103" to="5746,1489" stroked="true" strokeweight="2.16pt" strokecolor="#497dba"/>
            <v:line style="position:absolute" from="7123,2552" to="7507,2552" stroked="true" strokeweight="2.16pt" strokecolor="#497dba"/>
            <v:rect style="position:absolute;left:1731;top:201;width:7200;height:4320" filled="false" stroked="true" strokeweight=".75pt" strokecolor="#858585"/>
            <v:shape style="position:absolute;left:3232;top:426;width:4198;height:360" type="#_x0000_t202" filled="false" stroked="false">
              <v:textbox inset="0,0,0,0">
                <w:txbxContent>
                  <w:p>
                    <w:pPr>
                      <w:spacing w:line="360" w:lineRule="exact" w:before="0"/>
                      <w:ind w:left="0" w:right="-13" w:firstLine="0"/>
                      <w:jc w:val="left"/>
                      <w:rPr>
                        <w:rFonts w:ascii="Calibri"/>
                        <w:b/>
                        <w:sz w:val="36"/>
                      </w:rPr>
                    </w:pPr>
                    <w:r>
                      <w:rPr>
                        <w:rFonts w:ascii="Calibri"/>
                        <w:b/>
                        <w:sz w:val="36"/>
                      </w:rPr>
                      <w:t>MUERTES POR</w:t>
                    </w:r>
                    <w:r>
                      <w:rPr>
                        <w:rFonts w:ascii="Calibri"/>
                        <w:b/>
                        <w:spacing w:val="-20"/>
                        <w:sz w:val="36"/>
                      </w:rPr>
                      <w:t> </w:t>
                    </w:r>
                    <w:r>
                      <w:rPr>
                        <w:rFonts w:ascii="Calibri"/>
                        <w:b/>
                        <w:sz w:val="36"/>
                      </w:rPr>
                      <w:t>ASMOVRPGE</w:t>
                    </w:r>
                  </w:p>
                </w:txbxContent>
              </v:textbox>
              <w10:wrap type="none"/>
            </v:shape>
            <v:shape style="position:absolute;left:1861;top:951;width:498;height:2933" type="#_x0000_t202" filled="false" stroked="false">
              <v:textbox inset="0,0,0,0">
                <w:txbxContent>
                  <w:p>
                    <w:pPr>
                      <w:spacing w:line="203" w:lineRule="exact" w:before="0"/>
                      <w:ind w:left="0" w:right="0" w:firstLine="0"/>
                      <w:jc w:val="left"/>
                      <w:rPr>
                        <w:rFonts w:ascii="Calibri"/>
                        <w:sz w:val="20"/>
                      </w:rPr>
                    </w:pPr>
                    <w:r>
                      <w:rPr>
                        <w:rFonts w:ascii="Calibri"/>
                        <w:w w:val="95"/>
                        <w:sz w:val="20"/>
                      </w:rPr>
                      <w:t>8.00%</w:t>
                    </w:r>
                  </w:p>
                  <w:p>
                    <w:pPr>
                      <w:spacing w:before="97"/>
                      <w:ind w:left="0" w:right="0" w:firstLine="0"/>
                      <w:jc w:val="left"/>
                      <w:rPr>
                        <w:rFonts w:ascii="Calibri"/>
                        <w:sz w:val="20"/>
                      </w:rPr>
                    </w:pPr>
                    <w:r>
                      <w:rPr>
                        <w:rFonts w:ascii="Calibri"/>
                        <w:w w:val="95"/>
                        <w:sz w:val="20"/>
                      </w:rPr>
                      <w:t>7.00%</w:t>
                    </w:r>
                  </w:p>
                  <w:p>
                    <w:pPr>
                      <w:spacing w:before="97"/>
                      <w:ind w:left="0" w:right="0" w:firstLine="0"/>
                      <w:jc w:val="left"/>
                      <w:rPr>
                        <w:rFonts w:ascii="Calibri"/>
                        <w:sz w:val="20"/>
                      </w:rPr>
                    </w:pPr>
                    <w:r>
                      <w:rPr>
                        <w:rFonts w:ascii="Calibri"/>
                        <w:w w:val="95"/>
                        <w:sz w:val="20"/>
                      </w:rPr>
                      <w:t>6.00%</w:t>
                    </w:r>
                  </w:p>
                  <w:p>
                    <w:pPr>
                      <w:spacing w:before="97"/>
                      <w:ind w:left="0" w:right="0" w:firstLine="0"/>
                      <w:jc w:val="left"/>
                      <w:rPr>
                        <w:rFonts w:ascii="Calibri"/>
                        <w:sz w:val="20"/>
                      </w:rPr>
                    </w:pPr>
                    <w:r>
                      <w:rPr>
                        <w:rFonts w:ascii="Calibri"/>
                        <w:w w:val="95"/>
                        <w:sz w:val="20"/>
                      </w:rPr>
                      <w:t>5.00%</w:t>
                    </w:r>
                  </w:p>
                  <w:p>
                    <w:pPr>
                      <w:spacing w:before="97"/>
                      <w:ind w:left="0" w:right="0" w:firstLine="0"/>
                      <w:jc w:val="left"/>
                      <w:rPr>
                        <w:rFonts w:ascii="Calibri"/>
                        <w:sz w:val="20"/>
                      </w:rPr>
                    </w:pPr>
                    <w:r>
                      <w:rPr>
                        <w:rFonts w:ascii="Calibri"/>
                        <w:w w:val="95"/>
                        <w:sz w:val="20"/>
                      </w:rPr>
                      <w:t>4.00%</w:t>
                    </w:r>
                  </w:p>
                  <w:p>
                    <w:pPr>
                      <w:spacing w:before="97"/>
                      <w:ind w:left="0" w:right="0" w:firstLine="0"/>
                      <w:jc w:val="left"/>
                      <w:rPr>
                        <w:rFonts w:ascii="Calibri"/>
                        <w:sz w:val="20"/>
                      </w:rPr>
                    </w:pPr>
                    <w:r>
                      <w:rPr>
                        <w:rFonts w:ascii="Calibri"/>
                        <w:w w:val="95"/>
                        <w:sz w:val="20"/>
                      </w:rPr>
                      <w:t>3.00%</w:t>
                    </w:r>
                  </w:p>
                  <w:p>
                    <w:pPr>
                      <w:spacing w:before="97"/>
                      <w:ind w:left="0" w:right="0" w:firstLine="0"/>
                      <w:jc w:val="left"/>
                      <w:rPr>
                        <w:rFonts w:ascii="Calibri"/>
                        <w:sz w:val="20"/>
                      </w:rPr>
                    </w:pPr>
                    <w:r>
                      <w:rPr>
                        <w:rFonts w:ascii="Calibri"/>
                        <w:w w:val="95"/>
                        <w:sz w:val="20"/>
                      </w:rPr>
                      <w:t>2.00%</w:t>
                    </w:r>
                  </w:p>
                  <w:p>
                    <w:pPr>
                      <w:spacing w:before="97"/>
                      <w:ind w:left="0" w:right="0" w:firstLine="0"/>
                      <w:jc w:val="left"/>
                      <w:rPr>
                        <w:rFonts w:ascii="Calibri"/>
                        <w:sz w:val="20"/>
                      </w:rPr>
                    </w:pPr>
                    <w:r>
                      <w:rPr>
                        <w:rFonts w:ascii="Calibri"/>
                        <w:w w:val="95"/>
                        <w:sz w:val="20"/>
                      </w:rPr>
                      <w:t>1.00%</w:t>
                    </w:r>
                  </w:p>
                  <w:p>
                    <w:pPr>
                      <w:spacing w:line="240" w:lineRule="exact" w:before="97"/>
                      <w:ind w:left="0" w:right="0" w:firstLine="0"/>
                      <w:jc w:val="left"/>
                      <w:rPr>
                        <w:rFonts w:ascii="Calibri"/>
                        <w:sz w:val="20"/>
                      </w:rPr>
                    </w:pPr>
                    <w:r>
                      <w:rPr>
                        <w:rFonts w:ascii="Calibri"/>
                        <w:w w:val="95"/>
                        <w:sz w:val="20"/>
                      </w:rPr>
                      <w:t>0.00%</w:t>
                    </w:r>
                  </w:p>
                </w:txbxContent>
              </v:textbox>
              <w10:wrap type="none"/>
            </v:shape>
            <v:shape style="position:absolute;left:7548;top:2459;width:1181;height:444" type="#_x0000_t202" filled="false" stroked="false">
              <v:textbox inset="0,0,0,0">
                <w:txbxContent>
                  <w:p>
                    <w:pPr>
                      <w:spacing w:line="203" w:lineRule="exact" w:before="0"/>
                      <w:ind w:left="0" w:right="-15" w:firstLine="0"/>
                      <w:jc w:val="left"/>
                      <w:rPr>
                        <w:rFonts w:ascii="Calibri"/>
                        <w:sz w:val="20"/>
                      </w:rPr>
                    </w:pPr>
                    <w:r>
                      <w:rPr>
                        <w:rFonts w:ascii="Calibri"/>
                        <w:sz w:val="20"/>
                      </w:rPr>
                      <w:t>MUERTES</w:t>
                    </w:r>
                    <w:r>
                      <w:rPr>
                        <w:rFonts w:ascii="Calibri"/>
                        <w:spacing w:val="-7"/>
                        <w:sz w:val="20"/>
                      </w:rPr>
                      <w:t> </w:t>
                    </w:r>
                    <w:r>
                      <w:rPr>
                        <w:rFonts w:ascii="Calibri"/>
                        <w:sz w:val="20"/>
                      </w:rPr>
                      <w:t>POR</w:t>
                    </w:r>
                  </w:p>
                  <w:p>
                    <w:pPr>
                      <w:spacing w:line="240" w:lineRule="exact" w:before="0"/>
                      <w:ind w:left="0" w:right="-15" w:firstLine="0"/>
                      <w:jc w:val="left"/>
                      <w:rPr>
                        <w:rFonts w:ascii="Calibri"/>
                        <w:sz w:val="20"/>
                      </w:rPr>
                    </w:pPr>
                    <w:r>
                      <w:rPr>
                        <w:rFonts w:ascii="Calibri"/>
                        <w:sz w:val="20"/>
                      </w:rPr>
                      <w:t>ASMOVRPGE</w:t>
                    </w:r>
                  </w:p>
                </w:txbxContent>
              </v:textbox>
              <w10:wrap type="none"/>
            </v:shape>
            <v:shape style="position:absolute;left:2630;top:3945;width:4070;height:444" type="#_x0000_t202" filled="false" stroked="false">
              <v:textbox inset="0,0,0,0">
                <w:txbxContent>
                  <w:p>
                    <w:pPr>
                      <w:spacing w:line="203" w:lineRule="exact" w:before="0"/>
                      <w:ind w:left="0" w:right="0" w:firstLine="0"/>
                      <w:jc w:val="center"/>
                      <w:rPr>
                        <w:rFonts w:ascii="Calibri"/>
                        <w:sz w:val="20"/>
                      </w:rPr>
                    </w:pPr>
                    <w:r>
                      <w:rPr>
                        <w:rFonts w:ascii="Calibri"/>
                        <w:sz w:val="20"/>
                      </w:rPr>
                      <w:t>01 DE JULIO  2008 AL 30    01 DE JULIO 2009 AL 30</w:t>
                    </w:r>
                  </w:p>
                  <w:p>
                    <w:pPr>
                      <w:tabs>
                        <w:tab w:pos="2155" w:val="left" w:leader="none"/>
                      </w:tabs>
                      <w:spacing w:line="240" w:lineRule="exact" w:before="0"/>
                      <w:ind w:left="156" w:right="0" w:firstLine="0"/>
                      <w:jc w:val="center"/>
                      <w:rPr>
                        <w:rFonts w:ascii="Calibri"/>
                        <w:sz w:val="20"/>
                      </w:rPr>
                    </w:pPr>
                    <w:r>
                      <w:rPr>
                        <w:rFonts w:ascii="Calibri"/>
                        <w:sz w:val="20"/>
                      </w:rPr>
                      <w:t>JUNIO</w:t>
                    </w:r>
                    <w:r>
                      <w:rPr>
                        <w:rFonts w:ascii="Calibri"/>
                        <w:spacing w:val="-1"/>
                        <w:sz w:val="20"/>
                      </w:rPr>
                      <w:t> </w:t>
                    </w:r>
                    <w:r>
                      <w:rPr>
                        <w:rFonts w:ascii="Calibri"/>
                        <w:sz w:val="20"/>
                      </w:rPr>
                      <w:t>2009</w:t>
                      <w:tab/>
                      <w:t>DE JUNIO</w:t>
                    </w:r>
                    <w:r>
                      <w:rPr>
                        <w:rFonts w:ascii="Calibri"/>
                        <w:spacing w:val="-5"/>
                        <w:sz w:val="20"/>
                      </w:rPr>
                      <w:t> </w:t>
                    </w:r>
                    <w:r>
                      <w:rPr>
                        <w:rFonts w:ascii="Calibri"/>
                        <w:sz w:val="20"/>
                      </w:rPr>
                      <w:t>2010</w:t>
                    </w:r>
                  </w:p>
                </w:txbxContent>
              </v:textbox>
              <w10:wrap type="none"/>
            </v:shape>
            <w10:wrap type="topAndBottom"/>
          </v:group>
        </w:pict>
      </w:r>
    </w:p>
    <w:p>
      <w:pPr>
        <w:spacing w:before="204"/>
        <w:ind w:left="222" w:right="0" w:firstLine="0"/>
        <w:jc w:val="both"/>
        <w:rPr>
          <w:sz w:val="22"/>
        </w:rPr>
      </w:pPr>
      <w:r>
        <w:rPr>
          <w:sz w:val="22"/>
        </w:rPr>
        <w:t>FUENTE: CUADRO 2.</w:t>
      </w:r>
    </w:p>
    <w:p>
      <w:pPr>
        <w:spacing w:after="0"/>
        <w:jc w:val="both"/>
        <w:rPr>
          <w:sz w:val="22"/>
        </w:rPr>
        <w:sectPr>
          <w:pgSz w:w="12240" w:h="15840"/>
          <w:pgMar w:header="0" w:footer="1174" w:top="1360" w:bottom="1360" w:left="1480" w:right="740"/>
        </w:sectPr>
      </w:pPr>
    </w:p>
    <w:p>
      <w:pPr>
        <w:pStyle w:val="BodyText"/>
        <w:spacing w:line="276" w:lineRule="auto" w:before="54"/>
        <w:ind w:left="222" w:right="964"/>
        <w:jc w:val="both"/>
      </w:pPr>
      <w:r>
        <w:rPr/>
        <w:t>En la gráfica número tres es posible observar que la mayor frecuencia de muertes por asfixia por sofocación en su modalidad de obstrucción de vías respiratorias en mucho más frecuente en el sexo masculino.</w:t>
      </w:r>
    </w:p>
    <w:p>
      <w:pPr>
        <w:pStyle w:val="BodyText"/>
        <w:spacing w:line="276" w:lineRule="auto" w:before="200"/>
        <w:ind w:left="222" w:right="956"/>
        <w:jc w:val="both"/>
      </w:pPr>
      <w:r>
        <w:rPr/>
        <w:t>CUADRO 3. DE FRECUENCIA POR GENERO, MUERTES POR ASFIXIA MECÁNICA, POR SOFOCACIÓN EN SU MODALIDAD DE OBSTRUCCIÓN DE VÍAS RESPIRATORIAS POR CONTENIDO GASTRO- ESOFÁGICO, EN CHIMALHUACÁN, ESTADO DE MÉXICO, 2008 A</w:t>
      </w:r>
      <w:r>
        <w:rPr>
          <w:spacing w:val="55"/>
        </w:rPr>
        <w:t> </w:t>
      </w:r>
      <w:r>
        <w:rPr/>
        <w:t>2010.</w:t>
      </w:r>
    </w:p>
    <w:p>
      <w:pPr>
        <w:pStyle w:val="BodyText"/>
        <w:spacing w:before="11"/>
        <w:rPr>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2"/>
        <w:gridCol w:w="1412"/>
        <w:gridCol w:w="1832"/>
      </w:tblGrid>
      <w:tr>
        <w:trPr>
          <w:trHeight w:val="326" w:hRule="exact"/>
        </w:trPr>
        <w:tc>
          <w:tcPr>
            <w:tcW w:w="1992" w:type="dxa"/>
          </w:tcPr>
          <w:p>
            <w:pPr>
              <w:pStyle w:val="TableParagraph"/>
              <w:spacing w:line="274" w:lineRule="exact"/>
              <w:rPr>
                <w:sz w:val="24"/>
              </w:rPr>
            </w:pPr>
            <w:r>
              <w:rPr>
                <w:sz w:val="24"/>
              </w:rPr>
              <w:t>GENERO</w:t>
            </w:r>
          </w:p>
        </w:tc>
        <w:tc>
          <w:tcPr>
            <w:tcW w:w="1412" w:type="dxa"/>
          </w:tcPr>
          <w:p>
            <w:pPr>
              <w:pStyle w:val="TableParagraph"/>
              <w:spacing w:line="274" w:lineRule="exact"/>
              <w:rPr>
                <w:sz w:val="24"/>
              </w:rPr>
            </w:pPr>
            <w:r>
              <w:rPr>
                <w:sz w:val="24"/>
              </w:rPr>
              <w:t>CASOS</w:t>
            </w:r>
          </w:p>
        </w:tc>
        <w:tc>
          <w:tcPr>
            <w:tcW w:w="1832" w:type="dxa"/>
          </w:tcPr>
          <w:p>
            <w:pPr>
              <w:pStyle w:val="TableParagraph"/>
              <w:spacing w:line="274" w:lineRule="exact"/>
              <w:rPr>
                <w:sz w:val="24"/>
              </w:rPr>
            </w:pPr>
            <w:r>
              <w:rPr>
                <w:sz w:val="24"/>
              </w:rPr>
              <w:t>PORCENTAJE</w:t>
            </w:r>
          </w:p>
        </w:tc>
      </w:tr>
      <w:tr>
        <w:trPr>
          <w:trHeight w:val="326" w:hRule="exact"/>
        </w:trPr>
        <w:tc>
          <w:tcPr>
            <w:tcW w:w="1992" w:type="dxa"/>
          </w:tcPr>
          <w:p>
            <w:pPr>
              <w:pStyle w:val="TableParagraph"/>
              <w:spacing w:line="274" w:lineRule="exact"/>
              <w:rPr>
                <w:sz w:val="24"/>
              </w:rPr>
            </w:pPr>
            <w:r>
              <w:rPr>
                <w:sz w:val="24"/>
              </w:rPr>
              <w:t>FEMENINO</w:t>
            </w:r>
          </w:p>
        </w:tc>
        <w:tc>
          <w:tcPr>
            <w:tcW w:w="1412" w:type="dxa"/>
          </w:tcPr>
          <w:p>
            <w:pPr>
              <w:pStyle w:val="TableParagraph"/>
              <w:spacing w:line="274" w:lineRule="exact"/>
              <w:rPr>
                <w:sz w:val="24"/>
              </w:rPr>
            </w:pPr>
            <w:r>
              <w:rPr>
                <w:w w:val="99"/>
                <w:sz w:val="24"/>
              </w:rPr>
              <w:t>2</w:t>
            </w:r>
          </w:p>
        </w:tc>
        <w:tc>
          <w:tcPr>
            <w:tcW w:w="1832" w:type="dxa"/>
          </w:tcPr>
          <w:p>
            <w:pPr>
              <w:pStyle w:val="TableParagraph"/>
              <w:spacing w:line="274" w:lineRule="exact"/>
              <w:rPr>
                <w:sz w:val="24"/>
              </w:rPr>
            </w:pPr>
            <w:r>
              <w:rPr>
                <w:sz w:val="24"/>
              </w:rPr>
              <w:t>7.1 %</w:t>
            </w:r>
          </w:p>
        </w:tc>
      </w:tr>
      <w:tr>
        <w:trPr>
          <w:trHeight w:val="329" w:hRule="exact"/>
        </w:trPr>
        <w:tc>
          <w:tcPr>
            <w:tcW w:w="1992" w:type="dxa"/>
          </w:tcPr>
          <w:p>
            <w:pPr>
              <w:pStyle w:val="TableParagraph"/>
              <w:spacing w:line="240" w:lineRule="auto"/>
              <w:rPr>
                <w:sz w:val="24"/>
              </w:rPr>
            </w:pPr>
            <w:r>
              <w:rPr>
                <w:sz w:val="24"/>
              </w:rPr>
              <w:t>MASCULINO</w:t>
            </w:r>
          </w:p>
        </w:tc>
        <w:tc>
          <w:tcPr>
            <w:tcW w:w="1412" w:type="dxa"/>
          </w:tcPr>
          <w:p>
            <w:pPr>
              <w:pStyle w:val="TableParagraph"/>
              <w:spacing w:line="240" w:lineRule="auto"/>
              <w:rPr>
                <w:sz w:val="24"/>
              </w:rPr>
            </w:pPr>
            <w:r>
              <w:rPr>
                <w:sz w:val="24"/>
              </w:rPr>
              <w:t>26</w:t>
            </w:r>
          </w:p>
        </w:tc>
        <w:tc>
          <w:tcPr>
            <w:tcW w:w="1832" w:type="dxa"/>
          </w:tcPr>
          <w:p>
            <w:pPr>
              <w:pStyle w:val="TableParagraph"/>
              <w:spacing w:line="240" w:lineRule="auto"/>
              <w:rPr>
                <w:sz w:val="24"/>
              </w:rPr>
            </w:pPr>
            <w:r>
              <w:rPr>
                <w:sz w:val="24"/>
              </w:rPr>
              <w:t>92.8</w:t>
            </w:r>
          </w:p>
        </w:tc>
      </w:tr>
      <w:tr>
        <w:trPr>
          <w:trHeight w:val="327" w:hRule="exact"/>
        </w:trPr>
        <w:tc>
          <w:tcPr>
            <w:tcW w:w="1992" w:type="dxa"/>
          </w:tcPr>
          <w:p>
            <w:pPr>
              <w:pStyle w:val="TableParagraph"/>
              <w:spacing w:line="275" w:lineRule="exact"/>
              <w:rPr>
                <w:sz w:val="24"/>
              </w:rPr>
            </w:pPr>
            <w:r>
              <w:rPr>
                <w:sz w:val="24"/>
              </w:rPr>
              <w:t>TOTAL</w:t>
            </w:r>
          </w:p>
        </w:tc>
        <w:tc>
          <w:tcPr>
            <w:tcW w:w="1412" w:type="dxa"/>
          </w:tcPr>
          <w:p>
            <w:pPr>
              <w:pStyle w:val="TableParagraph"/>
              <w:spacing w:line="275" w:lineRule="exact"/>
              <w:rPr>
                <w:sz w:val="24"/>
              </w:rPr>
            </w:pPr>
            <w:r>
              <w:rPr>
                <w:sz w:val="24"/>
              </w:rPr>
              <w:t>28</w:t>
            </w:r>
          </w:p>
        </w:tc>
        <w:tc>
          <w:tcPr>
            <w:tcW w:w="1832" w:type="dxa"/>
          </w:tcPr>
          <w:p>
            <w:pPr>
              <w:pStyle w:val="TableParagraph"/>
              <w:spacing w:line="275" w:lineRule="exact"/>
              <w:rPr>
                <w:sz w:val="24"/>
              </w:rPr>
            </w:pPr>
            <w:r>
              <w:rPr>
                <w:sz w:val="24"/>
              </w:rPr>
              <w:t>100</w:t>
            </w:r>
          </w:p>
        </w:tc>
      </w:tr>
    </w:tbl>
    <w:p>
      <w:pPr>
        <w:spacing w:line="278" w:lineRule="auto" w:before="0"/>
        <w:ind w:left="222" w:right="959" w:firstLine="0"/>
        <w:jc w:val="both"/>
        <w:rPr>
          <w:sz w:val="22"/>
        </w:rPr>
      </w:pPr>
      <w:r>
        <w:rPr>
          <w:sz w:val="22"/>
        </w:rPr>
        <w:t>FUENTE: LIBRO DE GOBIERNO DE REGISTRO DE NECROPSIAS DE CHIMALHUACAN MEXICO, 2008-2010.</w:t>
      </w:r>
    </w:p>
    <w:p>
      <w:pPr>
        <w:pStyle w:val="BodyText"/>
        <w:rPr>
          <w:sz w:val="22"/>
        </w:rPr>
      </w:pPr>
    </w:p>
    <w:p>
      <w:pPr>
        <w:pStyle w:val="BodyText"/>
        <w:spacing w:before="8"/>
        <w:rPr>
          <w:sz w:val="22"/>
        </w:rPr>
      </w:pPr>
    </w:p>
    <w:p>
      <w:pPr>
        <w:pStyle w:val="BodyText"/>
        <w:spacing w:line="276" w:lineRule="auto"/>
        <w:ind w:left="222" w:right="956"/>
        <w:jc w:val="both"/>
      </w:pPr>
      <w:r>
        <w:rPr/>
        <w:pict>
          <v:rect style="position:absolute;margin-left:378.089996pt;margin-top:159.783539pt;width:5.4923pt;height:5.4923pt;mso-position-horizontal-relative:page;mso-position-vertical-relative:paragraph;z-index:-42352" filled="true" fillcolor="#4f81bc" stroked="false">
            <v:fill type="solid"/>
            <w10:wrap type="none"/>
          </v:rect>
        </w:pict>
      </w:r>
      <w:r>
        <w:rPr/>
        <w:t>GRAFICA 3. FRECUENCIA POR GENERO, MUERTES POR ASFIXIA MECÁNICA, POR SOFOCACIÓN EN SU MODALIDAD DE OBSTRUCCIÓN DE VÍAS RESPIRATORIAS POR CONTENIDO GASTRO- ESOFÁGICO, EN CHIMALHUACÁN, ESTADO DE MÉXICO, 2008 A</w:t>
      </w:r>
      <w:r>
        <w:rPr>
          <w:spacing w:val="54"/>
        </w:rPr>
        <w:t> </w:t>
      </w:r>
      <w:r>
        <w:rPr/>
        <w:t>2010.”</w:t>
      </w:r>
    </w:p>
    <w:p>
      <w:pPr>
        <w:pStyle w:val="BodyText"/>
        <w:ind w:left="243"/>
        <w:rPr>
          <w:sz w:val="20"/>
        </w:rPr>
      </w:pPr>
      <w:r>
        <w:rPr>
          <w:sz w:val="20"/>
        </w:rPr>
        <w:pict>
          <v:group style="width:360.75pt;height:216.75pt;mso-position-horizontal-relative:char;mso-position-vertical-relative:line" coordorigin="0,0" coordsize="7215,4335">
            <v:shape style="position:absolute;left:585;top:496;width:4577;height:3343" type="#_x0000_t75" stroked="false">
              <v:imagedata r:id="rId12" o:title=""/>
            </v:shape>
            <v:shape style="position:absolute;left:8;top:8;width:7200;height:4320" type="#_x0000_t202" filled="false" stroked="true" strokeweight=".75pt" strokecolor="#858585">
              <v:textbox inset="0,0,0,0">
                <w:txbxContent>
                  <w:p>
                    <w:pPr>
                      <w:spacing w:line="240" w:lineRule="auto" w:before="0"/>
                      <w:rPr>
                        <w:sz w:val="20"/>
                      </w:rPr>
                    </w:pPr>
                  </w:p>
                  <w:p>
                    <w:pPr>
                      <w:spacing w:line="240" w:lineRule="auto" w:before="7"/>
                      <w:rPr>
                        <w:sz w:val="27"/>
                      </w:rPr>
                    </w:pPr>
                  </w:p>
                  <w:p>
                    <w:pPr>
                      <w:spacing w:before="0"/>
                      <w:ind w:left="3072" w:right="3589" w:firstLine="0"/>
                      <w:jc w:val="center"/>
                      <w:rPr>
                        <w:rFonts w:ascii="Calibri"/>
                        <w:sz w:val="20"/>
                      </w:rPr>
                    </w:pPr>
                    <w:r>
                      <w:rPr>
                        <w:rFonts w:ascii="Calibri"/>
                        <w:sz w:val="20"/>
                      </w:rPr>
                      <w:t>7.10%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1"/>
                      <w:rPr>
                        <w:sz w:val="20"/>
                      </w:rPr>
                    </w:pPr>
                  </w:p>
                  <w:p>
                    <w:pPr>
                      <w:spacing w:line="360" w:lineRule="atLeast" w:before="0"/>
                      <w:ind w:left="5981" w:right="189" w:firstLine="0"/>
                      <w:jc w:val="left"/>
                      <w:rPr>
                        <w:rFonts w:ascii="Calibri"/>
                        <w:sz w:val="20"/>
                      </w:rPr>
                    </w:pPr>
                    <w:r>
                      <w:rPr>
                        <w:rFonts w:ascii="Calibri"/>
                        <w:sz w:val="20"/>
                      </w:rPr>
                      <w:t>FEMENINO MASCULINO</w:t>
                    </w:r>
                  </w:p>
                  <w:p>
                    <w:pPr>
                      <w:spacing w:before="22"/>
                      <w:ind w:left="1900" w:right="189" w:firstLine="0"/>
                      <w:jc w:val="left"/>
                      <w:rPr>
                        <w:rFonts w:ascii="Calibri"/>
                        <w:sz w:val="20"/>
                      </w:rPr>
                    </w:pPr>
                    <w:r>
                      <w:rPr>
                        <w:rFonts w:ascii="Calibri"/>
                        <w:sz w:val="20"/>
                      </w:rPr>
                      <w:t>92.80%</w:t>
                    </w:r>
                  </w:p>
                </w:txbxContent>
              </v:textbox>
              <w10:wrap type="none"/>
            </v:shape>
          </v:group>
        </w:pict>
      </w:r>
      <w:r>
        <w:rPr>
          <w:sz w:val="20"/>
        </w:rPr>
      </w:r>
    </w:p>
    <w:p>
      <w:pPr>
        <w:spacing w:before="24"/>
        <w:ind w:left="222" w:right="0" w:firstLine="0"/>
        <w:jc w:val="both"/>
        <w:rPr>
          <w:sz w:val="22"/>
        </w:rPr>
      </w:pPr>
      <w:r>
        <w:rPr/>
        <w:pict>
          <v:rect style="position:absolute;margin-left:378.089996pt;margin-top:-102.594421pt;width:5.4923pt;height:5.4923pt;mso-position-horizontal-relative:page;mso-position-vertical-relative:paragraph;z-index:-42328" filled="true" fillcolor="#c0504d" stroked="false">
            <v:fill type="solid"/>
            <w10:wrap type="none"/>
          </v:rect>
        </w:pict>
      </w:r>
      <w:r>
        <w:rPr>
          <w:sz w:val="22"/>
        </w:rPr>
        <w:t>FUENTE: TABLA 3.</w:t>
      </w:r>
    </w:p>
    <w:p>
      <w:pPr>
        <w:spacing w:after="0"/>
        <w:jc w:val="both"/>
        <w:rPr>
          <w:sz w:val="22"/>
        </w:rPr>
        <w:sectPr>
          <w:pgSz w:w="12240" w:h="15840"/>
          <w:pgMar w:header="0" w:footer="1174" w:top="1360" w:bottom="1360" w:left="1480" w:right="740"/>
        </w:sectPr>
      </w:pPr>
    </w:p>
    <w:p>
      <w:pPr>
        <w:pStyle w:val="BodyText"/>
        <w:spacing w:line="276" w:lineRule="auto" w:before="54"/>
        <w:ind w:left="222" w:right="963"/>
        <w:jc w:val="both"/>
      </w:pPr>
      <w:r>
        <w:rPr/>
        <w:t>En el cuadro número tres es evidente que durante el otoño es cuando se registran una mayor frecuencia de muertes por asfixia por sofocación por obstrucción de vías respiratorias por contenido gastro-esofágico.</w:t>
      </w:r>
    </w:p>
    <w:p>
      <w:pPr>
        <w:pStyle w:val="BodyText"/>
        <w:spacing w:line="276" w:lineRule="auto" w:before="200" w:after="3"/>
        <w:ind w:left="222" w:right="958"/>
        <w:jc w:val="both"/>
      </w:pPr>
      <w:r>
        <w:rPr/>
        <w:t>CUADRO 4. MUERTES POR ASFIXIA POR SOFOCACION POR OBSTRUCCION DE VIAS RESPIRATORIAS POR CONTENIDO GASTRO-ESOFAGICO POR ESTACION DEL AÑO, DE JULIO 2008 A JUNIO 2010, CHIMALHUACAN, MEXICO.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2"/>
        <w:gridCol w:w="814"/>
        <w:gridCol w:w="824"/>
        <w:gridCol w:w="809"/>
        <w:gridCol w:w="708"/>
        <w:gridCol w:w="809"/>
        <w:gridCol w:w="686"/>
        <w:gridCol w:w="809"/>
        <w:gridCol w:w="734"/>
        <w:gridCol w:w="651"/>
        <w:gridCol w:w="158"/>
        <w:gridCol w:w="492"/>
      </w:tblGrid>
      <w:tr>
        <w:trPr>
          <w:trHeight w:val="672" w:hRule="exact"/>
        </w:trPr>
        <w:tc>
          <w:tcPr>
            <w:tcW w:w="1442" w:type="dxa"/>
            <w:vMerge w:val="restart"/>
          </w:tcPr>
          <w:p>
            <w:pPr>
              <w:pStyle w:val="TableParagraph"/>
              <w:spacing w:line="276" w:lineRule="auto"/>
              <w:ind w:right="82"/>
              <w:rPr>
                <w:sz w:val="24"/>
              </w:rPr>
            </w:pPr>
            <w:r>
              <w:rPr>
                <w:sz w:val="24"/>
              </w:rPr>
              <w:t>ESTACION DE AÑO</w:t>
            </w:r>
          </w:p>
        </w:tc>
        <w:tc>
          <w:tcPr>
            <w:tcW w:w="1637" w:type="dxa"/>
            <w:gridSpan w:val="2"/>
          </w:tcPr>
          <w:p>
            <w:pPr>
              <w:pStyle w:val="TableParagraph"/>
              <w:spacing w:line="240" w:lineRule="auto"/>
              <w:rPr>
                <w:sz w:val="24"/>
              </w:rPr>
            </w:pPr>
            <w:r>
              <w:rPr>
                <w:sz w:val="24"/>
              </w:rPr>
              <w:t>PRIMAVERA</w:t>
            </w:r>
          </w:p>
        </w:tc>
        <w:tc>
          <w:tcPr>
            <w:tcW w:w="1517" w:type="dxa"/>
            <w:gridSpan w:val="2"/>
          </w:tcPr>
          <w:p>
            <w:pPr>
              <w:pStyle w:val="TableParagraph"/>
              <w:spacing w:line="240" w:lineRule="auto"/>
              <w:ind w:left="100"/>
              <w:rPr>
                <w:sz w:val="24"/>
              </w:rPr>
            </w:pPr>
            <w:r>
              <w:rPr>
                <w:sz w:val="24"/>
              </w:rPr>
              <w:t>VERANO</w:t>
            </w:r>
          </w:p>
        </w:tc>
        <w:tc>
          <w:tcPr>
            <w:tcW w:w="1496" w:type="dxa"/>
            <w:gridSpan w:val="2"/>
          </w:tcPr>
          <w:p>
            <w:pPr>
              <w:pStyle w:val="TableParagraph"/>
              <w:spacing w:line="240" w:lineRule="auto"/>
              <w:rPr>
                <w:sz w:val="24"/>
              </w:rPr>
            </w:pPr>
            <w:r>
              <w:rPr>
                <w:sz w:val="24"/>
              </w:rPr>
              <w:t>OTOÑO</w:t>
            </w:r>
          </w:p>
        </w:tc>
        <w:tc>
          <w:tcPr>
            <w:tcW w:w="1543" w:type="dxa"/>
            <w:gridSpan w:val="2"/>
          </w:tcPr>
          <w:p>
            <w:pPr>
              <w:pStyle w:val="TableParagraph"/>
              <w:spacing w:line="240" w:lineRule="auto"/>
              <w:rPr>
                <w:sz w:val="24"/>
              </w:rPr>
            </w:pPr>
            <w:r>
              <w:rPr>
                <w:sz w:val="24"/>
              </w:rPr>
              <w:t>INVIERNO</w:t>
            </w:r>
          </w:p>
        </w:tc>
        <w:tc>
          <w:tcPr>
            <w:tcW w:w="1301" w:type="dxa"/>
            <w:gridSpan w:val="3"/>
          </w:tcPr>
          <w:p>
            <w:pPr>
              <w:pStyle w:val="TableParagraph"/>
              <w:spacing w:line="240" w:lineRule="auto"/>
              <w:rPr>
                <w:sz w:val="24"/>
              </w:rPr>
            </w:pPr>
            <w:r>
              <w:rPr>
                <w:sz w:val="24"/>
              </w:rPr>
              <w:t>TOTAL</w:t>
            </w:r>
          </w:p>
        </w:tc>
      </w:tr>
      <w:tr>
        <w:trPr>
          <w:trHeight w:val="672" w:hRule="exact"/>
        </w:trPr>
        <w:tc>
          <w:tcPr>
            <w:tcW w:w="1442" w:type="dxa"/>
            <w:vMerge/>
          </w:tcPr>
          <w:p>
            <w:pPr/>
          </w:p>
        </w:tc>
        <w:tc>
          <w:tcPr>
            <w:tcW w:w="814" w:type="dxa"/>
          </w:tcPr>
          <w:p>
            <w:pPr>
              <w:pStyle w:val="TableParagraph"/>
              <w:spacing w:line="274" w:lineRule="exact"/>
              <w:rPr>
                <w:sz w:val="24"/>
              </w:rPr>
            </w:pPr>
            <w:r>
              <w:rPr>
                <w:sz w:val="24"/>
              </w:rPr>
              <w:t>NUM</w:t>
            </w:r>
          </w:p>
        </w:tc>
        <w:tc>
          <w:tcPr>
            <w:tcW w:w="824" w:type="dxa"/>
          </w:tcPr>
          <w:p>
            <w:pPr>
              <w:pStyle w:val="TableParagraph"/>
              <w:spacing w:line="274" w:lineRule="exact"/>
              <w:ind w:left="100"/>
              <w:rPr>
                <w:sz w:val="24"/>
              </w:rPr>
            </w:pPr>
            <w:r>
              <w:rPr>
                <w:w w:val="99"/>
                <w:sz w:val="24"/>
              </w:rPr>
              <w:t>%</w:t>
            </w:r>
          </w:p>
        </w:tc>
        <w:tc>
          <w:tcPr>
            <w:tcW w:w="809" w:type="dxa"/>
          </w:tcPr>
          <w:p>
            <w:pPr>
              <w:pStyle w:val="TableParagraph"/>
              <w:spacing w:line="274" w:lineRule="exact"/>
              <w:ind w:left="100"/>
              <w:rPr>
                <w:sz w:val="24"/>
              </w:rPr>
            </w:pPr>
            <w:r>
              <w:rPr>
                <w:sz w:val="24"/>
              </w:rPr>
              <w:t>NUM</w:t>
            </w:r>
          </w:p>
        </w:tc>
        <w:tc>
          <w:tcPr>
            <w:tcW w:w="708" w:type="dxa"/>
          </w:tcPr>
          <w:p>
            <w:pPr>
              <w:pStyle w:val="TableParagraph"/>
              <w:ind w:left="100"/>
              <w:rPr>
                <w:sz w:val="24"/>
              </w:rPr>
            </w:pPr>
            <w:r>
              <w:rPr>
                <w:w w:val="99"/>
                <w:sz w:val="24"/>
              </w:rPr>
              <w:t>%</w:t>
            </w:r>
          </w:p>
        </w:tc>
        <w:tc>
          <w:tcPr>
            <w:tcW w:w="809" w:type="dxa"/>
          </w:tcPr>
          <w:p>
            <w:pPr>
              <w:pStyle w:val="TableParagraph"/>
              <w:spacing w:line="274" w:lineRule="exact"/>
              <w:rPr>
                <w:sz w:val="24"/>
              </w:rPr>
            </w:pPr>
            <w:r>
              <w:rPr>
                <w:sz w:val="24"/>
              </w:rPr>
              <w:t>NUM</w:t>
            </w:r>
          </w:p>
        </w:tc>
        <w:tc>
          <w:tcPr>
            <w:tcW w:w="686" w:type="dxa"/>
          </w:tcPr>
          <w:p>
            <w:pPr>
              <w:pStyle w:val="TableParagraph"/>
              <w:rPr>
                <w:sz w:val="24"/>
              </w:rPr>
            </w:pPr>
            <w:r>
              <w:rPr>
                <w:w w:val="99"/>
                <w:sz w:val="24"/>
              </w:rPr>
              <w:t>%</w:t>
            </w:r>
          </w:p>
        </w:tc>
        <w:tc>
          <w:tcPr>
            <w:tcW w:w="809" w:type="dxa"/>
          </w:tcPr>
          <w:p>
            <w:pPr>
              <w:pStyle w:val="TableParagraph"/>
              <w:spacing w:line="274" w:lineRule="exact"/>
              <w:rPr>
                <w:sz w:val="24"/>
              </w:rPr>
            </w:pPr>
            <w:r>
              <w:rPr>
                <w:sz w:val="24"/>
              </w:rPr>
              <w:t>NUM</w:t>
            </w:r>
          </w:p>
        </w:tc>
        <w:tc>
          <w:tcPr>
            <w:tcW w:w="734" w:type="dxa"/>
          </w:tcPr>
          <w:p>
            <w:pPr>
              <w:pStyle w:val="TableParagraph"/>
              <w:rPr>
                <w:sz w:val="24"/>
              </w:rPr>
            </w:pPr>
            <w:r>
              <w:rPr>
                <w:w w:val="99"/>
                <w:sz w:val="24"/>
              </w:rPr>
              <w:t>%</w:t>
            </w:r>
          </w:p>
        </w:tc>
        <w:tc>
          <w:tcPr>
            <w:tcW w:w="809" w:type="dxa"/>
            <w:gridSpan w:val="2"/>
          </w:tcPr>
          <w:p>
            <w:pPr>
              <w:pStyle w:val="TableParagraph"/>
              <w:spacing w:line="274" w:lineRule="exact"/>
              <w:rPr>
                <w:sz w:val="24"/>
              </w:rPr>
            </w:pPr>
            <w:r>
              <w:rPr>
                <w:sz w:val="24"/>
              </w:rPr>
              <w:t>NUM</w:t>
            </w:r>
          </w:p>
        </w:tc>
        <w:tc>
          <w:tcPr>
            <w:tcW w:w="492" w:type="dxa"/>
          </w:tcPr>
          <w:p>
            <w:pPr>
              <w:pStyle w:val="TableParagraph"/>
              <w:rPr>
                <w:sz w:val="24"/>
              </w:rPr>
            </w:pPr>
            <w:r>
              <w:rPr>
                <w:w w:val="99"/>
                <w:sz w:val="24"/>
              </w:rPr>
              <w:t>%</w:t>
            </w:r>
          </w:p>
        </w:tc>
      </w:tr>
      <w:tr>
        <w:trPr>
          <w:trHeight w:val="327" w:hRule="exact"/>
        </w:trPr>
        <w:tc>
          <w:tcPr>
            <w:tcW w:w="1442" w:type="dxa"/>
          </w:tcPr>
          <w:p>
            <w:pPr>
              <w:pStyle w:val="TableParagraph"/>
              <w:spacing w:line="275" w:lineRule="exact"/>
              <w:ind w:right="82"/>
              <w:rPr>
                <w:sz w:val="24"/>
              </w:rPr>
            </w:pPr>
            <w:r>
              <w:rPr>
                <w:sz w:val="24"/>
              </w:rPr>
              <w:t>CASOS</w:t>
            </w:r>
          </w:p>
        </w:tc>
        <w:tc>
          <w:tcPr>
            <w:tcW w:w="814" w:type="dxa"/>
          </w:tcPr>
          <w:p>
            <w:pPr>
              <w:pStyle w:val="TableParagraph"/>
              <w:spacing w:line="275" w:lineRule="exact"/>
              <w:rPr>
                <w:sz w:val="24"/>
              </w:rPr>
            </w:pPr>
            <w:r>
              <w:rPr>
                <w:w w:val="99"/>
                <w:sz w:val="24"/>
              </w:rPr>
              <w:t>7</w:t>
            </w:r>
          </w:p>
        </w:tc>
        <w:tc>
          <w:tcPr>
            <w:tcW w:w="824" w:type="dxa"/>
          </w:tcPr>
          <w:p>
            <w:pPr>
              <w:pStyle w:val="TableParagraph"/>
              <w:ind w:left="76"/>
              <w:rPr>
                <w:sz w:val="24"/>
              </w:rPr>
            </w:pPr>
            <w:r>
              <w:rPr>
                <w:sz w:val="24"/>
              </w:rPr>
              <w:t>25</w:t>
            </w:r>
          </w:p>
        </w:tc>
        <w:tc>
          <w:tcPr>
            <w:tcW w:w="809" w:type="dxa"/>
          </w:tcPr>
          <w:p>
            <w:pPr>
              <w:pStyle w:val="TableParagraph"/>
              <w:spacing w:line="275" w:lineRule="exact"/>
              <w:ind w:left="100"/>
              <w:rPr>
                <w:sz w:val="24"/>
              </w:rPr>
            </w:pPr>
            <w:r>
              <w:rPr>
                <w:w w:val="99"/>
                <w:sz w:val="24"/>
              </w:rPr>
              <w:t>6</w:t>
            </w:r>
          </w:p>
        </w:tc>
        <w:tc>
          <w:tcPr>
            <w:tcW w:w="708" w:type="dxa"/>
          </w:tcPr>
          <w:p>
            <w:pPr>
              <w:pStyle w:val="TableParagraph"/>
              <w:ind w:left="50"/>
              <w:rPr>
                <w:sz w:val="24"/>
              </w:rPr>
            </w:pPr>
            <w:r>
              <w:rPr>
                <w:sz w:val="24"/>
              </w:rPr>
              <w:t>21.4</w:t>
            </w:r>
          </w:p>
        </w:tc>
        <w:tc>
          <w:tcPr>
            <w:tcW w:w="809" w:type="dxa"/>
          </w:tcPr>
          <w:p>
            <w:pPr>
              <w:pStyle w:val="TableParagraph"/>
              <w:spacing w:line="275" w:lineRule="exact"/>
              <w:rPr>
                <w:sz w:val="24"/>
              </w:rPr>
            </w:pPr>
            <w:r>
              <w:rPr>
                <w:w w:val="99"/>
                <w:sz w:val="24"/>
              </w:rPr>
              <w:t>8</w:t>
            </w:r>
          </w:p>
        </w:tc>
        <w:tc>
          <w:tcPr>
            <w:tcW w:w="686" w:type="dxa"/>
          </w:tcPr>
          <w:p>
            <w:pPr>
              <w:pStyle w:val="TableParagraph"/>
              <w:ind w:left="40"/>
              <w:rPr>
                <w:sz w:val="24"/>
              </w:rPr>
            </w:pPr>
            <w:r>
              <w:rPr>
                <w:sz w:val="24"/>
              </w:rPr>
              <w:t>28.5</w:t>
            </w:r>
          </w:p>
        </w:tc>
        <w:tc>
          <w:tcPr>
            <w:tcW w:w="809" w:type="dxa"/>
          </w:tcPr>
          <w:p>
            <w:pPr>
              <w:pStyle w:val="TableParagraph"/>
              <w:spacing w:line="275" w:lineRule="exact"/>
              <w:rPr>
                <w:sz w:val="24"/>
              </w:rPr>
            </w:pPr>
            <w:r>
              <w:rPr>
                <w:w w:val="99"/>
                <w:sz w:val="24"/>
              </w:rPr>
              <w:t>7</w:t>
            </w:r>
          </w:p>
        </w:tc>
        <w:tc>
          <w:tcPr>
            <w:tcW w:w="734" w:type="dxa"/>
          </w:tcPr>
          <w:p>
            <w:pPr>
              <w:pStyle w:val="TableParagraph"/>
              <w:ind w:left="64"/>
              <w:rPr>
                <w:sz w:val="24"/>
              </w:rPr>
            </w:pPr>
            <w:r>
              <w:rPr>
                <w:sz w:val="24"/>
              </w:rPr>
              <w:t>25</w:t>
            </w:r>
          </w:p>
        </w:tc>
        <w:tc>
          <w:tcPr>
            <w:tcW w:w="651" w:type="dxa"/>
          </w:tcPr>
          <w:p>
            <w:pPr>
              <w:pStyle w:val="TableParagraph"/>
              <w:spacing w:line="275" w:lineRule="exact"/>
              <w:rPr>
                <w:sz w:val="24"/>
              </w:rPr>
            </w:pPr>
            <w:r>
              <w:rPr>
                <w:sz w:val="24"/>
              </w:rPr>
              <w:t>28</w:t>
            </w:r>
          </w:p>
        </w:tc>
        <w:tc>
          <w:tcPr>
            <w:tcW w:w="650" w:type="dxa"/>
            <w:gridSpan w:val="2"/>
          </w:tcPr>
          <w:p>
            <w:pPr>
              <w:pStyle w:val="TableParagraph"/>
              <w:rPr>
                <w:sz w:val="24"/>
              </w:rPr>
            </w:pPr>
            <w:r>
              <w:rPr>
                <w:sz w:val="24"/>
              </w:rPr>
              <w:t>100</w:t>
            </w:r>
          </w:p>
        </w:tc>
      </w:tr>
    </w:tbl>
    <w:p>
      <w:pPr>
        <w:spacing w:line="276" w:lineRule="auto" w:before="0"/>
        <w:ind w:left="222" w:right="959" w:firstLine="0"/>
        <w:jc w:val="both"/>
        <w:rPr>
          <w:sz w:val="22"/>
        </w:rPr>
      </w:pPr>
      <w:r>
        <w:rPr>
          <w:sz w:val="22"/>
        </w:rPr>
        <w:t>FUENTE: LIBRO DE GOBIERNO DE REGISTRO DE NECROPSIAS DE CHIMALHUACAN MEXICO, 2008-2010.</w:t>
      </w:r>
    </w:p>
    <w:p>
      <w:pPr>
        <w:pStyle w:val="BodyText"/>
        <w:spacing w:before="9"/>
        <w:rPr>
          <w:sz w:val="27"/>
        </w:rPr>
      </w:pPr>
    </w:p>
    <w:p>
      <w:pPr>
        <w:pStyle w:val="BodyText"/>
        <w:spacing w:line="276" w:lineRule="auto"/>
        <w:ind w:left="222" w:right="952"/>
        <w:jc w:val="both"/>
      </w:pPr>
      <w:r>
        <w:rPr/>
        <w:t>GRAFICA 4. MUERTES POR ASFIXIA POR SOFOCACION  POR OBSTRUCCION DE VIAS RESPIRATORIAS POR CONTENIDO GASTRO- ESOFAGICO POR ESTACION DEL AÑO, DE JULIO 2008 A JUNIO 2010, CHIMALHUACAN,</w:t>
      </w:r>
      <w:r>
        <w:rPr>
          <w:spacing w:val="-5"/>
        </w:rPr>
        <w:t> </w:t>
      </w:r>
      <w:r>
        <w:rPr/>
        <w:t>MEXICO.</w:t>
      </w:r>
    </w:p>
    <w:p>
      <w:pPr>
        <w:pStyle w:val="BodyText"/>
        <w:spacing w:before="5"/>
        <w:rPr>
          <w:sz w:val="13"/>
        </w:rPr>
      </w:pPr>
      <w:r>
        <w:rPr/>
        <w:pict>
          <v:group style="position:absolute;margin-left:86.175003pt;margin-top:9.681083pt;width:360.75pt;height:216.75pt;mso-position-horizontal-relative:page;mso-position-vertical-relative:paragraph;z-index:1480;mso-wrap-distance-left:0;mso-wrap-distance-right:0" coordorigin="1724,194" coordsize="7215,4335">
            <v:shape style="position:absolute;left:2309;top:690;width:4598;height:3341" type="#_x0000_t75" stroked="false">
              <v:imagedata r:id="rId13" o:title=""/>
            </v:shape>
            <v:rect style="position:absolute;left:7587;top:1764;width:110;height:110" filled="true" fillcolor="#4f81bc" stroked="false">
              <v:fill type="solid"/>
            </v:rect>
            <v:rect style="position:absolute;left:7587;top:2125;width:110;height:110" filled="true" fillcolor="#c0504d" stroked="false">
              <v:fill type="solid"/>
            </v:rect>
            <v:rect style="position:absolute;left:7587;top:2487;width:110;height:110" filled="true" fillcolor="#9bba58" stroked="false">
              <v:fill type="solid"/>
            </v:rect>
            <v:rect style="position:absolute;left:7587;top:2849;width:110;height:110" filled="true" fillcolor="#8063a1" stroked="false">
              <v:fill type="solid"/>
            </v:rect>
            <v:rect style="position:absolute;left:1731;top:201;width:7200;height:4320" filled="false" stroked="true" strokeweight=".75pt" strokecolor="#858585"/>
            <v:shape style="position:absolute;left:3367;top:12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5497;top:12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3024;top:253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28.50%</w:t>
                    </w:r>
                  </w:p>
                </w:txbxContent>
              </v:textbox>
              <w10:wrap type="none"/>
            </v:shape>
            <v:shape style="position:absolute;left:6022;top:243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7745;top:1727;width:984;height:1285" type="#_x0000_t202" filled="false" stroked="false">
              <v:textbox inset="0,0,0,0">
                <w:txbxContent>
                  <w:p>
                    <w:pPr>
                      <w:spacing w:line="203" w:lineRule="exact" w:before="0"/>
                      <w:ind w:left="0" w:right="0" w:firstLine="0"/>
                      <w:jc w:val="left"/>
                      <w:rPr>
                        <w:rFonts w:ascii="Calibri"/>
                        <w:sz w:val="20"/>
                      </w:rPr>
                    </w:pPr>
                    <w:r>
                      <w:rPr>
                        <w:rFonts w:ascii="Calibri"/>
                        <w:w w:val="95"/>
                        <w:sz w:val="20"/>
                      </w:rPr>
                      <w:t>PRIMAVERA</w:t>
                    </w:r>
                  </w:p>
                  <w:p>
                    <w:pPr>
                      <w:spacing w:line="355" w:lineRule="auto" w:before="118"/>
                      <w:ind w:left="0" w:right="0" w:firstLine="0"/>
                      <w:jc w:val="left"/>
                      <w:rPr>
                        <w:rFonts w:ascii="Calibri" w:hAnsi="Calibri"/>
                        <w:sz w:val="20"/>
                      </w:rPr>
                    </w:pPr>
                    <w:r>
                      <w:rPr>
                        <w:rFonts w:ascii="Calibri" w:hAnsi="Calibri"/>
                        <w:sz w:val="20"/>
                      </w:rPr>
                      <w:t>VERANO OTOÑO</w:t>
                    </w:r>
                  </w:p>
                  <w:p>
                    <w:pPr>
                      <w:spacing w:line="240" w:lineRule="exact" w:before="0"/>
                      <w:ind w:left="0" w:right="0" w:firstLine="0"/>
                      <w:jc w:val="left"/>
                      <w:rPr>
                        <w:rFonts w:ascii="Calibri"/>
                        <w:sz w:val="20"/>
                      </w:rPr>
                    </w:pPr>
                    <w:r>
                      <w:rPr>
                        <w:rFonts w:ascii="Calibri"/>
                        <w:sz w:val="20"/>
                      </w:rPr>
                      <w:t>INVIERNO</w:t>
                    </w:r>
                  </w:p>
                </w:txbxContent>
              </v:textbox>
              <w10:wrap type="none"/>
            </v:shape>
            <w10:wrap type="topAndBottom"/>
          </v:group>
        </w:pict>
      </w:r>
    </w:p>
    <w:p>
      <w:pPr>
        <w:spacing w:before="205"/>
        <w:ind w:left="222" w:right="0" w:firstLine="0"/>
        <w:jc w:val="both"/>
        <w:rPr>
          <w:sz w:val="22"/>
        </w:rPr>
      </w:pPr>
      <w:r>
        <w:rPr>
          <w:sz w:val="22"/>
        </w:rPr>
        <w:t>FUENTE: TABLA 4.</w:t>
      </w:r>
    </w:p>
    <w:p>
      <w:pPr>
        <w:spacing w:after="0"/>
        <w:jc w:val="both"/>
        <w:rPr>
          <w:sz w:val="22"/>
        </w:rPr>
        <w:sectPr>
          <w:pgSz w:w="12240" w:h="15840"/>
          <w:pgMar w:header="0" w:footer="1174" w:top="1360" w:bottom="1360" w:left="1480" w:right="740"/>
        </w:sectPr>
      </w:pPr>
    </w:p>
    <w:p>
      <w:pPr>
        <w:pStyle w:val="BodyText"/>
        <w:rPr>
          <w:sz w:val="20"/>
        </w:rPr>
      </w:pPr>
    </w:p>
    <w:p>
      <w:pPr>
        <w:pStyle w:val="BodyText"/>
        <w:spacing w:line="276" w:lineRule="auto" w:before="203"/>
        <w:ind w:left="222" w:right="956"/>
        <w:jc w:val="both"/>
      </w:pPr>
      <w:r>
        <w:rPr/>
        <w:t>De acuerdo a la gráfica cinco es posible observar que durante el periodo 2008 a 2009 la mayor frecuencia de asfixias por sofocación por obstrucción de vías respiratorias por contenido gastro-esofágico se presentó durante el otoño, no así durante el periodo 2009 a 2010, en donde predominó durante la primavera.</w:t>
      </w:r>
    </w:p>
    <w:p>
      <w:pPr>
        <w:pStyle w:val="BodyText"/>
        <w:spacing w:line="276" w:lineRule="auto" w:before="200"/>
        <w:ind w:left="222" w:right="958"/>
        <w:jc w:val="both"/>
      </w:pPr>
      <w:r>
        <w:rPr/>
        <w:t>CUADRO 5. MUERTES POR ASFIXIA POR SOFOCACION POR OBSTRUCCION DE VIAS RESPIRATORIAS POR CONTENIDO GASTRO-ESOFAGICO POR ESTACION DEL AÑO, Y POR PERIODO ANUAL, DE JULIO 2008 A JUNIO 2010, CHIMALHUACAN, MEXICO.</w:t>
      </w:r>
    </w:p>
    <w:p>
      <w:pPr>
        <w:pStyle w:val="BodyText"/>
        <w:spacing w:before="8"/>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1418"/>
        <w:gridCol w:w="1133"/>
        <w:gridCol w:w="1277"/>
        <w:gridCol w:w="1277"/>
        <w:gridCol w:w="1080"/>
      </w:tblGrid>
      <w:tr>
        <w:trPr>
          <w:trHeight w:val="670" w:hRule="exact"/>
        </w:trPr>
        <w:tc>
          <w:tcPr>
            <w:tcW w:w="2660" w:type="dxa"/>
          </w:tcPr>
          <w:p>
            <w:pPr>
              <w:pStyle w:val="TableParagraph"/>
              <w:spacing w:line="230" w:lineRule="exact"/>
              <w:rPr>
                <w:sz w:val="20"/>
              </w:rPr>
            </w:pPr>
            <w:r>
              <w:rPr>
                <w:sz w:val="20"/>
              </w:rPr>
              <w:t>ESTACION DE AÑO</w:t>
            </w:r>
          </w:p>
        </w:tc>
        <w:tc>
          <w:tcPr>
            <w:tcW w:w="1418" w:type="dxa"/>
          </w:tcPr>
          <w:p>
            <w:pPr>
              <w:pStyle w:val="TableParagraph"/>
              <w:spacing w:line="230" w:lineRule="exact"/>
              <w:rPr>
                <w:sz w:val="20"/>
              </w:rPr>
            </w:pPr>
            <w:r>
              <w:rPr>
                <w:sz w:val="20"/>
              </w:rPr>
              <w:t>PRIMAVERA</w:t>
            </w:r>
          </w:p>
        </w:tc>
        <w:tc>
          <w:tcPr>
            <w:tcW w:w="1133" w:type="dxa"/>
          </w:tcPr>
          <w:p>
            <w:pPr>
              <w:pStyle w:val="TableParagraph"/>
              <w:spacing w:line="230" w:lineRule="exact"/>
              <w:ind w:left="100"/>
              <w:rPr>
                <w:sz w:val="20"/>
              </w:rPr>
            </w:pPr>
            <w:r>
              <w:rPr>
                <w:sz w:val="20"/>
              </w:rPr>
              <w:t>VERANO</w:t>
            </w:r>
          </w:p>
        </w:tc>
        <w:tc>
          <w:tcPr>
            <w:tcW w:w="1277" w:type="dxa"/>
          </w:tcPr>
          <w:p>
            <w:pPr>
              <w:pStyle w:val="TableParagraph"/>
              <w:spacing w:line="230" w:lineRule="exact"/>
              <w:rPr>
                <w:sz w:val="20"/>
              </w:rPr>
            </w:pPr>
            <w:r>
              <w:rPr>
                <w:sz w:val="20"/>
              </w:rPr>
              <w:t>OTOÑO</w:t>
            </w:r>
          </w:p>
        </w:tc>
        <w:tc>
          <w:tcPr>
            <w:tcW w:w="1277" w:type="dxa"/>
          </w:tcPr>
          <w:p>
            <w:pPr>
              <w:pStyle w:val="TableParagraph"/>
              <w:spacing w:line="230" w:lineRule="exact"/>
              <w:rPr>
                <w:sz w:val="20"/>
              </w:rPr>
            </w:pPr>
            <w:r>
              <w:rPr>
                <w:sz w:val="20"/>
              </w:rPr>
              <w:t>INVIERNO</w:t>
            </w:r>
          </w:p>
        </w:tc>
        <w:tc>
          <w:tcPr>
            <w:tcW w:w="1080" w:type="dxa"/>
          </w:tcPr>
          <w:p>
            <w:pPr>
              <w:pStyle w:val="TableParagraph"/>
              <w:spacing w:line="230" w:lineRule="exact"/>
              <w:ind w:left="100"/>
              <w:rPr>
                <w:sz w:val="20"/>
              </w:rPr>
            </w:pPr>
            <w:r>
              <w:rPr>
                <w:sz w:val="20"/>
              </w:rPr>
              <w:t>TOTAL</w:t>
            </w:r>
          </w:p>
        </w:tc>
      </w:tr>
      <w:tr>
        <w:trPr>
          <w:trHeight w:val="629" w:hRule="exact"/>
        </w:trPr>
        <w:tc>
          <w:tcPr>
            <w:tcW w:w="2660" w:type="dxa"/>
          </w:tcPr>
          <w:p>
            <w:pPr>
              <w:pStyle w:val="TableParagraph"/>
              <w:spacing w:line="265" w:lineRule="exact"/>
              <w:rPr>
                <w:rFonts w:ascii="Calibri"/>
                <w:sz w:val="22"/>
              </w:rPr>
            </w:pPr>
            <w:r>
              <w:rPr>
                <w:rFonts w:ascii="Calibri"/>
                <w:sz w:val="22"/>
              </w:rPr>
              <w:t>01 DE JULIO  2008 AL 30</w:t>
            </w:r>
          </w:p>
          <w:p>
            <w:pPr>
              <w:pStyle w:val="TableParagraph"/>
              <w:spacing w:line="240" w:lineRule="auto" w:before="41"/>
              <w:rPr>
                <w:rFonts w:ascii="Calibri"/>
                <w:sz w:val="22"/>
              </w:rPr>
            </w:pPr>
            <w:r>
              <w:rPr>
                <w:rFonts w:ascii="Calibri"/>
                <w:sz w:val="22"/>
              </w:rPr>
              <w:t>JUNIO 2009</w:t>
            </w:r>
          </w:p>
        </w:tc>
        <w:tc>
          <w:tcPr>
            <w:tcW w:w="1418" w:type="dxa"/>
          </w:tcPr>
          <w:p>
            <w:pPr>
              <w:pStyle w:val="TableParagraph"/>
              <w:rPr>
                <w:sz w:val="24"/>
              </w:rPr>
            </w:pPr>
            <w:r>
              <w:rPr>
                <w:sz w:val="24"/>
              </w:rPr>
              <w:t>18.1 %</w:t>
            </w:r>
          </w:p>
        </w:tc>
        <w:tc>
          <w:tcPr>
            <w:tcW w:w="1133" w:type="dxa"/>
          </w:tcPr>
          <w:p>
            <w:pPr>
              <w:pStyle w:val="TableParagraph"/>
              <w:ind w:left="100"/>
              <w:rPr>
                <w:sz w:val="24"/>
              </w:rPr>
            </w:pPr>
            <w:r>
              <w:rPr>
                <w:sz w:val="24"/>
              </w:rPr>
              <w:t>18.1 %</w:t>
            </w:r>
          </w:p>
        </w:tc>
        <w:tc>
          <w:tcPr>
            <w:tcW w:w="1277" w:type="dxa"/>
          </w:tcPr>
          <w:p>
            <w:pPr>
              <w:pStyle w:val="TableParagraph"/>
              <w:rPr>
                <w:sz w:val="24"/>
              </w:rPr>
            </w:pPr>
            <w:r>
              <w:rPr>
                <w:sz w:val="24"/>
              </w:rPr>
              <w:t>36.3 %</w:t>
            </w:r>
          </w:p>
        </w:tc>
        <w:tc>
          <w:tcPr>
            <w:tcW w:w="1277" w:type="dxa"/>
          </w:tcPr>
          <w:p>
            <w:pPr>
              <w:pStyle w:val="TableParagraph"/>
              <w:rPr>
                <w:sz w:val="24"/>
              </w:rPr>
            </w:pPr>
            <w:r>
              <w:rPr>
                <w:sz w:val="24"/>
              </w:rPr>
              <w:t>27.2 %</w:t>
            </w:r>
          </w:p>
        </w:tc>
        <w:tc>
          <w:tcPr>
            <w:tcW w:w="1080" w:type="dxa"/>
          </w:tcPr>
          <w:p>
            <w:pPr>
              <w:pStyle w:val="TableParagraph"/>
              <w:ind w:left="100"/>
              <w:rPr>
                <w:sz w:val="24"/>
              </w:rPr>
            </w:pPr>
            <w:r>
              <w:rPr>
                <w:sz w:val="24"/>
              </w:rPr>
              <w:t>100%</w:t>
            </w:r>
          </w:p>
        </w:tc>
      </w:tr>
      <w:tr>
        <w:trPr>
          <w:trHeight w:val="626" w:hRule="exact"/>
        </w:trPr>
        <w:tc>
          <w:tcPr>
            <w:tcW w:w="2660" w:type="dxa"/>
          </w:tcPr>
          <w:p>
            <w:pPr>
              <w:pStyle w:val="TableParagraph"/>
              <w:spacing w:line="265" w:lineRule="exact"/>
              <w:rPr>
                <w:rFonts w:ascii="Calibri"/>
                <w:sz w:val="22"/>
              </w:rPr>
            </w:pPr>
            <w:r>
              <w:rPr>
                <w:rFonts w:ascii="Calibri"/>
                <w:sz w:val="22"/>
              </w:rPr>
              <w:t>01 DE JULIO 2009 AL 30 DE</w:t>
            </w:r>
          </w:p>
          <w:p>
            <w:pPr>
              <w:pStyle w:val="TableParagraph"/>
              <w:spacing w:line="240" w:lineRule="auto" w:before="41"/>
              <w:rPr>
                <w:rFonts w:ascii="Calibri"/>
                <w:sz w:val="22"/>
              </w:rPr>
            </w:pPr>
            <w:r>
              <w:rPr>
                <w:rFonts w:ascii="Calibri"/>
                <w:sz w:val="22"/>
              </w:rPr>
              <w:t>JUNIO 2010</w:t>
            </w:r>
          </w:p>
        </w:tc>
        <w:tc>
          <w:tcPr>
            <w:tcW w:w="1418" w:type="dxa"/>
          </w:tcPr>
          <w:p>
            <w:pPr>
              <w:pStyle w:val="TableParagraph"/>
              <w:rPr>
                <w:sz w:val="24"/>
              </w:rPr>
            </w:pPr>
            <w:r>
              <w:rPr>
                <w:sz w:val="24"/>
              </w:rPr>
              <w:t>29.4 %</w:t>
            </w:r>
          </w:p>
        </w:tc>
        <w:tc>
          <w:tcPr>
            <w:tcW w:w="1133" w:type="dxa"/>
          </w:tcPr>
          <w:p>
            <w:pPr>
              <w:pStyle w:val="TableParagraph"/>
              <w:ind w:left="100"/>
              <w:rPr>
                <w:sz w:val="24"/>
              </w:rPr>
            </w:pPr>
            <w:r>
              <w:rPr>
                <w:sz w:val="24"/>
              </w:rPr>
              <w:t>23.5 %</w:t>
            </w:r>
          </w:p>
        </w:tc>
        <w:tc>
          <w:tcPr>
            <w:tcW w:w="1277" w:type="dxa"/>
          </w:tcPr>
          <w:p>
            <w:pPr>
              <w:pStyle w:val="TableParagraph"/>
              <w:rPr>
                <w:sz w:val="24"/>
              </w:rPr>
            </w:pPr>
            <w:r>
              <w:rPr>
                <w:sz w:val="24"/>
              </w:rPr>
              <w:t>23.5 %</w:t>
            </w:r>
          </w:p>
        </w:tc>
        <w:tc>
          <w:tcPr>
            <w:tcW w:w="1277" w:type="dxa"/>
          </w:tcPr>
          <w:p>
            <w:pPr>
              <w:pStyle w:val="TableParagraph"/>
              <w:rPr>
                <w:sz w:val="24"/>
              </w:rPr>
            </w:pPr>
            <w:r>
              <w:rPr>
                <w:sz w:val="24"/>
              </w:rPr>
              <w:t>23.5 %</w:t>
            </w:r>
          </w:p>
        </w:tc>
        <w:tc>
          <w:tcPr>
            <w:tcW w:w="1080" w:type="dxa"/>
          </w:tcPr>
          <w:p>
            <w:pPr>
              <w:pStyle w:val="TableParagraph"/>
              <w:ind w:left="100"/>
              <w:rPr>
                <w:sz w:val="24"/>
              </w:rPr>
            </w:pPr>
            <w:r>
              <w:rPr>
                <w:sz w:val="24"/>
              </w:rPr>
              <w:t>100%</w:t>
            </w:r>
          </w:p>
        </w:tc>
      </w:tr>
    </w:tbl>
    <w:p>
      <w:pPr>
        <w:spacing w:line="278" w:lineRule="auto" w:before="0"/>
        <w:ind w:left="222" w:right="959" w:firstLine="0"/>
        <w:jc w:val="both"/>
        <w:rPr>
          <w:sz w:val="22"/>
        </w:rPr>
      </w:pPr>
      <w:r>
        <w:rPr>
          <w:sz w:val="22"/>
        </w:rPr>
        <w:t>FUENTE: LIBRO DE GOBIERNO DE REGISTRO DE NECROPSIAS DE CHIMALHUACAN MEXICO, 2008-2010.</w:t>
      </w:r>
    </w:p>
    <w:p>
      <w:pPr>
        <w:pStyle w:val="BodyText"/>
        <w:spacing w:before="4"/>
        <w:rPr>
          <w:sz w:val="27"/>
        </w:rPr>
      </w:pPr>
    </w:p>
    <w:p>
      <w:pPr>
        <w:pStyle w:val="BodyText"/>
        <w:spacing w:line="276" w:lineRule="auto" w:before="1"/>
        <w:ind w:left="222" w:right="952"/>
        <w:jc w:val="both"/>
      </w:pPr>
      <w:r>
        <w:rPr/>
        <w:t>GRAFICA 5. MUERTES POR ASFIXIA POR SOFOCACION  POR OBSTRUCCION DE VIAS RESPIRATORIAS POR CONTENIDO GASTRO- ESOFAGICO POR ESTACION DEL AÑO, Y POR PERIODO ANUAL, DE JULIO 2008 A JUNIO 2010, CHIMALHUACAN,</w:t>
      </w:r>
      <w:r>
        <w:rPr>
          <w:spacing w:val="-13"/>
        </w:rPr>
        <w:t> </w:t>
      </w:r>
      <w:r>
        <w:rPr/>
        <w:t>MEXICO.</w:t>
      </w:r>
    </w:p>
    <w:p>
      <w:pPr>
        <w:pStyle w:val="BodyText"/>
        <w:rPr>
          <w:sz w:val="20"/>
        </w:rPr>
      </w:pPr>
    </w:p>
    <w:p>
      <w:pPr>
        <w:pStyle w:val="BodyText"/>
        <w:rPr>
          <w:sz w:val="21"/>
        </w:rPr>
      </w:pPr>
      <w:r>
        <w:rPr/>
        <w:pict>
          <v:group style="position:absolute;margin-left:86.175003pt;margin-top:14.052073pt;width:360.75pt;height:216.75pt;mso-position-horizontal-relative:page;mso-position-vertical-relative:paragraph;z-index:1552;mso-wrap-distance-left:0;mso-wrap-distance-right:0" coordorigin="1724,281" coordsize="7215,4335">
            <v:line style="position:absolute" from="2647,3112" to="6278,3112" stroked="true" strokeweight=".72pt" strokecolor="#858585"/>
            <v:line style="position:absolute" from="2647,2740" to="6278,2740" stroked="true" strokeweight=".72pt" strokecolor="#858585"/>
            <v:line style="position:absolute" from="2647,2370" to="6278,2370" stroked="true" strokeweight=".72pt" strokecolor="#858585"/>
            <v:line style="position:absolute" from="2647,1998" to="6278,1998" stroked="true" strokeweight=".72pt" strokecolor="#858585"/>
            <v:line style="position:absolute" from="2647,1626" to="6278,1626" stroked="true" strokeweight=".72pt" strokecolor="#858585"/>
            <v:line style="position:absolute" from="2647,1254" to="6278,1254" stroked="true" strokeweight=".72pt" strokecolor="#858585"/>
            <v:line style="position:absolute" from="2647,882" to="6278,882" stroked="true" strokeweight=".72pt" strokecolor="#858585"/>
            <v:line style="position:absolute" from="2647,513" to="6278,513" stroked="true" strokeweight=".72pt" strokecolor="#858585"/>
            <v:line style="position:absolute" from="2647,3484" to="2647,513" stroked="true" strokeweight=".72pt" strokecolor="#858585"/>
            <v:line style="position:absolute" from="2585,3484" to="2647,3484" stroked="true" strokeweight=".72pt" strokecolor="#858585"/>
            <v:line style="position:absolute" from="2585,3112" to="2647,3112" stroked="true" strokeweight=".72pt" strokecolor="#858585"/>
            <v:line style="position:absolute" from="2585,2740" to="2647,2740" stroked="true" strokeweight=".72pt" strokecolor="#858585"/>
            <v:line style="position:absolute" from="2585,2370" to="2647,2370" stroked="true" strokeweight=".72pt" strokecolor="#858585"/>
            <v:line style="position:absolute" from="2585,1998" to="2647,1998" stroked="true" strokeweight=".72pt" strokecolor="#858585"/>
            <v:line style="position:absolute" from="2585,1626" to="2647,1626" stroked="true" strokeweight=".72pt" strokecolor="#858585"/>
            <v:line style="position:absolute" from="2585,1254" to="2647,1254" stroked="true" strokeweight=".72pt" strokecolor="#858585"/>
            <v:line style="position:absolute" from="2585,882" to="2647,882" stroked="true" strokeweight=".72pt" strokecolor="#858585"/>
            <v:line style="position:absolute" from="2585,513" to="2647,513" stroked="true" strokeweight=".72pt" strokecolor="#858585"/>
            <v:line style="position:absolute" from="2647,3484" to="6278,3484" stroked="true" strokeweight=".72pt" strokecolor="#858585"/>
            <v:line style="position:absolute" from="2647,3484" to="2647,3546" stroked="true" strokeweight=".72pt" strokecolor="#858585"/>
            <v:line style="position:absolute" from="3554,3484" to="3554,3546" stroked="true" strokeweight=".72pt" strokecolor="#858585"/>
            <v:line style="position:absolute" from="4464,3484" to="4464,3546" stroked="true" strokeweight=".72pt" strokecolor="#858585"/>
            <v:line style="position:absolute" from="5371,3484" to="5371,3546" stroked="true" strokeweight=".72pt" strokecolor="#858585"/>
            <v:line style="position:absolute" from="6278,3484" to="6278,3546" stroked="true" strokeweight=".72pt" strokecolor="#858585"/>
            <v:shape style="position:absolute;left:3101;top:786;width:2724;height:1354" coordorigin="3101,786" coordsize="2724,1354" path="m3101,2140l4010,2140,4918,786,5825,1463e" filled="false" stroked="true" strokeweight="2.16pt" strokecolor="#497dba">
              <v:path arrowok="t"/>
            </v:shape>
            <v:shape style="position:absolute;left:3101;top:1300;width:2724;height:437" coordorigin="3101,1300" coordsize="2724,437" path="m3101,1300l4010,1737,4918,1737,5825,1737e" filled="false" stroked="true" strokeweight="2.16pt" strokecolor="#bd4a47">
              <v:path arrowok="t"/>
            </v:shape>
            <v:shape style="position:absolute;left:2376;top:3691;width:767;height:736" type="#_x0000_t75" stroked="false">
              <v:imagedata r:id="rId14" o:title=""/>
            </v:shape>
            <v:shape style="position:absolute;left:3477;top:3683;width:550;height:520" coordorigin="3477,3683" coordsize="550,520" path="m3490,4135l3486,4135,3485,4137,3484,4137,3483,4139,3480,4141,3479,4143,3477,4145,3477,4145,3477,4147,3477,4149,3480,4149,3592,4203,3598,4203,3599,4201,3600,4201,3601,4199,3603,4197,3604,4197,3605,4195,3608,4193,3608,4191,3609,4191,3609,4189,3608,4189,3608,4187,3607,4185,3591,4185,3490,4135xm3553,4073l3549,4073,3546,4075,3544,4077,3543,4079,3542,4079,3541,4081,3540,4081,3540,4085,3541,4085,3591,4185,3607,4185,3554,4077,3553,4073xm3613,4009l3612,4011,3569,4053,3568,4053,3568,4055,3567,4059,3568,4061,3651,4143,3657,4143,3658,4141,3675,4125,3656,4125,3624,4093,3634,4083,3615,4083,3587,4055,3622,4019,3622,4019,3622,4017,3621,4017,3621,4015,3620,4013,3618,4013,3617,4011,3615,4011,3613,4009xm3696,4089l3692,4089,3656,4125,3675,4125,3701,4099,3702,4099,3702,4097,3701,4095,3701,4095,3701,4093,3699,4093,3699,4091,3697,4091,3696,4089xm3649,4053l3645,4053,3615,4083,3634,4083,3654,4063,3654,4063,3655,4061,3655,4061,3654,4059,3654,4059,3653,4057,3652,4057,3652,4055,3650,4055,3649,4053xm3695,3947l3684,3947,3680,3949,3672,3953,3667,3957,3665,3957,3660,3961,3639,3983,3638,3985,3637,3985,3637,3989,3638,3991,3722,4075,3726,4075,3728,4073,3729,4073,3731,4069,3733,4067,3734,4067,3734,4065,3734,4065,3734,4063,3734,4063,3696,4025,3704,4017,3706,4015,3686,4015,3656,3985,3666,3975,3668,3973,3670,3971,3672,3971,3674,3969,3675,3967,3677,3967,3681,3965,3686,3963,3717,3963,3715,3959,3709,3953,3702,3949,3699,3949,3695,3947xm3552,4071l3550,4071,3549,4073,3552,4073,3552,4071xm3769,4009l3723,4009,3726,4011,3729,4011,3732,4013,3735,4013,3768,4027,3768,4029,3772,4029,3772,4027,3775,4027,3778,4023,3779,4021,3780,4021,3781,4019,3781,4019,3782,4017,3781,4015,3781,4015,3777,4013,3775,4011,3769,4009xm3717,3963l3686,3963,3690,3965,3694,3965,3697,3967,3701,3971,3703,3973,3705,3975,3706,3977,3707,3981,3707,3983,3707,3987,3707,3989,3706,3991,3703,3997,3701,4001,3686,4015,3706,4015,3712,4011,3714,4011,3717,4009,3769,4009,3747,4001,3744,3999,3741,3999,3738,3997,3717,3997,3719,3993,3720,3989,3721,3987,3722,3983,3722,3979,3722,3977,3721,3973,3720,3969,3717,3963xm3750,3877l3744,3877,3743,3879,3742,3879,3741,3881,3739,3883,3738,3883,3737,3885,3734,3887,3734,3889,3733,3889,3733,3891,3734,3891,3734,3893,3787,4005,3787,4007,3788,4007,3789,4009,3792,4009,3795,4005,3799,4003,3799,4001,3800,4001,3801,3999,3801,3999,3801,3997,3801,3997,3801,3995,3786,3967,3798,3955,3780,3955,3751,3895,3789,3895,3750,3877xm3733,3995l3719,3995,3717,3997,3735,3997,3733,3995xm3789,3895l3751,3895,3811,3923,3780,3955,3798,3955,3823,3929,3862,3929,3789,3895xm3862,3929l3823,3929,3853,3943,3853,3945,3855,3945,3856,3943,3858,3943,3860,3941,3863,3937,3866,3935,3866,3933,3866,3931,3865,3931,3862,3929xm3818,3815l3807,3815,3806,3817,3804,3817,3803,3819,3797,3825,3796,3827,3795,3827,3795,3829,3795,3831,3796,3833,3880,3917,3884,3917,3885,3915,3886,3915,3888,3913,3889,3913,3891,3909,3892,3909,3892,3907,3892,3907,3892,3905,3827,3841,3817,3831,3867,3831,3821,3817,3818,3815xm3884,3835l3830,3835,3838,3839,3920,3863,3925,3865,3935,3865,3936,3863,3937,3863,3938,3861,3940,3861,3944,3857,3944,3857,3945,3855,3946,3853,3946,3853,3946,3851,3945,3849,3944,3847,3918,3847,3911,3843,3908,3843,3905,3841,3901,3841,3895,3839,3891,3837,3888,3837,3884,3835xm3861,3763l3859,3763,3859,3765,3856,3765,3856,3767,3855,3767,3854,3769,3851,3771,3850,3773,3849,3777,3909,3837,3913,3839,3917,3843,3921,3847,3944,3847,3861,3765,3861,3763xm3867,3831l3817,3831,3825,3835,3880,3835,3867,3831xm3966,3683l3945,3683,3938,3687,3932,3689,3925,3695,3912,3709,3907,3715,3904,3723,3901,3729,3900,3737,3901,3751,3903,3759,3907,3767,3911,3773,3917,3781,3931,3795,3939,3801,3953,3809,3967,3813,3974,3813,3995,3807,4001,3801,4006,3797,3972,3797,3962,3793,3957,3791,3951,3789,3946,3785,3941,3779,3936,3775,3931,3769,3927,3765,3924,3759,3920,3755,3918,3749,3916,3739,3916,3733,3918,3727,3919,3723,3923,3717,3928,3711,3933,3707,3938,3703,3943,3701,3949,3699,3995,3699,3980,3691,3973,3687,3966,3683xm3995,3699l3954,3699,3959,3701,3964,3701,3970,3705,3975,3707,3980,3711,3985,3715,3990,3721,3995,3725,3999,3731,4006,3741,4008,3747,4011,3757,4010,3763,4007,3773,4004,3779,3999,3783,3993,3789,3988,3793,3983,3793,3972,3797,4006,3797,4008,3795,4015,3787,4020,3781,4023,3773,4026,3767,4027,3759,4026,3751,4025,3743,4023,3737,4019,3729,4015,3721,4009,3715,3995,3699xe" filled="true" fillcolor="#000000" stroked="false">
              <v:path arrowok="t"/>
              <v:fill type="solid"/>
            </v:shape>
            <v:shape style="position:absolute;left:4461;top:3681;width:475;height:478" coordorigin="4461,3681" coordsize="475,478" path="m4513,4029l4499,4033,4492,4037,4486,4041,4472,4055,4468,4061,4465,4069,4462,4077,4461,4083,4462,4099,4464,4105,4472,4121,4478,4129,4485,4135,4492,4143,4499,4149,4514,4157,4521,4159,4542,4159,4549,4155,4556,4153,4562,4149,4568,4143,4533,4143,4528,4141,4523,4141,4517,4139,4507,4131,4502,4127,4492,4117,4488,4113,4484,4107,4481,4101,4479,4097,4477,4085,4477,4081,4480,4069,4483,4065,4494,4053,4509,4047,4556,4047,4548,4041,4541,4037,4534,4033,4527,4031,4520,4031,4513,4029xm4556,4047l4515,4047,4520,4049,4525,4049,4530,4051,4536,4055,4541,4059,4546,4063,4551,4067,4556,4073,4560,4077,4563,4083,4567,4087,4569,4093,4571,4105,4571,4109,4568,4121,4565,4125,4554,4135,4549,4139,4544,4141,4538,4143,4568,4143,4576,4135,4581,4127,4584,4121,4586,4113,4588,4105,4587,4099,4586,4091,4584,4083,4580,4077,4576,4069,4570,4061,4563,4053,4556,4047xm4589,3985l4565,3985,4642,4063,4645,4063,4647,4061,4648,4061,4651,4057,4652,4057,4653,4055,4653,4055,4654,4053,4655,4053,4654,4051,4589,3985xm4594,3937l4592,3937,4592,3939,4529,4001,4529,4003,4529,4003,4530,4005,4530,4005,4531,4007,4532,4007,4533,4009,4535,4009,4536,4011,4539,4011,4565,3985,4589,3985,4577,3973,4602,3949,4602,3947,4602,3945,4602,3945,4601,3943,4601,3943,4599,3941,4598,3941,4596,3939,4595,3939,4594,3937xm4676,3867l4655,3873,4649,3879,4635,3891,4630,3899,4628,3907,4625,3913,4623,3921,4625,3935,4627,3943,4631,3951,4635,3959,4641,3965,4655,3979,4662,3985,4677,3993,4684,3995,4698,3997,4705,3997,4712,3993,4718,3991,4725,3985,4729,3981,4696,3981,4691,3979,4686,3979,4675,3971,4670,3969,4665,3965,4655,3955,4651,3949,4647,3943,4644,3939,4642,3933,4641,3929,4640,3923,4640,3917,4641,3911,4643,3907,4646,3901,4651,3897,4657,3891,4662,3887,4667,3885,4672,3885,4678,3883,4719,3883,4697,3871,4690,3869,4676,3867xm4719,3883l4678,3883,4683,3885,4688,3887,4693,3889,4704,3895,4709,3899,4714,3905,4719,3909,4723,3915,4730,3925,4732,3931,4733,3935,4734,3941,4734,3947,4732,3951,4731,3957,4727,3963,4717,3973,4712,3977,4701,3979,4696,3981,4729,3981,4739,3971,4744,3965,4746,3957,4749,3951,4750,3943,4749,3929,4747,3921,4743,3913,4739,3905,4733,3899,4719,3883xm4729,3815l4714,3815,4713,3817,4705,3825,4704,3827,4704,3831,4704,3833,4788,3917,4791,3917,4792,3915,4794,3915,4796,3913,4798,3911,4798,3911,4800,3907,4801,3907,4801,3905,4800,3905,4740,3843,4736,3841,4733,3837,4726,3831,4783,3831,4729,3815xm4841,3863l4836,3863,4838,3865,4839,3865,4841,3863xm4803,3837l4747,3837,4831,3863,4846,3863,4847,3861,4853,3855,4853,3855,4854,3853,4854,3853,4855,3851,4855,3851,4855,3849,4854,3849,4854,3847,4830,3847,4826,3845,4823,3845,4820,3843,4813,3841,4810,3839,4807,3839,4803,3837xm4770,3763l4766,3763,4765,3765,4764,3765,4763,3767,4762,3767,4761,3769,4760,3769,4760,3771,4758,3771,4758,3773,4758,3773,4758,3775,4758,3775,4818,3835,4830,3847,4853,3847,4852,3845,4770,3763xm4783,3831l4730,3831,4738,3835,4743,3837,4800,3837,4796,3835,4793,3835,4789,3833,4783,3831xm4725,3813l4718,3813,4716,3815,4727,3815,4725,3813xm4706,3809l4703,3809,4704,3811,4705,3811,4706,3809xm4861,3681l4854,3683,4847,3687,4840,3689,4834,3693,4827,3701,4820,3707,4815,3715,4813,3721,4810,3729,4809,3735,4809,3739,4810,3751,4812,3759,4816,3765,4820,3773,4826,3781,4840,3795,4847,3801,4862,3809,4869,3811,4890,3811,4897,3809,4910,3801,4916,3795,4881,3795,4876,3793,4871,3793,4865,3791,4860,3787,4850,3779,4836,3765,4829,3753,4827,3749,4825,3737,4825,3733,4828,3721,4831,3717,4842,3707,4847,3703,4852,3701,4857,3699,4904,3699,4896,3693,4882,3685,4875,3683,4861,3681xm4736,3749l4733,3749,4732,3751,4729,3753,4728,3755,4727,3757,4728,3759,4730,3761,4731,3763,4731,3767,4731,3769,4729,3769,4727,3771,4726,3773,4719,3773,4717,3775,4712,3775,4706,3777,4704,3779,4699,3783,4698,3785,4697,3789,4696,3791,4695,3793,4695,3797,4696,3799,4697,3801,4698,3805,4699,3807,4702,3809,4707,3809,4708,3807,4710,3807,4710,3805,4711,3805,4712,3803,4711,3801,4709,3799,4708,3799,4707,3793,4708,3793,4710,3791,4712,3789,4713,3787,4720,3787,4722,3785,4727,3785,4733,3783,4735,3781,4738,3779,4742,3775,4744,3769,4744,3759,4742,3755,4737,3751,4736,3749xm4904,3699l4868,3699,4873,3701,4878,3703,4894,3715,4899,3719,4904,3725,4908,3729,4915,3739,4917,3745,4918,3751,4919,3757,4919,3761,4916,3773,4912,3777,4902,3789,4886,3795,4916,3795,4924,3787,4929,3779,4931,3773,4934,3765,4935,3759,4935,3751,4934,3743,4932,3735,4928,3729,4924,3721,4918,3713,4911,3707,4904,3699xe" filled="true" fillcolor="#000000" stroked="false">
              <v:path arrowok="t"/>
              <v:fill type="solid"/>
            </v:shape>
            <v:shape style="position:absolute;left:5221;top:3683;width:622;height:622" coordorigin="5221,3683" coordsize="622,622" path="m5233,4207l5230,4207,5230,4209,5228,4209,5227,4211,5222,4215,5222,4217,5222,4217,5221,4219,5222,4219,5307,4305,5312,4305,5313,4303,5318,4299,5318,4299,5319,4297,5320,4297,5320,4295,5320,4293,5319,4293,5233,4207xm5282,4167l5272,4167,5270,4169,5269,4169,5268,4171,5261,4177,5260,4179,5259,4181,5259,4181,5258,4183,5259,4185,5343,4271,5346,4271,5346,4269,5348,4269,5349,4267,5350,4267,5351,4265,5353,4263,5354,4263,5354,4261,5355,4261,5356,4259,5355,4259,5298,4201,5294,4197,5287,4191,5280,4183,5331,4183,5284,4169,5282,4167xm5331,4183l5281,4183,5289,4187,5297,4189,5301,4191,5306,4193,5383,4215,5386,4217,5400,4217,5402,4215,5403,4213,5408,4209,5408,4209,5409,4205,5409,4203,5409,4203,5409,4201,5408,4201,5407,4199,5381,4199,5378,4197,5371,4195,5368,4195,5365,4193,5362,4193,5358,4191,5355,4191,5351,4189,5348,4187,5344,4187,5331,4183xm5325,4117l5321,4117,5320,4119,5318,4119,5317,4121,5315,4123,5314,4123,5314,4125,5313,4125,5313,4127,5313,4129,5313,4129,5365,4181,5373,4189,5377,4193,5381,4197,5384,4199,5407,4199,5325,4117xm5353,4089l5349,4089,5347,4091,5346,4091,5345,4093,5342,4095,5341,4097,5340,4097,5339,4099,5339,4099,5339,4101,5340,4101,5340,4103,5343,4103,5455,4157,5460,4157,5461,4155,5462,4155,5463,4153,5464,4153,5465,4151,5467,4151,5468,4149,5470,4147,5470,4145,5471,4145,5471,4143,5471,4143,5470,4141,5469,4139,5453,4139,5353,4089xm5415,4027l5410,4027,5405,4033,5404,4033,5403,4035,5403,4035,5402,4037,5402,4037,5403,4039,5403,4039,5453,4139,5469,4139,5417,4029,5415,4027xm5440,4001l5436,4001,5435,4003,5432,4005,5431,4007,5429,4009,5429,4009,5428,4011,5429,4013,5515,4099,5518,4099,5519,4097,5520,4097,5521,4095,5523,4095,5524,4093,5525,4093,5525,4091,5526,4091,5527,4089,5527,4089,5527,4087,5526,4087,5440,4001xm5515,3929l5510,3929,5466,3971,5466,3973,5465,3975,5465,3977,5466,3979,5549,4061,5551,4063,5554,4061,5555,4061,5573,4043,5554,4043,5522,4011,5532,4001,5512,4001,5484,3973,5520,3937,5520,3937,5520,3935,5519,3935,5519,3933,5518,3933,5516,3931,5515,3929xm5594,4007l5590,4007,5554,4043,5573,4043,5599,4017,5600,4015,5599,4013,5598,4013,5598,4011,5596,4009,5596,4009,5594,4007xm5414,4025l5412,4027,5414,4027,5414,4025xm5547,3971l5542,3971,5512,4001,5532,4001,5552,3981,5552,3981,5553,3979,5552,3977,5552,3977,5551,3975,5549,3973,5548,3973,5547,3971xm5593,3865l5582,3865,5578,3867,5574,3869,5566,3873,5563,3875,5560,3879,5558,3881,5556,3883,5536,3903,5535,3903,5535,3905,5535,3907,5535,3909,5620,3993,5624,3993,5625,3991,5627,3991,5628,3989,5629,3989,5630,3987,5630,3987,5631,3985,5632,3985,5632,3983,5632,3981,5632,3981,5594,3943,5601,3935,5604,3933,5584,3933,5554,3903,5568,3889,5570,3889,5573,3885,5574,3885,5579,3883,5584,3881,5615,3881,5613,3879,5610,3875,5607,3873,5604,3869,5600,3869,5597,3867,5593,3865xm5665,3927l5621,3927,5624,3929,5627,3929,5630,3931,5633,3931,5636,3933,5666,3945,5666,3947,5670,3947,5673,3945,5677,3939,5679,3937,5680,3937,5680,3935,5679,3935,5679,3933,5677,3933,5675,3931,5665,3927xm5615,3881l5584,3881,5587,3883,5591,3883,5595,3885,5599,3889,5601,3891,5602,3893,5604,3895,5605,3899,5605,3901,5605,3907,5602,3913,5601,3915,5599,3919,5596,3923,5584,3933,5604,3933,5607,3931,5610,3929,5612,3929,5615,3927,5665,3927,5645,3919,5642,3917,5636,3915,5615,3915,5617,3911,5618,3907,5619,3905,5620,3901,5619,3893,5619,3891,5618,3887,5617,3885,5615,3881xm5637,3815l5623,3815,5622,3817,5621,3817,5620,3819,5614,3825,5613,3825,5612,3827,5612,3829,5611,3831,5612,3833,5696,3917,5700,3917,5701,3915,5703,3915,5704,3913,5706,3911,5707,3909,5708,3909,5708,3907,5709,3907,5708,3905,5651,3847,5647,3845,5640,3837,5633,3831,5690,3831,5637,3815xm5631,3913l5619,3913,5617,3915,5633,3915,5631,3913xm5690,3831l5634,3831,5642,3833,5646,3835,5654,3837,5659,3839,5736,3863,5739,3863,5741,3865,5751,3865,5754,3863,5755,3861,5756,3861,5761,3855,5761,3855,5762,3853,5762,3849,5762,3849,5761,3847,5737,3847,5734,3845,5731,3845,5724,3843,5721,3841,5718,3841,5715,3839,5711,3839,5708,3837,5704,3835,5701,3835,5697,3833,5690,3831xm5678,3763l5675,3763,5675,3765,5672,3765,5668,3769,5667,3771,5667,3771,5666,3773,5666,3773,5666,3775,5666,3775,5714,3825,5718,3827,5726,3835,5730,3839,5737,3847,5760,3847,5678,3765,5678,3763xm5783,3683l5762,3683,5755,3687,5748,3689,5741,3695,5728,3707,5723,3715,5720,3721,5717,3729,5716,3737,5717,3751,5720,3759,5728,3773,5733,3781,5748,3795,5755,3801,5769,3809,5776,3811,5790,3813,5804,3809,5811,3805,5818,3801,5825,3795,5789,3795,5778,3793,5773,3791,5763,3785,5757,3779,5752,3775,5747,3769,5743,3765,5737,3755,5734,3749,5732,3739,5733,3733,5736,3721,5739,3717,5744,3711,5755,3703,5765,3699,5811,3699,5804,3695,5797,3689,5790,3685,5783,3683xm5811,3699l5770,3699,5776,3701,5781,3701,5786,3705,5797,3711,5802,3715,5807,3719,5812,3725,5816,3729,5822,3741,5825,3745,5826,3751,5827,3757,5827,3761,5824,3773,5820,3779,5810,3789,5799,3793,5794,3795,5825,3795,5831,3787,5836,3781,5839,3773,5842,3765,5843,3759,5843,3751,5842,3743,5839,3737,5835,3729,5831,3721,5826,3715,5811,3699xe" filled="true" fillcolor="#000000" stroked="false">
              <v:path arrowok="t"/>
              <v:fill type="solid"/>
            </v:shape>
            <v:line style="position:absolute" from="6593,2027" to="6977,2027" stroked="true" strokeweight="2.16pt" strokecolor="#497dba"/>
            <v:line style="position:absolute" from="6593,2630" to="6977,2630" stroked="true" strokeweight="2.16pt" strokecolor="#bd4a47"/>
            <v:rect style="position:absolute;left:1731;top:289;width:7200;height:4320" filled="false" stroked="true" strokeweight=".75pt" strokecolor="#858585"/>
            <v:shape style="position:absolute;left:1861;top:419;width:599;height:3172" type="#_x0000_t202" filled="false" stroked="false">
              <v:textbox inset="0,0,0,0">
                <w:txbxContent>
                  <w:p>
                    <w:pPr>
                      <w:spacing w:line="203" w:lineRule="exact" w:before="0"/>
                      <w:ind w:left="0" w:right="0" w:firstLine="0"/>
                      <w:jc w:val="center"/>
                      <w:rPr>
                        <w:rFonts w:ascii="Calibri"/>
                        <w:sz w:val="20"/>
                      </w:rPr>
                    </w:pPr>
                    <w:r>
                      <w:rPr>
                        <w:rFonts w:ascii="Calibri"/>
                        <w:sz w:val="20"/>
                      </w:rPr>
                      <w:t>40.00%</w:t>
                    </w:r>
                  </w:p>
                  <w:p>
                    <w:pPr>
                      <w:spacing w:before="127"/>
                      <w:ind w:left="0" w:right="0" w:firstLine="0"/>
                      <w:jc w:val="center"/>
                      <w:rPr>
                        <w:rFonts w:ascii="Calibri"/>
                        <w:sz w:val="20"/>
                      </w:rPr>
                    </w:pPr>
                    <w:r>
                      <w:rPr>
                        <w:rFonts w:ascii="Calibri"/>
                        <w:sz w:val="20"/>
                      </w:rPr>
                      <w:t>35.00%</w:t>
                    </w:r>
                  </w:p>
                  <w:p>
                    <w:pPr>
                      <w:spacing w:before="127"/>
                      <w:ind w:left="0" w:right="0" w:firstLine="0"/>
                      <w:jc w:val="center"/>
                      <w:rPr>
                        <w:rFonts w:ascii="Calibri"/>
                        <w:sz w:val="20"/>
                      </w:rPr>
                    </w:pPr>
                    <w:r>
                      <w:rPr>
                        <w:rFonts w:ascii="Calibri"/>
                        <w:sz w:val="20"/>
                      </w:rPr>
                      <w:t>30.00%</w:t>
                    </w:r>
                  </w:p>
                  <w:p>
                    <w:pPr>
                      <w:spacing w:before="127"/>
                      <w:ind w:left="0" w:right="0" w:firstLine="0"/>
                      <w:jc w:val="center"/>
                      <w:rPr>
                        <w:rFonts w:ascii="Calibri"/>
                        <w:sz w:val="20"/>
                      </w:rPr>
                    </w:pPr>
                    <w:r>
                      <w:rPr>
                        <w:rFonts w:ascii="Calibri"/>
                        <w:sz w:val="20"/>
                      </w:rPr>
                      <w:t>25.00%</w:t>
                    </w:r>
                  </w:p>
                  <w:p>
                    <w:pPr>
                      <w:spacing w:before="128"/>
                      <w:ind w:left="0" w:right="0" w:firstLine="0"/>
                      <w:jc w:val="center"/>
                      <w:rPr>
                        <w:rFonts w:ascii="Calibri"/>
                        <w:sz w:val="20"/>
                      </w:rPr>
                    </w:pPr>
                    <w:r>
                      <w:rPr>
                        <w:rFonts w:ascii="Calibri"/>
                        <w:sz w:val="20"/>
                      </w:rPr>
                      <w:t>20.00%</w:t>
                    </w:r>
                  </w:p>
                  <w:p>
                    <w:pPr>
                      <w:spacing w:before="127"/>
                      <w:ind w:left="0" w:right="0" w:firstLine="0"/>
                      <w:jc w:val="center"/>
                      <w:rPr>
                        <w:rFonts w:ascii="Calibri"/>
                        <w:sz w:val="20"/>
                      </w:rPr>
                    </w:pPr>
                    <w:r>
                      <w:rPr>
                        <w:rFonts w:ascii="Calibri"/>
                        <w:sz w:val="20"/>
                      </w:rPr>
                      <w:t>15.00%</w:t>
                    </w:r>
                  </w:p>
                  <w:p>
                    <w:pPr>
                      <w:spacing w:before="127"/>
                      <w:ind w:left="0" w:right="0" w:firstLine="0"/>
                      <w:jc w:val="center"/>
                      <w:rPr>
                        <w:rFonts w:ascii="Calibri"/>
                        <w:sz w:val="20"/>
                      </w:rPr>
                    </w:pPr>
                    <w:r>
                      <w:rPr>
                        <w:rFonts w:ascii="Calibri"/>
                        <w:sz w:val="20"/>
                      </w:rPr>
                      <w:t>10.00%</w:t>
                    </w:r>
                  </w:p>
                  <w:p>
                    <w:pPr>
                      <w:spacing w:before="127"/>
                      <w:ind w:left="101" w:right="0" w:firstLine="0"/>
                      <w:jc w:val="center"/>
                      <w:rPr>
                        <w:rFonts w:ascii="Calibri"/>
                        <w:sz w:val="20"/>
                      </w:rPr>
                    </w:pPr>
                    <w:r>
                      <w:rPr>
                        <w:rFonts w:ascii="Calibri"/>
                        <w:w w:val="95"/>
                        <w:sz w:val="20"/>
                      </w:rPr>
                      <w:t>5.00%</w:t>
                    </w:r>
                  </w:p>
                  <w:p>
                    <w:pPr>
                      <w:spacing w:line="240" w:lineRule="exact" w:before="127"/>
                      <w:ind w:left="101" w:right="0" w:firstLine="0"/>
                      <w:jc w:val="center"/>
                      <w:rPr>
                        <w:rFonts w:ascii="Calibri"/>
                        <w:sz w:val="20"/>
                      </w:rPr>
                    </w:pPr>
                    <w:r>
                      <w:rPr>
                        <w:rFonts w:ascii="Calibri"/>
                        <w:w w:val="95"/>
                        <w:sz w:val="20"/>
                      </w:rPr>
                      <w:t>0.00%</w:t>
                    </w:r>
                  </w:p>
                </w:txbxContent>
              </v:textbox>
              <w10:wrap type="none"/>
            </v:shape>
            <v:shape style="position:absolute;left:7016;top:1935;width:1713;height:1048" type="#_x0000_t202" filled="false" stroked="false">
              <v:textbox inset="0,0,0,0">
                <w:txbxContent>
                  <w:p>
                    <w:pPr>
                      <w:spacing w:line="203" w:lineRule="exact" w:before="0"/>
                      <w:ind w:left="0" w:right="-13" w:firstLine="0"/>
                      <w:jc w:val="left"/>
                      <w:rPr>
                        <w:rFonts w:ascii="Calibri"/>
                        <w:sz w:val="20"/>
                      </w:rPr>
                    </w:pPr>
                    <w:r>
                      <w:rPr>
                        <w:rFonts w:ascii="Calibri"/>
                        <w:sz w:val="20"/>
                      </w:rPr>
                      <w:t>01 DE JULIO  2008</w:t>
                    </w:r>
                    <w:r>
                      <w:rPr>
                        <w:rFonts w:ascii="Calibri"/>
                        <w:spacing w:val="-8"/>
                        <w:sz w:val="20"/>
                      </w:rPr>
                      <w:t> </w:t>
                    </w:r>
                    <w:r>
                      <w:rPr>
                        <w:rFonts w:ascii="Calibri"/>
                        <w:sz w:val="20"/>
                      </w:rPr>
                      <w:t>AL</w:t>
                    </w:r>
                  </w:p>
                  <w:p>
                    <w:pPr>
                      <w:spacing w:before="0"/>
                      <w:ind w:left="0" w:right="-13" w:firstLine="0"/>
                      <w:jc w:val="left"/>
                      <w:rPr>
                        <w:rFonts w:ascii="Calibri"/>
                        <w:sz w:val="20"/>
                      </w:rPr>
                    </w:pPr>
                    <w:r>
                      <w:rPr>
                        <w:rFonts w:ascii="Calibri"/>
                        <w:sz w:val="20"/>
                      </w:rPr>
                      <w:t>30 JUNIO 2009</w:t>
                    </w:r>
                  </w:p>
                  <w:p>
                    <w:pPr>
                      <w:spacing w:before="114"/>
                      <w:ind w:left="0" w:right="-13" w:firstLine="0"/>
                      <w:jc w:val="left"/>
                      <w:rPr>
                        <w:rFonts w:ascii="Calibri"/>
                        <w:sz w:val="20"/>
                      </w:rPr>
                    </w:pPr>
                    <w:r>
                      <w:rPr>
                        <w:rFonts w:ascii="Calibri"/>
                        <w:sz w:val="20"/>
                      </w:rPr>
                      <w:t>01 DE JULIO 2009 AL</w:t>
                    </w:r>
                  </w:p>
                  <w:p>
                    <w:pPr>
                      <w:spacing w:line="240" w:lineRule="exact" w:before="0"/>
                      <w:ind w:left="0" w:right="-13" w:firstLine="0"/>
                      <w:jc w:val="left"/>
                      <w:rPr>
                        <w:rFonts w:ascii="Calibri"/>
                        <w:sz w:val="20"/>
                      </w:rPr>
                    </w:pPr>
                    <w:r>
                      <w:rPr>
                        <w:rFonts w:ascii="Calibri"/>
                        <w:sz w:val="20"/>
                      </w:rPr>
                      <w:t>30 DE JUNIO 2010</w:t>
                    </w:r>
                  </w:p>
                </w:txbxContent>
              </v:textbox>
              <w10:wrap type="none"/>
            </v:shape>
            <w10:wrap type="topAndBottom"/>
          </v:group>
        </w:pict>
      </w:r>
    </w:p>
    <w:p>
      <w:pPr>
        <w:spacing w:before="204"/>
        <w:ind w:left="222" w:right="0" w:firstLine="0"/>
        <w:jc w:val="both"/>
        <w:rPr>
          <w:sz w:val="22"/>
        </w:rPr>
      </w:pPr>
      <w:r>
        <w:rPr>
          <w:sz w:val="22"/>
        </w:rPr>
        <w:t>FUENTE: CUADRO 5.</w:t>
      </w:r>
    </w:p>
    <w:p>
      <w:pPr>
        <w:spacing w:after="0"/>
        <w:jc w:val="both"/>
        <w:rPr>
          <w:sz w:val="22"/>
        </w:rPr>
        <w:sectPr>
          <w:pgSz w:w="12240" w:h="15840"/>
          <w:pgMar w:header="0" w:footer="1174" w:top="1500" w:bottom="1360" w:left="1480" w:right="740"/>
        </w:sectPr>
      </w:pPr>
    </w:p>
    <w:p>
      <w:pPr>
        <w:pStyle w:val="BodyText"/>
        <w:spacing w:line="278" w:lineRule="auto" w:before="54"/>
        <w:ind w:left="102" w:right="966"/>
        <w:jc w:val="both"/>
      </w:pPr>
      <w:r>
        <w:rPr/>
        <w:t>En la gráfica seis es posible identificar que la frecuencia de muertes en estudio se presenta  en el grupo de edad de adulto joven y adulto.</w:t>
      </w:r>
    </w:p>
    <w:p>
      <w:pPr>
        <w:pStyle w:val="BodyText"/>
        <w:spacing w:line="276" w:lineRule="auto" w:before="197"/>
        <w:ind w:left="102" w:right="954"/>
        <w:jc w:val="both"/>
      </w:pPr>
      <w:r>
        <w:rPr/>
        <w:t>CUADRO 6. DE FRECUENCIA POR GRUPO DE EDAD, MUERTES POR  ASFIXIA MECÁNICA, POR SOFOCACIÓN EN SU MODALIDAD DE OBSTRUCCIÓN DE VÍAS RESPIRATORIAS POR CONTENIDO GASTRO- ESOFÁGICO, EN CHIMALHUACÁN, ESTADO DE MÉXICO, 2008 A</w:t>
      </w:r>
      <w:r>
        <w:rPr>
          <w:spacing w:val="50"/>
        </w:rPr>
        <w:t> </w:t>
      </w:r>
      <w:r>
        <w:rPr/>
        <w:t>2010.</w:t>
      </w:r>
    </w:p>
    <w:p>
      <w:pPr>
        <w:pStyle w:val="BodyText"/>
        <w:spacing w:before="8"/>
        <w:rPr>
          <w:sz w:val="17"/>
        </w:rPr>
      </w:pPr>
    </w:p>
    <w:tbl>
      <w:tblPr>
        <w:tblW w:w="0" w:type="auto"/>
        <w:jc w:val="left"/>
        <w:tblInd w:w="2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2"/>
        <w:gridCol w:w="1056"/>
        <w:gridCol w:w="1058"/>
      </w:tblGrid>
      <w:tr>
        <w:trPr>
          <w:trHeight w:val="274" w:hRule="exact"/>
        </w:trPr>
        <w:tc>
          <w:tcPr>
            <w:tcW w:w="2062" w:type="dxa"/>
          </w:tcPr>
          <w:p>
            <w:pPr>
              <w:pStyle w:val="TableParagraph"/>
              <w:spacing w:line="230" w:lineRule="exact"/>
              <w:ind w:left="83" w:right="83"/>
              <w:jc w:val="center"/>
              <w:rPr>
                <w:sz w:val="20"/>
              </w:rPr>
            </w:pPr>
            <w:r>
              <w:rPr>
                <w:sz w:val="20"/>
              </w:rPr>
              <w:t>GRUPO DE EDAD</w:t>
            </w:r>
          </w:p>
        </w:tc>
        <w:tc>
          <w:tcPr>
            <w:tcW w:w="1056" w:type="dxa"/>
          </w:tcPr>
          <w:p>
            <w:pPr>
              <w:pStyle w:val="TableParagraph"/>
              <w:spacing w:line="230" w:lineRule="exact"/>
              <w:ind w:left="153" w:right="153"/>
              <w:jc w:val="center"/>
              <w:rPr>
                <w:sz w:val="20"/>
              </w:rPr>
            </w:pPr>
            <w:r>
              <w:rPr>
                <w:sz w:val="20"/>
              </w:rPr>
              <w:t>CASOS</w:t>
            </w:r>
          </w:p>
        </w:tc>
        <w:tc>
          <w:tcPr>
            <w:tcW w:w="1058" w:type="dxa"/>
          </w:tcPr>
          <w:p>
            <w:pPr>
              <w:pStyle w:val="TableParagraph"/>
              <w:spacing w:line="230" w:lineRule="exact"/>
              <w:ind w:left="0"/>
              <w:jc w:val="center"/>
              <w:rPr>
                <w:sz w:val="20"/>
              </w:rPr>
            </w:pPr>
            <w:r>
              <w:rPr>
                <w:w w:val="99"/>
                <w:sz w:val="20"/>
              </w:rPr>
              <w:t>%</w:t>
            </w:r>
          </w:p>
        </w:tc>
      </w:tr>
      <w:tr>
        <w:trPr>
          <w:trHeight w:val="274" w:hRule="exact"/>
        </w:trPr>
        <w:tc>
          <w:tcPr>
            <w:tcW w:w="2062" w:type="dxa"/>
          </w:tcPr>
          <w:p>
            <w:pPr>
              <w:pStyle w:val="TableParagraph"/>
              <w:spacing w:line="230" w:lineRule="exact"/>
              <w:ind w:left="80" w:right="84"/>
              <w:jc w:val="center"/>
              <w:rPr>
                <w:sz w:val="20"/>
              </w:rPr>
            </w:pPr>
            <w:r>
              <w:rPr>
                <w:sz w:val="20"/>
              </w:rPr>
              <w:t>RECIEN NACIDO</w:t>
            </w:r>
          </w:p>
        </w:tc>
        <w:tc>
          <w:tcPr>
            <w:tcW w:w="1056" w:type="dxa"/>
          </w:tcPr>
          <w:p>
            <w:pPr>
              <w:pStyle w:val="TableParagraph"/>
              <w:spacing w:line="230" w:lineRule="exact"/>
              <w:ind w:left="0"/>
              <w:jc w:val="center"/>
              <w:rPr>
                <w:sz w:val="20"/>
              </w:rPr>
            </w:pPr>
            <w:r>
              <w:rPr>
                <w:w w:val="99"/>
                <w:sz w:val="20"/>
              </w:rPr>
              <w:t>0</w:t>
            </w:r>
          </w:p>
        </w:tc>
        <w:tc>
          <w:tcPr>
            <w:tcW w:w="1058" w:type="dxa"/>
          </w:tcPr>
          <w:p>
            <w:pPr>
              <w:pStyle w:val="TableParagraph"/>
              <w:spacing w:line="230" w:lineRule="exact"/>
              <w:ind w:left="0"/>
              <w:jc w:val="center"/>
              <w:rPr>
                <w:sz w:val="20"/>
              </w:rPr>
            </w:pPr>
            <w:r>
              <w:rPr>
                <w:w w:val="99"/>
                <w:sz w:val="20"/>
              </w:rPr>
              <w:t>0</w:t>
            </w:r>
          </w:p>
        </w:tc>
      </w:tr>
      <w:tr>
        <w:trPr>
          <w:trHeight w:val="276" w:hRule="exact"/>
        </w:trPr>
        <w:tc>
          <w:tcPr>
            <w:tcW w:w="2062" w:type="dxa"/>
          </w:tcPr>
          <w:p>
            <w:pPr>
              <w:pStyle w:val="TableParagraph"/>
              <w:spacing w:line="230" w:lineRule="exact"/>
              <w:ind w:left="83" w:right="84"/>
              <w:jc w:val="center"/>
              <w:rPr>
                <w:sz w:val="20"/>
              </w:rPr>
            </w:pPr>
            <w:r>
              <w:rPr>
                <w:sz w:val="20"/>
              </w:rPr>
              <w:t>LACTANTE MENOR</w:t>
            </w:r>
          </w:p>
        </w:tc>
        <w:tc>
          <w:tcPr>
            <w:tcW w:w="1056" w:type="dxa"/>
          </w:tcPr>
          <w:p>
            <w:pPr>
              <w:pStyle w:val="TableParagraph"/>
              <w:spacing w:line="230" w:lineRule="exact"/>
              <w:ind w:left="0"/>
              <w:jc w:val="center"/>
              <w:rPr>
                <w:sz w:val="20"/>
              </w:rPr>
            </w:pPr>
            <w:r>
              <w:rPr>
                <w:w w:val="99"/>
                <w:sz w:val="20"/>
              </w:rPr>
              <w:t>1</w:t>
            </w:r>
          </w:p>
        </w:tc>
        <w:tc>
          <w:tcPr>
            <w:tcW w:w="1058" w:type="dxa"/>
          </w:tcPr>
          <w:p>
            <w:pPr>
              <w:pStyle w:val="TableParagraph"/>
              <w:spacing w:line="230" w:lineRule="exact"/>
              <w:ind w:left="307" w:right="309"/>
              <w:jc w:val="center"/>
              <w:rPr>
                <w:sz w:val="20"/>
              </w:rPr>
            </w:pPr>
            <w:r>
              <w:rPr>
                <w:sz w:val="20"/>
              </w:rPr>
              <w:t>3.5</w:t>
            </w:r>
          </w:p>
        </w:tc>
      </w:tr>
      <w:tr>
        <w:trPr>
          <w:trHeight w:val="274" w:hRule="exact"/>
        </w:trPr>
        <w:tc>
          <w:tcPr>
            <w:tcW w:w="2062" w:type="dxa"/>
          </w:tcPr>
          <w:p>
            <w:pPr>
              <w:pStyle w:val="TableParagraph"/>
              <w:spacing w:line="230" w:lineRule="exact"/>
              <w:ind w:left="81" w:right="84"/>
              <w:jc w:val="center"/>
              <w:rPr>
                <w:sz w:val="20"/>
              </w:rPr>
            </w:pPr>
            <w:r>
              <w:rPr>
                <w:sz w:val="20"/>
              </w:rPr>
              <w:t>LACTANTE MAYOR</w:t>
            </w:r>
          </w:p>
        </w:tc>
        <w:tc>
          <w:tcPr>
            <w:tcW w:w="1056" w:type="dxa"/>
          </w:tcPr>
          <w:p>
            <w:pPr>
              <w:pStyle w:val="TableParagraph"/>
              <w:spacing w:line="230" w:lineRule="exact"/>
              <w:ind w:left="0"/>
              <w:jc w:val="center"/>
              <w:rPr>
                <w:sz w:val="20"/>
              </w:rPr>
            </w:pPr>
            <w:r>
              <w:rPr>
                <w:w w:val="99"/>
                <w:sz w:val="20"/>
              </w:rPr>
              <w:t>2</w:t>
            </w:r>
          </w:p>
        </w:tc>
        <w:tc>
          <w:tcPr>
            <w:tcW w:w="1058" w:type="dxa"/>
          </w:tcPr>
          <w:p>
            <w:pPr>
              <w:pStyle w:val="TableParagraph"/>
              <w:spacing w:line="230" w:lineRule="exact"/>
              <w:ind w:left="307" w:right="309"/>
              <w:jc w:val="center"/>
              <w:rPr>
                <w:sz w:val="20"/>
              </w:rPr>
            </w:pPr>
            <w:r>
              <w:rPr>
                <w:sz w:val="20"/>
              </w:rPr>
              <w:t>7.1</w:t>
            </w:r>
          </w:p>
        </w:tc>
      </w:tr>
      <w:tr>
        <w:trPr>
          <w:trHeight w:val="274" w:hRule="exact"/>
        </w:trPr>
        <w:tc>
          <w:tcPr>
            <w:tcW w:w="2062" w:type="dxa"/>
          </w:tcPr>
          <w:p>
            <w:pPr>
              <w:pStyle w:val="TableParagraph"/>
              <w:spacing w:line="230" w:lineRule="exact"/>
              <w:ind w:left="81" w:right="84"/>
              <w:jc w:val="center"/>
              <w:rPr>
                <w:sz w:val="20"/>
              </w:rPr>
            </w:pPr>
            <w:r>
              <w:rPr>
                <w:sz w:val="20"/>
              </w:rPr>
              <w:t>PREESCOLAR</w:t>
            </w:r>
          </w:p>
        </w:tc>
        <w:tc>
          <w:tcPr>
            <w:tcW w:w="1056" w:type="dxa"/>
          </w:tcPr>
          <w:p>
            <w:pPr>
              <w:pStyle w:val="TableParagraph"/>
              <w:spacing w:line="230" w:lineRule="exact"/>
              <w:ind w:left="0"/>
              <w:jc w:val="center"/>
              <w:rPr>
                <w:sz w:val="20"/>
              </w:rPr>
            </w:pPr>
            <w:r>
              <w:rPr>
                <w:w w:val="99"/>
                <w:sz w:val="20"/>
              </w:rPr>
              <w:t>0</w:t>
            </w:r>
          </w:p>
        </w:tc>
        <w:tc>
          <w:tcPr>
            <w:tcW w:w="1058" w:type="dxa"/>
          </w:tcPr>
          <w:p>
            <w:pPr>
              <w:pStyle w:val="TableParagraph"/>
              <w:spacing w:line="230" w:lineRule="exact"/>
              <w:ind w:left="0"/>
              <w:jc w:val="center"/>
              <w:rPr>
                <w:sz w:val="20"/>
              </w:rPr>
            </w:pPr>
            <w:r>
              <w:rPr>
                <w:w w:val="99"/>
                <w:sz w:val="20"/>
              </w:rPr>
              <w:t>0</w:t>
            </w:r>
          </w:p>
        </w:tc>
      </w:tr>
      <w:tr>
        <w:trPr>
          <w:trHeight w:val="277" w:hRule="exact"/>
        </w:trPr>
        <w:tc>
          <w:tcPr>
            <w:tcW w:w="2062" w:type="dxa"/>
          </w:tcPr>
          <w:p>
            <w:pPr>
              <w:pStyle w:val="TableParagraph"/>
              <w:spacing w:line="240" w:lineRule="auto" w:before="2"/>
              <w:ind w:left="81" w:right="84"/>
              <w:jc w:val="center"/>
              <w:rPr>
                <w:sz w:val="20"/>
              </w:rPr>
            </w:pPr>
            <w:r>
              <w:rPr>
                <w:sz w:val="20"/>
              </w:rPr>
              <w:t>ESCOLAR</w:t>
            </w:r>
          </w:p>
        </w:tc>
        <w:tc>
          <w:tcPr>
            <w:tcW w:w="1056" w:type="dxa"/>
          </w:tcPr>
          <w:p>
            <w:pPr>
              <w:pStyle w:val="TableParagraph"/>
              <w:spacing w:line="240" w:lineRule="auto" w:before="2"/>
              <w:ind w:left="0"/>
              <w:jc w:val="center"/>
              <w:rPr>
                <w:sz w:val="20"/>
              </w:rPr>
            </w:pPr>
            <w:r>
              <w:rPr>
                <w:w w:val="99"/>
                <w:sz w:val="20"/>
              </w:rPr>
              <w:t>0</w:t>
            </w:r>
          </w:p>
        </w:tc>
        <w:tc>
          <w:tcPr>
            <w:tcW w:w="1058" w:type="dxa"/>
          </w:tcPr>
          <w:p>
            <w:pPr>
              <w:pStyle w:val="TableParagraph"/>
              <w:spacing w:line="240" w:lineRule="auto" w:before="2"/>
              <w:ind w:left="0"/>
              <w:jc w:val="center"/>
              <w:rPr>
                <w:sz w:val="20"/>
              </w:rPr>
            </w:pPr>
            <w:r>
              <w:rPr>
                <w:w w:val="99"/>
                <w:sz w:val="20"/>
              </w:rPr>
              <w:t>0</w:t>
            </w:r>
          </w:p>
        </w:tc>
      </w:tr>
      <w:tr>
        <w:trPr>
          <w:trHeight w:val="274" w:hRule="exact"/>
        </w:trPr>
        <w:tc>
          <w:tcPr>
            <w:tcW w:w="2062" w:type="dxa"/>
          </w:tcPr>
          <w:p>
            <w:pPr>
              <w:pStyle w:val="TableParagraph"/>
              <w:spacing w:line="230" w:lineRule="exact"/>
              <w:ind w:left="83" w:right="83"/>
              <w:jc w:val="center"/>
              <w:rPr>
                <w:sz w:val="20"/>
              </w:rPr>
            </w:pPr>
            <w:r>
              <w:rPr>
                <w:sz w:val="20"/>
              </w:rPr>
              <w:t>ADOLESCENTE</w:t>
            </w:r>
          </w:p>
        </w:tc>
        <w:tc>
          <w:tcPr>
            <w:tcW w:w="1056" w:type="dxa"/>
          </w:tcPr>
          <w:p>
            <w:pPr>
              <w:pStyle w:val="TableParagraph"/>
              <w:spacing w:line="230" w:lineRule="exact"/>
              <w:ind w:left="0"/>
              <w:jc w:val="center"/>
              <w:rPr>
                <w:sz w:val="20"/>
              </w:rPr>
            </w:pPr>
            <w:r>
              <w:rPr>
                <w:w w:val="99"/>
                <w:sz w:val="20"/>
              </w:rPr>
              <w:t>0</w:t>
            </w:r>
          </w:p>
        </w:tc>
        <w:tc>
          <w:tcPr>
            <w:tcW w:w="1058" w:type="dxa"/>
          </w:tcPr>
          <w:p>
            <w:pPr>
              <w:pStyle w:val="TableParagraph"/>
              <w:spacing w:line="230" w:lineRule="exact"/>
              <w:ind w:left="0"/>
              <w:jc w:val="center"/>
              <w:rPr>
                <w:sz w:val="20"/>
              </w:rPr>
            </w:pPr>
            <w:r>
              <w:rPr>
                <w:w w:val="99"/>
                <w:sz w:val="20"/>
              </w:rPr>
              <w:t>0</w:t>
            </w:r>
          </w:p>
        </w:tc>
      </w:tr>
      <w:tr>
        <w:trPr>
          <w:trHeight w:val="274" w:hRule="exact"/>
        </w:trPr>
        <w:tc>
          <w:tcPr>
            <w:tcW w:w="2062" w:type="dxa"/>
          </w:tcPr>
          <w:p>
            <w:pPr>
              <w:pStyle w:val="TableParagraph"/>
              <w:spacing w:line="230" w:lineRule="exact"/>
              <w:ind w:left="83" w:right="84"/>
              <w:jc w:val="center"/>
              <w:rPr>
                <w:sz w:val="20"/>
              </w:rPr>
            </w:pPr>
            <w:r>
              <w:rPr>
                <w:sz w:val="20"/>
              </w:rPr>
              <w:t>ADULTO JOVEN</w:t>
            </w:r>
          </w:p>
        </w:tc>
        <w:tc>
          <w:tcPr>
            <w:tcW w:w="1056" w:type="dxa"/>
          </w:tcPr>
          <w:p>
            <w:pPr>
              <w:pStyle w:val="TableParagraph"/>
              <w:spacing w:line="230" w:lineRule="exact"/>
              <w:ind w:left="150" w:right="153"/>
              <w:jc w:val="center"/>
              <w:rPr>
                <w:sz w:val="20"/>
              </w:rPr>
            </w:pPr>
            <w:r>
              <w:rPr>
                <w:sz w:val="20"/>
              </w:rPr>
              <w:t>14</w:t>
            </w:r>
          </w:p>
        </w:tc>
        <w:tc>
          <w:tcPr>
            <w:tcW w:w="1058" w:type="dxa"/>
          </w:tcPr>
          <w:p>
            <w:pPr>
              <w:pStyle w:val="TableParagraph"/>
              <w:spacing w:line="230" w:lineRule="exact"/>
              <w:ind w:left="307" w:right="311"/>
              <w:jc w:val="center"/>
              <w:rPr>
                <w:sz w:val="20"/>
              </w:rPr>
            </w:pPr>
            <w:r>
              <w:rPr>
                <w:sz w:val="20"/>
              </w:rPr>
              <w:t>50.1</w:t>
            </w:r>
          </w:p>
        </w:tc>
      </w:tr>
      <w:tr>
        <w:trPr>
          <w:trHeight w:val="276" w:hRule="exact"/>
        </w:trPr>
        <w:tc>
          <w:tcPr>
            <w:tcW w:w="2062" w:type="dxa"/>
          </w:tcPr>
          <w:p>
            <w:pPr>
              <w:pStyle w:val="TableParagraph"/>
              <w:spacing w:line="240" w:lineRule="auto" w:before="2"/>
              <w:ind w:left="83" w:right="84"/>
              <w:jc w:val="center"/>
              <w:rPr>
                <w:sz w:val="20"/>
              </w:rPr>
            </w:pPr>
            <w:r>
              <w:rPr>
                <w:sz w:val="20"/>
              </w:rPr>
              <w:t>ADULTO</w:t>
            </w:r>
          </w:p>
        </w:tc>
        <w:tc>
          <w:tcPr>
            <w:tcW w:w="1056" w:type="dxa"/>
          </w:tcPr>
          <w:p>
            <w:pPr>
              <w:pStyle w:val="TableParagraph"/>
              <w:spacing w:line="240" w:lineRule="auto" w:before="2"/>
              <w:ind w:left="150" w:right="153"/>
              <w:jc w:val="center"/>
              <w:rPr>
                <w:sz w:val="20"/>
              </w:rPr>
            </w:pPr>
            <w:r>
              <w:rPr>
                <w:sz w:val="20"/>
              </w:rPr>
              <w:t>10</w:t>
            </w:r>
          </w:p>
        </w:tc>
        <w:tc>
          <w:tcPr>
            <w:tcW w:w="1058" w:type="dxa"/>
          </w:tcPr>
          <w:p>
            <w:pPr>
              <w:pStyle w:val="TableParagraph"/>
              <w:spacing w:line="240" w:lineRule="auto" w:before="2"/>
              <w:ind w:left="307" w:right="311"/>
              <w:jc w:val="center"/>
              <w:rPr>
                <w:sz w:val="20"/>
              </w:rPr>
            </w:pPr>
            <w:r>
              <w:rPr>
                <w:sz w:val="20"/>
              </w:rPr>
              <w:t>35.7</w:t>
            </w:r>
          </w:p>
        </w:tc>
      </w:tr>
      <w:tr>
        <w:trPr>
          <w:trHeight w:val="274" w:hRule="exact"/>
        </w:trPr>
        <w:tc>
          <w:tcPr>
            <w:tcW w:w="2062" w:type="dxa"/>
          </w:tcPr>
          <w:p>
            <w:pPr>
              <w:pStyle w:val="TableParagraph"/>
              <w:spacing w:line="230" w:lineRule="exact"/>
              <w:ind w:left="83" w:right="84"/>
              <w:jc w:val="center"/>
              <w:rPr>
                <w:sz w:val="20"/>
              </w:rPr>
            </w:pPr>
            <w:r>
              <w:rPr>
                <w:sz w:val="20"/>
              </w:rPr>
              <w:t>ADULTO MAYOR</w:t>
            </w:r>
          </w:p>
        </w:tc>
        <w:tc>
          <w:tcPr>
            <w:tcW w:w="1056" w:type="dxa"/>
          </w:tcPr>
          <w:p>
            <w:pPr>
              <w:pStyle w:val="TableParagraph"/>
              <w:spacing w:line="230" w:lineRule="exact"/>
              <w:ind w:left="0"/>
              <w:jc w:val="center"/>
              <w:rPr>
                <w:sz w:val="20"/>
              </w:rPr>
            </w:pPr>
            <w:r>
              <w:rPr>
                <w:w w:val="99"/>
                <w:sz w:val="20"/>
              </w:rPr>
              <w:t>1</w:t>
            </w:r>
          </w:p>
        </w:tc>
        <w:tc>
          <w:tcPr>
            <w:tcW w:w="1058" w:type="dxa"/>
          </w:tcPr>
          <w:p>
            <w:pPr>
              <w:pStyle w:val="TableParagraph"/>
              <w:spacing w:line="230" w:lineRule="exact"/>
              <w:ind w:left="307" w:right="309"/>
              <w:jc w:val="center"/>
              <w:rPr>
                <w:sz w:val="20"/>
              </w:rPr>
            </w:pPr>
            <w:r>
              <w:rPr>
                <w:sz w:val="20"/>
              </w:rPr>
              <w:t>3.5</w:t>
            </w:r>
          </w:p>
        </w:tc>
      </w:tr>
      <w:tr>
        <w:trPr>
          <w:trHeight w:val="276" w:hRule="exact"/>
        </w:trPr>
        <w:tc>
          <w:tcPr>
            <w:tcW w:w="2062" w:type="dxa"/>
          </w:tcPr>
          <w:p>
            <w:pPr>
              <w:pStyle w:val="TableParagraph"/>
              <w:spacing w:line="230" w:lineRule="exact"/>
              <w:ind w:left="83" w:right="83"/>
              <w:jc w:val="center"/>
              <w:rPr>
                <w:sz w:val="20"/>
              </w:rPr>
            </w:pPr>
            <w:r>
              <w:rPr>
                <w:sz w:val="20"/>
              </w:rPr>
              <w:t>TOTAL</w:t>
            </w:r>
          </w:p>
        </w:tc>
        <w:tc>
          <w:tcPr>
            <w:tcW w:w="1056" w:type="dxa"/>
          </w:tcPr>
          <w:p>
            <w:pPr>
              <w:pStyle w:val="TableParagraph"/>
              <w:spacing w:line="230" w:lineRule="exact"/>
              <w:ind w:left="150" w:right="153"/>
              <w:jc w:val="center"/>
              <w:rPr>
                <w:sz w:val="20"/>
              </w:rPr>
            </w:pPr>
            <w:r>
              <w:rPr>
                <w:sz w:val="20"/>
              </w:rPr>
              <w:t>28</w:t>
            </w:r>
          </w:p>
        </w:tc>
        <w:tc>
          <w:tcPr>
            <w:tcW w:w="1058" w:type="dxa"/>
          </w:tcPr>
          <w:p>
            <w:pPr>
              <w:pStyle w:val="TableParagraph"/>
              <w:spacing w:line="230" w:lineRule="exact"/>
              <w:ind w:left="306" w:right="311"/>
              <w:jc w:val="center"/>
              <w:rPr>
                <w:sz w:val="20"/>
              </w:rPr>
            </w:pPr>
            <w:r>
              <w:rPr>
                <w:sz w:val="20"/>
              </w:rPr>
              <w:t>100</w:t>
            </w:r>
          </w:p>
        </w:tc>
      </w:tr>
    </w:tbl>
    <w:p>
      <w:pPr>
        <w:pStyle w:val="BodyText"/>
        <w:spacing w:before="1"/>
        <w:rPr>
          <w:sz w:val="21"/>
        </w:rPr>
      </w:pPr>
    </w:p>
    <w:p>
      <w:pPr>
        <w:spacing w:line="276" w:lineRule="auto" w:before="74"/>
        <w:ind w:left="102" w:right="964" w:firstLine="0"/>
        <w:jc w:val="both"/>
        <w:rPr>
          <w:sz w:val="20"/>
        </w:rPr>
      </w:pPr>
      <w:r>
        <w:rPr>
          <w:sz w:val="20"/>
        </w:rPr>
        <w:t>FUENTE: LIBRO DE GOBIERNO DE REGISTRO DE NECROPSIAS DE CHIMALHUACAN MEXICO, 2008-2010.</w:t>
      </w:r>
    </w:p>
    <w:p>
      <w:pPr>
        <w:pStyle w:val="BodyText"/>
        <w:rPr>
          <w:sz w:val="23"/>
        </w:rPr>
      </w:pPr>
    </w:p>
    <w:p>
      <w:pPr>
        <w:pStyle w:val="BodyText"/>
        <w:spacing w:line="276" w:lineRule="auto" w:before="1"/>
        <w:ind w:left="102" w:right="954"/>
        <w:jc w:val="both"/>
      </w:pPr>
      <w:r>
        <w:rPr/>
        <w:t>GRAFICA 6. DE FRECUENCIA POR GRUPO DE EDAD, MUERTES POR ASFIXIA MECÁNICA, POR SOFOCACIÓN EN SU MODALIDAD DE OBSTRUCCIÓN DE VÍAS RESPIRATORIAS POR CONTENIDO GASTRO- ESOFÁGICO, EN CHIMALHUACÁN, ESTADO DE MÉXICO, 2008 A</w:t>
      </w:r>
      <w:r>
        <w:rPr>
          <w:spacing w:val="50"/>
        </w:rPr>
        <w:t> </w:t>
      </w:r>
      <w:r>
        <w:rPr/>
        <w:t>2010.</w:t>
      </w:r>
    </w:p>
    <w:p>
      <w:pPr>
        <w:pStyle w:val="BodyText"/>
        <w:spacing w:before="6"/>
        <w:rPr>
          <w:sz w:val="13"/>
        </w:rPr>
      </w:pPr>
      <w:r>
        <w:rPr/>
        <w:pict>
          <v:group style="position:absolute;margin-left:86.175003pt;margin-top:9.741098pt;width:360.75pt;height:216.75pt;mso-position-horizontal-relative:page;mso-position-vertical-relative:paragraph;z-index:1720;mso-wrap-distance-left:0;mso-wrap-distance-right:0" coordorigin="1724,195" coordsize="7215,4335">
            <v:shape style="position:absolute;left:2287;top:690;width:4298;height:3343" type="#_x0000_t75" stroked="false">
              <v:imagedata r:id="rId15" o:title=""/>
            </v:shape>
            <v:line style="position:absolute" from="5619,1251" to="5576,622" stroked="true" strokeweight=".75pt" strokecolor="#000000"/>
            <v:line style="position:absolute" from="5621,1251" to="5902,754" stroked="true" strokeweight=".75pt" strokecolor="#000000"/>
            <v:line style="position:absolute" from="5621,1251" to="5801,1117" stroked="true" strokeweight=".75pt" strokecolor="#000000"/>
            <v:line style="position:absolute" from="4239,1081" to="3843,826" stroked="true" strokeweight=".75pt" strokecolor="#000000"/>
            <v:rect style="position:absolute;left:7242;top:861;width:110;height:110" filled="true" fillcolor="#4571a7" stroked="false">
              <v:fill type="solid"/>
            </v:rect>
            <v:rect style="position:absolute;left:7242;top:1222;width:110;height:110" filled="true" fillcolor="#aa4643" stroked="false">
              <v:fill type="solid"/>
            </v:rect>
            <v:rect style="position:absolute;left:7242;top:1584;width:110;height:110" filled="true" fillcolor="#88a44e" stroked="false">
              <v:fill type="solid"/>
            </v:rect>
            <v:rect style="position:absolute;left:7242;top:1946;width:110;height:110" filled="true" fillcolor="#70578f" stroked="false">
              <v:fill type="solid"/>
            </v:rect>
            <v:rect style="position:absolute;left:7242;top:2307;width:110;height:110" filled="true" fillcolor="#4197ae" stroked="false">
              <v:fill type="solid"/>
            </v:rect>
            <v:rect style="position:absolute;left:7242;top:2669;width:110;height:110" filled="true" fillcolor="#db843c" stroked="false">
              <v:fill type="solid"/>
            </v:rect>
            <v:rect style="position:absolute;left:7242;top:3031;width:110;height:110" filled="true" fillcolor="#92a9cf" stroked="false">
              <v:fill type="solid"/>
            </v:rect>
            <v:rect style="position:absolute;left:7242;top:3392;width:110;height:110" filled="true" fillcolor="#d19292" stroked="false">
              <v:fill type="solid"/>
            </v:rect>
            <v:rect style="position:absolute;left:7242;top:3754;width:110;height:110" filled="true" fillcolor="#b8cd95" stroked="false">
              <v:fill type="solid"/>
            </v:rect>
            <v:rect style="position:absolute;left:1731;top:202;width:7200;height:4320" filled="false" stroked="true" strokeweight=".75pt" strokecolor="#858585"/>
            <v:shape style="position:absolute;left:3218;top:679;width:666;height:200" type="#_x0000_t202" filled="false" stroked="false">
              <v:textbox inset="0,0,0,0">
                <w:txbxContent>
                  <w:p>
                    <w:pPr>
                      <w:spacing w:line="199" w:lineRule="exact" w:before="0"/>
                      <w:ind w:left="0" w:right="0" w:firstLine="0"/>
                      <w:jc w:val="left"/>
                      <w:rPr>
                        <w:rFonts w:ascii="Calibri"/>
                        <w:sz w:val="20"/>
                      </w:rPr>
                    </w:pPr>
                    <w:r>
                      <w:rPr>
                        <w:rFonts w:ascii="Calibri"/>
                        <w:sz w:val="20"/>
                      </w:rPr>
                      <w:t>3.50% </w:t>
                    </w:r>
                    <w:r>
                      <w:rPr>
                        <w:rFonts w:ascii="Calibri"/>
                        <w:w w:val="99"/>
                        <w:sz w:val="20"/>
                        <w:u w:val="single"/>
                      </w:rPr>
                      <w:t> </w:t>
                    </w:r>
                    <w:r>
                      <w:rPr>
                        <w:rFonts w:ascii="Calibri"/>
                        <w:sz w:val="20"/>
                        <w:u w:val="single"/>
                      </w:rPr>
                      <w:t> </w:t>
                    </w:r>
                  </w:p>
                </w:txbxContent>
              </v:textbox>
              <w10:wrap type="none"/>
            </v:shape>
            <v:shape style="position:absolute;left:4162;top:769;width:798;height:229" type="#_x0000_t202" filled="false" stroked="false">
              <v:textbox inset="0,0,0,0">
                <w:txbxContent>
                  <w:p>
                    <w:pPr>
                      <w:spacing w:line="229" w:lineRule="exact" w:before="0"/>
                      <w:ind w:left="0" w:right="-10" w:firstLine="0"/>
                      <w:jc w:val="left"/>
                      <w:rPr>
                        <w:rFonts w:ascii="Calibri"/>
                        <w:sz w:val="20"/>
                      </w:rPr>
                    </w:pPr>
                    <w:r>
                      <w:rPr>
                        <w:rFonts w:ascii="Calibri"/>
                        <w:position w:val="3"/>
                        <w:sz w:val="20"/>
                      </w:rPr>
                      <w:t>0% </w:t>
                    </w:r>
                    <w:r>
                      <w:rPr>
                        <w:rFonts w:ascii="Calibri"/>
                        <w:sz w:val="20"/>
                      </w:rPr>
                      <w:t>3.50%</w:t>
                    </w:r>
                  </w:p>
                </w:txbxContent>
              </v:textbox>
              <w10:wrap type="none"/>
            </v:shape>
            <v:shape style="position:absolute;left:5018;top:484;width:1247;height:694" type="#_x0000_t202" filled="false" stroked="false">
              <v:textbox inset="0,0,0,0">
                <w:txbxContent>
                  <w:p>
                    <w:pPr>
                      <w:spacing w:line="148" w:lineRule="exact" w:before="0"/>
                      <w:ind w:left="193" w:right="-28" w:firstLine="0"/>
                      <w:jc w:val="left"/>
                      <w:rPr>
                        <w:rFonts w:ascii="Calibri"/>
                        <w:sz w:val="20"/>
                      </w:rPr>
                    </w:pPr>
                    <w:r>
                      <w:rPr>
                        <w:rFonts w:ascii="Calibri"/>
                        <w:sz w:val="20"/>
                      </w:rPr>
                      <w:t>0% </w:t>
                    </w:r>
                    <w:r>
                      <w:rPr>
                        <w:rFonts w:ascii="Calibri"/>
                        <w:w w:val="99"/>
                        <w:sz w:val="20"/>
                        <w:u w:val="single"/>
                      </w:rPr>
                      <w:t> </w:t>
                    </w:r>
                    <w:r>
                      <w:rPr>
                        <w:rFonts w:ascii="Calibri"/>
                        <w:sz w:val="20"/>
                        <w:u w:val="single"/>
                      </w:rPr>
                      <w:t> </w:t>
                    </w:r>
                  </w:p>
                  <w:p>
                    <w:pPr>
                      <w:spacing w:line="180" w:lineRule="exact" w:before="0"/>
                      <w:ind w:left="883" w:right="-28" w:firstLine="0"/>
                      <w:jc w:val="left"/>
                      <w:rPr>
                        <w:rFonts w:ascii="Calibri"/>
                        <w:sz w:val="20"/>
                      </w:rPr>
                    </w:pPr>
                    <w:r>
                      <w:rPr>
                        <w:rFonts w:ascii="Calibri"/>
                        <w:w w:val="99"/>
                        <w:sz w:val="20"/>
                        <w:u w:val="single"/>
                      </w:rPr>
                      <w:t> </w:t>
                    </w:r>
                    <w:r>
                      <w:rPr>
                        <w:rFonts w:ascii="Calibri"/>
                        <w:sz w:val="20"/>
                        <w:u w:val="single"/>
                      </w:rPr>
                      <w:t> </w:t>
                    </w:r>
                    <w:r>
                      <w:rPr>
                        <w:rFonts w:ascii="Calibri"/>
                        <w:spacing w:val="-5"/>
                        <w:sz w:val="20"/>
                        <w:u w:val="single"/>
                      </w:rPr>
                      <w:t> </w:t>
                    </w:r>
                    <w:r>
                      <w:rPr>
                        <w:rFonts w:ascii="Calibri"/>
                        <w:spacing w:val="-1"/>
                        <w:w w:val="99"/>
                        <w:sz w:val="20"/>
                      </w:rPr>
                      <w:t>0%</w:t>
                    </w:r>
                  </w:p>
                  <w:p>
                    <w:pPr>
                      <w:spacing w:line="180" w:lineRule="exact" w:before="0"/>
                      <w:ind w:left="0" w:right="-28" w:firstLine="0"/>
                      <w:jc w:val="left"/>
                      <w:rPr>
                        <w:rFonts w:ascii="Calibri"/>
                        <w:sz w:val="20"/>
                      </w:rPr>
                    </w:pPr>
                    <w:r>
                      <w:rPr>
                        <w:rFonts w:ascii="Calibri"/>
                        <w:sz w:val="20"/>
                      </w:rPr>
                      <w:t>7.50%</w:t>
                    </w:r>
                  </w:p>
                  <w:p>
                    <w:pPr>
                      <w:spacing w:line="186" w:lineRule="exact" w:before="0"/>
                      <w:ind w:left="783" w:right="-28" w:firstLine="0"/>
                      <w:jc w:val="left"/>
                      <w:rPr>
                        <w:rFonts w:ascii="Calibri"/>
                        <w:sz w:val="20"/>
                      </w:rPr>
                    </w:pPr>
                    <w:r>
                      <w:rPr>
                        <w:rFonts w:ascii="Calibri"/>
                        <w:w w:val="99"/>
                        <w:sz w:val="20"/>
                        <w:u w:val="single"/>
                      </w:rPr>
                      <w:t> </w:t>
                    </w:r>
                    <w:r>
                      <w:rPr>
                        <w:rFonts w:ascii="Calibri"/>
                        <w:sz w:val="20"/>
                        <w:u w:val="single"/>
                      </w:rPr>
                      <w:t>  </w:t>
                    </w:r>
                    <w:r>
                      <w:rPr>
                        <w:rFonts w:ascii="Calibri"/>
                        <w:sz w:val="20"/>
                      </w:rPr>
                      <w:t>0%</w:t>
                    </w:r>
                  </w:p>
                </w:txbxContent>
              </v:textbox>
              <w10:wrap type="none"/>
            </v:shape>
            <v:shape style="position:absolute;left:2678;top:1669;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35.70%</w:t>
                    </w:r>
                  </w:p>
                </w:txbxContent>
              </v:textbox>
              <w10:wrap type="none"/>
            </v:shape>
            <v:shape style="position:absolute;left:5499;top:2389;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50.10%</w:t>
                    </w:r>
                  </w:p>
                </w:txbxContent>
              </v:textbox>
              <w10:wrap type="none"/>
            </v:shape>
            <v:shape style="position:absolute;left:7401;top:824;width:1283;height:3093" type="#_x0000_t202" filled="false" stroked="false">
              <v:textbox inset="0,0,0,0">
                <w:txbxContent>
                  <w:p>
                    <w:pPr>
                      <w:spacing w:line="203" w:lineRule="exact" w:before="0"/>
                      <w:ind w:left="0" w:right="-14" w:firstLine="0"/>
                      <w:jc w:val="left"/>
                      <w:rPr>
                        <w:rFonts w:ascii="Calibri"/>
                        <w:sz w:val="20"/>
                      </w:rPr>
                    </w:pPr>
                    <w:r>
                      <w:rPr>
                        <w:rFonts w:ascii="Calibri"/>
                        <w:sz w:val="20"/>
                      </w:rPr>
                      <w:t>RN</w:t>
                    </w:r>
                  </w:p>
                  <w:p>
                    <w:pPr>
                      <w:spacing w:line="355" w:lineRule="auto" w:before="118"/>
                      <w:ind w:left="0" w:right="-14" w:firstLine="0"/>
                      <w:jc w:val="left"/>
                      <w:rPr>
                        <w:rFonts w:ascii="Calibri"/>
                        <w:sz w:val="20"/>
                      </w:rPr>
                    </w:pPr>
                    <w:r>
                      <w:rPr>
                        <w:rFonts w:ascii="Calibri"/>
                        <w:sz w:val="20"/>
                      </w:rPr>
                      <w:t>Lactante</w:t>
                    </w:r>
                    <w:r>
                      <w:rPr>
                        <w:rFonts w:ascii="Calibri"/>
                        <w:spacing w:val="-7"/>
                        <w:sz w:val="20"/>
                      </w:rPr>
                      <w:t> </w:t>
                    </w:r>
                    <w:r>
                      <w:rPr>
                        <w:rFonts w:ascii="Calibri"/>
                        <w:sz w:val="20"/>
                      </w:rPr>
                      <w:t>menor Lactante mayor Preescolar Escolar Adolescente Adulto Joven Adulto</w:t>
                    </w:r>
                  </w:p>
                  <w:p>
                    <w:pPr>
                      <w:spacing w:line="240" w:lineRule="exact" w:before="0"/>
                      <w:ind w:left="0" w:right="-14" w:firstLine="0"/>
                      <w:jc w:val="left"/>
                      <w:rPr>
                        <w:rFonts w:ascii="Calibri"/>
                        <w:sz w:val="20"/>
                      </w:rPr>
                    </w:pPr>
                    <w:r>
                      <w:rPr>
                        <w:rFonts w:ascii="Calibri"/>
                        <w:sz w:val="20"/>
                      </w:rPr>
                      <w:t>Adulto mayor</w:t>
                    </w:r>
                  </w:p>
                </w:txbxContent>
              </v:textbox>
              <w10:wrap type="none"/>
            </v:shape>
            <w10:wrap type="topAndBottom"/>
          </v:group>
        </w:pict>
      </w:r>
    </w:p>
    <w:p>
      <w:pPr>
        <w:spacing w:before="203"/>
        <w:ind w:left="102" w:right="0" w:firstLine="0"/>
        <w:jc w:val="both"/>
        <w:rPr>
          <w:sz w:val="22"/>
        </w:rPr>
      </w:pPr>
      <w:r>
        <w:rPr>
          <w:sz w:val="22"/>
        </w:rPr>
        <w:t>FUENTE: CUADRO 6.</w:t>
      </w:r>
    </w:p>
    <w:p>
      <w:pPr>
        <w:spacing w:after="0"/>
        <w:jc w:val="both"/>
        <w:rPr>
          <w:sz w:val="22"/>
        </w:rPr>
        <w:sectPr>
          <w:pgSz w:w="12240" w:h="15840"/>
          <w:pgMar w:header="0" w:footer="1174" w:top="1360" w:bottom="1360" w:left="1600" w:right="740"/>
        </w:sectPr>
      </w:pPr>
    </w:p>
    <w:p>
      <w:pPr>
        <w:pStyle w:val="Heading1"/>
        <w:numPr>
          <w:ilvl w:val="1"/>
          <w:numId w:val="1"/>
        </w:numPr>
        <w:tabs>
          <w:tab w:pos="1517" w:val="left" w:leader="none"/>
          <w:tab w:pos="1518" w:val="left" w:leader="none"/>
        </w:tabs>
        <w:spacing w:line="240" w:lineRule="auto" w:before="52" w:after="0"/>
        <w:ind w:left="1518" w:right="0" w:hanging="1056"/>
        <w:jc w:val="left"/>
      </w:pPr>
      <w:r>
        <w:rPr/>
        <w:t>ANALISIS</w:t>
      </w:r>
    </w:p>
    <w:p>
      <w:pPr>
        <w:pStyle w:val="BodyText"/>
        <w:spacing w:line="276" w:lineRule="auto" w:before="251"/>
        <w:ind w:left="102" w:right="954"/>
        <w:jc w:val="both"/>
      </w:pPr>
      <w:r>
        <w:rPr/>
        <w:t>Los resultados que arrojaron esta investigación fueron que durante el periodo comprendido entre el primero de julio 2008 al treinta de junio de 2010 en Chimalhuacán, México, la frecuencia de muertes por Asfixia en su modalidad de sofocación por obstrucción de vías respiratoria por contenido gastro-esofagico fue de un 5.5 % con respecto al resto de las causas de muerte violentas. En cuanto al género que con mayor frecuencia presenta una muerte por asfixia en su  modalidad de sofocación por obstrucción de vías respiratoria por contenido gastro- esofagico, se encontró que el género masculino tiene mayor frecuencia, lo cual es acorde a los datos que en general presentan Hernández en el 2007, en Toluca Estado de México en cuanto a la mayor frecuencia de asfixias en el sexo masculino, mismo dato que aporta Ocampo en Nicolás Romero, Estado de  México, en el 2011, aun qué si bien es cierto, que ellos engloban a las asfixias mecánicas como tal, el presente estudio nos permite observar que la tendencia a la mayor frecuencia del género masculino se sigue en este caso de manera más acentuada siendo una relación de 7:1 especifica en las asfixias en su modalidad  de sofocación por obstrucción de vías respiratoria por contenido</w:t>
      </w:r>
      <w:r>
        <w:rPr>
          <w:spacing w:val="-21"/>
        </w:rPr>
        <w:t> </w:t>
      </w:r>
      <w:r>
        <w:rPr/>
        <w:t>gastro-esofágico.</w:t>
      </w:r>
    </w:p>
    <w:p>
      <w:pPr>
        <w:pStyle w:val="BodyText"/>
        <w:spacing w:line="276" w:lineRule="auto" w:before="200"/>
        <w:ind w:left="102" w:right="956"/>
        <w:jc w:val="both"/>
      </w:pPr>
      <w:r>
        <w:rPr/>
        <w:t>En lo que respecta a la frecuencia de muertes por asfixia en su modalidad de sofocación por obstrucción de vías respiratoria por contenido gastro-esofágico, en Chimalhuacán, Estado de México de acuerdo a la estación del año, se observa que hay una mayor frecuencia en el Otoño, aunque no es significativa por el número de casos de diferencia, que se presentaron ya que al realizar el análisis por periodo anual del 01 de julio 2008 al 30 junio 2009 la estación de año con mayor número de casos fue otoño con el 36.3% de los casos seguido por el invierno con un 27.2 % de los casos; mientras que en el periodo del 01 de julio 2009 al 30 de junio 2010, la mayor frecuencia de casos se presentaron en la primavera con un 29.4% de los casos sin embargo </w:t>
      </w:r>
      <w:r>
        <w:rPr>
          <w:spacing w:val="4"/>
        </w:rPr>
        <w:t>en </w:t>
      </w:r>
      <w:r>
        <w:rPr/>
        <w:t>este periodo ya no se presentó una diferencia entre las demás estaciones siendo el mismo número de casos para las demás estaciones del</w:t>
      </w:r>
      <w:r>
        <w:rPr>
          <w:spacing w:val="-11"/>
        </w:rPr>
        <w:t> </w:t>
      </w:r>
      <w:r>
        <w:rPr/>
        <w:t>año.</w:t>
      </w:r>
    </w:p>
    <w:p>
      <w:pPr>
        <w:pStyle w:val="BodyText"/>
        <w:spacing w:line="276" w:lineRule="auto" w:before="200"/>
        <w:ind w:left="102" w:right="954"/>
        <w:jc w:val="both"/>
      </w:pPr>
      <w:r>
        <w:rPr/>
        <w:t>El grupo de edad que presento mayor número de muertes por Asfixia en su modalidad de sofocación por obstrucción de vías respiratoria por contenido gastro- esofágico, fue el grupo de edad de adulto joven el cual comprende un periodo de edad entre los dieciocho a los cuarenta años de edad, con una frecuencia del  50%, seguido por el grupo de los adultos que comprende un periodo de edad de los cuarenta y un años a los sesenta años, con una frecuencia de 35.7%, el resto de los grupos de edad con una baja frecuencia de casos.  Estos resultados  difieren con lo aportado para las asfixias por sofocación que de manera general reportan Hernández y Ocampo, quienes encuentran mayor frecuencia por sofocación en el grupo de edad de menos de nueve años,         </w:t>
      </w:r>
      <w:r>
        <w:rPr>
          <w:spacing w:val="29"/>
        </w:rPr>
        <w:t> </w:t>
      </w:r>
      <w:r>
        <w:rPr/>
        <w:t>seguramente esta</w:t>
      </w:r>
    </w:p>
    <w:p>
      <w:pPr>
        <w:spacing w:after="0" w:line="276" w:lineRule="auto"/>
        <w:jc w:val="both"/>
        <w:sectPr>
          <w:pgSz w:w="12240" w:h="15840"/>
          <w:pgMar w:header="0" w:footer="1174" w:top="1360" w:bottom="1360" w:left="1600" w:right="740"/>
        </w:sectPr>
      </w:pPr>
    </w:p>
    <w:p>
      <w:pPr>
        <w:pStyle w:val="BodyText"/>
        <w:spacing w:line="276" w:lineRule="auto" w:before="54"/>
        <w:ind w:left="102" w:right="957"/>
        <w:jc w:val="both"/>
      </w:pPr>
      <w:r>
        <w:rPr/>
        <w:t>diferencia de resultados se debe al tipo de modalidad de sofocación ya que el presente estudio se enfoca a la  modalidad de obstrucción de vías respiratorias  por contenido gastro-esofágico, además de que durante la realización de la presente tesis y al comentar con los compañeros acerca del tema  de  tesis muchos de ellos comentaron que en algunas ocasiones la necropsia se omitía en los casos en lo que se comprobaba que los lactantes se habían encontrado con alguna infección de vías aéreas superiores o inferiores, así como que también al momento de realizar un examen externo del cadáver, éste se hallase sin huellas de lesiones externas recientes, y con los datos generales de las asfixias, por lo tanto se da por entendido que hay un sesgo en la información ya </w:t>
      </w:r>
      <w:r>
        <w:rPr>
          <w:spacing w:val="2"/>
        </w:rPr>
        <w:t>que </w:t>
      </w:r>
      <w:r>
        <w:rPr/>
        <w:t>no sabemos en cuántos casos de este tipo se haya omitido hacer necropsia y por tanto su registro en el libro de gobierno. Me pareció importante realizar este estudio, pensando en la alta frecuencia que yo observe durante mi capacitación laboral, en el grupo de lactantes menores, sin embargo al encontrarme con este tipo de situaciones me percato de que no se puede tener un dato</w:t>
      </w:r>
      <w:r>
        <w:rPr>
          <w:spacing w:val="-24"/>
        </w:rPr>
        <w:t> </w:t>
      </w:r>
      <w:r>
        <w:rPr/>
        <w:t>confiable.</w:t>
      </w:r>
    </w:p>
    <w:p>
      <w:pPr>
        <w:spacing w:after="0" w:line="276" w:lineRule="auto"/>
        <w:jc w:val="both"/>
        <w:sectPr>
          <w:footerReference w:type="default" r:id="rId16"/>
          <w:pgSz w:w="12240" w:h="15840"/>
          <w:pgMar w:footer="1174" w:header="0" w:top="1360" w:bottom="1360" w:left="1600" w:right="740"/>
        </w:sectPr>
      </w:pPr>
    </w:p>
    <w:p>
      <w:pPr>
        <w:pStyle w:val="Heading1"/>
        <w:ind w:left="102" w:firstLine="0"/>
        <w:jc w:val="both"/>
      </w:pPr>
      <w:r>
        <w:rPr/>
        <w:t>12.- CONCLUSIONES</w:t>
      </w:r>
    </w:p>
    <w:p>
      <w:pPr>
        <w:pStyle w:val="BodyText"/>
        <w:spacing w:line="276" w:lineRule="auto" w:before="251"/>
        <w:ind w:left="102" w:right="956"/>
        <w:jc w:val="both"/>
      </w:pPr>
      <w:r>
        <w:rPr/>
        <w:t>De acuerdo a los resultados obtenidos en el presente estudio de concluye que durante el periodo comprendido del 01 de julio de 2008 al 30 de junio de 2010, la frecuencia de muertes por asfixia por sofocación en su modalidad de obstrucción de vías respiratorias por contenido gastro-esofágico, fue del 5.5 % del total de todas las causas de muerte registradas en el Servicio Médico Forense del Centro de Justicia de Chimalhuacán, México; siendo más frecuente en el sexo masculino en un porcentaje de 93.1 % mientras que el sexo femenino registro  una  frecuencia de 6.9%; con una mínima diferencia para la frecuencia por estación del año, siendo más frecuente en el Otoño y menos frecuente durante el verano, manteniéndose casi igual para invierno y primavera. En cuanto al grupo de edad los resultados arrojaron que hay una frecuencia mayor para el grupo de adulto joven seguida por los adultos. Los resultados no arrojan una frecuencia mayor en cuanto a las de muertes por asfixia por sofocación en su modalidad  de  obstrucción de vías respiratorias por contenido gastro-esofágico, en el grupo de lactantes</w:t>
      </w:r>
      <w:r>
        <w:rPr>
          <w:spacing w:val="-6"/>
        </w:rPr>
        <w:t> </w:t>
      </w:r>
      <w:r>
        <w:rPr/>
        <w:t>menores.</w:t>
      </w:r>
    </w:p>
    <w:p>
      <w:pPr>
        <w:pStyle w:val="BodyText"/>
        <w:spacing w:line="276" w:lineRule="auto" w:before="202"/>
        <w:ind w:left="102" w:right="961"/>
        <w:jc w:val="both"/>
      </w:pPr>
      <w:r>
        <w:rPr/>
        <w:t>La hipótesis es comprobada ya que de acuerdo a los resultados, la mayor frecuencia de muertes por asfixia por sofocación en su modalidad de obstrucción de vías respiratorias por contenido gastro-esofágico, se da en el grupo de adulto joven y adultos, que comprende las edades de cuarenta a sesenta y cuatro años y más de sesenta y cinco años respectivamente .</w:t>
      </w:r>
    </w:p>
    <w:p>
      <w:pPr>
        <w:spacing w:after="0" w:line="276" w:lineRule="auto"/>
        <w:jc w:val="both"/>
        <w:sectPr>
          <w:footerReference w:type="default" r:id="rId17"/>
          <w:pgSz w:w="12240" w:h="15840"/>
          <w:pgMar w:footer="1174" w:header="0" w:top="1360" w:bottom="1360" w:left="1600" w:right="740"/>
          <w:pgNumType w:start="31"/>
        </w:sectPr>
      </w:pPr>
    </w:p>
    <w:p>
      <w:pPr>
        <w:pStyle w:val="Heading1"/>
        <w:ind w:left="102" w:firstLine="0"/>
        <w:jc w:val="both"/>
      </w:pPr>
      <w:r>
        <w:rPr/>
        <w:t>13.- SUGERENCIAS</w:t>
      </w:r>
    </w:p>
    <w:p>
      <w:pPr>
        <w:pStyle w:val="BodyText"/>
        <w:rPr>
          <w:b/>
          <w:sz w:val="28"/>
        </w:rPr>
      </w:pPr>
    </w:p>
    <w:p>
      <w:pPr>
        <w:pStyle w:val="BodyText"/>
        <w:spacing w:before="10"/>
        <w:rPr>
          <w:b/>
          <w:sz w:val="38"/>
        </w:rPr>
      </w:pPr>
    </w:p>
    <w:p>
      <w:pPr>
        <w:pStyle w:val="BodyText"/>
        <w:spacing w:line="276" w:lineRule="auto"/>
        <w:ind w:left="102" w:right="957"/>
        <w:jc w:val="both"/>
      </w:pPr>
      <w:r>
        <w:rPr/>
        <w:t>Durante la realización de la presente tesis, se pudo percatar de las causas de muerte registradas para hacer referencia a la Sofocación por obstrucción de vías respiratoria por contenido gastro-esofágico, no coinciden en como lo describe la bibliografía medica e inclusive el CIE- 10, que para fines estadísticos queda incompleta, si bien es cierto que lo registran como asfixia, no se coloca en que modalidad, se sugiere realizar sesiones generales dirigidas al personal médico a fin de actualizar y mantenerse al margen de los documentos oficiales, para un actuar idóneo, en nuestras</w:t>
      </w:r>
      <w:r>
        <w:rPr>
          <w:spacing w:val="-16"/>
        </w:rPr>
        <w:t> </w:t>
      </w:r>
      <w:r>
        <w:rPr/>
        <w:t>intervenciones.</w:t>
      </w:r>
    </w:p>
    <w:p>
      <w:pPr>
        <w:pStyle w:val="BodyText"/>
        <w:spacing w:line="276" w:lineRule="auto" w:before="203"/>
        <w:ind w:left="102" w:right="961"/>
        <w:jc w:val="both"/>
      </w:pPr>
      <w:r>
        <w:rPr/>
        <w:t>Considero necesario también, que se necesita llevar un registro de todas las necropsias que se realizan en el libro de gobierno, así como también un registro  de aquellas que por cualquier situación no se realiza, esto con la finalidad de tener datos certeros a nivel estadístico y con ello realizar estudios confiables que nos lleven a la realización  de programas informativos y</w:t>
      </w:r>
      <w:r>
        <w:rPr>
          <w:spacing w:val="42"/>
        </w:rPr>
        <w:t> </w:t>
      </w:r>
      <w:r>
        <w:rPr/>
        <w:t>preventivos.</w:t>
      </w:r>
    </w:p>
    <w:p>
      <w:pPr>
        <w:pStyle w:val="BodyText"/>
        <w:spacing w:line="276" w:lineRule="auto" w:before="200"/>
        <w:ind w:left="102" w:right="957"/>
        <w:jc w:val="both"/>
      </w:pPr>
      <w:r>
        <w:rPr/>
        <w:t>De acuerdo a los resultados arrojados por la presente investigación  sugiero realizar a nivel institucional, platicas con la finalidad de enseñar a la comunidad a prevenir esta causa de muerte, sobre todo en época de otoño que de acuerdo al estudio fue más frecuente en esta estación del año.</w:t>
      </w:r>
    </w:p>
    <w:p>
      <w:pPr>
        <w:pStyle w:val="BodyText"/>
        <w:spacing w:line="276" w:lineRule="auto" w:before="202"/>
        <w:ind w:left="102" w:right="958"/>
        <w:jc w:val="both"/>
      </w:pPr>
      <w:r>
        <w:rPr/>
        <w:t>Realizar un estudio más detallado, con una muestra mayor, buscar la relación entre la mayor frecuencia de muertes por asfixia por sofocación en su modalidad de obstrucción de vías respiratorias por contenido gastro-esofágico y sexo masculino, ya que de acuerdo a los resultados es significativamente más frecuente.</w:t>
      </w:r>
    </w:p>
    <w:p>
      <w:pPr>
        <w:spacing w:after="0" w:line="276" w:lineRule="auto"/>
        <w:jc w:val="both"/>
        <w:sectPr>
          <w:pgSz w:w="12240" w:h="15840"/>
          <w:pgMar w:header="0" w:footer="1174" w:top="1360" w:bottom="1360" w:left="1600" w:right="740"/>
        </w:sectPr>
      </w:pPr>
    </w:p>
    <w:p>
      <w:pPr>
        <w:pStyle w:val="Heading1"/>
        <w:numPr>
          <w:ilvl w:val="0"/>
          <w:numId w:val="25"/>
        </w:numPr>
        <w:tabs>
          <w:tab w:pos="572" w:val="left" w:leader="none"/>
        </w:tabs>
        <w:spacing w:line="240" w:lineRule="auto" w:before="52" w:after="0"/>
        <w:ind w:left="571" w:right="0" w:hanging="469"/>
        <w:jc w:val="left"/>
      </w:pPr>
      <w:r>
        <w:rPr/>
        <w:t>BIBLIOGRAFIA</w:t>
      </w:r>
    </w:p>
    <w:p>
      <w:pPr>
        <w:pStyle w:val="BodyText"/>
        <w:rPr>
          <w:b/>
          <w:sz w:val="28"/>
        </w:rPr>
      </w:pPr>
    </w:p>
    <w:p>
      <w:pPr>
        <w:pStyle w:val="BodyText"/>
        <w:rPr>
          <w:b/>
          <w:sz w:val="28"/>
        </w:rPr>
      </w:pPr>
    </w:p>
    <w:p>
      <w:pPr>
        <w:pStyle w:val="ListParagraph"/>
        <w:numPr>
          <w:ilvl w:val="1"/>
          <w:numId w:val="25"/>
        </w:numPr>
        <w:tabs>
          <w:tab w:pos="822" w:val="left" w:leader="none"/>
        </w:tabs>
        <w:spacing w:line="276" w:lineRule="auto" w:before="178" w:after="0"/>
        <w:ind w:left="822" w:right="964" w:hanging="360"/>
        <w:jc w:val="both"/>
        <w:rPr>
          <w:sz w:val="24"/>
        </w:rPr>
      </w:pPr>
      <w:r>
        <w:rPr>
          <w:sz w:val="24"/>
        </w:rPr>
        <w:t>Hernández SR. Fundamentos de la metodología de la investigación. Ed Mc Graw Hill. México. 3ra</w:t>
      </w:r>
      <w:r>
        <w:rPr>
          <w:spacing w:val="-5"/>
          <w:sz w:val="24"/>
        </w:rPr>
        <w:t> </w:t>
      </w:r>
      <w:r>
        <w:rPr>
          <w:sz w:val="24"/>
        </w:rPr>
        <w:t>Edición.</w:t>
      </w:r>
    </w:p>
    <w:p>
      <w:pPr>
        <w:pStyle w:val="ListParagraph"/>
        <w:numPr>
          <w:ilvl w:val="1"/>
          <w:numId w:val="25"/>
        </w:numPr>
        <w:tabs>
          <w:tab w:pos="822" w:val="left" w:leader="none"/>
        </w:tabs>
        <w:spacing w:line="276" w:lineRule="auto" w:before="0" w:after="0"/>
        <w:ind w:left="822" w:right="956" w:hanging="360"/>
        <w:jc w:val="both"/>
        <w:rPr>
          <w:sz w:val="24"/>
        </w:rPr>
      </w:pPr>
      <w:r>
        <w:rPr>
          <w:b/>
          <w:sz w:val="24"/>
        </w:rPr>
        <w:t>Diccionario </w:t>
      </w:r>
      <w:r>
        <w:rPr>
          <w:sz w:val="24"/>
        </w:rPr>
        <w:t>Real Academia </w:t>
      </w:r>
      <w:r>
        <w:rPr>
          <w:b/>
          <w:sz w:val="24"/>
        </w:rPr>
        <w:t>Española</w:t>
      </w:r>
      <w:r>
        <w:rPr>
          <w:sz w:val="24"/>
        </w:rPr>
        <w:t>, </w:t>
      </w:r>
      <w:r>
        <w:rPr>
          <w:b/>
          <w:sz w:val="24"/>
        </w:rPr>
        <w:t>Diccionario </w:t>
      </w:r>
      <w:r>
        <w:rPr>
          <w:sz w:val="24"/>
        </w:rPr>
        <w:t>de. la </w:t>
      </w:r>
      <w:r>
        <w:rPr>
          <w:b/>
          <w:sz w:val="24"/>
        </w:rPr>
        <w:t>lengua española</w:t>
      </w:r>
      <w:r>
        <w:rPr>
          <w:sz w:val="24"/>
        </w:rPr>
        <w:t>, 20a ed. Madrid: Espasa Calpe,</w:t>
      </w:r>
      <w:r>
        <w:rPr>
          <w:spacing w:val="-23"/>
          <w:sz w:val="24"/>
        </w:rPr>
        <w:t> </w:t>
      </w:r>
      <w:r>
        <w:rPr>
          <w:sz w:val="24"/>
        </w:rPr>
        <w:t>2001.</w:t>
      </w:r>
    </w:p>
    <w:p>
      <w:pPr>
        <w:pStyle w:val="ListParagraph"/>
        <w:numPr>
          <w:ilvl w:val="1"/>
          <w:numId w:val="25"/>
        </w:numPr>
        <w:tabs>
          <w:tab w:pos="822" w:val="left" w:leader="none"/>
        </w:tabs>
        <w:spacing w:line="240" w:lineRule="auto" w:before="3" w:after="0"/>
        <w:ind w:left="822" w:right="0" w:hanging="360"/>
        <w:jc w:val="left"/>
        <w:rPr>
          <w:sz w:val="24"/>
        </w:rPr>
      </w:pPr>
      <w:r>
        <w:rPr>
          <w:sz w:val="24"/>
        </w:rPr>
        <w:t>http/</w:t>
      </w:r>
      <w:hyperlink r:id="rId18">
        <w:r>
          <w:rPr>
            <w:sz w:val="24"/>
          </w:rPr>
          <w:t>/www.Chim</w:t>
        </w:r>
      </w:hyperlink>
      <w:r>
        <w:rPr>
          <w:sz w:val="24"/>
        </w:rPr>
        <w:t>a</w:t>
      </w:r>
      <w:hyperlink r:id="rId18">
        <w:r>
          <w:rPr>
            <w:sz w:val="24"/>
          </w:rPr>
          <w:t>lhuacan.gob.mx</w:t>
        </w:r>
      </w:hyperlink>
    </w:p>
    <w:p>
      <w:pPr>
        <w:pStyle w:val="ListParagraph"/>
        <w:numPr>
          <w:ilvl w:val="1"/>
          <w:numId w:val="25"/>
        </w:numPr>
        <w:tabs>
          <w:tab w:pos="822" w:val="left" w:leader="none"/>
        </w:tabs>
        <w:spacing w:line="240" w:lineRule="auto" w:before="41" w:after="0"/>
        <w:ind w:left="822" w:right="0" w:hanging="360"/>
        <w:jc w:val="left"/>
        <w:rPr>
          <w:sz w:val="24"/>
        </w:rPr>
      </w:pPr>
      <w:r>
        <w:rPr>
          <w:sz w:val="24"/>
        </w:rPr>
        <w:t>http/</w:t>
      </w:r>
      <w:hyperlink r:id="rId19">
        <w:r>
          <w:rPr>
            <w:sz w:val="24"/>
          </w:rPr>
          <w:t>/www.in</w:t>
        </w:r>
      </w:hyperlink>
      <w:r>
        <w:rPr>
          <w:sz w:val="24"/>
        </w:rPr>
        <w:t>e</w:t>
      </w:r>
      <w:hyperlink r:id="rId19">
        <w:r>
          <w:rPr>
            <w:sz w:val="24"/>
          </w:rPr>
          <w:t>gi.gob.mx</w:t>
        </w:r>
      </w:hyperlink>
    </w:p>
    <w:p>
      <w:pPr>
        <w:pStyle w:val="ListParagraph"/>
        <w:numPr>
          <w:ilvl w:val="1"/>
          <w:numId w:val="25"/>
        </w:numPr>
        <w:tabs>
          <w:tab w:pos="822" w:val="left" w:leader="none"/>
        </w:tabs>
        <w:spacing w:line="276" w:lineRule="auto" w:before="41" w:after="0"/>
        <w:ind w:left="822" w:right="961" w:hanging="360"/>
        <w:jc w:val="both"/>
        <w:rPr>
          <w:sz w:val="24"/>
        </w:rPr>
      </w:pPr>
      <w:r>
        <w:rPr>
          <w:sz w:val="24"/>
        </w:rPr>
        <w:t>Concheiro L: Asfixias mecánicas. En: Gisbert Calabuig JA. Medicina Legal y Toxicología. 4ª ed. Salvat. Barcelona, 1991.</w:t>
      </w:r>
      <w:r>
        <w:rPr>
          <w:spacing w:val="-18"/>
          <w:sz w:val="24"/>
        </w:rPr>
        <w:t> </w:t>
      </w:r>
      <w:r>
        <w:rPr>
          <w:sz w:val="24"/>
        </w:rPr>
        <w:t>376-396.</w:t>
      </w:r>
    </w:p>
    <w:p>
      <w:pPr>
        <w:pStyle w:val="ListParagraph"/>
        <w:numPr>
          <w:ilvl w:val="1"/>
          <w:numId w:val="25"/>
        </w:numPr>
        <w:tabs>
          <w:tab w:pos="822" w:val="left" w:leader="none"/>
        </w:tabs>
        <w:spacing w:line="278" w:lineRule="auto" w:before="1" w:after="0"/>
        <w:ind w:left="822" w:right="955" w:hanging="360"/>
        <w:jc w:val="both"/>
        <w:rPr>
          <w:sz w:val="24"/>
        </w:rPr>
      </w:pPr>
      <w:r>
        <w:rPr>
          <w:sz w:val="24"/>
        </w:rPr>
        <w:t>SOLANO GONZALEZ, Émily. </w:t>
      </w:r>
      <w:r>
        <w:rPr>
          <w:b/>
          <w:sz w:val="24"/>
        </w:rPr>
        <w:t>Asfixias mecánicas</w:t>
      </w:r>
      <w:r>
        <w:rPr>
          <w:sz w:val="24"/>
        </w:rPr>
        <w:t>. </w:t>
      </w:r>
      <w:r>
        <w:rPr>
          <w:i/>
          <w:sz w:val="24"/>
        </w:rPr>
        <w:t>Med. leg. Costa Rica</w:t>
      </w:r>
      <w:r>
        <w:rPr>
          <w:sz w:val="24"/>
        </w:rPr>
        <w:t>, sep. 2008, vol.25, no.2, p.61-68. ISSN</w:t>
      </w:r>
      <w:r>
        <w:rPr>
          <w:spacing w:val="-17"/>
          <w:sz w:val="24"/>
        </w:rPr>
        <w:t> </w:t>
      </w:r>
      <w:r>
        <w:rPr>
          <w:sz w:val="24"/>
        </w:rPr>
        <w:t>1409-0015.</w:t>
      </w:r>
    </w:p>
    <w:p>
      <w:pPr>
        <w:pStyle w:val="ListParagraph"/>
        <w:numPr>
          <w:ilvl w:val="1"/>
          <w:numId w:val="25"/>
        </w:numPr>
        <w:tabs>
          <w:tab w:pos="822" w:val="left" w:leader="none"/>
        </w:tabs>
        <w:spacing w:line="276" w:lineRule="auto" w:before="0" w:after="0"/>
        <w:ind w:left="822" w:right="965" w:hanging="360"/>
        <w:jc w:val="both"/>
        <w:rPr>
          <w:sz w:val="24"/>
        </w:rPr>
      </w:pPr>
      <w:r>
        <w:rPr>
          <w:sz w:val="24"/>
        </w:rPr>
        <w:t>PATITO,J. y Cols.; Tratado de Medicina Legal y Elementos de patología forense. Editorial Quorum. Buenos Aires. 2003.</w:t>
      </w:r>
      <w:r>
        <w:rPr>
          <w:spacing w:val="-18"/>
          <w:sz w:val="24"/>
        </w:rPr>
        <w:t> </w:t>
      </w:r>
      <w:r>
        <w:rPr>
          <w:sz w:val="24"/>
        </w:rPr>
        <w:t>685-742.</w:t>
      </w:r>
    </w:p>
    <w:p>
      <w:pPr>
        <w:pStyle w:val="ListParagraph"/>
        <w:numPr>
          <w:ilvl w:val="1"/>
          <w:numId w:val="25"/>
        </w:numPr>
        <w:tabs>
          <w:tab w:pos="822" w:val="left" w:leader="none"/>
        </w:tabs>
        <w:spacing w:line="276" w:lineRule="auto" w:before="3" w:after="0"/>
        <w:ind w:left="822" w:right="958" w:hanging="360"/>
        <w:jc w:val="both"/>
        <w:rPr>
          <w:sz w:val="24"/>
        </w:rPr>
      </w:pPr>
      <w:r>
        <w:rPr>
          <w:sz w:val="24"/>
        </w:rPr>
        <w:t>RICARDO,J. Consideraciones Medico Legales sobre asfixias mecánicas. Revista de la Escuela de Medicina Legal. jun. 2009. ISSN</w:t>
      </w:r>
      <w:r>
        <w:rPr>
          <w:spacing w:val="-24"/>
          <w:sz w:val="24"/>
        </w:rPr>
        <w:t> </w:t>
      </w:r>
      <w:r>
        <w:rPr>
          <w:sz w:val="24"/>
        </w:rPr>
        <w:t>1885-9572.</w:t>
      </w:r>
    </w:p>
    <w:p>
      <w:pPr>
        <w:pStyle w:val="ListParagraph"/>
        <w:numPr>
          <w:ilvl w:val="1"/>
          <w:numId w:val="25"/>
        </w:numPr>
        <w:tabs>
          <w:tab w:pos="822" w:val="left" w:leader="none"/>
        </w:tabs>
        <w:spacing w:line="276" w:lineRule="auto" w:before="0" w:after="0"/>
        <w:ind w:left="822" w:right="960" w:hanging="360"/>
        <w:jc w:val="both"/>
        <w:rPr>
          <w:sz w:val="24"/>
        </w:rPr>
      </w:pPr>
      <w:r>
        <w:rPr>
          <w:sz w:val="24"/>
        </w:rPr>
        <w:t>VARGAS AE. </w:t>
      </w:r>
      <w:r>
        <w:rPr>
          <w:b/>
          <w:i/>
          <w:sz w:val="24"/>
        </w:rPr>
        <w:t>Medicina Legal. </w:t>
      </w:r>
      <w:r>
        <w:rPr>
          <w:sz w:val="24"/>
        </w:rPr>
        <w:t>Editorial trillas. México. Primera edición. 1991.</w:t>
      </w:r>
    </w:p>
    <w:p>
      <w:pPr>
        <w:pStyle w:val="ListParagraph"/>
        <w:numPr>
          <w:ilvl w:val="1"/>
          <w:numId w:val="25"/>
        </w:numPr>
        <w:tabs>
          <w:tab w:pos="822" w:val="left" w:leader="none"/>
        </w:tabs>
        <w:spacing w:line="278" w:lineRule="auto" w:before="0" w:after="0"/>
        <w:ind w:left="822" w:right="962" w:hanging="360"/>
        <w:jc w:val="both"/>
        <w:rPr>
          <w:sz w:val="24"/>
        </w:rPr>
      </w:pPr>
      <w:r>
        <w:rPr>
          <w:sz w:val="24"/>
        </w:rPr>
        <w:t>BONNET EF. </w:t>
      </w:r>
      <w:r>
        <w:rPr>
          <w:b/>
          <w:i/>
          <w:sz w:val="24"/>
        </w:rPr>
        <w:t>Medicina Legal. </w:t>
      </w:r>
      <w:r>
        <w:rPr>
          <w:sz w:val="24"/>
        </w:rPr>
        <w:t>López Libreros Editores. Buenos Aires. Segunda edición.</w:t>
      </w:r>
      <w:r>
        <w:rPr>
          <w:spacing w:val="-13"/>
          <w:sz w:val="24"/>
        </w:rPr>
        <w:t> </w:t>
      </w:r>
      <w:r>
        <w:rPr>
          <w:sz w:val="24"/>
        </w:rPr>
        <w:t>1980.1295-1397.</w:t>
      </w:r>
    </w:p>
    <w:p>
      <w:pPr>
        <w:pStyle w:val="ListParagraph"/>
        <w:numPr>
          <w:ilvl w:val="1"/>
          <w:numId w:val="25"/>
        </w:numPr>
        <w:tabs>
          <w:tab w:pos="822" w:val="left" w:leader="none"/>
        </w:tabs>
        <w:spacing w:line="276" w:lineRule="auto" w:before="0" w:after="0"/>
        <w:ind w:left="822" w:right="958" w:hanging="360"/>
        <w:jc w:val="both"/>
        <w:rPr>
          <w:sz w:val="24"/>
        </w:rPr>
      </w:pPr>
      <w:r>
        <w:rPr>
          <w:sz w:val="24"/>
        </w:rPr>
        <w:t>SIMONIN C. </w:t>
      </w:r>
      <w:r>
        <w:rPr>
          <w:b/>
          <w:i/>
          <w:sz w:val="24"/>
        </w:rPr>
        <w:t>Medicina Legal Judicial</w:t>
      </w:r>
      <w:r>
        <w:rPr>
          <w:sz w:val="24"/>
        </w:rPr>
        <w:t>. Edit. Jims, Barcelona. Tercera edición.1980.</w:t>
      </w:r>
      <w:r>
        <w:rPr>
          <w:spacing w:val="-8"/>
          <w:sz w:val="24"/>
        </w:rPr>
        <w:t> </w:t>
      </w:r>
      <w:r>
        <w:rPr>
          <w:sz w:val="24"/>
        </w:rPr>
        <w:t>196-242.</w:t>
      </w:r>
    </w:p>
    <w:p>
      <w:pPr>
        <w:pStyle w:val="ListParagraph"/>
        <w:numPr>
          <w:ilvl w:val="1"/>
          <w:numId w:val="25"/>
        </w:numPr>
        <w:tabs>
          <w:tab w:pos="822" w:val="left" w:leader="none"/>
        </w:tabs>
        <w:spacing w:line="276" w:lineRule="auto" w:before="0" w:after="0"/>
        <w:ind w:left="822" w:right="963" w:hanging="360"/>
        <w:jc w:val="both"/>
        <w:rPr>
          <w:sz w:val="24"/>
        </w:rPr>
      </w:pPr>
      <w:r>
        <w:rPr>
          <w:sz w:val="24"/>
        </w:rPr>
        <w:t>GARCIA DF. Detección de Lactoalbumina y lactoglobulina en muerte súbita del lactante. 9º Simposio Nacional y 6º Internacional de Temas Selectos en Ciencias Forenses 2010. México.</w:t>
      </w:r>
      <w:r>
        <w:rPr>
          <w:spacing w:val="-12"/>
          <w:sz w:val="24"/>
        </w:rPr>
        <w:t> </w:t>
      </w:r>
      <w:r>
        <w:rPr>
          <w:sz w:val="24"/>
        </w:rPr>
        <w:t>DF.</w:t>
      </w:r>
    </w:p>
    <w:p>
      <w:pPr>
        <w:pStyle w:val="ListParagraph"/>
        <w:numPr>
          <w:ilvl w:val="1"/>
          <w:numId w:val="25"/>
        </w:numPr>
        <w:tabs>
          <w:tab w:pos="822" w:val="left" w:leader="none"/>
        </w:tabs>
        <w:spacing w:line="276" w:lineRule="auto" w:before="0" w:after="0"/>
        <w:ind w:left="822" w:right="965" w:hanging="360"/>
        <w:jc w:val="both"/>
        <w:rPr>
          <w:sz w:val="24"/>
        </w:rPr>
      </w:pPr>
      <w:r>
        <w:rPr>
          <w:sz w:val="24"/>
        </w:rPr>
        <w:t>HERNANDEZ MC. Frecuencia de muertes por asfixia mecánica en Toluca México 2002 a 2006. Tesis de Facultad de Medicina  Universidad  del Estado de México.</w:t>
      </w:r>
      <w:r>
        <w:rPr>
          <w:spacing w:val="-8"/>
          <w:sz w:val="24"/>
        </w:rPr>
        <w:t> </w:t>
      </w:r>
      <w:r>
        <w:rPr>
          <w:sz w:val="24"/>
        </w:rPr>
        <w:t>2007.</w:t>
      </w:r>
    </w:p>
    <w:p>
      <w:pPr>
        <w:pStyle w:val="ListParagraph"/>
        <w:numPr>
          <w:ilvl w:val="1"/>
          <w:numId w:val="25"/>
        </w:numPr>
        <w:tabs>
          <w:tab w:pos="822" w:val="left" w:leader="none"/>
        </w:tabs>
        <w:spacing w:line="276" w:lineRule="auto" w:before="0" w:after="0"/>
        <w:ind w:left="822" w:right="964" w:hanging="360"/>
        <w:jc w:val="both"/>
        <w:rPr>
          <w:sz w:val="24"/>
        </w:rPr>
      </w:pPr>
      <w:r>
        <w:rPr>
          <w:sz w:val="24"/>
        </w:rPr>
        <w:t>OCAMPO SJ. Prevalencia de muertes por asfixia en el Centro de Justicia  de Nicolás Romero, Estado de México de 1999 a 2009. Tesis de Facultad de Medicina Universidad del Estado de México.</w:t>
      </w:r>
      <w:r>
        <w:rPr>
          <w:spacing w:val="-19"/>
          <w:sz w:val="24"/>
        </w:rPr>
        <w:t> </w:t>
      </w:r>
      <w:r>
        <w:rPr>
          <w:sz w:val="24"/>
        </w:rPr>
        <w:t>2011.</w:t>
      </w:r>
    </w:p>
    <w:p>
      <w:pPr>
        <w:spacing w:after="0" w:line="276" w:lineRule="auto"/>
        <w:jc w:val="both"/>
        <w:rPr>
          <w:sz w:val="24"/>
        </w:rPr>
        <w:sectPr>
          <w:pgSz w:w="12240" w:h="15840"/>
          <w:pgMar w:header="0" w:footer="1174" w:top="1360" w:bottom="1360" w:left="1600" w:right="740"/>
        </w:sectPr>
      </w:pPr>
    </w:p>
    <w:p>
      <w:pPr>
        <w:pStyle w:val="BodyText"/>
        <w:rPr>
          <w:sz w:val="20"/>
        </w:rPr>
      </w:pPr>
    </w:p>
    <w:p>
      <w:pPr>
        <w:pStyle w:val="Heading1"/>
        <w:numPr>
          <w:ilvl w:val="1"/>
          <w:numId w:val="25"/>
        </w:numPr>
        <w:tabs>
          <w:tab w:pos="1597" w:val="left" w:leader="none"/>
          <w:tab w:pos="1598" w:val="left" w:leader="none"/>
        </w:tabs>
        <w:spacing w:line="240" w:lineRule="auto" w:before="201" w:after="0"/>
        <w:ind w:left="1598" w:right="0" w:hanging="1056"/>
        <w:jc w:val="left"/>
      </w:pPr>
      <w:r>
        <w:rPr/>
        <w:t>ANEXOS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2355"/>
        <w:gridCol w:w="360"/>
        <w:gridCol w:w="360"/>
        <w:gridCol w:w="1414"/>
        <w:gridCol w:w="2996"/>
      </w:tblGrid>
      <w:tr>
        <w:trPr>
          <w:trHeight w:val="2081" w:hRule="exact"/>
        </w:trPr>
        <w:tc>
          <w:tcPr>
            <w:tcW w:w="8980" w:type="dxa"/>
            <w:gridSpan w:val="6"/>
          </w:tcPr>
          <w:p>
            <w:pPr>
              <w:pStyle w:val="TableParagraph"/>
              <w:spacing w:line="240" w:lineRule="auto"/>
              <w:ind w:left="0"/>
              <w:rPr>
                <w:b/>
                <w:sz w:val="24"/>
              </w:rPr>
            </w:pPr>
          </w:p>
          <w:p>
            <w:pPr>
              <w:pStyle w:val="TableParagraph"/>
              <w:spacing w:line="240" w:lineRule="auto" w:before="10"/>
              <w:ind w:left="0"/>
              <w:rPr>
                <w:b/>
                <w:sz w:val="20"/>
              </w:rPr>
            </w:pPr>
          </w:p>
          <w:p>
            <w:pPr>
              <w:pStyle w:val="TableParagraph"/>
              <w:spacing w:line="451" w:lineRule="auto"/>
              <w:ind w:left="64" w:right="2726"/>
              <w:rPr>
                <w:b/>
                <w:sz w:val="24"/>
              </w:rPr>
            </w:pPr>
            <w:r>
              <w:rPr>
                <w:b/>
                <w:sz w:val="24"/>
              </w:rPr>
              <w:t>UNIVERSIDAD AUTÓNOMA DEL ESTADO DE MÉXICO FACULTAD DE MEDICINA</w:t>
            </w:r>
          </w:p>
          <w:p>
            <w:pPr>
              <w:pStyle w:val="TableParagraph"/>
              <w:spacing w:line="240" w:lineRule="auto" w:before="4"/>
              <w:ind w:left="64" w:right="2726"/>
              <w:rPr>
                <w:b/>
                <w:sz w:val="24"/>
              </w:rPr>
            </w:pPr>
            <w:r>
              <w:rPr>
                <w:b/>
                <w:sz w:val="24"/>
              </w:rPr>
              <w:t>DEPARTAMENTO DE TITULACIÓN</w:t>
            </w:r>
          </w:p>
        </w:tc>
      </w:tr>
      <w:tr>
        <w:trPr>
          <w:trHeight w:val="3749" w:hRule="exact"/>
        </w:trPr>
        <w:tc>
          <w:tcPr>
            <w:tcW w:w="8980" w:type="dxa"/>
            <w:gridSpan w:val="6"/>
          </w:tcPr>
          <w:p>
            <w:pPr>
              <w:pStyle w:val="TableParagraph"/>
              <w:spacing w:line="240" w:lineRule="auto"/>
              <w:ind w:left="0"/>
              <w:rPr>
                <w:b/>
                <w:sz w:val="24"/>
              </w:rPr>
            </w:pPr>
          </w:p>
          <w:p>
            <w:pPr>
              <w:pStyle w:val="TableParagraph"/>
              <w:spacing w:line="240" w:lineRule="auto" w:before="8"/>
              <w:ind w:left="0"/>
              <w:rPr>
                <w:b/>
                <w:sz w:val="20"/>
              </w:rPr>
            </w:pPr>
          </w:p>
          <w:p>
            <w:pPr>
              <w:pStyle w:val="TableParagraph"/>
              <w:spacing w:line="240" w:lineRule="auto"/>
              <w:ind w:left="64"/>
              <w:jc w:val="both"/>
              <w:rPr>
                <w:b/>
                <w:sz w:val="24"/>
              </w:rPr>
            </w:pPr>
            <w:r>
              <w:rPr>
                <w:b/>
                <w:sz w:val="24"/>
              </w:rPr>
              <w:t>Título de la Investigación:</w:t>
            </w:r>
          </w:p>
          <w:p>
            <w:pPr>
              <w:pStyle w:val="TableParagraph"/>
              <w:spacing w:line="240" w:lineRule="auto"/>
              <w:ind w:left="0"/>
              <w:rPr>
                <w:b/>
                <w:sz w:val="21"/>
              </w:rPr>
            </w:pPr>
          </w:p>
          <w:p>
            <w:pPr>
              <w:pStyle w:val="TableParagraph"/>
              <w:spacing w:line="276" w:lineRule="auto" w:before="1"/>
              <w:ind w:left="64" w:right="65"/>
              <w:jc w:val="both"/>
              <w:rPr>
                <w:sz w:val="24"/>
              </w:rPr>
            </w:pPr>
            <w:r>
              <w:rPr>
                <w:sz w:val="24"/>
              </w:rPr>
              <w:t>“Frecuencia de muertes por asfixia mecánica, por sofocación en su modalidad de obstrucción de vías respiratorias por contenido gastro- esofágico  en Chimalhuacán, Estado de México, 2008 a</w:t>
            </w:r>
            <w:r>
              <w:rPr>
                <w:spacing w:val="53"/>
                <w:sz w:val="24"/>
              </w:rPr>
              <w:t> </w:t>
            </w:r>
            <w:r>
              <w:rPr>
                <w:sz w:val="24"/>
              </w:rPr>
              <w:t>2010.”</w:t>
            </w:r>
          </w:p>
          <w:p>
            <w:pPr>
              <w:pStyle w:val="TableParagraph"/>
              <w:spacing w:line="240" w:lineRule="auto" w:before="200"/>
              <w:ind w:left="64"/>
              <w:jc w:val="both"/>
              <w:rPr>
                <w:sz w:val="24"/>
              </w:rPr>
            </w:pPr>
            <w:r>
              <w:rPr>
                <w:b/>
                <w:sz w:val="24"/>
              </w:rPr>
              <w:t>Autor: </w:t>
            </w:r>
            <w:r>
              <w:rPr>
                <w:sz w:val="24"/>
              </w:rPr>
              <w:t>M.C. Esmeralda Xiuthzal Cruz Franco</w:t>
            </w:r>
          </w:p>
          <w:p>
            <w:pPr>
              <w:pStyle w:val="TableParagraph"/>
              <w:spacing w:line="240" w:lineRule="auto"/>
              <w:ind w:left="0"/>
              <w:rPr>
                <w:b/>
                <w:sz w:val="21"/>
              </w:rPr>
            </w:pPr>
          </w:p>
          <w:p>
            <w:pPr>
              <w:pStyle w:val="TableParagraph"/>
              <w:spacing w:line="240" w:lineRule="auto" w:before="1"/>
              <w:ind w:left="64"/>
              <w:jc w:val="both"/>
              <w:rPr>
                <w:sz w:val="24"/>
              </w:rPr>
            </w:pPr>
            <w:r>
              <w:rPr>
                <w:b/>
                <w:sz w:val="24"/>
              </w:rPr>
              <w:t>Tutor: </w:t>
            </w:r>
            <w:r>
              <w:rPr>
                <w:sz w:val="24"/>
              </w:rPr>
              <w:t>E. en M.L. Rogelio Alberto Ortega Madrid</w:t>
            </w:r>
          </w:p>
        </w:tc>
      </w:tr>
      <w:tr>
        <w:trPr>
          <w:trHeight w:val="1044" w:hRule="exact"/>
        </w:trPr>
        <w:tc>
          <w:tcPr>
            <w:tcW w:w="8980" w:type="dxa"/>
            <w:gridSpan w:val="6"/>
          </w:tcPr>
          <w:p>
            <w:pPr>
              <w:pStyle w:val="TableParagraph"/>
              <w:spacing w:line="240" w:lineRule="auto"/>
              <w:ind w:left="0"/>
              <w:rPr>
                <w:b/>
                <w:sz w:val="24"/>
              </w:rPr>
            </w:pPr>
          </w:p>
          <w:p>
            <w:pPr>
              <w:pStyle w:val="TableParagraph"/>
              <w:spacing w:line="240" w:lineRule="auto" w:before="10"/>
              <w:ind w:left="0"/>
              <w:rPr>
                <w:b/>
                <w:sz w:val="20"/>
              </w:rPr>
            </w:pPr>
          </w:p>
          <w:p>
            <w:pPr>
              <w:pStyle w:val="TableParagraph"/>
              <w:spacing w:line="240" w:lineRule="auto"/>
              <w:ind w:left="64" w:right="2726"/>
              <w:rPr>
                <w:b/>
                <w:sz w:val="24"/>
              </w:rPr>
            </w:pPr>
            <w:r>
              <w:rPr>
                <w:b/>
                <w:sz w:val="24"/>
              </w:rPr>
              <w:t>FORMATO PARA RECOLECCIÓN DE DATOS</w:t>
            </w:r>
          </w:p>
        </w:tc>
      </w:tr>
      <w:tr>
        <w:trPr>
          <w:trHeight w:val="624" w:hRule="exact"/>
        </w:trPr>
        <w:tc>
          <w:tcPr>
            <w:tcW w:w="8980" w:type="dxa"/>
            <w:gridSpan w:val="6"/>
          </w:tcPr>
          <w:p>
            <w:pPr/>
          </w:p>
        </w:tc>
      </w:tr>
      <w:tr>
        <w:trPr>
          <w:trHeight w:val="624" w:hRule="exact"/>
        </w:trPr>
        <w:tc>
          <w:tcPr>
            <w:tcW w:w="4210" w:type="dxa"/>
            <w:gridSpan w:val="3"/>
          </w:tcPr>
          <w:p>
            <w:pPr>
              <w:pStyle w:val="TableParagraph"/>
              <w:spacing w:line="274" w:lineRule="exact"/>
              <w:ind w:left="64"/>
              <w:rPr>
                <w:b/>
                <w:sz w:val="24"/>
              </w:rPr>
            </w:pPr>
            <w:r>
              <w:rPr>
                <w:b/>
                <w:sz w:val="24"/>
              </w:rPr>
              <w:t>Expediente SEMEFO:</w:t>
            </w:r>
          </w:p>
        </w:tc>
        <w:tc>
          <w:tcPr>
            <w:tcW w:w="4770" w:type="dxa"/>
            <w:gridSpan w:val="3"/>
          </w:tcPr>
          <w:p>
            <w:pPr>
              <w:pStyle w:val="TableParagraph"/>
              <w:spacing w:line="274" w:lineRule="exact"/>
              <w:ind w:left="64"/>
              <w:rPr>
                <w:b/>
                <w:sz w:val="24"/>
              </w:rPr>
            </w:pPr>
            <w:r>
              <w:rPr>
                <w:b/>
                <w:sz w:val="24"/>
              </w:rPr>
              <w:t>CARPETA DE INVESTIGACION:</w:t>
            </w:r>
          </w:p>
        </w:tc>
      </w:tr>
      <w:tr>
        <w:trPr>
          <w:trHeight w:val="624" w:hRule="exact"/>
        </w:trPr>
        <w:tc>
          <w:tcPr>
            <w:tcW w:w="4210" w:type="dxa"/>
            <w:gridSpan w:val="3"/>
          </w:tcPr>
          <w:p>
            <w:pPr>
              <w:pStyle w:val="TableParagraph"/>
              <w:spacing w:line="274" w:lineRule="exact"/>
              <w:ind w:left="64"/>
              <w:rPr>
                <w:b/>
                <w:sz w:val="24"/>
              </w:rPr>
            </w:pPr>
            <w:r>
              <w:rPr>
                <w:b/>
                <w:sz w:val="24"/>
              </w:rPr>
              <w:t>Fecha de defunción: Año/Mes/Día:</w:t>
            </w:r>
          </w:p>
        </w:tc>
        <w:tc>
          <w:tcPr>
            <w:tcW w:w="4770" w:type="dxa"/>
            <w:gridSpan w:val="3"/>
          </w:tcPr>
          <w:p>
            <w:pPr>
              <w:pStyle w:val="TableParagraph"/>
              <w:spacing w:line="274" w:lineRule="exact"/>
              <w:ind w:left="64"/>
              <w:rPr>
                <w:b/>
                <w:sz w:val="24"/>
              </w:rPr>
            </w:pPr>
            <w:r>
              <w:rPr>
                <w:b/>
                <w:sz w:val="24"/>
              </w:rPr>
              <w:t>Estación del año:</w:t>
            </w:r>
          </w:p>
        </w:tc>
      </w:tr>
      <w:tr>
        <w:trPr>
          <w:trHeight w:val="625" w:hRule="exact"/>
        </w:trPr>
        <w:tc>
          <w:tcPr>
            <w:tcW w:w="1495" w:type="dxa"/>
          </w:tcPr>
          <w:p>
            <w:pPr>
              <w:pStyle w:val="TableParagraph"/>
              <w:spacing w:line="275" w:lineRule="exact"/>
              <w:ind w:left="64"/>
              <w:rPr>
                <w:b/>
                <w:sz w:val="24"/>
              </w:rPr>
            </w:pPr>
            <w:r>
              <w:rPr>
                <w:b/>
                <w:sz w:val="24"/>
              </w:rPr>
              <w:t>SEXO:</w:t>
            </w:r>
          </w:p>
        </w:tc>
        <w:tc>
          <w:tcPr>
            <w:tcW w:w="3075" w:type="dxa"/>
            <w:gridSpan w:val="3"/>
          </w:tcPr>
          <w:p>
            <w:pPr/>
          </w:p>
        </w:tc>
        <w:tc>
          <w:tcPr>
            <w:tcW w:w="1414" w:type="dxa"/>
          </w:tcPr>
          <w:p>
            <w:pPr>
              <w:pStyle w:val="TableParagraph"/>
              <w:spacing w:line="275" w:lineRule="exact"/>
              <w:ind w:left="64"/>
              <w:rPr>
                <w:b/>
                <w:sz w:val="24"/>
              </w:rPr>
            </w:pPr>
            <w:r>
              <w:rPr>
                <w:b/>
                <w:sz w:val="24"/>
              </w:rPr>
              <w:t>EDAD:</w:t>
            </w:r>
          </w:p>
        </w:tc>
        <w:tc>
          <w:tcPr>
            <w:tcW w:w="2996" w:type="dxa"/>
          </w:tcPr>
          <w:p>
            <w:pPr/>
          </w:p>
        </w:tc>
      </w:tr>
      <w:tr>
        <w:trPr>
          <w:trHeight w:val="624" w:hRule="exact"/>
        </w:trPr>
        <w:tc>
          <w:tcPr>
            <w:tcW w:w="3850" w:type="dxa"/>
            <w:gridSpan w:val="2"/>
          </w:tcPr>
          <w:p>
            <w:pPr>
              <w:pStyle w:val="TableParagraph"/>
              <w:spacing w:line="274" w:lineRule="exact"/>
              <w:ind w:left="64"/>
              <w:rPr>
                <w:b/>
                <w:sz w:val="24"/>
              </w:rPr>
            </w:pPr>
            <w:r>
              <w:rPr>
                <w:b/>
                <w:sz w:val="24"/>
              </w:rPr>
              <w:t>Causa de Muerte registrada:</w:t>
            </w:r>
          </w:p>
        </w:tc>
        <w:tc>
          <w:tcPr>
            <w:tcW w:w="5130" w:type="dxa"/>
            <w:gridSpan w:val="4"/>
          </w:tcPr>
          <w:p>
            <w:pPr/>
          </w:p>
        </w:tc>
      </w:tr>
      <w:tr>
        <w:trPr>
          <w:trHeight w:val="624" w:hRule="exact"/>
        </w:trPr>
        <w:tc>
          <w:tcPr>
            <w:tcW w:w="8980" w:type="dxa"/>
            <w:gridSpan w:val="6"/>
          </w:tcPr>
          <w:p>
            <w:pPr/>
          </w:p>
        </w:tc>
      </w:tr>
    </w:tbl>
    <w:sectPr>
      <w:pgSz w:w="12240" w:h="15840"/>
      <w:pgMar w:header="0" w:footer="1174" w:top="1500" w:bottom="1360" w:left="152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640"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type id="_x0000_t202" o:spt="202" coordsize="21600,21600" path="m,l,21600r21600,l21600,xe">
          <v:stroke joinstyle="miter"/>
          <v:path gradientshapeok="t" o:connecttype="rect"/>
        </v:shapetype>
        <v:shape style="position:absolute;margin-left:529.940002pt;margin-top:727.736023pt;width:9.6pt;height:13.05pt;mso-position-horizontal-relative:page;mso-position-vertical-relative:page;z-index:-42616" type="#_x0000_t202" filled="false" stroked="false">
          <v:textbox inset="0,0,0,0">
            <w:txbxContent>
              <w:p>
                <w:pPr>
                  <w:spacing w:line="245" w:lineRule="exact" w:before="0"/>
                  <w:ind w:left="40" w:right="0" w:firstLine="0"/>
                  <w:jc w:val="left"/>
                  <w:rPr>
                    <w:rFonts w:ascii="Calibri"/>
                    <w:b/>
                    <w:sz w:val="22"/>
                  </w:rPr>
                </w:pPr>
                <w:r>
                  <w:rPr/>
                  <w:fldChar w:fldCharType="begin"/>
                </w:r>
                <w:r>
                  <w:rPr>
                    <w:rFonts w:ascii="Calibri"/>
                    <w:b/>
                    <w:color w:val="FFFFFF"/>
                    <w:w w:val="100"/>
                    <w:sz w:val="22"/>
                  </w:rPr>
                  <w:instrText> PAGE </w:instrText>
                </w:r>
                <w:r>
                  <w:rPr/>
                  <w:fldChar w:fldCharType="separate"/>
                </w:r>
                <w:r>
                  <w:rPr/>
                  <w:t>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592"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30.940002pt;margin-top:727.736023pt;width:13.3pt;height:13.05pt;mso-position-horizontal-relative:page;mso-position-vertical-relative:page;z-index:-42568" type="#_x0000_t202" filled="false" stroked="false">
          <v:textbox inset="0,0,0,0">
            <w:txbxContent>
              <w:p>
                <w:pPr>
                  <w:spacing w:line="245" w:lineRule="exact" w:before="0"/>
                  <w:ind w:left="20" w:right="0" w:firstLine="0"/>
                  <w:jc w:val="left"/>
                  <w:rPr>
                    <w:rFonts w:ascii="Calibri"/>
                    <w:b/>
                    <w:sz w:val="22"/>
                  </w:rPr>
                </w:pPr>
                <w:r>
                  <w:rPr>
                    <w:rFonts w:ascii="Calibri"/>
                    <w:b/>
                    <w:color w:val="FFFFFF"/>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544"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29.940002pt;margin-top:727.736023pt;width:15.3pt;height:13.05pt;mso-position-horizontal-relative:page;mso-position-vertical-relative:page;z-index:-42520" type="#_x0000_t202" filled="false" stroked="false">
          <v:textbox inset="0,0,0,0">
            <w:txbxContent>
              <w:p>
                <w:pPr>
                  <w:spacing w:line="245" w:lineRule="exact" w:before="0"/>
                  <w:ind w:left="40" w:right="0" w:firstLine="0"/>
                  <w:jc w:val="left"/>
                  <w:rPr>
                    <w:rFonts w:ascii="Calibri"/>
                    <w:b/>
                    <w:sz w:val="22"/>
                  </w:rPr>
                </w:pPr>
                <w:r>
                  <w:rPr/>
                  <w:fldChar w:fldCharType="begin"/>
                </w:r>
                <w:r>
                  <w:rPr>
                    <w:rFonts w:ascii="Calibri"/>
                    <w:b/>
                    <w:color w:val="FFFFFF"/>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496"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30.940002pt;margin-top:727.736023pt;width:13.3pt;height:13.05pt;mso-position-horizontal-relative:page;mso-position-vertical-relative:page;z-index:-42472" type="#_x0000_t202" filled="false" stroked="false">
          <v:textbox inset="0,0,0,0">
            <w:txbxContent>
              <w:p>
                <w:pPr>
                  <w:spacing w:line="245" w:lineRule="exact" w:before="0"/>
                  <w:ind w:left="20" w:right="0" w:firstLine="0"/>
                  <w:jc w:val="left"/>
                  <w:rPr>
                    <w:rFonts w:ascii="Calibri"/>
                    <w:b/>
                    <w:sz w:val="22"/>
                  </w:rPr>
                </w:pPr>
                <w:r>
                  <w:rPr>
                    <w:rFonts w:ascii="Calibri"/>
                    <w:b/>
                    <w:color w:val="FFFFFF"/>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448"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29.940002pt;margin-top:727.736023pt;width:15.3pt;height:13.05pt;mso-position-horizontal-relative:page;mso-position-vertical-relative:page;z-index:-42424" type="#_x0000_t202" filled="false" stroked="false">
          <v:textbox inset="0,0,0,0">
            <w:txbxContent>
              <w:p>
                <w:pPr>
                  <w:spacing w:line="245" w:lineRule="exact" w:before="0"/>
                  <w:ind w:left="40" w:right="0" w:firstLine="0"/>
                  <w:jc w:val="left"/>
                  <w:rPr>
                    <w:rFonts w:ascii="Calibri"/>
                    <w:b/>
                    <w:sz w:val="22"/>
                  </w:rPr>
                </w:pPr>
                <w:r>
                  <w:rPr/>
                  <w:fldChar w:fldCharType="begin"/>
                </w:r>
                <w:r>
                  <w:rPr>
                    <w:rFonts w:ascii="Calibri"/>
                    <w:b/>
                    <w:color w:val="FFFFFF"/>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400"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30.940002pt;margin-top:727.736023pt;width:13.3pt;height:13.05pt;mso-position-horizontal-relative:page;mso-position-vertical-relative:page;z-index:-42376" type="#_x0000_t202" filled="false" stroked="false">
          <v:textbox inset="0,0,0,0">
            <w:txbxContent>
              <w:p>
                <w:pPr>
                  <w:spacing w:line="245" w:lineRule="exact" w:before="0"/>
                  <w:ind w:left="20" w:right="0" w:firstLine="0"/>
                  <w:jc w:val="left"/>
                  <w:rPr>
                    <w:rFonts w:ascii="Calibri"/>
                    <w:b/>
                    <w:sz w:val="22"/>
                  </w:rPr>
                </w:pPr>
                <w:r>
                  <w:rPr>
                    <w:rFonts w:ascii="Calibri"/>
                    <w:b/>
                    <w:color w:val="FFFFFF"/>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25.525024pt;margin-top:723.296997pt;width:43.95pt;height:19.45pt;mso-position-horizontal-relative:page;mso-position-vertical-relative:page;z-index:-42352" coordorigin="10511,14466" coordsize="879,389">
          <v:shape style="position:absolute;left:10518;top:14473;width:864;height:374" coordorigin="10518,14473" coordsize="864,374" path="m10580,14847l10556,14843,10536,14829,10523,14809,10518,14785,10518,14536,10523,14512,10536,14492,10556,14478,10580,14473,11320,14473,11344,14478,11364,14492,11377,14512,11382,14536,11382,14785,11377,14809,11364,14829,11344,14843,11320,14847,10580,14847xe" filled="false" stroked="true" strokeweight=".75pt" strokecolor="#c4bb95">
            <v:path arrowok="t"/>
          </v:shape>
          <v:shape style="position:absolute;left:10554;top:14512;width:792;height:296" coordorigin="10554,14512" coordsize="792,296" path="m11297,14512l10603,14512,10584,14516,10568,14527,10558,14543,10554,14562,10554,14759,10558,14778,10568,14794,10584,14805,10603,14808,11297,14808,11316,14805,11332,14794,11342,14778,11346,14759,11346,14562,11342,14543,11332,14527,11316,14516,11297,14512xe" filled="true" fillcolor="#c4bb95" stroked="false">
            <v:path arrowok="t"/>
            <v:fill type="solid"/>
          </v:shape>
          <v:shape style="position:absolute;left:10554;top:14512;width:792;height:296" coordorigin="10554,14512" coordsize="792,296" path="m10603,14808l10584,14805,10568,14794,10558,14778,10554,14759,10554,14562,10558,14543,10568,14527,10584,14516,10603,14512,11297,14512,11316,14516,11332,14527,11342,14543,11346,14562,11346,14759,11342,14778,11332,14794,11316,14805,11297,14808,10603,14808xe" filled="false" stroked="true" strokeweight=".75pt" strokecolor="#c4bb95">
            <v:path arrowok="t"/>
          </v:shape>
          <v:shape style="position:absolute;left:10637;top:14530;width:658;height:288" type="#_x0000_t75" stroked="false">
            <v:imagedata r:id="rId1" o:title=""/>
          </v:shape>
          <w10:wrap type="none"/>
        </v:group>
      </w:pict>
    </w:r>
    <w:r>
      <w:rPr/>
      <w:pict>
        <v:shape style="position:absolute;margin-left:529.940002pt;margin-top:727.736023pt;width:15.3pt;height:13.05pt;mso-position-horizontal-relative:page;mso-position-vertical-relative:page;z-index:-42328" type="#_x0000_t202" filled="false" stroked="false">
          <v:textbox inset="0,0,0,0">
            <w:txbxContent>
              <w:p>
                <w:pPr>
                  <w:spacing w:line="245" w:lineRule="exact" w:before="0"/>
                  <w:ind w:left="40" w:right="0" w:firstLine="0"/>
                  <w:jc w:val="left"/>
                  <w:rPr>
                    <w:rFonts w:ascii="Calibri"/>
                    <w:b/>
                    <w:sz w:val="22"/>
                  </w:rPr>
                </w:pPr>
                <w:r>
                  <w:rPr/>
                  <w:fldChar w:fldCharType="begin"/>
                </w:r>
                <w:r>
                  <w:rPr>
                    <w:rFonts w:ascii="Calibri"/>
                    <w:b/>
                    <w:color w:val="FFFFFF"/>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4"/>
      <w:numFmt w:val="decimal"/>
      <w:lvlText w:val="%1."/>
      <w:lvlJc w:val="left"/>
      <w:pPr>
        <w:ind w:left="571" w:hanging="470"/>
        <w:jc w:val="left"/>
      </w:pPr>
      <w:rPr>
        <w:rFonts w:hint="default" w:ascii="Arial" w:hAnsi="Arial" w:eastAsia="Arial" w:cs="Arial"/>
        <w:b/>
        <w:bCs/>
        <w:w w:val="100"/>
        <w:sz w:val="28"/>
        <w:szCs w:val="28"/>
      </w:rPr>
    </w:lvl>
    <w:lvl w:ilvl="1">
      <w:start w:val="1"/>
      <w:numFmt w:val="decimal"/>
      <w:lvlText w:val="%2."/>
      <w:lvlJc w:val="left"/>
      <w:pPr>
        <w:ind w:left="822" w:hanging="360"/>
        <w:jc w:val="right"/>
      </w:pPr>
      <w:rPr>
        <w:rFonts w:hint="default"/>
        <w:spacing w:val="-4"/>
        <w:w w:val="99"/>
      </w:rPr>
    </w:lvl>
    <w:lvl w:ilvl="2">
      <w:start w:val="1"/>
      <w:numFmt w:val="bullet"/>
      <w:lvlText w:val="•"/>
      <w:lvlJc w:val="left"/>
      <w:pPr>
        <w:ind w:left="1828" w:hanging="360"/>
      </w:pPr>
      <w:rPr>
        <w:rFonts w:hint="default"/>
      </w:rPr>
    </w:lvl>
    <w:lvl w:ilvl="3">
      <w:start w:val="1"/>
      <w:numFmt w:val="bullet"/>
      <w:lvlText w:val="•"/>
      <w:lvlJc w:val="left"/>
      <w:pPr>
        <w:ind w:left="2837"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855" w:hanging="360"/>
      </w:pPr>
      <w:rPr>
        <w:rFonts w:hint="default"/>
      </w:rPr>
    </w:lvl>
    <w:lvl w:ilvl="6">
      <w:start w:val="1"/>
      <w:numFmt w:val="bullet"/>
      <w:lvlText w:val="•"/>
      <w:lvlJc w:val="left"/>
      <w:pPr>
        <w:ind w:left="5864"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82" w:hanging="360"/>
      </w:pPr>
      <w:rPr>
        <w:rFonts w:hint="default"/>
      </w:rPr>
    </w:lvl>
  </w:abstractNum>
  <w:abstractNum w:abstractNumId="23">
    <w:multiLevelType w:val="hybridMultilevel"/>
    <w:lvl w:ilvl="0">
      <w:start w:val="6"/>
      <w:numFmt w:val="decimal"/>
      <w:lvlText w:val="%1"/>
      <w:lvlJc w:val="left"/>
      <w:pPr>
        <w:ind w:left="625" w:hanging="404"/>
        <w:jc w:val="left"/>
      </w:pPr>
      <w:rPr>
        <w:rFonts w:hint="default"/>
      </w:rPr>
    </w:lvl>
    <w:lvl w:ilvl="1">
      <w:start w:val="1"/>
      <w:numFmt w:val="decimal"/>
      <w:lvlText w:val="%1.%2"/>
      <w:lvlJc w:val="left"/>
      <w:pPr>
        <w:ind w:left="102" w:hanging="404"/>
        <w:jc w:val="right"/>
      </w:pPr>
      <w:rPr>
        <w:rFonts w:hint="default"/>
        <w:w w:val="99"/>
      </w:rPr>
    </w:lvl>
    <w:lvl w:ilvl="2">
      <w:start w:val="1"/>
      <w:numFmt w:val="decimal"/>
      <w:lvlText w:val="%1.%2.%3"/>
      <w:lvlJc w:val="left"/>
      <w:pPr>
        <w:ind w:left="804" w:hanging="703"/>
        <w:jc w:val="left"/>
      </w:pPr>
      <w:rPr>
        <w:rFonts w:hint="default" w:ascii="Arial" w:hAnsi="Arial" w:eastAsia="Arial" w:cs="Arial"/>
        <w:b/>
        <w:bCs/>
        <w:w w:val="100"/>
        <w:sz w:val="28"/>
        <w:szCs w:val="28"/>
      </w:rPr>
    </w:lvl>
    <w:lvl w:ilvl="3">
      <w:start w:val="1"/>
      <w:numFmt w:val="bullet"/>
      <w:lvlText w:val="•"/>
      <w:lvlJc w:val="left"/>
      <w:pPr>
        <w:ind w:left="1937" w:hanging="703"/>
      </w:pPr>
      <w:rPr>
        <w:rFonts w:hint="default"/>
      </w:rPr>
    </w:lvl>
    <w:lvl w:ilvl="4">
      <w:start w:val="1"/>
      <w:numFmt w:val="bullet"/>
      <w:lvlText w:val="•"/>
      <w:lvlJc w:val="left"/>
      <w:pPr>
        <w:ind w:left="3075" w:hanging="703"/>
      </w:pPr>
      <w:rPr>
        <w:rFonts w:hint="default"/>
      </w:rPr>
    </w:lvl>
    <w:lvl w:ilvl="5">
      <w:start w:val="1"/>
      <w:numFmt w:val="bullet"/>
      <w:lvlText w:val="•"/>
      <w:lvlJc w:val="left"/>
      <w:pPr>
        <w:ind w:left="4212" w:hanging="703"/>
      </w:pPr>
      <w:rPr>
        <w:rFonts w:hint="default"/>
      </w:rPr>
    </w:lvl>
    <w:lvl w:ilvl="6">
      <w:start w:val="1"/>
      <w:numFmt w:val="bullet"/>
      <w:lvlText w:val="•"/>
      <w:lvlJc w:val="left"/>
      <w:pPr>
        <w:ind w:left="5350" w:hanging="703"/>
      </w:pPr>
      <w:rPr>
        <w:rFonts w:hint="default"/>
      </w:rPr>
    </w:lvl>
    <w:lvl w:ilvl="7">
      <w:start w:val="1"/>
      <w:numFmt w:val="bullet"/>
      <w:lvlText w:val="•"/>
      <w:lvlJc w:val="left"/>
      <w:pPr>
        <w:ind w:left="6487" w:hanging="703"/>
      </w:pPr>
      <w:rPr>
        <w:rFonts w:hint="default"/>
      </w:rPr>
    </w:lvl>
    <w:lvl w:ilvl="8">
      <w:start w:val="1"/>
      <w:numFmt w:val="bullet"/>
      <w:lvlText w:val="•"/>
      <w:lvlJc w:val="left"/>
      <w:pPr>
        <w:ind w:left="7625" w:hanging="703"/>
      </w:pPr>
      <w:rPr>
        <w:rFonts w:hint="default"/>
      </w:rPr>
    </w:lvl>
  </w:abstractNum>
  <w:abstractNum w:abstractNumId="22">
    <w:multiLevelType w:val="hybridMultilevel"/>
    <w:lvl w:ilvl="0">
      <w:start w:val="5"/>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2380" w:hanging="404"/>
      </w:pPr>
      <w:rPr>
        <w:rFonts w:hint="default"/>
      </w:rPr>
    </w:lvl>
    <w:lvl w:ilvl="3">
      <w:start w:val="1"/>
      <w:numFmt w:val="bullet"/>
      <w:lvlText w:val="•"/>
      <w:lvlJc w:val="left"/>
      <w:pPr>
        <w:ind w:left="3320" w:hanging="404"/>
      </w:pPr>
      <w:rPr>
        <w:rFonts w:hint="default"/>
      </w:rPr>
    </w:lvl>
    <w:lvl w:ilvl="4">
      <w:start w:val="1"/>
      <w:numFmt w:val="bullet"/>
      <w:lvlText w:val="•"/>
      <w:lvlJc w:val="left"/>
      <w:pPr>
        <w:ind w:left="4260" w:hanging="404"/>
      </w:pPr>
      <w:rPr>
        <w:rFonts w:hint="default"/>
      </w:rPr>
    </w:lvl>
    <w:lvl w:ilvl="5">
      <w:start w:val="1"/>
      <w:numFmt w:val="bullet"/>
      <w:lvlText w:val="•"/>
      <w:lvlJc w:val="left"/>
      <w:pPr>
        <w:ind w:left="5200" w:hanging="404"/>
      </w:pPr>
      <w:rPr>
        <w:rFonts w:hint="default"/>
      </w:rPr>
    </w:lvl>
    <w:lvl w:ilvl="6">
      <w:start w:val="1"/>
      <w:numFmt w:val="bullet"/>
      <w:lvlText w:val="•"/>
      <w:lvlJc w:val="left"/>
      <w:pPr>
        <w:ind w:left="6140" w:hanging="404"/>
      </w:pPr>
      <w:rPr>
        <w:rFonts w:hint="default"/>
      </w:rPr>
    </w:lvl>
    <w:lvl w:ilvl="7">
      <w:start w:val="1"/>
      <w:numFmt w:val="bullet"/>
      <w:lvlText w:val="•"/>
      <w:lvlJc w:val="left"/>
      <w:pPr>
        <w:ind w:left="7080" w:hanging="404"/>
      </w:pPr>
      <w:rPr>
        <w:rFonts w:hint="default"/>
      </w:rPr>
    </w:lvl>
    <w:lvl w:ilvl="8">
      <w:start w:val="1"/>
      <w:numFmt w:val="bullet"/>
      <w:lvlText w:val="•"/>
      <w:lvlJc w:val="left"/>
      <w:pPr>
        <w:ind w:left="8020" w:hanging="404"/>
      </w:pPr>
      <w:rPr>
        <w:rFonts w:hint="default"/>
      </w:rPr>
    </w:lvl>
  </w:abstractNum>
  <w:abstractNum w:abstractNumId="21">
    <w:multiLevelType w:val="hybridMultilevel"/>
    <w:lvl w:ilvl="0">
      <w:start w:val="1"/>
      <w:numFmt w:val="bullet"/>
      <w:lvlText w:val="*"/>
      <w:lvlJc w:val="left"/>
      <w:pPr>
        <w:ind w:left="262" w:hanging="161"/>
      </w:pPr>
      <w:rPr>
        <w:rFonts w:hint="default" w:ascii="Arial" w:hAnsi="Arial" w:eastAsia="Arial" w:cs="Arial"/>
        <w:i/>
        <w:w w:val="99"/>
        <w:sz w:val="24"/>
        <w:szCs w:val="24"/>
      </w:rPr>
    </w:lvl>
    <w:lvl w:ilvl="1">
      <w:start w:val="1"/>
      <w:numFmt w:val="bullet"/>
      <w:lvlText w:val="•"/>
      <w:lvlJc w:val="left"/>
      <w:pPr>
        <w:ind w:left="1224" w:hanging="161"/>
      </w:pPr>
      <w:rPr>
        <w:rFonts w:hint="default"/>
      </w:rPr>
    </w:lvl>
    <w:lvl w:ilvl="2">
      <w:start w:val="1"/>
      <w:numFmt w:val="bullet"/>
      <w:lvlText w:val="•"/>
      <w:lvlJc w:val="left"/>
      <w:pPr>
        <w:ind w:left="2188" w:hanging="161"/>
      </w:pPr>
      <w:rPr>
        <w:rFonts w:hint="default"/>
      </w:rPr>
    </w:lvl>
    <w:lvl w:ilvl="3">
      <w:start w:val="1"/>
      <w:numFmt w:val="bullet"/>
      <w:lvlText w:val="•"/>
      <w:lvlJc w:val="left"/>
      <w:pPr>
        <w:ind w:left="3152" w:hanging="161"/>
      </w:pPr>
      <w:rPr>
        <w:rFonts w:hint="default"/>
      </w:rPr>
    </w:lvl>
    <w:lvl w:ilvl="4">
      <w:start w:val="1"/>
      <w:numFmt w:val="bullet"/>
      <w:lvlText w:val="•"/>
      <w:lvlJc w:val="left"/>
      <w:pPr>
        <w:ind w:left="4116" w:hanging="161"/>
      </w:pPr>
      <w:rPr>
        <w:rFonts w:hint="default"/>
      </w:rPr>
    </w:lvl>
    <w:lvl w:ilvl="5">
      <w:start w:val="1"/>
      <w:numFmt w:val="bullet"/>
      <w:lvlText w:val="•"/>
      <w:lvlJc w:val="left"/>
      <w:pPr>
        <w:ind w:left="5080" w:hanging="161"/>
      </w:pPr>
      <w:rPr>
        <w:rFonts w:hint="default"/>
      </w:rPr>
    </w:lvl>
    <w:lvl w:ilvl="6">
      <w:start w:val="1"/>
      <w:numFmt w:val="bullet"/>
      <w:lvlText w:val="•"/>
      <w:lvlJc w:val="left"/>
      <w:pPr>
        <w:ind w:left="6044" w:hanging="161"/>
      </w:pPr>
      <w:rPr>
        <w:rFonts w:hint="default"/>
      </w:rPr>
    </w:lvl>
    <w:lvl w:ilvl="7">
      <w:start w:val="1"/>
      <w:numFmt w:val="bullet"/>
      <w:lvlText w:val="•"/>
      <w:lvlJc w:val="left"/>
      <w:pPr>
        <w:ind w:left="7008" w:hanging="161"/>
      </w:pPr>
      <w:rPr>
        <w:rFonts w:hint="default"/>
      </w:rPr>
    </w:lvl>
    <w:lvl w:ilvl="8">
      <w:start w:val="1"/>
      <w:numFmt w:val="bullet"/>
      <w:lvlText w:val="•"/>
      <w:lvlJc w:val="left"/>
      <w:pPr>
        <w:ind w:left="7972" w:hanging="161"/>
      </w:pPr>
      <w:rPr>
        <w:rFonts w:hint="default"/>
      </w:rPr>
    </w:lvl>
  </w:abstractNum>
  <w:abstractNum w:abstractNumId="20">
    <w:multiLevelType w:val="hybridMultilevel"/>
    <w:lvl w:ilvl="0">
      <w:start w:val="1"/>
      <w:numFmt w:val="bullet"/>
      <w:lvlText w:val="-"/>
      <w:lvlJc w:val="left"/>
      <w:pPr>
        <w:ind w:left="102" w:hanging="641"/>
      </w:pPr>
      <w:rPr>
        <w:rFonts w:hint="default" w:ascii="Arial" w:hAnsi="Arial" w:eastAsia="Arial" w:cs="Arial"/>
        <w:spacing w:val="-3"/>
        <w:w w:val="99"/>
        <w:sz w:val="24"/>
        <w:szCs w:val="24"/>
      </w:rPr>
    </w:lvl>
    <w:lvl w:ilvl="1">
      <w:start w:val="1"/>
      <w:numFmt w:val="bullet"/>
      <w:lvlText w:val="•"/>
      <w:lvlJc w:val="left"/>
      <w:pPr>
        <w:ind w:left="1080" w:hanging="641"/>
      </w:pPr>
      <w:rPr>
        <w:rFonts w:hint="default"/>
      </w:rPr>
    </w:lvl>
    <w:lvl w:ilvl="2">
      <w:start w:val="1"/>
      <w:numFmt w:val="bullet"/>
      <w:lvlText w:val="•"/>
      <w:lvlJc w:val="left"/>
      <w:pPr>
        <w:ind w:left="2060" w:hanging="641"/>
      </w:pPr>
      <w:rPr>
        <w:rFonts w:hint="default"/>
      </w:rPr>
    </w:lvl>
    <w:lvl w:ilvl="3">
      <w:start w:val="1"/>
      <w:numFmt w:val="bullet"/>
      <w:lvlText w:val="•"/>
      <w:lvlJc w:val="left"/>
      <w:pPr>
        <w:ind w:left="3040" w:hanging="641"/>
      </w:pPr>
      <w:rPr>
        <w:rFonts w:hint="default"/>
      </w:rPr>
    </w:lvl>
    <w:lvl w:ilvl="4">
      <w:start w:val="1"/>
      <w:numFmt w:val="bullet"/>
      <w:lvlText w:val="•"/>
      <w:lvlJc w:val="left"/>
      <w:pPr>
        <w:ind w:left="4020" w:hanging="641"/>
      </w:pPr>
      <w:rPr>
        <w:rFonts w:hint="default"/>
      </w:rPr>
    </w:lvl>
    <w:lvl w:ilvl="5">
      <w:start w:val="1"/>
      <w:numFmt w:val="bullet"/>
      <w:lvlText w:val="•"/>
      <w:lvlJc w:val="left"/>
      <w:pPr>
        <w:ind w:left="5000" w:hanging="641"/>
      </w:pPr>
      <w:rPr>
        <w:rFonts w:hint="default"/>
      </w:rPr>
    </w:lvl>
    <w:lvl w:ilvl="6">
      <w:start w:val="1"/>
      <w:numFmt w:val="bullet"/>
      <w:lvlText w:val="•"/>
      <w:lvlJc w:val="left"/>
      <w:pPr>
        <w:ind w:left="5980" w:hanging="641"/>
      </w:pPr>
      <w:rPr>
        <w:rFonts w:hint="default"/>
      </w:rPr>
    </w:lvl>
    <w:lvl w:ilvl="7">
      <w:start w:val="1"/>
      <w:numFmt w:val="bullet"/>
      <w:lvlText w:val="•"/>
      <w:lvlJc w:val="left"/>
      <w:pPr>
        <w:ind w:left="6960" w:hanging="641"/>
      </w:pPr>
      <w:rPr>
        <w:rFonts w:hint="default"/>
      </w:rPr>
    </w:lvl>
    <w:lvl w:ilvl="8">
      <w:start w:val="1"/>
      <w:numFmt w:val="bullet"/>
      <w:lvlText w:val="•"/>
      <w:lvlJc w:val="left"/>
      <w:pPr>
        <w:ind w:left="7940" w:hanging="641"/>
      </w:pPr>
      <w:rPr>
        <w:rFonts w:hint="default"/>
      </w:rPr>
    </w:lvl>
  </w:abstractNum>
  <w:abstractNum w:abstractNumId="19">
    <w:multiLevelType w:val="hybridMultilevel"/>
    <w:lvl w:ilvl="0">
      <w:start w:val="1"/>
      <w:numFmt w:val="bullet"/>
      <w:lvlText w:val="o"/>
      <w:lvlJc w:val="left"/>
      <w:pPr>
        <w:ind w:left="102" w:hanging="199"/>
      </w:pPr>
      <w:rPr>
        <w:rFonts w:hint="default" w:ascii="Arial" w:hAnsi="Arial" w:eastAsia="Arial" w:cs="Arial"/>
        <w:w w:val="99"/>
        <w:sz w:val="24"/>
        <w:szCs w:val="24"/>
      </w:rPr>
    </w:lvl>
    <w:lvl w:ilvl="1">
      <w:start w:val="1"/>
      <w:numFmt w:val="bullet"/>
      <w:lvlText w:val="•"/>
      <w:lvlJc w:val="left"/>
      <w:pPr>
        <w:ind w:left="1080" w:hanging="199"/>
      </w:pPr>
      <w:rPr>
        <w:rFonts w:hint="default"/>
      </w:rPr>
    </w:lvl>
    <w:lvl w:ilvl="2">
      <w:start w:val="1"/>
      <w:numFmt w:val="bullet"/>
      <w:lvlText w:val="•"/>
      <w:lvlJc w:val="left"/>
      <w:pPr>
        <w:ind w:left="2060" w:hanging="199"/>
      </w:pPr>
      <w:rPr>
        <w:rFonts w:hint="default"/>
      </w:rPr>
    </w:lvl>
    <w:lvl w:ilvl="3">
      <w:start w:val="1"/>
      <w:numFmt w:val="bullet"/>
      <w:lvlText w:val="•"/>
      <w:lvlJc w:val="left"/>
      <w:pPr>
        <w:ind w:left="3040" w:hanging="199"/>
      </w:pPr>
      <w:rPr>
        <w:rFonts w:hint="default"/>
      </w:rPr>
    </w:lvl>
    <w:lvl w:ilvl="4">
      <w:start w:val="1"/>
      <w:numFmt w:val="bullet"/>
      <w:lvlText w:val="•"/>
      <w:lvlJc w:val="left"/>
      <w:pPr>
        <w:ind w:left="4020" w:hanging="199"/>
      </w:pPr>
      <w:rPr>
        <w:rFonts w:hint="default"/>
      </w:rPr>
    </w:lvl>
    <w:lvl w:ilvl="5">
      <w:start w:val="1"/>
      <w:numFmt w:val="bullet"/>
      <w:lvlText w:val="•"/>
      <w:lvlJc w:val="left"/>
      <w:pPr>
        <w:ind w:left="5000" w:hanging="199"/>
      </w:pPr>
      <w:rPr>
        <w:rFonts w:hint="default"/>
      </w:rPr>
    </w:lvl>
    <w:lvl w:ilvl="6">
      <w:start w:val="1"/>
      <w:numFmt w:val="bullet"/>
      <w:lvlText w:val="•"/>
      <w:lvlJc w:val="left"/>
      <w:pPr>
        <w:ind w:left="5980" w:hanging="199"/>
      </w:pPr>
      <w:rPr>
        <w:rFonts w:hint="default"/>
      </w:rPr>
    </w:lvl>
    <w:lvl w:ilvl="7">
      <w:start w:val="1"/>
      <w:numFmt w:val="bullet"/>
      <w:lvlText w:val="•"/>
      <w:lvlJc w:val="left"/>
      <w:pPr>
        <w:ind w:left="6960" w:hanging="199"/>
      </w:pPr>
      <w:rPr>
        <w:rFonts w:hint="default"/>
      </w:rPr>
    </w:lvl>
    <w:lvl w:ilvl="8">
      <w:start w:val="1"/>
      <w:numFmt w:val="bullet"/>
      <w:lvlText w:val="•"/>
      <w:lvlJc w:val="left"/>
      <w:pPr>
        <w:ind w:left="7940" w:hanging="199"/>
      </w:pPr>
      <w:rPr>
        <w:rFonts w:hint="default"/>
      </w:rPr>
    </w:lvl>
  </w:abstractNum>
  <w:abstractNum w:abstractNumId="18">
    <w:multiLevelType w:val="hybridMultilevel"/>
    <w:lvl w:ilvl="0">
      <w:start w:val="1"/>
      <w:numFmt w:val="lowerLetter"/>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1080" w:hanging="269"/>
      </w:pPr>
      <w:rPr>
        <w:rFonts w:hint="default"/>
      </w:rPr>
    </w:lvl>
    <w:lvl w:ilvl="2">
      <w:start w:val="1"/>
      <w:numFmt w:val="bullet"/>
      <w:lvlText w:val="•"/>
      <w:lvlJc w:val="left"/>
      <w:pPr>
        <w:ind w:left="2060" w:hanging="269"/>
      </w:pPr>
      <w:rPr>
        <w:rFonts w:hint="default"/>
      </w:rPr>
    </w:lvl>
    <w:lvl w:ilvl="3">
      <w:start w:val="1"/>
      <w:numFmt w:val="bullet"/>
      <w:lvlText w:val="•"/>
      <w:lvlJc w:val="left"/>
      <w:pPr>
        <w:ind w:left="3040" w:hanging="269"/>
      </w:pPr>
      <w:rPr>
        <w:rFonts w:hint="default"/>
      </w:rPr>
    </w:lvl>
    <w:lvl w:ilvl="4">
      <w:start w:val="1"/>
      <w:numFmt w:val="bullet"/>
      <w:lvlText w:val="•"/>
      <w:lvlJc w:val="left"/>
      <w:pPr>
        <w:ind w:left="4020" w:hanging="269"/>
      </w:pPr>
      <w:rPr>
        <w:rFonts w:hint="default"/>
      </w:rPr>
    </w:lvl>
    <w:lvl w:ilvl="5">
      <w:start w:val="1"/>
      <w:numFmt w:val="bullet"/>
      <w:lvlText w:val="•"/>
      <w:lvlJc w:val="left"/>
      <w:pPr>
        <w:ind w:left="5000" w:hanging="269"/>
      </w:pPr>
      <w:rPr>
        <w:rFonts w:hint="default"/>
      </w:rPr>
    </w:lvl>
    <w:lvl w:ilvl="6">
      <w:start w:val="1"/>
      <w:numFmt w:val="bullet"/>
      <w:lvlText w:val="•"/>
      <w:lvlJc w:val="left"/>
      <w:pPr>
        <w:ind w:left="5980" w:hanging="269"/>
      </w:pPr>
      <w:rPr>
        <w:rFonts w:hint="default"/>
      </w:rPr>
    </w:lvl>
    <w:lvl w:ilvl="7">
      <w:start w:val="1"/>
      <w:numFmt w:val="bullet"/>
      <w:lvlText w:val="•"/>
      <w:lvlJc w:val="left"/>
      <w:pPr>
        <w:ind w:left="6960" w:hanging="269"/>
      </w:pPr>
      <w:rPr>
        <w:rFonts w:hint="default"/>
      </w:rPr>
    </w:lvl>
    <w:lvl w:ilvl="8">
      <w:start w:val="1"/>
      <w:numFmt w:val="bullet"/>
      <w:lvlText w:val="•"/>
      <w:lvlJc w:val="left"/>
      <w:pPr>
        <w:ind w:left="7940" w:hanging="269"/>
      </w:pPr>
      <w:rPr>
        <w:rFonts w:hint="default"/>
      </w:rPr>
    </w:lvl>
  </w:abstractNum>
  <w:abstractNum w:abstractNumId="17">
    <w:multiLevelType w:val="hybridMultilevel"/>
    <w:lvl w:ilvl="0">
      <w:start w:val="1"/>
      <w:numFmt w:val="lowerLetter"/>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1080" w:hanging="269"/>
      </w:pPr>
      <w:rPr>
        <w:rFonts w:hint="default"/>
      </w:rPr>
    </w:lvl>
    <w:lvl w:ilvl="2">
      <w:start w:val="1"/>
      <w:numFmt w:val="bullet"/>
      <w:lvlText w:val="•"/>
      <w:lvlJc w:val="left"/>
      <w:pPr>
        <w:ind w:left="2060" w:hanging="269"/>
      </w:pPr>
      <w:rPr>
        <w:rFonts w:hint="default"/>
      </w:rPr>
    </w:lvl>
    <w:lvl w:ilvl="3">
      <w:start w:val="1"/>
      <w:numFmt w:val="bullet"/>
      <w:lvlText w:val="•"/>
      <w:lvlJc w:val="left"/>
      <w:pPr>
        <w:ind w:left="3040" w:hanging="269"/>
      </w:pPr>
      <w:rPr>
        <w:rFonts w:hint="default"/>
      </w:rPr>
    </w:lvl>
    <w:lvl w:ilvl="4">
      <w:start w:val="1"/>
      <w:numFmt w:val="bullet"/>
      <w:lvlText w:val="•"/>
      <w:lvlJc w:val="left"/>
      <w:pPr>
        <w:ind w:left="4020" w:hanging="269"/>
      </w:pPr>
      <w:rPr>
        <w:rFonts w:hint="default"/>
      </w:rPr>
    </w:lvl>
    <w:lvl w:ilvl="5">
      <w:start w:val="1"/>
      <w:numFmt w:val="bullet"/>
      <w:lvlText w:val="•"/>
      <w:lvlJc w:val="left"/>
      <w:pPr>
        <w:ind w:left="5000" w:hanging="269"/>
      </w:pPr>
      <w:rPr>
        <w:rFonts w:hint="default"/>
      </w:rPr>
    </w:lvl>
    <w:lvl w:ilvl="6">
      <w:start w:val="1"/>
      <w:numFmt w:val="bullet"/>
      <w:lvlText w:val="•"/>
      <w:lvlJc w:val="left"/>
      <w:pPr>
        <w:ind w:left="5980" w:hanging="269"/>
      </w:pPr>
      <w:rPr>
        <w:rFonts w:hint="default"/>
      </w:rPr>
    </w:lvl>
    <w:lvl w:ilvl="7">
      <w:start w:val="1"/>
      <w:numFmt w:val="bullet"/>
      <w:lvlText w:val="•"/>
      <w:lvlJc w:val="left"/>
      <w:pPr>
        <w:ind w:left="6960" w:hanging="269"/>
      </w:pPr>
      <w:rPr>
        <w:rFonts w:hint="default"/>
      </w:rPr>
    </w:lvl>
    <w:lvl w:ilvl="8">
      <w:start w:val="1"/>
      <w:numFmt w:val="bullet"/>
      <w:lvlText w:val="•"/>
      <w:lvlJc w:val="left"/>
      <w:pPr>
        <w:ind w:left="7940" w:hanging="269"/>
      </w:pPr>
      <w:rPr>
        <w:rFonts w:hint="default"/>
      </w:rPr>
    </w:lvl>
  </w:abstractNum>
  <w:abstractNum w:abstractNumId="16">
    <w:multiLevelType w:val="hybridMultilevel"/>
    <w:lvl w:ilvl="0">
      <w:start w:val="1"/>
      <w:numFmt w:val="upperLetter"/>
      <w:lvlText w:val="%1)"/>
      <w:lvlJc w:val="left"/>
      <w:pPr>
        <w:ind w:left="102" w:hanging="308"/>
        <w:jc w:val="left"/>
      </w:pPr>
      <w:rPr>
        <w:rFonts w:hint="default" w:ascii="Arial" w:hAnsi="Arial" w:eastAsia="Arial" w:cs="Arial"/>
        <w:spacing w:val="-3"/>
        <w:w w:val="99"/>
        <w:sz w:val="24"/>
        <w:szCs w:val="24"/>
      </w:rPr>
    </w:lvl>
    <w:lvl w:ilvl="1">
      <w:start w:val="1"/>
      <w:numFmt w:val="bullet"/>
      <w:lvlText w:val="•"/>
      <w:lvlJc w:val="left"/>
      <w:pPr>
        <w:ind w:left="1080" w:hanging="308"/>
      </w:pPr>
      <w:rPr>
        <w:rFonts w:hint="default"/>
      </w:rPr>
    </w:lvl>
    <w:lvl w:ilvl="2">
      <w:start w:val="1"/>
      <w:numFmt w:val="bullet"/>
      <w:lvlText w:val="•"/>
      <w:lvlJc w:val="left"/>
      <w:pPr>
        <w:ind w:left="2060" w:hanging="308"/>
      </w:pPr>
      <w:rPr>
        <w:rFonts w:hint="default"/>
      </w:rPr>
    </w:lvl>
    <w:lvl w:ilvl="3">
      <w:start w:val="1"/>
      <w:numFmt w:val="bullet"/>
      <w:lvlText w:val="•"/>
      <w:lvlJc w:val="left"/>
      <w:pPr>
        <w:ind w:left="3040" w:hanging="308"/>
      </w:pPr>
      <w:rPr>
        <w:rFonts w:hint="default"/>
      </w:rPr>
    </w:lvl>
    <w:lvl w:ilvl="4">
      <w:start w:val="1"/>
      <w:numFmt w:val="bullet"/>
      <w:lvlText w:val="•"/>
      <w:lvlJc w:val="left"/>
      <w:pPr>
        <w:ind w:left="4020" w:hanging="308"/>
      </w:pPr>
      <w:rPr>
        <w:rFonts w:hint="default"/>
      </w:rPr>
    </w:lvl>
    <w:lvl w:ilvl="5">
      <w:start w:val="1"/>
      <w:numFmt w:val="bullet"/>
      <w:lvlText w:val="•"/>
      <w:lvlJc w:val="left"/>
      <w:pPr>
        <w:ind w:left="5000" w:hanging="308"/>
      </w:pPr>
      <w:rPr>
        <w:rFonts w:hint="default"/>
      </w:rPr>
    </w:lvl>
    <w:lvl w:ilvl="6">
      <w:start w:val="1"/>
      <w:numFmt w:val="bullet"/>
      <w:lvlText w:val="•"/>
      <w:lvlJc w:val="left"/>
      <w:pPr>
        <w:ind w:left="5980" w:hanging="308"/>
      </w:pPr>
      <w:rPr>
        <w:rFonts w:hint="default"/>
      </w:rPr>
    </w:lvl>
    <w:lvl w:ilvl="7">
      <w:start w:val="1"/>
      <w:numFmt w:val="bullet"/>
      <w:lvlText w:val="•"/>
      <w:lvlJc w:val="left"/>
      <w:pPr>
        <w:ind w:left="6960" w:hanging="308"/>
      </w:pPr>
      <w:rPr>
        <w:rFonts w:hint="default"/>
      </w:rPr>
    </w:lvl>
    <w:lvl w:ilvl="8">
      <w:start w:val="1"/>
      <w:numFmt w:val="bullet"/>
      <w:lvlText w:val="•"/>
      <w:lvlJc w:val="left"/>
      <w:pPr>
        <w:ind w:left="7940" w:hanging="308"/>
      </w:pPr>
      <w:rPr>
        <w:rFonts w:hint="default"/>
      </w:rPr>
    </w:lvl>
  </w:abstractNum>
  <w:abstractNum w:abstractNumId="15">
    <w:multiLevelType w:val="hybridMultilevel"/>
    <w:lvl w:ilvl="0">
      <w:start w:val="1"/>
      <w:numFmt w:val="lowerLetter"/>
      <w:lvlText w:val="%1."/>
      <w:lvlJc w:val="left"/>
      <w:pPr>
        <w:ind w:left="370" w:hanging="269"/>
        <w:jc w:val="left"/>
      </w:pPr>
      <w:rPr>
        <w:rFonts w:hint="default" w:ascii="Arial" w:hAnsi="Arial" w:eastAsia="Arial" w:cs="Arial"/>
        <w:b/>
        <w:bCs/>
        <w:i/>
        <w:spacing w:val="-3"/>
        <w:w w:val="99"/>
        <w:sz w:val="24"/>
        <w:szCs w:val="24"/>
      </w:rPr>
    </w:lvl>
    <w:lvl w:ilvl="1">
      <w:start w:val="1"/>
      <w:numFmt w:val="bullet"/>
      <w:lvlText w:val="•"/>
      <w:lvlJc w:val="left"/>
      <w:pPr>
        <w:ind w:left="1332" w:hanging="269"/>
      </w:pPr>
      <w:rPr>
        <w:rFonts w:hint="default"/>
      </w:rPr>
    </w:lvl>
    <w:lvl w:ilvl="2">
      <w:start w:val="1"/>
      <w:numFmt w:val="bullet"/>
      <w:lvlText w:val="•"/>
      <w:lvlJc w:val="left"/>
      <w:pPr>
        <w:ind w:left="2284" w:hanging="269"/>
      </w:pPr>
      <w:rPr>
        <w:rFonts w:hint="default"/>
      </w:rPr>
    </w:lvl>
    <w:lvl w:ilvl="3">
      <w:start w:val="1"/>
      <w:numFmt w:val="bullet"/>
      <w:lvlText w:val="•"/>
      <w:lvlJc w:val="left"/>
      <w:pPr>
        <w:ind w:left="3236" w:hanging="269"/>
      </w:pPr>
      <w:rPr>
        <w:rFonts w:hint="default"/>
      </w:rPr>
    </w:lvl>
    <w:lvl w:ilvl="4">
      <w:start w:val="1"/>
      <w:numFmt w:val="bullet"/>
      <w:lvlText w:val="•"/>
      <w:lvlJc w:val="left"/>
      <w:pPr>
        <w:ind w:left="4188" w:hanging="269"/>
      </w:pPr>
      <w:rPr>
        <w:rFonts w:hint="default"/>
      </w:rPr>
    </w:lvl>
    <w:lvl w:ilvl="5">
      <w:start w:val="1"/>
      <w:numFmt w:val="bullet"/>
      <w:lvlText w:val="•"/>
      <w:lvlJc w:val="left"/>
      <w:pPr>
        <w:ind w:left="5140" w:hanging="269"/>
      </w:pPr>
      <w:rPr>
        <w:rFonts w:hint="default"/>
      </w:rPr>
    </w:lvl>
    <w:lvl w:ilvl="6">
      <w:start w:val="1"/>
      <w:numFmt w:val="bullet"/>
      <w:lvlText w:val="•"/>
      <w:lvlJc w:val="left"/>
      <w:pPr>
        <w:ind w:left="6092" w:hanging="269"/>
      </w:pPr>
      <w:rPr>
        <w:rFonts w:hint="default"/>
      </w:rPr>
    </w:lvl>
    <w:lvl w:ilvl="7">
      <w:start w:val="1"/>
      <w:numFmt w:val="bullet"/>
      <w:lvlText w:val="•"/>
      <w:lvlJc w:val="left"/>
      <w:pPr>
        <w:ind w:left="7044" w:hanging="269"/>
      </w:pPr>
      <w:rPr>
        <w:rFonts w:hint="default"/>
      </w:rPr>
    </w:lvl>
    <w:lvl w:ilvl="8">
      <w:start w:val="1"/>
      <w:numFmt w:val="bullet"/>
      <w:lvlText w:val="•"/>
      <w:lvlJc w:val="left"/>
      <w:pPr>
        <w:ind w:left="7996" w:hanging="269"/>
      </w:pPr>
      <w:rPr>
        <w:rFonts w:hint="default"/>
      </w:rPr>
    </w:lvl>
  </w:abstractNum>
  <w:abstractNum w:abstractNumId="14">
    <w:multiLevelType w:val="hybridMultilevel"/>
    <w:lvl w:ilvl="0">
      <w:start w:val="1"/>
      <w:numFmt w:val="bullet"/>
      <w:lvlText w:val="—"/>
      <w:lvlJc w:val="left"/>
      <w:pPr>
        <w:ind w:left="102" w:hanging="418"/>
      </w:pPr>
      <w:rPr>
        <w:rFonts w:hint="default" w:ascii="Arial" w:hAnsi="Arial" w:eastAsia="Arial" w:cs="Arial"/>
        <w:spacing w:val="-23"/>
        <w:w w:val="99"/>
        <w:sz w:val="24"/>
        <w:szCs w:val="24"/>
      </w:rPr>
    </w:lvl>
    <w:lvl w:ilvl="1">
      <w:start w:val="1"/>
      <w:numFmt w:val="bullet"/>
      <w:lvlText w:val="—"/>
      <w:lvlJc w:val="left"/>
      <w:pPr>
        <w:ind w:left="2476" w:hanging="306"/>
      </w:pPr>
      <w:rPr>
        <w:rFonts w:hint="default" w:ascii="Arial" w:hAnsi="Arial" w:eastAsia="Arial" w:cs="Arial"/>
        <w:w w:val="100"/>
        <w:sz w:val="24"/>
        <w:szCs w:val="24"/>
      </w:rPr>
    </w:lvl>
    <w:lvl w:ilvl="2">
      <w:start w:val="1"/>
      <w:numFmt w:val="bullet"/>
      <w:lvlText w:val="•"/>
      <w:lvlJc w:val="left"/>
      <w:pPr>
        <w:ind w:left="2940" w:hanging="306"/>
      </w:pPr>
      <w:rPr>
        <w:rFonts w:hint="default"/>
      </w:rPr>
    </w:lvl>
    <w:lvl w:ilvl="3">
      <w:start w:val="1"/>
      <w:numFmt w:val="bullet"/>
      <w:lvlText w:val="•"/>
      <w:lvlJc w:val="left"/>
      <w:pPr>
        <w:ind w:left="3810" w:hanging="306"/>
      </w:pPr>
      <w:rPr>
        <w:rFonts w:hint="default"/>
      </w:rPr>
    </w:lvl>
    <w:lvl w:ilvl="4">
      <w:start w:val="1"/>
      <w:numFmt w:val="bullet"/>
      <w:lvlText w:val="•"/>
      <w:lvlJc w:val="left"/>
      <w:pPr>
        <w:ind w:left="4680" w:hanging="306"/>
      </w:pPr>
      <w:rPr>
        <w:rFonts w:hint="default"/>
      </w:rPr>
    </w:lvl>
    <w:lvl w:ilvl="5">
      <w:start w:val="1"/>
      <w:numFmt w:val="bullet"/>
      <w:lvlText w:val="•"/>
      <w:lvlJc w:val="left"/>
      <w:pPr>
        <w:ind w:left="5550" w:hanging="306"/>
      </w:pPr>
      <w:rPr>
        <w:rFonts w:hint="default"/>
      </w:rPr>
    </w:lvl>
    <w:lvl w:ilvl="6">
      <w:start w:val="1"/>
      <w:numFmt w:val="bullet"/>
      <w:lvlText w:val="•"/>
      <w:lvlJc w:val="left"/>
      <w:pPr>
        <w:ind w:left="6420" w:hanging="306"/>
      </w:pPr>
      <w:rPr>
        <w:rFonts w:hint="default"/>
      </w:rPr>
    </w:lvl>
    <w:lvl w:ilvl="7">
      <w:start w:val="1"/>
      <w:numFmt w:val="bullet"/>
      <w:lvlText w:val="•"/>
      <w:lvlJc w:val="left"/>
      <w:pPr>
        <w:ind w:left="7290" w:hanging="306"/>
      </w:pPr>
      <w:rPr>
        <w:rFonts w:hint="default"/>
      </w:rPr>
    </w:lvl>
    <w:lvl w:ilvl="8">
      <w:start w:val="1"/>
      <w:numFmt w:val="bullet"/>
      <w:lvlText w:val="•"/>
      <w:lvlJc w:val="left"/>
      <w:pPr>
        <w:ind w:left="8160" w:hanging="306"/>
      </w:pPr>
      <w:rPr>
        <w:rFonts w:hint="default"/>
      </w:rPr>
    </w:lvl>
  </w:abstractNum>
  <w:abstractNum w:abstractNumId="13">
    <w:multiLevelType w:val="hybridMultilevel"/>
    <w:lvl w:ilvl="0">
      <w:start w:val="1"/>
      <w:numFmt w:val="bullet"/>
      <w:lvlText w:val="-"/>
      <w:lvlJc w:val="left"/>
      <w:pPr>
        <w:ind w:left="102" w:hanging="286"/>
      </w:pPr>
      <w:rPr>
        <w:rFonts w:hint="default" w:ascii="Arial" w:hAnsi="Arial" w:eastAsia="Arial" w:cs="Arial"/>
        <w:spacing w:val="-34"/>
        <w:w w:val="99"/>
        <w:sz w:val="24"/>
        <w:szCs w:val="24"/>
      </w:rPr>
    </w:lvl>
    <w:lvl w:ilvl="1">
      <w:start w:val="1"/>
      <w:numFmt w:val="bullet"/>
      <w:lvlText w:val="•"/>
      <w:lvlJc w:val="left"/>
      <w:pPr>
        <w:ind w:left="1080" w:hanging="286"/>
      </w:pPr>
      <w:rPr>
        <w:rFonts w:hint="default"/>
      </w:rPr>
    </w:lvl>
    <w:lvl w:ilvl="2">
      <w:start w:val="1"/>
      <w:numFmt w:val="bullet"/>
      <w:lvlText w:val="•"/>
      <w:lvlJc w:val="left"/>
      <w:pPr>
        <w:ind w:left="2060" w:hanging="286"/>
      </w:pPr>
      <w:rPr>
        <w:rFonts w:hint="default"/>
      </w:rPr>
    </w:lvl>
    <w:lvl w:ilvl="3">
      <w:start w:val="1"/>
      <w:numFmt w:val="bullet"/>
      <w:lvlText w:val="•"/>
      <w:lvlJc w:val="left"/>
      <w:pPr>
        <w:ind w:left="3040" w:hanging="286"/>
      </w:pPr>
      <w:rPr>
        <w:rFonts w:hint="default"/>
      </w:rPr>
    </w:lvl>
    <w:lvl w:ilvl="4">
      <w:start w:val="1"/>
      <w:numFmt w:val="bullet"/>
      <w:lvlText w:val="•"/>
      <w:lvlJc w:val="left"/>
      <w:pPr>
        <w:ind w:left="4020" w:hanging="286"/>
      </w:pPr>
      <w:rPr>
        <w:rFonts w:hint="default"/>
      </w:rPr>
    </w:lvl>
    <w:lvl w:ilvl="5">
      <w:start w:val="1"/>
      <w:numFmt w:val="bullet"/>
      <w:lvlText w:val="•"/>
      <w:lvlJc w:val="left"/>
      <w:pPr>
        <w:ind w:left="5000" w:hanging="286"/>
      </w:pPr>
      <w:rPr>
        <w:rFonts w:hint="default"/>
      </w:rPr>
    </w:lvl>
    <w:lvl w:ilvl="6">
      <w:start w:val="1"/>
      <w:numFmt w:val="bullet"/>
      <w:lvlText w:val="•"/>
      <w:lvlJc w:val="left"/>
      <w:pPr>
        <w:ind w:left="5980" w:hanging="286"/>
      </w:pPr>
      <w:rPr>
        <w:rFonts w:hint="default"/>
      </w:rPr>
    </w:lvl>
    <w:lvl w:ilvl="7">
      <w:start w:val="1"/>
      <w:numFmt w:val="bullet"/>
      <w:lvlText w:val="•"/>
      <w:lvlJc w:val="left"/>
      <w:pPr>
        <w:ind w:left="6960" w:hanging="286"/>
      </w:pPr>
      <w:rPr>
        <w:rFonts w:hint="default"/>
      </w:rPr>
    </w:lvl>
    <w:lvl w:ilvl="8">
      <w:start w:val="1"/>
      <w:numFmt w:val="bullet"/>
      <w:lvlText w:val="•"/>
      <w:lvlJc w:val="left"/>
      <w:pPr>
        <w:ind w:left="7940" w:hanging="286"/>
      </w:pPr>
      <w:rPr>
        <w:rFonts w:hint="default"/>
      </w:rPr>
    </w:lvl>
  </w:abstractNum>
  <w:abstractNum w:abstractNumId="12">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2380" w:hanging="404"/>
      </w:pPr>
      <w:rPr>
        <w:rFonts w:hint="default"/>
      </w:rPr>
    </w:lvl>
    <w:lvl w:ilvl="3">
      <w:start w:val="1"/>
      <w:numFmt w:val="bullet"/>
      <w:lvlText w:val="•"/>
      <w:lvlJc w:val="left"/>
      <w:pPr>
        <w:ind w:left="3320" w:hanging="404"/>
      </w:pPr>
      <w:rPr>
        <w:rFonts w:hint="default"/>
      </w:rPr>
    </w:lvl>
    <w:lvl w:ilvl="4">
      <w:start w:val="1"/>
      <w:numFmt w:val="bullet"/>
      <w:lvlText w:val="•"/>
      <w:lvlJc w:val="left"/>
      <w:pPr>
        <w:ind w:left="4260" w:hanging="404"/>
      </w:pPr>
      <w:rPr>
        <w:rFonts w:hint="default"/>
      </w:rPr>
    </w:lvl>
    <w:lvl w:ilvl="5">
      <w:start w:val="1"/>
      <w:numFmt w:val="bullet"/>
      <w:lvlText w:val="•"/>
      <w:lvlJc w:val="left"/>
      <w:pPr>
        <w:ind w:left="5200" w:hanging="404"/>
      </w:pPr>
      <w:rPr>
        <w:rFonts w:hint="default"/>
      </w:rPr>
    </w:lvl>
    <w:lvl w:ilvl="6">
      <w:start w:val="1"/>
      <w:numFmt w:val="bullet"/>
      <w:lvlText w:val="•"/>
      <w:lvlJc w:val="left"/>
      <w:pPr>
        <w:ind w:left="6140" w:hanging="404"/>
      </w:pPr>
      <w:rPr>
        <w:rFonts w:hint="default"/>
      </w:rPr>
    </w:lvl>
    <w:lvl w:ilvl="7">
      <w:start w:val="1"/>
      <w:numFmt w:val="bullet"/>
      <w:lvlText w:val="•"/>
      <w:lvlJc w:val="left"/>
      <w:pPr>
        <w:ind w:left="7080" w:hanging="404"/>
      </w:pPr>
      <w:rPr>
        <w:rFonts w:hint="default"/>
      </w:rPr>
    </w:lvl>
    <w:lvl w:ilvl="8">
      <w:start w:val="1"/>
      <w:numFmt w:val="bullet"/>
      <w:lvlText w:val="•"/>
      <w:lvlJc w:val="left"/>
      <w:pPr>
        <w:ind w:left="8020" w:hanging="404"/>
      </w:pPr>
      <w:rPr>
        <w:rFonts w:hint="default"/>
      </w:rPr>
    </w:lvl>
  </w:abstractNum>
  <w:abstractNum w:abstractNumId="11">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10">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9">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8">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7">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6">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5">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4">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3">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2">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1">
    <w:multiLevelType w:val="hybridMultilevel"/>
    <w:lvl w:ilvl="0">
      <w:start w:val="1"/>
      <w:numFmt w:val="bullet"/>
      <w:lvlText w:val=""/>
      <w:lvlJc w:val="left"/>
      <w:pPr>
        <w:ind w:left="1543" w:hanging="360"/>
      </w:pPr>
      <w:rPr>
        <w:rFonts w:hint="default" w:ascii="Wingdings" w:hAnsi="Wingdings" w:eastAsia="Wingdings" w:cs="Wingdings"/>
        <w:w w:val="99"/>
        <w:sz w:val="24"/>
        <w:szCs w:val="24"/>
      </w:rPr>
    </w:lvl>
    <w:lvl w:ilvl="1">
      <w:start w:val="1"/>
      <w:numFmt w:val="bullet"/>
      <w:lvlText w:val="•"/>
      <w:lvlJc w:val="left"/>
      <w:pPr>
        <w:ind w:left="2000" w:hanging="360"/>
      </w:pPr>
      <w:rPr>
        <w:rFonts w:hint="default"/>
      </w:rPr>
    </w:lvl>
    <w:lvl w:ilvl="2">
      <w:start w:val="1"/>
      <w:numFmt w:val="bullet"/>
      <w:lvlText w:val="•"/>
      <w:lvlJc w:val="left"/>
      <w:pPr>
        <w:ind w:left="246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383" w:hanging="360"/>
      </w:pPr>
      <w:rPr>
        <w:rFonts w:hint="default"/>
      </w:rPr>
    </w:lvl>
    <w:lvl w:ilvl="5">
      <w:start w:val="1"/>
      <w:numFmt w:val="bullet"/>
      <w:lvlText w:val="•"/>
      <w:lvlJc w:val="left"/>
      <w:pPr>
        <w:ind w:left="3844" w:hanging="360"/>
      </w:pPr>
      <w:rPr>
        <w:rFonts w:hint="default"/>
      </w:rPr>
    </w:lvl>
    <w:lvl w:ilvl="6">
      <w:start w:val="1"/>
      <w:numFmt w:val="bullet"/>
      <w:lvlText w:val="•"/>
      <w:lvlJc w:val="left"/>
      <w:pPr>
        <w:ind w:left="4305" w:hanging="360"/>
      </w:pPr>
      <w:rPr>
        <w:rFonts w:hint="default"/>
      </w:rPr>
    </w:lvl>
    <w:lvl w:ilvl="7">
      <w:start w:val="1"/>
      <w:numFmt w:val="bullet"/>
      <w:lvlText w:val="•"/>
      <w:lvlJc w:val="left"/>
      <w:pPr>
        <w:ind w:left="4766" w:hanging="360"/>
      </w:pPr>
      <w:rPr>
        <w:rFonts w:hint="default"/>
      </w:rPr>
    </w:lvl>
    <w:lvl w:ilvl="8">
      <w:start w:val="1"/>
      <w:numFmt w:val="bullet"/>
      <w:lvlText w:val="•"/>
      <w:lvlJc w:val="left"/>
      <w:pPr>
        <w:ind w:left="5227" w:hanging="360"/>
      </w:pPr>
      <w:rPr>
        <w:rFonts w:hint="default"/>
      </w:rPr>
    </w:lvl>
  </w:abstractNum>
  <w:abstractNum w:abstractNumId="0">
    <w:multiLevelType w:val="hybridMultilevel"/>
    <w:lvl w:ilvl="0">
      <w:start w:val="5"/>
      <w:numFmt w:val="upperLetter"/>
      <w:lvlText w:val="%1."/>
      <w:lvlJc w:val="left"/>
      <w:pPr>
        <w:ind w:left="373" w:hanging="271"/>
        <w:jc w:val="left"/>
      </w:pPr>
      <w:rPr>
        <w:rFonts w:hint="default" w:ascii="Arial" w:hAnsi="Arial" w:eastAsia="Arial" w:cs="Arial"/>
        <w:spacing w:val="-1"/>
        <w:w w:val="100"/>
        <w:sz w:val="22"/>
        <w:szCs w:val="22"/>
      </w:rPr>
    </w:lvl>
    <w:lvl w:ilvl="1">
      <w:start w:val="1"/>
      <w:numFmt w:val="decimal"/>
      <w:lvlText w:val="%2."/>
      <w:lvlJc w:val="left"/>
      <w:pPr>
        <w:ind w:left="822" w:hanging="360"/>
        <w:jc w:val="right"/>
      </w:pPr>
      <w:rPr>
        <w:rFonts w:hint="default" w:ascii="Arial" w:hAnsi="Arial" w:eastAsia="Arial" w:cs="Arial"/>
        <w:b/>
        <w:bCs/>
        <w:spacing w:val="-1"/>
        <w:w w:val="100"/>
        <w:sz w:val="28"/>
        <w:szCs w:val="28"/>
      </w:rPr>
    </w:lvl>
    <w:lvl w:ilvl="2">
      <w:start w:val="1"/>
      <w:numFmt w:val="bullet"/>
      <w:lvlText w:val="•"/>
      <w:lvlJc w:val="left"/>
      <w:pPr>
        <w:ind w:left="900" w:hanging="360"/>
      </w:pPr>
      <w:rPr>
        <w:rFonts w:hint="default"/>
      </w:rPr>
    </w:lvl>
    <w:lvl w:ilvl="3">
      <w:start w:val="1"/>
      <w:numFmt w:val="bullet"/>
      <w:lvlText w:val="•"/>
      <w:lvlJc w:val="left"/>
      <w:pPr>
        <w:ind w:left="1682" w:hanging="360"/>
      </w:pPr>
      <w:rPr>
        <w:rFonts w:hint="default"/>
      </w:rPr>
    </w:lvl>
    <w:lvl w:ilvl="4">
      <w:start w:val="1"/>
      <w:numFmt w:val="bullet"/>
      <w:lvlText w:val="•"/>
      <w:lvlJc w:val="left"/>
      <w:pPr>
        <w:ind w:left="2465" w:hanging="360"/>
      </w:pPr>
      <w:rPr>
        <w:rFonts w:hint="default"/>
      </w:rPr>
    </w:lvl>
    <w:lvl w:ilvl="5">
      <w:start w:val="1"/>
      <w:numFmt w:val="bullet"/>
      <w:lvlText w:val="•"/>
      <w:lvlJc w:val="left"/>
      <w:pPr>
        <w:ind w:left="3248" w:hanging="360"/>
      </w:pPr>
      <w:rPr>
        <w:rFonts w:hint="default"/>
      </w:rPr>
    </w:lvl>
    <w:lvl w:ilvl="6">
      <w:start w:val="1"/>
      <w:numFmt w:val="bullet"/>
      <w:lvlText w:val="•"/>
      <w:lvlJc w:val="left"/>
      <w:pPr>
        <w:ind w:left="4030" w:hanging="360"/>
      </w:pPr>
      <w:rPr>
        <w:rFonts w:hint="default"/>
      </w:rPr>
    </w:lvl>
    <w:lvl w:ilvl="7">
      <w:start w:val="1"/>
      <w:numFmt w:val="bullet"/>
      <w:lvlText w:val="•"/>
      <w:lvlJc w:val="left"/>
      <w:pPr>
        <w:ind w:left="4813" w:hanging="360"/>
      </w:pPr>
      <w:rPr>
        <w:rFonts w:hint="default"/>
      </w:rPr>
    </w:lvl>
    <w:lvl w:ilvl="8">
      <w:start w:val="1"/>
      <w:numFmt w:val="bullet"/>
      <w:lvlText w:val="•"/>
      <w:lvlJc w:val="left"/>
      <w:pPr>
        <w:ind w:left="5596" w:hanging="360"/>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822" w:hanging="360"/>
      <w:outlineLvl w:val="1"/>
    </w:pPr>
    <w:rPr>
      <w:rFonts w:ascii="Arial" w:hAnsi="Arial" w:eastAsia="Arial" w:cs="Arial"/>
      <w:b/>
      <w:bCs/>
      <w:sz w:val="28"/>
      <w:szCs w:val="28"/>
    </w:rPr>
  </w:style>
  <w:style w:styleId="Heading2" w:type="paragraph">
    <w:name w:val="Heading 2"/>
    <w:basedOn w:val="Normal"/>
    <w:uiPriority w:val="1"/>
    <w:qFormat/>
    <w:pPr>
      <w:ind w:left="505" w:hanging="403"/>
      <w:jc w:val="both"/>
      <w:outlineLvl w:val="2"/>
    </w:pPr>
    <w:rPr>
      <w:rFonts w:ascii="Arial" w:hAnsi="Arial" w:eastAsia="Arial" w:cs="Arial"/>
      <w:b/>
      <w:bCs/>
      <w:sz w:val="24"/>
      <w:szCs w:val="24"/>
    </w:rPr>
  </w:style>
  <w:style w:styleId="Heading3" w:type="paragraph">
    <w:name w:val="Heading 3"/>
    <w:basedOn w:val="Normal"/>
    <w:uiPriority w:val="1"/>
    <w:qFormat/>
    <w:pPr>
      <w:ind w:left="102"/>
      <w:jc w:val="both"/>
      <w:outlineLvl w:val="3"/>
    </w:pPr>
    <w:rPr>
      <w:rFonts w:ascii="Arial" w:hAnsi="Arial" w:eastAsia="Arial" w:cs="Arial"/>
      <w:b/>
      <w:bCs/>
      <w:i/>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spacing w:line="272"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hyperlink" Target="http://www.Chimalhuacan.gob.mx/" TargetMode="External"/><Relationship Id="rId19" Type="http://schemas.openxmlformats.org/officeDocument/2006/relationships/hyperlink" Target="http://www.inegi.gob.mx/" TargetMode="External"/><Relationship Id="rId2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xiuthzal</dc:creator>
  <dcterms:created xsi:type="dcterms:W3CDTF">2017-05-25T23:01:52Z</dcterms:created>
  <dcterms:modified xsi:type="dcterms:W3CDTF">2017-05-25T23:01:52Z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2013-07-10T00:00:00Z</vt:filetime>
  </property>
  <property fmtid="{D5CDD505-2E9C-101B-9397-08002B2CF9AE}" pid="3" name="Creator">
    <vt:lpwstr>Microsoft® Word 2010</vt:lpwstr>
  </property>
  <property fmtid="{D5CDD505-2E9C-101B-9397-08002B2CF9AE}" pid="4" name="LastSaved">
    <vt:filetime>2017-05-25T00:00:00Z</vt:filetime>
  </property>
</Properties>
</file>